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8-K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20"/>
        </w:rPr>
        <w:t xml:space="preserve">Date of Report (Date of earliest event reported) </w:t>
      </w:r>
      <w:r>
        <w:rPr>
          <w:rFonts w:ascii="Arial;sans-serif" w:hAnsi="Arial;sans-serif"/>
          <w:b/>
          <w:color w:val="000000"/>
          <w:sz w:val="20"/>
        </w:rPr>
        <w:t xml:space="preserve">August 6, 2026 </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4384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38400" cy="476250"/>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COMMVAULT SYSTEMS, INC.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6052" w:type="dxa"/>
        <w:jc w:val="center"/>
        <w:tblInd w:w="0" w:type="dxa"/>
        <w:tblLayout w:type="fixed"/>
        <w:tblCellMar>
          <w:top w:w="28" w:type="dxa"/>
          <w:left w:w="28" w:type="dxa"/>
          <w:bottom w:w="28" w:type="dxa"/>
          <w:right w:w="28" w:type="dxa"/>
        </w:tblCellMar>
      </w:tblPr>
      <w:tblGrid>
        <w:gridCol w:w="873"/>
        <w:gridCol w:w="767"/>
        <w:gridCol w:w="775"/>
        <w:gridCol w:w="109"/>
        <w:gridCol w:w="109"/>
        <w:gridCol w:w="109"/>
        <w:gridCol w:w="433"/>
        <w:gridCol w:w="433"/>
        <w:gridCol w:w="438"/>
        <w:gridCol w:w="109"/>
        <w:gridCol w:w="109"/>
        <w:gridCol w:w="109"/>
        <w:gridCol w:w="490"/>
        <w:gridCol w:w="490"/>
        <w:gridCol w:w="699"/>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1-33026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22-3447504</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xml:space="preserve">(I.R.S. Employer </w:t>
              <w:br/>
              <w:t>Identification No.)</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1 Commvault Way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Tinton Falls, New Jersey 07724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18"/>
        </w:rPr>
        <w:t>(</w:t>
      </w:r>
      <w:r>
        <w:rPr>
          <w:rFonts w:ascii="Arial;sans-serif" w:hAnsi="Arial;sans-serif"/>
          <w:b/>
          <w:color w:val="000000"/>
          <w:sz w:val="18"/>
        </w:rPr>
        <w:t xml:space="preserve">732) 870-4000 </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left"/>
        <w:rPr>
          <w:rFonts w:ascii="Arial;sans-serif" w:hAnsi="Arial;sans-serif"/>
          <w:b w:val="false"/>
          <w:color w:val="000000"/>
          <w:sz w:val="16"/>
        </w:rPr>
      </w:pPr>
      <w:r>
        <w:rPr>
          <w:rFonts w:ascii="Arial;sans-serif" w:hAnsi="Arial;sans-serif"/>
          <w:b w:val="false"/>
          <w:color w:val="000000"/>
          <w:sz w:val="16"/>
        </w:rPr>
        <w:t>Check the appropriate box if the Form 8-K filing is intended to simultaneously satisfy the filing obligation of the registrant under any of the following provisions (see General Instruction A.2. below):</w:t>
      </w:r>
    </w:p>
    <w:p>
      <w:pPr>
        <w:pStyle w:val="TextBody"/>
        <w:bidi w:val="0"/>
        <w:spacing w:lineRule="auto" w:line="288" w:before="0" w:after="140"/>
        <w:jc w:val="left"/>
        <w:rPr>
          <w:color w:val="000000"/>
        </w:rPr>
      </w:pPr>
      <w:r>
        <w:rPr>
          <w:color w:val="000000"/>
        </w:rPr>
        <w:t xml:space="preserve">☐ </w:t>
      </w:r>
      <w:r>
        <w:rPr>
          <w:rFonts w:ascii="Arial;sans-serif" w:hAnsi="Arial;sans-serif"/>
          <w:b w:val="false"/>
          <w:color w:val="000000"/>
          <w:sz w:val="16"/>
        </w:rPr>
        <w:t>Written communications pursuant to Rule 425 under the Securities Act (17 CFR 230.425)</w:t>
      </w:r>
    </w:p>
    <w:p>
      <w:pPr>
        <w:pStyle w:val="TextBody"/>
        <w:bidi w:val="0"/>
        <w:spacing w:lineRule="auto" w:line="288" w:before="0" w:after="140"/>
        <w:jc w:val="left"/>
        <w:rPr>
          <w:color w:val="000000"/>
        </w:rPr>
      </w:pPr>
      <w:r>
        <w:rPr>
          <w:color w:val="000000"/>
        </w:rPr>
        <w:t xml:space="preserve">☐ </w:t>
      </w:r>
      <w:r>
        <w:rPr>
          <w:rFonts w:ascii="Arial;sans-serif" w:hAnsi="Arial;sans-serif"/>
          <w:b w:val="false"/>
          <w:color w:val="000000"/>
          <w:sz w:val="16"/>
        </w:rPr>
        <w:t>Soliciting material pursuant to Rule 14a-12 under the Exchange Act (17 CFR 240.14a-12)</w:t>
      </w:r>
    </w:p>
    <w:p>
      <w:pPr>
        <w:pStyle w:val="TextBody"/>
        <w:bidi w:val="0"/>
        <w:spacing w:lineRule="auto" w:line="288" w:before="0" w:after="140"/>
        <w:jc w:val="left"/>
        <w:rPr>
          <w:color w:val="000000"/>
        </w:rPr>
      </w:pPr>
      <w:r>
        <w:rPr>
          <w:color w:val="000000"/>
        </w:rPr>
        <w:t xml:space="preserve">☐ </w:t>
      </w:r>
      <w:r>
        <w:rPr>
          <w:rFonts w:ascii="Arial;sans-serif" w:hAnsi="Arial;sans-serif"/>
          <w:b w:val="false"/>
          <w:color w:val="000000"/>
          <w:sz w:val="16"/>
        </w:rPr>
        <w:t>Pre-commencement communications pursuant to Rule 14d-2(b) under the Exchange Act (17 CFR 240.14d-2(b))</w:t>
      </w:r>
    </w:p>
    <w:p>
      <w:pPr>
        <w:pStyle w:val="TextBody"/>
        <w:bidi w:val="0"/>
        <w:spacing w:lineRule="auto" w:line="288" w:before="0" w:after="0"/>
        <w:jc w:val="left"/>
        <w:rPr>
          <w:color w:val="000000"/>
        </w:rPr>
      </w:pPr>
      <w:r>
        <w:rPr>
          <w:color w:val="000000"/>
        </w:rPr>
        <w:t xml:space="preserve">☐ </w:t>
      </w:r>
      <w:r>
        <w:rPr>
          <w:rFonts w:ascii="Arial;sans-serif" w:hAnsi="Arial;sans-serif"/>
          <w:b w:val="false"/>
          <w:color w:val="000000"/>
          <w:sz w:val="16"/>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p>
      <w:pPr>
        <w:pStyle w:val="TextBody"/>
        <w:bidi w:val="0"/>
        <w:spacing w:before="0" w:after="0"/>
        <w:jc w:val="left"/>
        <w:rPr/>
      </w:pPr>
      <w:r>
        <w:rPr/>
      </w:r>
    </w:p>
    <w:tbl>
      <w:tblPr>
        <w:tblW w:w="9164" w:type="dxa"/>
        <w:jc w:val="center"/>
        <w:tblInd w:w="0" w:type="dxa"/>
        <w:tblLayout w:type="fixed"/>
        <w:tblCellMar>
          <w:top w:w="28" w:type="dxa"/>
          <w:left w:w="28" w:type="dxa"/>
          <w:bottom w:w="28" w:type="dxa"/>
          <w:right w:w="28" w:type="dxa"/>
        </w:tblCellMar>
      </w:tblPr>
      <w:tblGrid>
        <w:gridCol w:w="1286"/>
        <w:gridCol w:w="1128"/>
        <w:gridCol w:w="1141"/>
        <w:gridCol w:w="554"/>
        <w:gridCol w:w="554"/>
        <w:gridCol w:w="556"/>
        <w:gridCol w:w="1154"/>
        <w:gridCol w:w="1154"/>
        <w:gridCol w:w="1637"/>
      </w:tblGrid>
      <w:tr>
        <w:trPr/>
        <w:tc>
          <w:tcPr>
            <w:tcW w:w="128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$0.01 par value per share</w:t>
            </w:r>
          </w:p>
        </w:tc>
        <w:tc>
          <w:tcPr>
            <w:tcW w:w="16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CVLT</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Emerging growth company ☐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Item 5.07 Submission of Matters to a Vote of Security Holders.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Commvault Systems, Inc. (the "Company") held its Annual Meeting of Stockholders on August 6, 2026 (the "Annual Meeting") at which the Company’s stockholders voted on (1) the election of seven (7) directors to serve until the 2027 Annual Meeting, (2) executive compensation on a non-binding, advisory basis, (3) the appointment of Ernst &amp; Young LLP as the Company’s independent auditor and public accountants for the fiscal year ending March 31, 2027, and (4) the Commvault Systems, Inc. 2026 Equity Plan and the number of shares available thereunder. The voting results are as follows:</w:t>
      </w:r>
    </w:p>
    <w:p>
      <w:pPr>
        <w:pStyle w:val="TextBody"/>
        <w:bidi w:val="0"/>
        <w:spacing w:before="0" w:after="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1.    Election of Directors:</w:t>
      </w:r>
    </w:p>
    <w:p>
      <w:pPr>
        <w:pStyle w:val="TextBody"/>
        <w:bidi w:val="0"/>
        <w:spacing w:before="0" w:after="0"/>
        <w:jc w:val="both"/>
        <w:rPr/>
      </w:pPr>
      <w:r>
        <w:rPr/>
      </w:r>
    </w:p>
    <w:tbl>
      <w:tblPr>
        <w:tblW w:w="6798" w:type="dxa"/>
        <w:jc w:val="left"/>
        <w:tblInd w:w="0" w:type="dxa"/>
        <w:tblLayout w:type="fixed"/>
        <w:tblCellMar>
          <w:top w:w="28" w:type="dxa"/>
          <w:left w:w="28" w:type="dxa"/>
          <w:bottom w:w="28" w:type="dxa"/>
          <w:right w:w="28" w:type="dxa"/>
        </w:tblCellMar>
      </w:tblPr>
      <w:tblGrid>
        <w:gridCol w:w="824"/>
        <w:gridCol w:w="724"/>
        <w:gridCol w:w="732"/>
        <w:gridCol w:w="354"/>
        <w:gridCol w:w="354"/>
        <w:gridCol w:w="358"/>
        <w:gridCol w:w="319"/>
        <w:gridCol w:w="319"/>
        <w:gridCol w:w="323"/>
        <w:gridCol w:w="270"/>
        <w:gridCol w:w="270"/>
        <w:gridCol w:w="271"/>
        <w:gridCol w:w="491"/>
        <w:gridCol w:w="491"/>
        <w:gridCol w:w="698"/>
      </w:tblGrid>
      <w:tr>
        <w:trPr/>
        <w:tc>
          <w:tcPr>
            <w:tcW w:w="8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For</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Against</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Abstain</w:t>
            </w:r>
          </w:p>
        </w:tc>
        <w:tc>
          <w:tcPr>
            <w:tcW w:w="16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Broker Non-Vote</w:t>
            </w:r>
          </w:p>
        </w:tc>
      </w:tr>
      <w:tr>
        <w:trPr/>
        <w:tc>
          <w:tcPr>
            <w:tcW w:w="22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(01). Nicola Adamo</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35,895,642</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138,424</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17,669</w:t>
            </w:r>
          </w:p>
        </w:tc>
        <w:tc>
          <w:tcPr>
            <w:tcW w:w="16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2,993,008</w:t>
            </w:r>
          </w:p>
        </w:tc>
      </w:tr>
      <w:tr>
        <w:trPr/>
        <w:tc>
          <w:tcPr>
            <w:tcW w:w="22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(02). Martha Bejar</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33,933,268</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2,100,368</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18,099</w:t>
            </w:r>
          </w:p>
        </w:tc>
        <w:tc>
          <w:tcPr>
            <w:tcW w:w="16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2,993,008</w:t>
            </w:r>
          </w:p>
        </w:tc>
      </w:tr>
      <w:tr>
        <w:trPr/>
        <w:tc>
          <w:tcPr>
            <w:tcW w:w="22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(03). Keith Geeslin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34,541,074</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1,491,935</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18,726</w:t>
            </w:r>
          </w:p>
        </w:tc>
        <w:tc>
          <w:tcPr>
            <w:tcW w:w="16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2,993,008</w:t>
            </w:r>
          </w:p>
        </w:tc>
      </w:tr>
      <w:tr>
        <w:trPr/>
        <w:tc>
          <w:tcPr>
            <w:tcW w:w="22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(04). Vivie “YY” Lee</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34,547,738</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1,481,185</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22,812</w:t>
            </w:r>
          </w:p>
        </w:tc>
        <w:tc>
          <w:tcPr>
            <w:tcW w:w="16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2,993,008</w:t>
            </w:r>
          </w:p>
        </w:tc>
      </w:tr>
      <w:tr>
        <w:trPr/>
        <w:tc>
          <w:tcPr>
            <w:tcW w:w="22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(05). Sanjay Mirchandani</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35,978,537</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56,838</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16,360</w:t>
            </w:r>
          </w:p>
        </w:tc>
        <w:tc>
          <w:tcPr>
            <w:tcW w:w="16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2,993,008</w:t>
            </w:r>
          </w:p>
        </w:tc>
      </w:tr>
      <w:tr>
        <w:trPr/>
        <w:tc>
          <w:tcPr>
            <w:tcW w:w="22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(06). Chuck Moran</w:t>
            </w:r>
          </w:p>
        </w:tc>
        <w:tc>
          <w:tcPr>
            <w:tcW w:w="106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35,300,480</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721,351</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29,904</w:t>
            </w:r>
          </w:p>
        </w:tc>
        <w:tc>
          <w:tcPr>
            <w:tcW w:w="16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2,993,008</w:t>
            </w:r>
          </w:p>
        </w:tc>
      </w:tr>
      <w:tr>
        <w:trPr/>
        <w:tc>
          <w:tcPr>
            <w:tcW w:w="22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(07). Shane Sanders</w:t>
            </w:r>
          </w:p>
        </w:tc>
        <w:tc>
          <w:tcPr>
            <w:tcW w:w="106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34,898,505</w:t>
            </w:r>
          </w:p>
        </w:tc>
        <w:tc>
          <w:tcPr>
            <w:tcW w:w="9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1,129,087</w:t>
            </w:r>
          </w:p>
        </w:tc>
        <w:tc>
          <w:tcPr>
            <w:tcW w:w="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24,143</w:t>
            </w:r>
          </w:p>
        </w:tc>
        <w:tc>
          <w:tcPr>
            <w:tcW w:w="168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2,993,008</w:t>
            </w:r>
          </w:p>
        </w:tc>
      </w:tr>
    </w:tbl>
    <w:p>
      <w:pPr>
        <w:pStyle w:val="TextBody"/>
        <w:bidi w:val="0"/>
        <w:spacing w:before="0" w:after="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2.    Approve, on an advisory basis, the Company’s executive compensation.</w:t>
      </w:r>
    </w:p>
    <w:p>
      <w:pPr>
        <w:pStyle w:val="TextBody"/>
        <w:bidi w:val="0"/>
        <w:spacing w:before="0" w:after="0"/>
        <w:jc w:val="both"/>
        <w:rPr/>
      </w:pPr>
      <w:r>
        <w:rPr/>
      </w:r>
    </w:p>
    <w:tbl>
      <w:tblPr>
        <w:tblW w:w="4533" w:type="dxa"/>
        <w:jc w:val="left"/>
        <w:tblInd w:w="0" w:type="dxa"/>
        <w:tblLayout w:type="fixed"/>
        <w:tblCellMar>
          <w:top w:w="28" w:type="dxa"/>
          <w:left w:w="28" w:type="dxa"/>
          <w:bottom w:w="28" w:type="dxa"/>
          <w:right w:w="28" w:type="dxa"/>
        </w:tblCellMar>
      </w:tblPr>
      <w:tblGrid>
        <w:gridCol w:w="391"/>
        <w:gridCol w:w="342"/>
        <w:gridCol w:w="348"/>
        <w:gridCol w:w="319"/>
        <w:gridCol w:w="319"/>
        <w:gridCol w:w="323"/>
        <w:gridCol w:w="270"/>
        <w:gridCol w:w="270"/>
        <w:gridCol w:w="271"/>
        <w:gridCol w:w="491"/>
        <w:gridCol w:w="491"/>
        <w:gridCol w:w="698"/>
      </w:tblGrid>
      <w:tr>
        <w:trPr/>
        <w:tc>
          <w:tcPr>
            <w:tcW w:w="39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For</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Against</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Abstain</w:t>
            </w:r>
          </w:p>
        </w:tc>
        <w:tc>
          <w:tcPr>
            <w:tcW w:w="16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Broker Non-Vote</w:t>
            </w:r>
          </w:p>
        </w:tc>
      </w:tr>
      <w:tr>
        <w:trPr/>
        <w:tc>
          <w:tcPr>
            <w:tcW w:w="108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33,953,884</w:t>
            </w:r>
          </w:p>
        </w:tc>
        <w:tc>
          <w:tcPr>
            <w:tcW w:w="9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2,071,496</w:t>
            </w:r>
          </w:p>
        </w:tc>
        <w:tc>
          <w:tcPr>
            <w:tcW w:w="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26,355</w:t>
            </w:r>
          </w:p>
        </w:tc>
        <w:tc>
          <w:tcPr>
            <w:tcW w:w="168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2,993,008</w:t>
            </w:r>
          </w:p>
        </w:tc>
      </w:tr>
    </w:tbl>
    <w:p>
      <w:pPr>
        <w:pStyle w:val="TextBody"/>
        <w:bidi w:val="0"/>
        <w:spacing w:before="0" w:after="0"/>
        <w:jc w:val="both"/>
        <w:rPr/>
      </w:pPr>
      <w:r>
        <w:rPr/>
      </w:r>
    </w:p>
    <w:p>
      <w:pPr>
        <w:pStyle w:val="TextBody"/>
        <w:bidi w:val="0"/>
        <w:spacing w:lineRule="auto" w:line="312" w:before="0" w:after="0"/>
        <w:ind w:left="0" w:right="0" w:firstLine="720"/>
        <w:jc w:val="both"/>
        <w:rPr>
          <w:rFonts w:ascii="Arial;sans-serif" w:hAnsi="Arial;sans-serif"/>
          <w:b w:val="false"/>
          <w:color w:val="000000"/>
          <w:sz w:val="20"/>
        </w:rPr>
      </w:pPr>
      <w:r>
        <w:rPr>
          <w:rFonts w:ascii="Arial;sans-serif" w:hAnsi="Arial;sans-serif"/>
          <w:b w:val="false"/>
          <w:color w:val="000000"/>
          <w:sz w:val="20"/>
        </w:rPr>
        <w:t>3.    Ratify the appointment of Ernst &amp; Young LLP as the Company’s independent public accountants for the fiscal year ending March 31, 2027.</w:t>
      </w:r>
    </w:p>
    <w:p>
      <w:pPr>
        <w:pStyle w:val="TextBody"/>
        <w:bidi w:val="0"/>
        <w:spacing w:before="0" w:after="0"/>
        <w:jc w:val="both"/>
        <w:rPr/>
      </w:pPr>
      <w:r>
        <w:rPr/>
      </w:r>
    </w:p>
    <w:tbl>
      <w:tblPr>
        <w:tblW w:w="4533" w:type="dxa"/>
        <w:jc w:val="left"/>
        <w:tblInd w:w="0" w:type="dxa"/>
        <w:tblLayout w:type="fixed"/>
        <w:tblCellMar>
          <w:top w:w="28" w:type="dxa"/>
          <w:left w:w="28" w:type="dxa"/>
          <w:bottom w:w="28" w:type="dxa"/>
          <w:right w:w="28" w:type="dxa"/>
        </w:tblCellMar>
      </w:tblPr>
      <w:tblGrid>
        <w:gridCol w:w="391"/>
        <w:gridCol w:w="342"/>
        <w:gridCol w:w="348"/>
        <w:gridCol w:w="319"/>
        <w:gridCol w:w="319"/>
        <w:gridCol w:w="323"/>
        <w:gridCol w:w="270"/>
        <w:gridCol w:w="270"/>
        <w:gridCol w:w="271"/>
        <w:gridCol w:w="491"/>
        <w:gridCol w:w="491"/>
        <w:gridCol w:w="698"/>
      </w:tblGrid>
      <w:tr>
        <w:trPr/>
        <w:tc>
          <w:tcPr>
            <w:tcW w:w="39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For</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Against</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Abstain</w:t>
            </w:r>
          </w:p>
        </w:tc>
        <w:tc>
          <w:tcPr>
            <w:tcW w:w="16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Broker Non-Vote</w:t>
            </w:r>
          </w:p>
        </w:tc>
      </w:tr>
      <w:tr>
        <w:trPr/>
        <w:tc>
          <w:tcPr>
            <w:tcW w:w="108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36,556,396</w:t>
            </w:r>
          </w:p>
        </w:tc>
        <w:tc>
          <w:tcPr>
            <w:tcW w:w="9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2,467,104</w:t>
            </w:r>
          </w:p>
        </w:tc>
        <w:tc>
          <w:tcPr>
            <w:tcW w:w="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21,243</w:t>
            </w:r>
          </w:p>
        </w:tc>
        <w:tc>
          <w:tcPr>
            <w:tcW w:w="168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0</w:t>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4.     Approve the Commvault Systems, Inc. 2026 Equity Plan and 3.374 million shares to be available for issuance thereunder.</w:t>
      </w:r>
    </w:p>
    <w:p>
      <w:pPr>
        <w:pStyle w:val="TextBody"/>
        <w:bidi w:val="0"/>
        <w:spacing w:before="0" w:after="0"/>
        <w:jc w:val="left"/>
        <w:rPr/>
      </w:pPr>
      <w:r>
        <w:rPr/>
      </w:r>
    </w:p>
    <w:tbl>
      <w:tblPr>
        <w:tblW w:w="4533" w:type="dxa"/>
        <w:jc w:val="left"/>
        <w:tblInd w:w="0" w:type="dxa"/>
        <w:tblLayout w:type="fixed"/>
        <w:tblCellMar>
          <w:top w:w="28" w:type="dxa"/>
          <w:left w:w="28" w:type="dxa"/>
          <w:bottom w:w="28" w:type="dxa"/>
          <w:right w:w="28" w:type="dxa"/>
        </w:tblCellMar>
      </w:tblPr>
      <w:tblGrid>
        <w:gridCol w:w="391"/>
        <w:gridCol w:w="342"/>
        <w:gridCol w:w="348"/>
        <w:gridCol w:w="319"/>
        <w:gridCol w:w="319"/>
        <w:gridCol w:w="323"/>
        <w:gridCol w:w="270"/>
        <w:gridCol w:w="270"/>
        <w:gridCol w:w="271"/>
        <w:gridCol w:w="491"/>
        <w:gridCol w:w="491"/>
        <w:gridCol w:w="698"/>
      </w:tblGrid>
      <w:tr>
        <w:trPr/>
        <w:tc>
          <w:tcPr>
            <w:tcW w:w="39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For</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Against</w:t>
            </w:r>
          </w:p>
        </w:tc>
        <w:tc>
          <w:tcPr>
            <w:tcW w:w="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Abstain</w:t>
            </w:r>
          </w:p>
        </w:tc>
        <w:tc>
          <w:tcPr>
            <w:tcW w:w="16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both"/>
              <w:rPr>
                <w:rFonts w:ascii="Arial;sans-serif" w:hAnsi="Arial;sans-serif"/>
                <w:b/>
                <w:color w:val="000000"/>
                <w:sz w:val="20"/>
              </w:rPr>
            </w:pPr>
            <w:r>
              <w:rPr>
                <w:rFonts w:ascii="Arial;sans-serif" w:hAnsi="Arial;sans-serif"/>
                <w:b/>
                <w:color w:val="000000"/>
                <w:sz w:val="20"/>
              </w:rPr>
              <w:t>Broker Non-Vote</w:t>
            </w:r>
          </w:p>
        </w:tc>
      </w:tr>
      <w:tr>
        <w:trPr/>
        <w:tc>
          <w:tcPr>
            <w:tcW w:w="108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34,529,655</w:t>
            </w:r>
          </w:p>
        </w:tc>
        <w:tc>
          <w:tcPr>
            <w:tcW w:w="9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1,517,689</w:t>
            </w:r>
          </w:p>
        </w:tc>
        <w:tc>
          <w:tcPr>
            <w:tcW w:w="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4,391</w:t>
            </w:r>
          </w:p>
        </w:tc>
        <w:tc>
          <w:tcPr>
            <w:tcW w:w="168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2,993,008</w:t>
            </w:r>
          </w:p>
        </w:tc>
      </w:tr>
    </w:tbl>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53085"/>
                <wp:effectExtent l="0" t="0" r="0" b="0"/>
                <wp:wrapNone/>
                <wp:docPr id="3" name="Frame2"/>
                <a:graphic xmlns:a="http://schemas.openxmlformats.org/drawingml/2006/main">
                  <a:graphicData uri="http://schemas.microsoft.com/office/word/2010/wordprocessingShape">
                    <wps:wsp>
                      <wps:cNvSpPr txBox="1"/>
                      <wps:spPr>
                        <a:xfrm>
                          <a:off x="0" y="0"/>
                          <a:ext cx="6480175" cy="553085"/>
                        </a:xfrm>
                        <a:prstGeom prst="rect"/>
                        <a:solidFill>
                          <a:srgbClr val="FFFFFF"/>
                        </a:solidFill>
                      </wps:spPr>
                      <wps:txbx>
                        <w:txbxContent>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333"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333" w:before="0" w:after="0"/>
        <w:ind w:left="0" w:right="0" w:firstLine="72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333" w:before="0" w:after="0"/>
        <w:jc w:val="both"/>
        <w:rPr>
          <w:rFonts w:ascii="Arial;sans-serif" w:hAnsi="Arial;sans-serif"/>
          <w:b w:val="false"/>
          <w:color w:val="000000"/>
          <w:sz w:val="20"/>
        </w:rPr>
      </w:pPr>
      <w:r>
        <w:rPr>
          <w:rFonts w:ascii="Arial;sans-serif" w:hAnsi="Arial;sans-serif"/>
          <w:b w:val="false"/>
          <w:color w:val="000000"/>
          <w:sz w:val="20"/>
        </w:rPr>
        <w:t>COMMVAULT SYSTEMS, INC.</w:t>
      </w:r>
    </w:p>
    <w:p>
      <w:pPr>
        <w:pStyle w:val="TextBody"/>
        <w:bidi w:val="0"/>
        <w:spacing w:before="0" w:after="0"/>
        <w:jc w:val="both"/>
        <w:rPr/>
      </w:pPr>
      <w:r>
        <w:rPr/>
      </w:r>
    </w:p>
    <w:tbl>
      <w:tblPr>
        <w:tblW w:w="3763" w:type="dxa"/>
        <w:jc w:val="left"/>
        <w:tblInd w:w="0" w:type="dxa"/>
        <w:tblLayout w:type="fixed"/>
        <w:tblCellMar>
          <w:top w:w="28" w:type="dxa"/>
          <w:left w:w="28" w:type="dxa"/>
          <w:bottom w:w="28" w:type="dxa"/>
          <w:right w:w="28" w:type="dxa"/>
        </w:tblCellMar>
      </w:tblPr>
      <w:tblGrid>
        <w:gridCol w:w="211"/>
        <w:gridCol w:w="186"/>
        <w:gridCol w:w="188"/>
        <w:gridCol w:w="474"/>
        <w:gridCol w:w="474"/>
        <w:gridCol w:w="476"/>
        <w:gridCol w:w="512"/>
        <w:gridCol w:w="512"/>
        <w:gridCol w:w="73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August 6, 2026</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Danielle Sheer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13" w:after="283"/>
              <w:jc w:val="left"/>
              <w:rPr>
                <w:rFonts w:ascii="Arial;sans-serif" w:hAnsi="Arial;sans-serif"/>
                <w:b w:val="false"/>
                <w:color w:val="000000"/>
                <w:sz w:val="20"/>
              </w:rPr>
            </w:pPr>
            <w:r>
              <w:rPr>
                <w:rFonts w:ascii="Arial;sans-serif" w:hAnsi="Arial;sans-serif"/>
                <w:b w:val="false"/>
                <w:color w:val="000000"/>
                <w:sz w:val="20"/>
              </w:rPr>
              <w:t xml:space="preserve">Danielle Sheer </w:t>
            </w:r>
          </w:p>
          <w:p>
            <w:pPr>
              <w:pStyle w:val="TableContents"/>
              <w:bidi w:val="0"/>
              <w:spacing w:lineRule="auto" w:line="288" w:before="0" w:after="30"/>
              <w:jc w:val="left"/>
              <w:rPr>
                <w:rFonts w:ascii="Arial;sans-serif" w:hAnsi="Arial;sans-serif"/>
                <w:b w:val="false"/>
                <w:color w:val="000000"/>
                <w:sz w:val="20"/>
              </w:rPr>
            </w:pPr>
            <w:r>
              <w:rPr>
                <w:rFonts w:ascii="Arial;sans-serif" w:hAnsi="Arial;sans-serif"/>
                <w:b w:val="false"/>
                <w:color w:val="000000"/>
                <w:sz w:val="20"/>
              </w:rPr>
              <w:t>Chief Trust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53085"/>
                <wp:effectExtent l="0" t="0" r="0" b="0"/>
                <wp:wrapNone/>
                <wp:docPr id="4" name="Frame3"/>
                <a:graphic xmlns:a="http://schemas.openxmlformats.org/drawingml/2006/main">
                  <a:graphicData uri="http://schemas.microsoft.com/office/word/2010/wordprocessingShape">
                    <wps:wsp>
                      <wps:cNvSpPr txBox="1"/>
                      <wps:spPr>
                        <a:xfrm>
                          <a:off x="0" y="0"/>
                          <a:ext cx="6480175" cy="553085"/>
                        </a:xfrm>
                        <a:prstGeom prst="rect"/>
                        <a:solidFill>
                          <a:srgbClr val="FFFFFF"/>
                        </a:solidFill>
                      </wps:spPr>
                      <wps:txbx>
                        <w:txbxContent>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left"/>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598</Words>
  <Characters>3375</Characters>
  <CharactersWithSpaces>3881</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