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p>
      <w:pPr>
        <w:ind w:left="140" w:right="1280"/>
        <w:spacing w:after="0" w:line="21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o Non-accelerated filer o Smaller reporting company o Emerging growth company o</w:t>
      </w:r>
    </w:p>
    <w:p>
      <w:pPr>
        <w:spacing w:after="0" w:line="301" w:lineRule="exact"/>
        <w:rPr>
          <w:sz w:val="24"/>
          <w:szCs w:val="24"/>
          <w:color w:val="auto"/>
        </w:rPr>
      </w:pPr>
    </w:p>
    <w:p>
      <w:pPr>
        <w:ind w:left="140" w:right="50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1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29, 2018, there were 46,288,354 shares of the registrant’s common stock, $0.01 par value, outstanding.</w:t>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9"/>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88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September 30, 2018 and March 31,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Unaudited Consolidated Statements of Operations for the three and six months ended September 30, 2018 and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62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 for the three and six months ended September 30,</w:t>
              </w:r>
            </w:hyperlink>
          </w:p>
        </w:tc>
        <w:tc>
          <w:tcPr>
            <w:tcW w:w="22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 and 2017</w:t>
              </w:r>
            </w:hyperlink>
          </w:p>
        </w:tc>
        <w:tc>
          <w:tcPr>
            <w:tcW w:w="7580" w:type="dxa"/>
            <w:vAlign w:val="bottom"/>
            <w:tcBorders>
              <w:top w:val="single" w:sz="8" w:color="0000EE"/>
            </w:tcBorders>
            <w:gridSpan w:val="13"/>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Consolidated Statements of Stockholders’ Equity for the three and six months ended September 30, 2018 and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6">
              <w:r>
                <w:rPr>
                  <w:rFonts w:ascii="Arial" w:cs="Arial" w:eastAsia="Arial" w:hAnsi="Arial"/>
                  <w:sz w:val="18"/>
                  <w:szCs w:val="18"/>
                  <w:color w:val="0000EE"/>
                  <w:w w:val="7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766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Cash Flows for the six months ended September 30, 2018 and 2017</w:t>
              </w:r>
            </w:hyperlink>
          </w:p>
        </w:tc>
        <w:tc>
          <w:tcPr>
            <w:tcW w:w="118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66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18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SIGNATURES</w:t>
              </w:r>
            </w:hyperlink>
          </w:p>
        </w:tc>
        <w:tc>
          <w:tcPr>
            <w:tcW w:w="8840" w:type="dxa"/>
            <w:vAlign w:val="bottom"/>
            <w:gridSpan w:val="1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20" w:type="dxa"/>
            <w:vAlign w:val="bottom"/>
          </w:tcPr>
          <w:p>
            <w:pPr>
              <w:spacing w:after="0"/>
              <w:rPr>
                <w:sz w:val="24"/>
                <w:szCs w:val="24"/>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353,181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330,784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137,338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162,119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642,472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646,788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33,092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810,035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82,299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294,972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324,173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0"/>
              </w:rPr>
              <w:t>Preferred stock, $0.01 par value: 50,000 shares authorized, no shares issued and outstanding at September 30,</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2018 and March 31, 2018</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250,000 shares authorized, 46,034 shares and 45,118 shares issued and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 and March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843,622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782,764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810,035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50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69,504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72,020</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144,554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146,781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96,120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169,078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168,140</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334,112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22,181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23,267</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44,928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144,873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289,184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100,595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200,504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24,507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22,925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23,620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47,471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141,199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149,528</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298,200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loss of affiliate</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45,880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45,598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45,598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190"/>
        </w:trPr>
        <w:tc>
          <w:tcPr>
            <w:tcW w:w="5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80"/>
        </w:trPr>
        <w:tc>
          <w:tcPr>
            <w:tcW w:w="5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(13,996)</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3,326</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45,580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46,034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6"/>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46,034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417,145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5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720,041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494,997</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19,821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2017</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749,544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515,283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540" w:type="dxa"/>
            <w:vAlign w:val="bottom"/>
          </w:tcPr>
          <w:p>
            <w:pPr>
              <w:spacing w:after="0"/>
              <w:rPr>
                <w:sz w:val="24"/>
                <w:szCs w:val="2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5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Cumulative Effect of Adoption of ASU 2016-09</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39,385</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Balance as of September 30, 2017</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45,695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749,544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515,283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September 30,</w:t>
            </w:r>
          </w:p>
        </w:tc>
      </w:tr>
      <w:tr>
        <w:trPr>
          <w:trHeight w:val="190"/>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80"/>
        </w:trPr>
        <w:tc>
          <w:tcPr>
            <w:tcW w:w="74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5,567</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39,385</w:t>
            </w: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 of affiliate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8,339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12,439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Deferred commissions cost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(7,514)</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(19,109)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w:t>
            </w: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29,618</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(77,174)</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66,609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(11,259)</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16,735</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5,476</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11,945</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33,840</w:t>
            </w: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329,491</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353,181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363,331</w:t>
            </w:r>
          </w:p>
        </w:tc>
      </w:tr>
      <w:tr>
        <w:trPr>
          <w:trHeight w:val="27"/>
        </w:trPr>
        <w:tc>
          <w:tcPr>
            <w:tcW w:w="7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125" w:right="6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In fiscal 2018 the Company also started selling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consolidated financial statements as of September 30, 2018 and for the three and six months ended September 30, 2018 and 2017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2018. The results reported in these financial statements should not necessarily be taken as indicative of results that may be expected for the entire fiscal year.</w:t>
      </w:r>
    </w:p>
    <w:p>
      <w:pPr>
        <w:spacing w:after="0" w:line="13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during the six months ended September 30, 2018 as compared to the significant accounting policies described in its Annual Report on Form 10-K for the year ended March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300" w:firstLine="180"/>
        <w:spacing w:after="0" w:line="259"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Company will adopt this ASU in fiscal 2020. The Company is currently assessing the impact of the adoption of ASU 2016-02 and expects to adopt the standard using the transition method in which prior period financial information is not adjusted.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36% of total revenues for both the six months ended September 30, 2018 and 2017, respectively. Arrow accounted for 28% of total accounts receivable as of September 30, 2018 and 38% of total accounts receivable as of March 31, 2018.</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September 30, 2018 and March 31,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117,919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117,919</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131,929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131,929</w:t>
            </w:r>
          </w:p>
        </w:tc>
      </w:tr>
      <w:tr>
        <w:trPr>
          <w:trHeight w:val="554"/>
        </w:trPr>
        <w:tc>
          <w:tcPr>
            <w:tcW w:w="3800" w:type="dxa"/>
            <w:vAlign w:val="bottom"/>
          </w:tcPr>
          <w:p>
            <w:pPr>
              <w:spacing w:after="0"/>
              <w:rPr>
                <w:sz w:val="24"/>
                <w:szCs w:val="2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43,545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132,263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132,263</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40" w:firstLine="500"/>
        <w:spacing w:after="0" w:line="291" w:lineRule="auto"/>
        <w:rPr>
          <w:sz w:val="20"/>
          <w:szCs w:val="20"/>
          <w:color w:val="auto"/>
        </w:rPr>
      </w:pPr>
      <w:r>
        <w:rPr>
          <w:rFonts w:ascii="Arial" w:cs="Arial" w:eastAsia="Arial" w:hAnsi="Arial"/>
          <w:sz w:val="16"/>
          <w:szCs w:val="16"/>
          <w:color w:val="auto"/>
        </w:rPr>
        <w:t>Historically, 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5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Within 90 days of delivery except for Residual approach</w:t>
            </w:r>
          </w:p>
        </w:tc>
      </w:tr>
      <w:tr>
        <w:trPr>
          <w:trHeight w:val="203"/>
        </w:trPr>
        <w:tc>
          <w:tcPr>
            <w:tcW w:w="2080" w:type="dxa"/>
            <w:vAlign w:val="bottom"/>
            <w:shd w:val="clear" w:color="auto" w:fill="CCEEFF"/>
          </w:tcPr>
          <w:p>
            <w:pPr>
              <w:spacing w:after="0"/>
              <w:rPr>
                <w:sz w:val="17"/>
                <w:szCs w:val="17"/>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certain subscriptions which are paid</w:t>
            </w:r>
          </w:p>
        </w:tc>
        <w:tc>
          <w:tcPr>
            <w:tcW w:w="2880" w:type="dxa"/>
            <w:vAlign w:val="bottom"/>
            <w:shd w:val="clear" w:color="auto" w:fill="CCEEFF"/>
          </w:tcPr>
          <w:p>
            <w:pPr>
              <w:spacing w:after="0"/>
              <w:rPr>
                <w:sz w:val="17"/>
                <w:szCs w:val="17"/>
                <w:color w:val="auto"/>
              </w:rPr>
            </w:pP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over time</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460" w:type="dxa"/>
            <w:vAlign w:val="bottom"/>
          </w:tcPr>
          <w:p>
            <w:pPr>
              <w:ind w:left="40"/>
              <w:spacing w:after="0"/>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8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125" w:right="25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September 30,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69,504</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59,675</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20,443</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9,489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89,607</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9,967</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106,540</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169,078</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ind w:right="135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2"/>
              </w:rPr>
              <w:t>Three Months Ended September 30, 2017</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72,020</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58,205</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18,625</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8,947</w:t>
            </w:r>
          </w:p>
        </w:tc>
        <w:tc>
          <w:tcPr>
            <w:tcW w:w="4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85,777</w:t>
            </w:r>
          </w:p>
        </w:tc>
      </w:tr>
      <w:tr>
        <w:trPr>
          <w:trHeight w:val="27"/>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10,343</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104,874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42,433</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168,140</w:t>
            </w:r>
          </w:p>
        </w:tc>
      </w:tr>
      <w:tr>
        <w:trPr>
          <w:trHeight w:val="20"/>
        </w:trPr>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Six Months Ended September 30, 2018</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144,554</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120,101</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40,802</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19,110</w:t>
            </w:r>
          </w:p>
        </w:tc>
        <w:tc>
          <w:tcPr>
            <w:tcW w:w="4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180,013</w:t>
            </w:r>
          </w:p>
        </w:tc>
      </w:tr>
      <w:tr>
        <w:trPr>
          <w:trHeight w:val="27"/>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20,688</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214,867</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86,284</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345,255</w:t>
            </w:r>
          </w:p>
        </w:tc>
      </w:tr>
      <w:tr>
        <w:trPr>
          <w:trHeight w:val="20"/>
        </w:trPr>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4"/>
              </w:rPr>
              <w:t>Six Months Ended September 30,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2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21,245</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146,781</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114,394</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35,736</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17,537</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167,667</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19,664</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205,935</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85,861</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42,316</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334,112</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certain contracts the Company allows customers to pay for term-based, or subscription, software licenses and products over the term of the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(27,200)</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(17,921)</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7,853</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92,514</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decrease in accounts receivable is primarily a result of a decrease in software and products revenue relative to the fourth quarter of the prior year as well as a concentration of customer support renewals in the second half of the fiscal year. The decrease in deferred revenue is primarily the result of a decrease in deferred customer support revenue related to software and products revenue transactions and customer support renewals relative to the fourth quarter of fiscal 2018 and a strengthening of the U.S. dollar.</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amount of revenue recognized in fiscal 2019 that was included in the March 31, 2018 balance of deferred revenue was $66,993 and $157,230 for the three and six months ended September 30, 2018, respectively. The vast majority of this revenue consists of customer support arrangements. The amount of revenue recognized from performance obligations satisfied in prior periods was not significant.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September 30, 2018, $23,043 of revenue may be recognized from remaining performance obligations, of which $1,513 was related to software and products. The Company expects the software and products revenue to be recognized next quarter. The vast majority of the services revenue is related to other professional services which may be recognized over the next twelve months but is contingent upon a number of factors, including customers’ needs and schedules.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1,024 and 7,433 for the three months ended September 30, 2018 and 2017, respectively, and 5,874 and 7,557 for the six months ended September 30, 2018 and 2017, respectively, because the effect would have been anti-dilutive.</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w:t>
      </w:r>
    </w:p>
    <w:p>
      <w:pPr>
        <w:spacing w:after="0" w:line="252" w:lineRule="exact"/>
        <w:rPr>
          <w:sz w:val="20"/>
          <w:szCs w:val="20"/>
          <w:color w:val="auto"/>
        </w:rPr>
      </w:pPr>
    </w:p>
    <w:p>
      <w:pPr>
        <w:ind w:right="100" w:firstLine="405"/>
        <w:spacing w:after="0" w:line="322" w:lineRule="auto"/>
        <w:rPr>
          <w:sz w:val="20"/>
          <w:szCs w:val="20"/>
          <w:color w:val="auto"/>
        </w:rPr>
      </w:pPr>
      <w:r>
        <w:rPr>
          <w:rFonts w:ascii="Arial" w:cs="Arial" w:eastAsia="Arial" w:hAnsi="Arial"/>
          <w:sz w:val="17"/>
          <w:szCs w:val="17"/>
          <w:color w:val="auto"/>
        </w:rPr>
        <w:t>On February 27, 2017, Realtime Data LLC d/b/a/ IXO (“Realtime”), a non-practicing entity, sued the Company and Spectra Logic Corporation in the Eastern District of Texas for alleged infringement of four patents. Realtime has sued numerous other companies for infringement of these and other patents. Realtime seeks monetary damages and an injunction. On October 5, 2018, the Company reached an agreement which resulted in the dismissal with prejudice of Realtime’s claims, as well as Realtime’s claims against the Company’s customers, to the extent those claims are based on Commvault’s products. In connection with matter, the Company accrued $1,400 of General and administrative expense in the three and six months ended September 30, 2018. The Company has concluded that any loss related to this matter in excess of this accrual is remote. However, due to the inherent uncertainties of litigation, the Company cannot accurately predict the ultimate outcome of this matter.</w:t>
      </w:r>
    </w:p>
    <w:p>
      <w:pPr>
        <w:spacing w:after="0" w:line="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On August 1, 2018 the Company's Board of Directors unanimously approved the termination of the Company’s rights agreement, which was originally scheduled to expire on November 14, 2018. The plan was amended to accelerate the expiration date to August 1, 2018, effectively terminating the plan as of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18, 2018, the Board of Directors extended the expiration date of the share repurchase program to March 31, 2020 and authorized an increase to the existing share repurchase program so that $200,000 was available.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August 23, 2018, the Company’s shareholders approved an amendment to the Omnibus Incentive Plan (the “2016 Incentive Plan”) to increase the maximum number of shares of common stock that may be delivered under plan to 5,550, an increase of 2,000 shares.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firstLine="432"/>
        <w:spacing w:after="0" w:line="312" w:lineRule="auto"/>
        <w:rPr>
          <w:sz w:val="20"/>
          <w:szCs w:val="20"/>
          <w:color w:val="auto"/>
        </w:rPr>
      </w:pPr>
      <w:r>
        <w:rPr>
          <w:rFonts w:ascii="Arial" w:cs="Arial" w:eastAsia="Arial" w:hAnsi="Arial"/>
          <w:sz w:val="16"/>
          <w:szCs w:val="16"/>
          <w:color w:val="auto"/>
        </w:rPr>
        <w:t>The following table presents the stock-based compensation expense included in Cost of services revenue, Sales and marketing, Research and development and General and administrative expenses and Restructuring for the three and six months ended September 30, 2018 and 2017. Stock-based compensation is attributable to stock options, restricted stock units, performance based awards and the employee stock purchase plan.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18,424</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5,345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15,319</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17,750</w:t>
            </w:r>
          </w:p>
        </w:tc>
        <w:tc>
          <w:tcPr>
            <w:tcW w:w="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39,385</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As of September 30, 2018, there was $72,660 of unrecognized stock-based compensation expense related to non-vested stock option and restricted stock unit awards that is expected to be recognized over a weighted average period of 1.51 years. The Company accounts for forfeitures as they occur. To the extent that awards are forfeitured, stock-based compensation will be different from the Company’s current estimate.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six months ended September 30, 2018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2018</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78.89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September 30, 2018</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81,866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2018</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80,158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total intrinsic value of options exercised was $7,426 and $24,186 for the three and six months ended September 30, 2018 and $4,623 and $11,625 for the three and six months ended September 30, 2017. The Company’s policy is to issue new shares upon exercise of options as the Company does not hold shares in treasury.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six months ended September 30, 2018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397</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September 30, 2018</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1,756</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weighted average fair value of restricted stock units awarded was $67.41 and $71.11 per unit during the three and six months ended September 30, 2018, and $59.29 and $60.01 per unit during the three and six months ended September 30, 2017. The weighted average fair value of awards includes the awards with a market condition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six months ended September 30, 2018, the Company granted 72 performance restricted stock units ("PSU") to certain executives. Vesting of these awards is contingent upon i) the Company meeting certain company-wide revenue and non-GAAP performance goals (performance-based) in fiscal 2019 and ii) the Company's customary service periods. The awards vest over three years and have a maximum potential to vest at 200% (144 shares) based on actual fiscal 2019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the six months ended September 30, 2018, the Company granted 75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(150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six months ended September 30, 2018 was $81.78. The awards are included in the restricted stock unit table.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Income tax expense was $3,912 in the six months ended September 30, 2018 compared to a benefit of $7,339 in the six months ended September 30, 2017. In third quarter of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tax expense for the six months ended September 30, 2018 relates primarily to current foreign taxes.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As of September 30, 2018, the Company has not fully completed the accounting for the tax effects of enactment of the Act; however, it has made a reasonable estimate of the effects on existing deferred tax balances. These amounts are provisional and subject to change. The most significant impact of the legislation for the Company was the reduction of the value of the Company's net deferred tax assets (which represent future tax benefits) as a result of lowering the U.S. corporate income tax rate from 35% to 21%. The Act also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includes a requirement to pay a one-time transition tax on the cumulative value of earnings and profits that were previously not repatriated for U.S. income tax purposes. Based on analysis completed to date the one-time transition tax is expected to be zero. In addition, as of September 30, 2018, the Company no longer considers the undistributed earnings held outside of the U.S. by most of its foreign subsidiaries to be indefinitely reinvested. The Company still considers undistributed earnings held in China and India to be permanently reinvested.</w:t>
      </w:r>
    </w:p>
    <w:p>
      <w:pPr>
        <w:spacing w:after="0" w:line="18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Company also continues to evaluate the impact of the GILTI provisions under the Act which are complex and subject to continuing regulatory interpretation by the U.S. Internal Revenue Service (IRS). The Company is required to make an accounting policy election of either (1) treating taxes due on future U.S. inclusions in taxable income related to GILTI as a</w:t>
      </w:r>
    </w:p>
    <w:p>
      <w:pPr>
        <w:ind w:right="80"/>
        <w:spacing w:after="0" w:line="270" w:lineRule="auto"/>
        <w:rPr>
          <w:sz w:val="20"/>
          <w:szCs w:val="20"/>
          <w:color w:val="auto"/>
        </w:rPr>
      </w:pPr>
      <w:r>
        <w:rPr>
          <w:rFonts w:ascii="Arial" w:cs="Arial" w:eastAsia="Arial" w:hAnsi="Arial"/>
          <w:sz w:val="17"/>
          <w:szCs w:val="17"/>
          <w:color w:val="auto"/>
        </w:rPr>
        <w:t>current period expense when incurred (the “period cost method”) or (2) factoring such amounts into the Company’s measurement of its deferred taxes (the “deferred method”). The Company’s accounting policy election with respect to the new GILTI Tax rules will depend, in part, on analyzing its global income to determine whether it can reasonably estimate the tax impact. While the Company has included an estimate of GILTI in its estimated effective tax rate for fiscal 2019, it has not completed its analysis and has not determined which method to elect. Adjustments related to the amount of GILTI recorded in the financial statements may be required based on the outcome of this election. However, there is no impact on tax expense in the six months ended September 30, 2018 due to the valuation allowance recorded against deferred tax assets.</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Act also requires other complex computations to be performed that were not previously required in U.S. tax law, judgments to be made in interpretation of the provisions of the Act, estimates in calculations, and the preparation and analysis of information not previously relevant or regularly produced. The U.S. Treasury Department, the IRS, and other standard-setting bodies could interpret or issue guidance on how provisions of the Act will be applied or otherwise administered that is different from our current interpretation.</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fiscal 2019, the Company initiated a restructuring plan to increase efficiency in its sales, marketing and distribution functions as well as reduce costs across all functional areas. During the six months ended September 30, 2018, the Company incurred total restructuring charges of $8,389. These restructuring charges relate primarily to severance and related costs associated with headcount reductions. These charges include $1,214 of stock-based compensation related to modifications of existing unvested awards granted to certain employees impacted by the restructuring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the Company’s restructuring accruals for the six months ended June 30, 2018 is summarized as follows:</w:t>
      </w:r>
    </w:p>
    <w:p>
      <w:pPr>
        <w:spacing w:after="0" w:line="379" w:lineRule="exact"/>
        <w:rPr>
          <w:sz w:val="20"/>
          <w:szCs w:val="20"/>
          <w:color w:val="auto"/>
        </w:rPr>
      </w:pPr>
    </w:p>
    <w:tbl>
      <w:tblPr>
        <w:tblLayout w:type="fixed"/>
        <w:tblInd w:w="2360" w:type="dxa"/>
        <w:tblCellMar>
          <w:top w:w="0" w:type="dxa"/>
          <w:left w:w="0" w:type="dxa"/>
          <w:bottom w:w="0" w:type="dxa"/>
          <w:right w:w="0" w:type="dxa"/>
        </w:tblCellMar>
      </w:tblPr>
      <w:tr>
        <w:trPr>
          <w:trHeight w:val="205"/>
        </w:trPr>
        <w:tc>
          <w:tcPr>
            <w:tcW w:w="5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8,389</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Balance at September 30, 2018</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1,763</w:t>
            </w:r>
          </w:p>
        </w:tc>
      </w:tr>
      <w:tr>
        <w:trPr>
          <w:trHeight w:val="27"/>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the outstanding restructuring accruals primarily relate to future severance payments.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2018.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September 30, 2018, we had licensed our software applications to over 27,000 registered customers.</w:t>
      </w:r>
    </w:p>
    <w:p>
      <w:pPr>
        <w:spacing w:after="0" w:line="17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Historically, our software licenses typically provided for a perpetual right to use our software and are sold on a per terabyte capacity basis, per-copy, as site licenses or as a solution set. Prior to fiscal 2018, an insignificant amount of our revenue has been sold under subscription, or term-based, license arrangements. In these arrangements, the customer has the right to use the software over a designated period of time. Revenue from subscription arrangements has continued to become a more significant portion of our total revenue compared to historical periods. We expect that this trend will continue.</w:t>
      </w:r>
    </w:p>
    <w:p>
      <w:pPr>
        <w:spacing w:after="0" w:line="10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42% and 44% of our total revenues for the six months ended September 30, 2018 and 2017,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62% and 61% of our total software and products revenue in the six months ended September 30, 2018 and 2017,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87% of total software and products revenue in the six months ended September 30, 2018 and was 86% of total software revenue in the six months ended September 30, 2017. Software and products revenue generated through direct distribution channels was 13% of total software and products revenue in the six months ended September 30, 2018 and was 14% of total software revenue in the six months ended September 30, 2017. The dollar value of software and products revenue generated through indirect distribution channels decreased $0.2 million, or less than 1%, in the six months ended September 30, 2018 compared to the six months ended September 30, 2017. The dollar value of software and products revenue generated through direct distribution channels decreased $2.0 million, or 10%, in the six months ended September 30, 2018 compared to the six months ended September 30, 2017.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primary original equipment manufacturer agreement is with Hitachi Vantara (formerly Hitachi Data Systems) ("Hitachi") and allows them to market, sell and support our software applications and services on a stand-alone basis and/or incorporate our software applications into their own hardware products. Our original equipment manufacturer partners, including Hitachi, have no obligation to recommend or offer our software applications exclusively or at all, and they have no minimum sales requirements and can terminate our relationship at any time. Sales through our original equipment manufacturer agreements, accounted for 11% of our total revenues for both the six months ended September 30, 2018 and the six months ended September 30, 2017.</w:t>
      </w:r>
    </w:p>
    <w:p>
      <w:pPr>
        <w:spacing w:after="0" w:line="10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and Tech Data Corporation ("Tech Data"). Pursuant to these distribution agreements, these distributors’ primary role is to enable a more efficient and effective distribution channel for our products and services by managing our reseller partners and leveraging their own industry experience. We generated 36% of our total revenues through Arrow in both the six months ended September 30, 2018 and 2017, respectively. If Arrow were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services revenue was 58% of our total revenues for the six months ended September 30, 2018 and 56% of our total revenues for the six months ended September 30, 2017.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Sales outside the United States were 46% of our total revenue for the six months ended September 30, 2018 and 45% of our total revenue for the six months ended September 30, 2017.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September 30, 2017 our software and products revenue would have been higher by $1.3 million, our services revenue would have been higher by $1.3 million, our cost of sales would have been higher by $0.4 million and our operating expenses would have been higher by $1.5 million from non-U.S. operations for the three months ended September 30, 2018. Using the average foreign currency exchange rates from the six months ended September 30, 2017 our software revenue would have been higher by less than $0.1 million, our services revenue would have been lower by $0.5 million, our cost of sales would have been lower by $0.5 million and our operating expenses would have been lower by $0.3 million from non-U.S. operations for the six months ended September 30, 2018.</w:t>
      </w:r>
    </w:p>
    <w:p>
      <w:pPr>
        <w:spacing w:after="0" w:line="124"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gains of $0.2 million and $0.7 million in the three and six months ended September 30, 2018, respectively. We recognized a net foreign currency transaction gains of less than $0.1 million and $0.2 million in the three and six months ended September 30,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18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during the six months ended September 30, 2018 as compared to the critical accounting policies and estimates disclosed in “Management’s Discussion and Analysis of Financial Condition and Results of Operations - Critical Accounting Policies” included in our Annual Report on Form 10-K for the year ended March 31, 2018. In addition, please see Note 2 of Notes to the Condensed Consolidated Financial Statements included in this Quarterly Report on Form 10-Q and Note 2 of the Notes to Consolidated Financial Statements included in our fiscal 2018 Annual Report on Form 10-K filed for a description of our accounting policies.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revenues increased $0.9 million, or 1%, from $168.1 million in the three months ended September 30, 2017 to $169.1 million in the three months ended September 30, 2018.</w:t>
      </w:r>
    </w:p>
    <w:p>
      <w:pPr>
        <w:spacing w:after="0" w:line="1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i w:val="1"/>
          <w:iCs w:val="1"/>
          <w:color w:val="auto"/>
        </w:rPr>
        <w:t xml:space="preserve">Software and Products Revenue. </w:t>
      </w:r>
      <w:r>
        <w:rPr>
          <w:rFonts w:ascii="Arial" w:cs="Arial" w:eastAsia="Arial" w:hAnsi="Arial"/>
          <w:sz w:val="17"/>
          <w:szCs w:val="17"/>
          <w:color w:val="auto"/>
        </w:rPr>
        <w:t>Software and products revenue decreased $2.5 million, or 3%, from $72.0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$69.5 million in the three months ended September 30, 2018. Software and products revenue represented 41% of our total revenues in the three months ended September 30, 2018 compared to 43% of total revenues in the three months ended September 30, 2017.</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60%, 25% and 15% of total software and products revenue, respectively, for the three months ended September 30, 2018. The year over year decline of software and products revenue in EMEA was 17%, which was partially offset by 2% growth in Americas and 3% growth in APAC.</w:t>
      </w:r>
    </w:p>
    <w:p>
      <w:pPr>
        <w:spacing w:after="0" w:line="117" w:lineRule="exact"/>
        <w:rPr>
          <w:sz w:val="20"/>
          <w:szCs w:val="20"/>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enterprise transaction revenue increased by 13% as a result of an increase in the number of transactions which was offset by a decrease in non-enterprise transaction revenue.</w:t>
      </w:r>
    </w:p>
    <w:p>
      <w:pPr>
        <w:spacing w:after="0" w:line="116"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EMEA software and products revenue decreased primarily due to a 12% decrease in enterprise transaction revenue. The decrease in enterprise transaction revenue was primarily the result of a decrease in the average dollar value of enterprise revenue transactions.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primarily the result of an increase in enterprise revenue.</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Software and products revenue derived from enterprise transactions (transactions greater than $0.1 million) represented 66% of our software and products revenue in the three months ended September 30, 2018 and 59% of our software and products revenue in the three months ended September 30, 2017. Enterprise transactions increased by $3.5 million, or 8%, in the three months ended September 30, 2018 compared to the three months ended September 30, 2017. This increase was driven by a 10% increase in the number of enterprise transactions. The average dollar amount of such transactions was approximately $284,000 in the three months ended September 30, 2018 and approximately $287,000 in the three months ended September 30, 2017.</w:t>
      </w:r>
    </w:p>
    <w:p>
      <w:pPr>
        <w:spacing w:after="0" w:line="10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increased $3.5 million, or 4%, from $96.1 million in the three months ended September 30, 2017 to $99.6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2018. Services revenue represented 59% of our total revenues in the three months ended September 30, 2018 and 57% in the three months ended September 30, 2017. The increase in services revenue is due to a $3.8 million increase in revenue from customer support agreements as a result of software sales to new customers and renewal agreements with our installed software base.</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$4.0 million, from $1.1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to $5.0 million in the three months ended September 30, 2018. Cost of software and product revenue represented 7% of software and product revenue in the three months ended September 30, 2018 compared to 2% in the three months ended September 30, 2017.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Services Revenues. </w:t>
      </w:r>
      <w:r>
        <w:rPr>
          <w:rFonts w:ascii="Arial" w:cs="Arial" w:eastAsia="Arial" w:hAnsi="Arial"/>
          <w:sz w:val="16"/>
          <w:szCs w:val="16"/>
          <w:color w:val="auto"/>
        </w:rPr>
        <w:t>Total cost of services revenues decreased $0.4 million, or 2%, from $22.2 million in the three months ended September 30,</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2017 to $21.8 million in the three months ended September 30, 2018. The gross margin of our services revenue was 78% and 77% for the three months ended September 30, 2018 and 2017, respectively.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$11.1 million, or 11%, from $100.6 million in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$89.5 million in the three months ended September 30, 2018. The decrease is due to a $7.0 million decrease in employee compensation and related expenses mainly attributable to our restructuring initiatives, a $2.3 million decrease in travel expenses and a $1.3 million decrease in marketing expenses. Sales and marketing expenses as a percentage of total revenues was 53% and 60% the three months ended September 30, 2018 and 2017, respectively.</w:t>
      </w:r>
    </w:p>
    <w:p>
      <w:pPr>
        <w:spacing w:after="0" w:line="10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$1.6 million, or 7%, from $22.9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$24.5 million in the three months ended September 30, 2018. The increase is primarily due to an increase in salary and related expenses resulting from the expansion of our engineering group. Research and development expenses as a percentage of total revenues was 14% in both the three months ended September 30, 2018 and 2017.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$0.4 million, or 2%, from $23.6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$24.0 million in the three months ended September 30, 2018. The increase is the result of $4.2 million in costs related to a non-routine shareholder matters and $1.4 million related to the non-routine settlement of an intellectual property matter. These increases were partially offset by a $3.8 million reduction in employee-related expenses, including $2.7 million in stock-based compensation. General and administrative expenses in the three months ended September 30, 2018 includes $0.2 million of net foreign currency transaction gains. General and administrative expenses as a percentage of total revenues was 14% in both the three months ended September 30, 2018 and 2017.</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 In fiscal 2019 we initiated a restructuring plan to increase efficiency in our sales, marketing and distribution functions as well as reduce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across all functional areas. During the quarter we incurred total restructuring charges of $0.5 million. These restructuring charges relate primarily to severance and related costs associated with headcount reductions. These charges include $0.3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3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$0.3 million from $2.4 million in the three months ended September 30,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$2.7 million in the three months ended September 30,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Income tax expense was $1.3 million in the three months ended September 30, 2018 compared to a benefit of $3.5 million in the three months ended September 30, 2017. In the third quarter of fiscal 2018 we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income tax expense for the three months ended September 30, 2018 relates primarily to current foreign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2018 compared to six months ended September 30, 2017</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Total revenues increased $11.1 million, or 3%, from $334.1 million in the six months ended September 30, 2017 to $345.3 million in the six months ended September 30, 2018.</w:t>
      </w:r>
    </w:p>
    <w:p>
      <w:pPr>
        <w:spacing w:after="0" w:line="11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i w:val="1"/>
          <w:iCs w:val="1"/>
          <w:color w:val="auto"/>
        </w:rPr>
        <w:t xml:space="preserve">Software and Products Revenue. </w:t>
      </w:r>
      <w:r>
        <w:rPr>
          <w:rFonts w:ascii="Arial" w:cs="Arial" w:eastAsia="Arial" w:hAnsi="Arial"/>
          <w:sz w:val="17"/>
          <w:szCs w:val="17"/>
          <w:color w:val="auto"/>
        </w:rPr>
        <w:t>Software and products revenue decreased $2.2 million, or 2%, from $146.8 million in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$144.6 million in the six months ended September 30, 2018. Software and products revenue represented 42% of our total revenues in the six months ended September 30, 2018 as compared to 44% of total revenues in the six months ended September 30, 2017.</w:t>
      </w:r>
    </w:p>
    <w:p>
      <w:pPr>
        <w:spacing w:after="0" w:line="11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Americas, EMEA and APAC represented 58%, 27% and 15% of total software and products revenue, respectively, for the six months ended September 30, 2018. Year-over-year growth in software and products revenue in the Americas was 3% and APAC was 1%, while EMEA decreased 12%.</w:t>
      </w:r>
    </w:p>
    <w:p>
      <w:pPr>
        <w:spacing w:after="0" w:line="70" w:lineRule="exact"/>
        <w:rPr>
          <w:sz w:val="20"/>
          <w:szCs w:val="20"/>
          <w:color w:val="auto"/>
        </w:rPr>
      </w:pPr>
    </w:p>
    <w:p>
      <w:pPr>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in increase in the number of enterprise revenue transactions. This increases were partially offset by a decline in the average size of enterprise revenue transactions and a decrease in revenue from non-enterprise revenue transactions.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 decline in enterprise transaction revenue driven by a decrease in the average size of these transactions as well as a decrease in total revenue from non-enterprise revenue transactions. This decrease was partially offset by an increase in the number of enterprise revenue transactions.</w:t>
      </w:r>
    </w:p>
    <w:p>
      <w:pPr>
        <w:spacing w:after="0" w:line="127"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increase in APAC was the result of an increase in the average size of enterprise revenue transactions that was partially offset by an decrease in revenue from non-enterprise revenue transactions and a decrease in the number of enterprise revenue transactions.</w:t>
      </w:r>
    </w:p>
    <w:p>
      <w:pPr>
        <w:spacing w:after="0" w:line="92" w:lineRule="exact"/>
        <w:rPr>
          <w:rFonts w:ascii="Arial" w:cs="Arial" w:eastAsia="Arial" w:hAnsi="Arial"/>
          <w:sz w:val="17"/>
          <w:szCs w:val="17"/>
          <w:color w:val="auto"/>
        </w:rPr>
      </w:pPr>
    </w:p>
    <w:p>
      <w:pPr>
        <w:ind w:left="660" w:right="6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software and products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Software and products revenue derived from enterprise transactions (transactions greater than $0.1 million) represented 62% of our software and products revenue in the six months ended September 30, 2018 and 61% of our software and products revenue in the six months ended September 30, 2017. Enterprise transaction revenue increased by $0.8 million, or 1%, in the six months ended September 30, 2018 compared to the six months ended September 30, 2017. This increase was driven by a 26% increase in the number of transactions partially offset by a 20% decrease in the average dollar amount of such transactions. The average sales price was approximately $262,000 in the six months ended September 30, 2018 and approximately $328,000 in the six months ended September 30, 2017. Software and products revenue derived from transactions less than $0.1 million decreased $3.0 million, or 5%, in the six months ended September 30, 2018 compared to the six months ended September 30, 2017.</w:t>
      </w:r>
    </w:p>
    <w:p>
      <w:pPr>
        <w:spacing w:after="0" w:line="12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increased $13.4 million, or 7%, from $187.3 million in the six months ended September 30, 2017 to $200.7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six months ended September 30, 2018. Services revenue represented 58% of our total revenues in the six months ended September 30, 2018 and 56% in the six months ended September 30, 2017. The increase in services revenue is due to a $12.3 million increase in revenue from customer support agreements as a result of software sales to new customers and renewal agreements with our installed software base.</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Cost of Software and Products Revenues</w:t>
      </w:r>
      <w:r>
        <w:rPr>
          <w:rFonts w:ascii="Arial" w:cs="Arial" w:eastAsia="Arial" w:hAnsi="Arial"/>
          <w:sz w:val="18"/>
          <w:szCs w:val="18"/>
          <w:color w:val="auto"/>
        </w:rPr>
        <w:t>. Total cost of software and products revenues increased $7.3 million, from $1.9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to $9.2 million in the six months ended September 30, 2018. Cost of software and product revenue represented 6% of software and product revenue in the six months ended September 30, 2018 compared to 1% in the six months ended September 30, 2017.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Services Revenues</w:t>
      </w:r>
      <w:r>
        <w:rPr>
          <w:rFonts w:ascii="Arial" w:cs="Arial" w:eastAsia="Arial" w:hAnsi="Arial"/>
          <w:sz w:val="16"/>
          <w:szCs w:val="16"/>
          <w:color w:val="auto"/>
        </w:rPr>
        <w:t>. Total cost of services revenues increased $2.3 million, or 5%, from $43.0 million in the six months ended September 30,</w:t>
      </w:r>
    </w:p>
    <w:p>
      <w:pPr>
        <w:spacing w:after="0" w:line="4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2017 to $45.3 million in the six months ended September 30, 2018. The gross margin of our services revenue was 77% for both the six months ended September 30,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$13.4 million, or 7%, from $200.5 million in the six months ended September 30, 2017 to</w:t>
      </w:r>
      <w:r>
        <w:rPr>
          <w:rFonts w:ascii="Arial" w:cs="Arial" w:eastAsia="Arial" w:hAnsi="Arial"/>
          <w:sz w:val="16"/>
          <w:szCs w:val="16"/>
          <w:i w:val="1"/>
          <w:iCs w:val="1"/>
          <w:color w:val="auto"/>
        </w:rPr>
        <w:t xml:space="preserve"> </w:t>
      </w:r>
      <w:r>
        <w:rPr>
          <w:rFonts w:ascii="Arial" w:cs="Arial" w:eastAsia="Arial" w:hAnsi="Arial"/>
          <w:sz w:val="16"/>
          <w:szCs w:val="16"/>
          <w:color w:val="auto"/>
        </w:rPr>
        <w:t>$187.1 million in the six months ended September 30, 2018. The decrease is primarily the result of a $3.8 million decrease in employee compensation and related expenses, a $3.4 million decrease in travel expenses, and a $1.9 million decrease in marketing expenses. Sales and marketing expenses as a percentage of total revenues was 54% in the six months ended September 30, 2018 and 60% in the six months ended September 30, 2017.</w:t>
      </w:r>
    </w:p>
    <w:p>
      <w:pPr>
        <w:spacing w:after="0" w:line="10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$3.8 million, or 8%, from $45.5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to $49.3 million in the six months ended September 30, 2018. The increase is due to salary and related expenses resulting from the expansion of our engineering group. Research and development expenses as a percentage of total revenues was 14% in both the six months ended September 30, 2018 and 2017. Investing in research and development has been a priority for Commvault, and we anticipate continued spending related to the development of our data and information management software applications.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decreased $0.9 million, or 2%, from $47.5 million in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$46.5 million in the six months ended September 30, 2018. The decrease is primarily the result of a $5.4 million decrease in stock-based compensation as well as a $2.3 million reduction in other employee-related expenses. This decrease was partially offset by $7.8 million of costs related to a non-routine shareholder matter. The costs are for professional fees related to our settlement agreement with the shareholder and consulting fees incurred with the operational review which was agreed to as part of the settlement. Fiscal 2019 also includes $1.4 million related to the non-routine settlement of an intellectual property matter. Expenses in the six months ended September 30, 2018 also includes $0.7 million of net foreign currency transaction gains compared to $0.2 million of net foreign currency transaction gains in the six months ended September 30, 2017. General and administrative expenses as a percentage of total revenues was 13% and 14% in the six months ended September 30, 2018 and 2017.</w:t>
      </w:r>
    </w:p>
    <w:p>
      <w:pPr>
        <w:spacing w:after="0" w:line="1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In fiscal 2019 we initiated a restructuring plan to increase efficiency in our sales, marketing and distribution functions as well as reduce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across all functional areas. During the first six months of fiscal 2019, we have incurred total restructuring charges of $8.4 million. These restructuring charges relate primarily to severance and related costs associated with headcount reductions. These charges include $1.2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$0.5 million from $4.8 million in the six months ended September 30, 2017 to $5.2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September 30,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Income tax expense was $3.9 million in the six months ended September 30, 2018 compared to a benefit of $7.3 million in the six months ended September 30, 2017. In the third quarter of fiscal 2018 we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income tax expense for the six months ended September 30, 2018 relates primarily to current foreign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September 30, 2018, our cash and cash equivalents balance of $353.2 million primarily consisted of cash and money market funds. In addition, as of September 30, 2018 we have short-term investments invested in U.S. Treasury Bills totaling $130.9 million. In recent fiscal years, our principal source of liquidity has been cash provided by operations.</w:t>
      </w:r>
    </w:p>
    <w:p>
      <w:pPr>
        <w:spacing w:after="0" w:line="12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As of September 30, 2018, the amount of cash and cash equivalents held outside of the United States by our foreign legal entities was approximately $130 million. During the three months ended September 30, 2018 we reduced this balance approximately $67 million by returning cash to the U.S. The remaining balances are dispersed across many international locations around the world. We believe that as a result of recent tax reform, we will likely be able to repatriate foreign earnings without paying U.S. income tax. However, we will remain subject to restrictions by local laws and/or tax consequences including foreign withholding taxes. As a result, it may not be economically efficient, or possible, to make this cash available to the U.S. in the near term. As a result of the enactment of the U.S. Tax Reform, among other things, we have changed our assertion regarding the indefinite reinvestment of foreign earnings outside the U.S. for certain of our foreign affiliates. As of September 30. 2018, we no longer consider undistributed earnings held outside of the U.S. by most of our foreign subsidiaries to be indefinitely reinvested. We do still consider undistributed earnings held in China and India to be permanently reinvested. The cash balances in China and India as of September 30, 2018 were approximately $20 million.</w:t>
      </w:r>
    </w:p>
    <w:p>
      <w:pPr>
        <w:spacing w:after="0" w:line="11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six months ended September 30, 2018, we repurchased $38.3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On October 18, 2018, the Board of Directors extended the expiration date of the share repurchase program to March 31, 2020 and authorized an increase to the existing share repurchase program so that $200.0 million was available.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42,530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29,618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(13,199)</w:t>
            </w:r>
          </w:p>
        </w:tc>
      </w:tr>
      <w:tr>
        <w:trPr>
          <w:trHeight w:val="27"/>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(8,176)</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11,945</w:t>
            </w:r>
          </w:p>
        </w:tc>
      </w:tr>
      <w:tr>
        <w:trPr>
          <w:trHeight w:val="27"/>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22,397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33,840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Net cash provided by operating activities was $42.5 million in the six months ended September 30, 2018 and $29.6 million in the six months ended September 30, 2017. In the six months ended September 30, 2018, cash provided by operating activities was primarily due to net loss adjusted for the impact of non-cash charges, collection of accounts receivable. These amounts were partially offset by a decrease in deferred revenue and accrued liabilities. In</w:t>
      </w:r>
    </w:p>
    <w:p>
      <w:pPr>
        <w:jc w:val="both"/>
        <w:ind w:right="100"/>
        <w:spacing w:after="0" w:line="255" w:lineRule="auto"/>
        <w:rPr>
          <w:sz w:val="20"/>
          <w:szCs w:val="20"/>
          <w:color w:val="auto"/>
        </w:rPr>
      </w:pPr>
      <w:r>
        <w:rPr>
          <w:rFonts w:ascii="Arial" w:cs="Arial" w:eastAsia="Arial" w:hAnsi="Arial"/>
          <w:sz w:val="18"/>
          <w:szCs w:val="18"/>
          <w:color w:val="auto"/>
        </w:rPr>
        <w:t>the six months ended September 30, 2017, cash provided by operating activities was primarily due to net loss adjusted for the impact of non-cash charges, an increase in deferred revenue and collection of accounts receivable. These amounts were partially offset by a decrease in accrued liabilities and an increase in other current assets.</w:t>
      </w:r>
    </w:p>
    <w:p>
      <w:pPr>
        <w:spacing w:after="0" w:line="13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Net cash used in investing activities was $3.3 million for the six months ended September 30, 2018 and $13.2 million in the six months ended September 30, 2017. In the six months ended September 30, 2018, cash used in investing activities was related to $4.0 million of capital expenditures, which was partially offset by $0.7 million in net proceeds from the maturity of U.S. Treasury Bills. In the six months ended September 30, 2017, cash used in investing activities was related to $10.6 million in net purchases of U.S. Treasury Bills and $2.6 million of capital expenditures.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Net cash provided by (used in) financing activities was ($8.7 million) in the six months ended September 30, 2018 and $5.5 million in the six months ended September 30, 2017. The cash used in financing activities in the six months ended September 30, 2018 was the result of $38.3 million of repurchases of common shares partially offset by $29.6 million of proceeds from the exercise of stock options and purchases related to our employee stock purchase program. The cash provided by financing activities in the six months ended September 30, 2017 was due to $16.7 million of proceeds from the exercise of stock options and our employee stock purchase program, partially offset by $11.3 million of repurchases of common shares.</w:t>
      </w:r>
    </w:p>
    <w:p>
      <w:pPr>
        <w:spacing w:after="0" w:line="11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Working capital increased $24.9 million from $322.6 million as of March 31, 2018 to $347.5 million as of September 30, 2018. The net increase in working capital is primarily the result of cash flow from operations.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September 30, 2018,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As of September 30, 2018,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46% of our sales were outside the United States for the six months ended September 30, 2018.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a net foreign currency transaction gains of $0.2 million and $0.7 million in the three and six months ended September 30, 2018. We recognized net foreign currency transaction gains of less than of $0.1 million and $0.2 million in the three and six months ended September 30, 2017. The net foreign currency transaction gains and losses recorded in “General and administrative” expenses include settlement gains and losses on forward contracts disclosed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September 30, 2018. Based on that evaluation, the Chief Executive Officer and Chief Financial Officer concluded that our disclosure controls and procedures were effective as of September 30, 2018.</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18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On February 27, 2017, Realtime Data LLC d/b/a/ IXO (“Realtime”), a non-practicing entity, sued Commvault and Spectra Logic Corporation in the Eastern District of Texas for alleged infringement of four patents. Realtime has sued numerous other companies for infringement of these and other patents. Realtime seeks monetary damages and an injunction. On October 5, 2018, we reached an agreement which resulted in the dismissal with prejudice of Realtime’s claims, as well as Realtime’s claims against our customers, to the extent those claims are based on Commvault’s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2018,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recently implemented a restructuring program, which we cannot guarantee will achieve its intended result.</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In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During the second fiscal quarter of the fiscal 2019, we repurchased $13.3 million of common stock, or 201,397 shares, under our share repurchase program. A summary of our repurchases of common stock during the three months ended September 30, 2018 is as follows:</w:t>
      </w:r>
    </w:p>
    <w:p>
      <w:pPr>
        <w:spacing w:after="0" w:line="170"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6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00" w:type="dxa"/>
            <w:vAlign w:val="bottom"/>
          </w:tcPr>
          <w:p>
            <w:pPr>
              <w:spacing w:after="0"/>
              <w:rPr>
                <w:sz w:val="18"/>
                <w:szCs w:val="18"/>
                <w:color w:val="auto"/>
              </w:rPr>
            </w:pPr>
          </w:p>
        </w:tc>
        <w:tc>
          <w:tcPr>
            <w:tcW w:w="16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1840" w:type="dxa"/>
            <w:vAlign w:val="bottom"/>
            <w:gridSpan w:val="2"/>
          </w:tcPr>
          <w:p>
            <w:pPr>
              <w:ind w:left="600"/>
              <w:spacing w:after="0"/>
              <w:rPr>
                <w:sz w:val="20"/>
                <w:szCs w:val="20"/>
                <w:color w:val="auto"/>
              </w:rPr>
            </w:pPr>
            <w:r>
              <w:rPr>
                <w:rFonts w:ascii="Arial" w:cs="Arial" w:eastAsia="Arial" w:hAnsi="Arial"/>
                <w:sz w:val="18"/>
                <w:szCs w:val="18"/>
                <w:b w:val="1"/>
                <w:bCs w:val="1"/>
                <w:color w:val="auto"/>
              </w:rPr>
              <w:t>Period</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purchased</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paid per share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86,169,118</w:t>
            </w:r>
          </w:p>
        </w:tc>
      </w:tr>
      <w:tr>
        <w:trPr>
          <w:trHeight w:val="243"/>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1280" w:type="dxa"/>
            <w:vAlign w:val="bottom"/>
          </w:tcPr>
          <w:p>
            <w:pPr>
              <w:jc w:val="right"/>
              <w:spacing w:after="0"/>
              <w:rPr>
                <w:sz w:val="20"/>
                <w:szCs w:val="20"/>
                <w:color w:val="auto"/>
              </w:rPr>
            </w:pPr>
            <w:r>
              <w:rPr>
                <w:rFonts w:ascii="Arial" w:cs="Arial" w:eastAsia="Arial" w:hAnsi="Arial"/>
                <w:sz w:val="18"/>
                <w:szCs w:val="18"/>
                <w:color w:val="auto"/>
              </w:rPr>
              <w:t>144,100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20"/>
              <w:spacing w:after="0"/>
              <w:rPr>
                <w:sz w:val="20"/>
                <w:szCs w:val="20"/>
                <w:color w:val="auto"/>
              </w:rPr>
            </w:pPr>
            <w:r>
              <w:rPr>
                <w:rFonts w:ascii="Arial" w:cs="Arial" w:eastAsia="Arial" w:hAnsi="Arial"/>
                <w:sz w:val="18"/>
                <w:szCs w:val="18"/>
                <w:color w:val="auto"/>
              </w:rPr>
              <w:t>76,660,937</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74,538,094 *</w:t>
            </w:r>
          </w:p>
        </w:tc>
      </w:tr>
      <w:tr>
        <w:trPr>
          <w:trHeight w:val="209"/>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Three months ended</w:t>
            </w: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1280" w:type="dxa"/>
            <w:vAlign w:val="bottom"/>
          </w:tcPr>
          <w:p>
            <w:pPr>
              <w:jc w:val="right"/>
              <w:spacing w:after="0"/>
              <w:rPr>
                <w:sz w:val="20"/>
                <w:szCs w:val="20"/>
                <w:color w:val="auto"/>
              </w:rPr>
            </w:pPr>
            <w:r>
              <w:rPr>
                <w:rFonts w:ascii="Arial" w:cs="Arial" w:eastAsia="Arial" w:hAnsi="Arial"/>
                <w:sz w:val="18"/>
                <w:szCs w:val="18"/>
                <w:color w:val="auto"/>
              </w:rPr>
              <w:t>201,397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bl>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*On October 18, 2018, the Board of Directors extended the expiration date of the share repurchase program to March 31, 2020 and authorized an increase to the existing share repurchase program so that $200.0 million was available.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3"/>
                <w:szCs w:val="13"/>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480" w:type="dxa"/>
            <w:vAlign w:val="bottom"/>
            <w:gridSpan w:val="2"/>
          </w:tcPr>
          <w:p>
            <w:pPr>
              <w:ind w:left="180"/>
              <w:spacing w:after="0" w:line="196"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00" w:type="dxa"/>
            <w:vAlign w:val="bottom"/>
          </w:tcPr>
          <w:p>
            <w:pPr>
              <w:spacing w:after="0"/>
              <w:rPr>
                <w:sz w:val="17"/>
                <w:szCs w:val="17"/>
                <w:color w:val="auto"/>
              </w:rPr>
            </w:pPr>
          </w:p>
        </w:tc>
        <w:tc>
          <w:tcPr>
            <w:tcW w:w="7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26</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31, 2018</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31, 2018</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0" w:type="dxa"/>
            <w:vAlign w:val="bottom"/>
          </w:tcPr>
          <w:p>
            <w:pPr>
              <w:ind w:left="286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0" w:type="dxa"/>
            <w:vAlign w:val="bottom"/>
          </w:tcPr>
          <w:p>
            <w:pPr>
              <w:ind w:left="170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2018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2018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2019-12-28T19:01:56Z</dcterms:created>
  <dcterms:modified xsi:type="dcterms:W3CDTF">2019-12-28T19:01:56Z</dcterms:modified>
</cp:coreProperties>
</file>