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262255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 xml:space="preserve">x </w:t>
      </w: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243205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466090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2"/>
          <w:szCs w:val="42"/>
          <w:b w:val="1"/>
          <w:bCs w:val="1"/>
          <w:color w:val="auto"/>
        </w:rPr>
        <w:t>Commvault Systems, Inc.</w:t>
      </w:r>
    </w:p>
    <w:p>
      <w:pPr>
        <w:spacing w:after="0" w:line="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22-3447504</w:t>
            </w:r>
          </w:p>
        </w:tc>
      </w:tr>
      <w:tr>
        <w:trPr>
          <w:trHeight w:val="188"/>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51"/>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Tinton Falls, New Jersey</w:t>
            </w:r>
          </w:p>
        </w:tc>
        <w:tc>
          <w:tcPr>
            <w:tcW w:w="5020" w:type="dxa"/>
            <w:vAlign w:val="bottom"/>
            <w:gridSpan w:val="2"/>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25"/>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Times New Roman" w:cs="Times New Roman" w:eastAsia="Times New Roman" w:hAnsi="Times New Roman"/>
                <w:sz w:val="16"/>
                <w:szCs w:val="16"/>
                <w:b w:val="1"/>
                <w:bCs w:val="1"/>
                <w:color w:val="auto"/>
              </w:rPr>
              <w:t>(732) 870-4000</w:t>
            </w:r>
          </w:p>
        </w:tc>
        <w:tc>
          <w:tcPr>
            <w:tcW w:w="1900" w:type="dxa"/>
            <w:vAlign w:val="bottom"/>
          </w:tcPr>
          <w:p>
            <w:pPr>
              <w:spacing w:after="0"/>
              <w:rPr>
                <w:sz w:val="19"/>
                <w:szCs w:val="19"/>
                <w:color w:val="auto"/>
              </w:rPr>
            </w:pPr>
          </w:p>
        </w:tc>
      </w:tr>
      <w:tr>
        <w:trPr>
          <w:trHeight w:val="166"/>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77"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4"/>
          <w:szCs w:val="14"/>
          <w:color w:val="auto"/>
        </w:rPr>
        <w:t>☐</w:t>
      </w:r>
    </w:p>
    <w:p>
      <w:pPr>
        <w:spacing w:after="0" w:line="177"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ectPr>
          <w:pgSz w:w="11900" w:h="16838" w:orient="portrait"/>
          <w:cols w:equalWidth="0" w:num="1">
            <w:col w:w="11240"/>
          </w:cols>
          <w:pgMar w:left="240" w:top="229" w:right="419" w:bottom="1440" w:gutter="0" w:footer="0" w:header="0"/>
        </w:sectPr>
      </w:pPr>
    </w:p>
    <w:p>
      <w:pPr>
        <w:spacing w:after="0" w:line="1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720" w:space="720"/>
            <w:col w:w="5320" w:space="720"/>
            <w:col w:w="1900" w:space="720"/>
            <w:col w:w="140"/>
          </w:cols>
          <w:pgMar w:left="240" w:top="229" w:right="419" w:bottom="144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 (Do not check if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0" w:lineRule="exact"/>
        <w:rPr>
          <w:sz w:val="24"/>
          <w:szCs w:val="24"/>
          <w:color w:val="auto"/>
        </w:rPr>
      </w:pPr>
    </w:p>
    <w:p>
      <w:pPr>
        <w:sectPr>
          <w:pgSz w:w="11900" w:h="16838" w:orient="portrait"/>
          <w:cols w:equalWidth="0" w:num="4">
            <w:col w:w="1720" w:space="720"/>
            <w:col w:w="5320" w:space="720"/>
            <w:col w:w="1900" w:space="720"/>
            <w:col w:w="140"/>
          </w:cols>
          <w:pgMar w:left="240" w:top="229" w:right="41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 x</w:t>
      </w:r>
    </w:p>
    <w:p>
      <w:pPr>
        <w:spacing w:after="0" w:line="200" w:lineRule="exact"/>
        <w:rPr>
          <w:sz w:val="24"/>
          <w:szCs w:val="24"/>
          <w:color w:val="auto"/>
        </w:rPr>
      </w:pPr>
    </w:p>
    <w:p>
      <w:pPr>
        <w:sectPr>
          <w:pgSz w:w="11900" w:h="16838" w:orient="portrait"/>
          <w:cols w:equalWidth="0" w:num="4">
            <w:col w:w="6540" w:space="140"/>
            <w:col w:w="220" w:space="60"/>
            <w:col w:w="140" w:space="140"/>
            <w:col w:w="4000"/>
          </w:cols>
          <w:pgMar w:left="240" w:top="229" w:right="41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25, 2016, there were 45,293,158 shares of the registrant’s common stock, $0.01 par value, outstanding.</w:t>
      </w:r>
    </w:p>
    <w:p>
      <w:pPr>
        <w:sectPr>
          <w:pgSz w:w="11900" w:h="16838" w:orient="portrait"/>
          <w:cols w:equalWidth="0" w:num="1">
            <w:col w:w="11240"/>
          </w:cols>
          <w:pgMar w:left="240" w:top="229" w:right="4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color w:val="auto"/>
              </w:rPr>
              <w:t>Page</w:t>
            </w:r>
          </w:p>
        </w:tc>
      </w:tr>
      <w:tr>
        <w:trPr>
          <w:trHeight w:val="230"/>
        </w:trPr>
        <w:tc>
          <w:tcPr>
            <w:tcW w:w="107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 and Notes</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Unaudited Consolidated Balance Sheets as of September 30, 2016 and March 31, 2016</w:t>
              </w:r>
            </w:hyperlink>
          </w:p>
        </w:tc>
        <w:tc>
          <w:tcPr>
            <w:tcW w:w="3400" w:type="dxa"/>
            <w:vAlign w:val="bottom"/>
            <w:gridSpan w:val="6"/>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Loss for the three and six months ended September 30, 2016 and 2015</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Comprehensive Loss for the three and six months ended September 30, 2016 and 2015</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 of Stockholders’ Equity for the six months ended September 30, 2016</w:t>
              </w:r>
            </w:hyperlink>
          </w:p>
        </w:tc>
        <w:tc>
          <w:tcPr>
            <w:tcW w:w="60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 for the six months ended September 30, 2016 and 2015</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Notes to Consolidated Financial Statements (unaudited)</w:t>
              </w:r>
            </w:hyperlink>
          </w:p>
        </w:tc>
        <w:tc>
          <w:tcPr>
            <w:tcW w:w="3660" w:type="dxa"/>
            <w:vAlign w:val="bottom"/>
            <w:tcBorders>
              <w:top w:val="single" w:sz="8" w:color="0000EE"/>
            </w:tcBorders>
            <w:gridSpan w:val="5"/>
          </w:tcPr>
          <w:p>
            <w:pPr>
              <w:spacing w:after="0"/>
              <w:rPr>
                <w:sz w:val="21"/>
                <w:szCs w:val="21"/>
                <w:color w:val="auto"/>
              </w:rPr>
            </w:pPr>
          </w:p>
        </w:tc>
        <w:tc>
          <w:tcPr>
            <w:tcW w:w="198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gridSpan w:val="10"/>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10"/>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20" w:type="dxa"/>
            <w:vAlign w:val="bottom"/>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700" w:type="dxa"/>
            <w:vAlign w:val="bottom"/>
            <w:gridSpan w:val="1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 – OTHER INFORMATION</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6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79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gridSpan w:val="2"/>
          </w:tcPr>
          <w:p>
            <w:pPr>
              <w:spacing w:after="0"/>
              <w:rPr>
                <w:rFonts w:ascii="Times New Roman" w:cs="Times New Roman" w:eastAsia="Times New Roman" w:hAnsi="Times New Roman"/>
                <w:sz w:val="18"/>
                <w:szCs w:val="18"/>
                <w:color w:val="0000EE"/>
                <w:w w:val="90"/>
              </w:rPr>
            </w:pPr>
            <w:hyperlink w:anchor="page28">
              <w:r>
                <w:rPr>
                  <w:rFonts w:ascii="Times New Roman" w:cs="Times New Roman" w:eastAsia="Times New Roman" w:hAnsi="Times New Roman"/>
                  <w:sz w:val="18"/>
                  <w:szCs w:val="18"/>
                  <w:color w:val="0000EE"/>
                  <w:w w:val="90"/>
                </w:rPr>
                <w:t>Risk Factors</w:t>
              </w:r>
            </w:hyperlink>
          </w:p>
        </w:tc>
        <w:tc>
          <w:tcPr>
            <w:tcW w:w="400" w:type="dxa"/>
            <w:vAlign w:val="bottom"/>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20" w:type="dxa"/>
            <w:vAlign w:val="bottom"/>
            <w:gridSpan w:val="8"/>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Unregistered Sale of Equity Securities and Use of Proceeds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260" w:type="dxa"/>
            <w:vAlign w:val="bottom"/>
            <w:gridSpan w:val="6"/>
          </w:tcPr>
          <w:p>
            <w:pPr>
              <w:spacing w:after="0"/>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Defaults Upon Senior Securities</w:t>
              </w:r>
            </w:hyperlink>
          </w:p>
        </w:tc>
        <w:tc>
          <w:tcPr>
            <w:tcW w:w="1960" w:type="dxa"/>
            <w:vAlign w:val="bottom"/>
            <w:gridSpan w:val="2"/>
          </w:tcPr>
          <w:p>
            <w:pPr>
              <w:spacing w:after="0"/>
              <w:rPr>
                <w:sz w:val="21"/>
                <w:szCs w:val="21"/>
                <w:color w:val="auto"/>
              </w:rPr>
            </w:pPr>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260" w:type="dxa"/>
            <w:vAlign w:val="bottom"/>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73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9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00" w:type="dxa"/>
            <w:vAlign w:val="bottom"/>
            <w:gridSpan w:val="5"/>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79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540" w:type="dxa"/>
            <w:vAlign w:val="bottom"/>
          </w:tcPr>
          <w:p>
            <w:pPr>
              <w:spacing w:after="0"/>
              <w:rPr>
                <w:rFonts w:ascii="Times New Roman" w:cs="Times New Roman" w:eastAsia="Times New Roman" w:hAnsi="Times New Roman"/>
                <w:sz w:val="18"/>
                <w:szCs w:val="18"/>
                <w:color w:val="0000EE"/>
                <w:w w:val="86"/>
              </w:rPr>
            </w:pPr>
            <w:hyperlink w:anchor="page28">
              <w:r>
                <w:rPr>
                  <w:rFonts w:ascii="Times New Roman" w:cs="Times New Roman" w:eastAsia="Times New Roman" w:hAnsi="Times New Roman"/>
                  <w:sz w:val="18"/>
                  <w:szCs w:val="18"/>
                  <w:color w:val="0000EE"/>
                  <w:w w:val="86"/>
                </w:rPr>
                <w:t>Exhibits</w:t>
              </w:r>
            </w:hyperlink>
          </w:p>
        </w:tc>
        <w:tc>
          <w:tcPr>
            <w:tcW w:w="700" w:type="dxa"/>
            <w:vAlign w:val="bottom"/>
            <w:gridSpan w:val="2"/>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gridSpan w:val="2"/>
          </w:tcPr>
          <w:p>
            <w:pPr>
              <w:spacing w:after="0"/>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SIGNATURES</w:t>
              </w:r>
            </w:hyperlink>
          </w:p>
        </w:tc>
        <w:tc>
          <w:tcPr>
            <w:tcW w:w="960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27</w:t>
              </w:r>
            </w:hyperlink>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80" w:type="dxa"/>
            <w:vAlign w:val="bottom"/>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Exhibit Index</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28</w:t>
              </w:r>
            </w:hyperlink>
          </w:p>
        </w:tc>
      </w:tr>
      <w:tr>
        <w:trPr>
          <w:trHeight w:val="20"/>
        </w:trPr>
        <w:tc>
          <w:tcPr>
            <w:tcW w:w="980" w:type="dxa"/>
            <w:vAlign w:val="bottom"/>
            <w:shd w:val="clear" w:color="auto" w:fill="0000EE"/>
          </w:tcPr>
          <w:p>
            <w:pPr>
              <w:spacing w:after="0" w:line="20" w:lineRule="exact"/>
              <w:rPr>
                <w:sz w:val="1"/>
                <w:szCs w:val="1"/>
                <w:color w:val="auto"/>
              </w:rPr>
            </w:pPr>
          </w:p>
        </w:tc>
        <w:tc>
          <w:tcPr>
            <w:tcW w:w="97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17"/>
          </w:tcPr>
          <w:p>
            <w:pPr>
              <w:ind w:left="340"/>
              <w:spacing w:after="0"/>
              <w:rPr>
                <w:sz w:val="20"/>
                <w:szCs w:val="20"/>
                <w:color w:val="auto"/>
              </w:rPr>
            </w:pPr>
            <w:r>
              <w:rPr>
                <w:rFonts w:ascii="Times New Roman" w:cs="Times New Roman" w:eastAsia="Times New Roman" w:hAnsi="Times New Roman"/>
                <w:sz w:val="18"/>
                <w:szCs w:val="18"/>
                <w:color w:val="auto"/>
              </w:rPr>
              <w:t>Exhibit 31.1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700" w:type="dxa"/>
            <w:vAlign w:val="bottom"/>
            <w:gridSpan w:val="17"/>
          </w:tcPr>
          <w:p>
            <w:pPr>
              <w:ind w:left="340"/>
              <w:spacing w:after="0"/>
              <w:rPr>
                <w:sz w:val="20"/>
                <w:szCs w:val="20"/>
                <w:color w:val="auto"/>
              </w:rPr>
            </w:pPr>
            <w:r>
              <w:rPr>
                <w:rFonts w:ascii="Times New Roman" w:cs="Times New Roman" w:eastAsia="Times New Roman" w:hAnsi="Times New Roman"/>
                <w:sz w:val="18"/>
                <w:szCs w:val="18"/>
                <w:color w:val="auto"/>
              </w:rPr>
              <w:t>Exhibit 31.2</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Exhibit 32.1</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Exhibit 32.2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288,107</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99,072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less allowance for doubtful accounts of $329 at September 30, 2016 and $315 at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31, 2016</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113,429</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16,769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517,377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49,976</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135,904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4,579</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6,737</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766,475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714,573</w:t>
            </w:r>
          </w:p>
        </w:tc>
      </w:tr>
      <w:tr>
        <w:trPr>
          <w:trHeight w:val="67"/>
        </w:trPr>
        <w:tc>
          <w:tcPr>
            <w:tcW w:w="8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69,678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194,977</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264,867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264,964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49,889</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$0.01 par value: 50,000 shares authorized, no shares issued and outstanding at September 30,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and March 31, 2016</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 250,000 shares authorized, 44,782 shares and 44,134 shares issued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2016 and March 31, 2016, respectively</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602,999</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438,540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396,268</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766,475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714,573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70,457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57,567</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114,060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88,876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83,175</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165,805</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159,333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140,742</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311,746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279,865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20,411</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40,421</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20,939</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42,652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41,486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119,803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238,379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85,842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171,624</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16,135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32,913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19,906</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39,715</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2,474</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124,357</w:t>
            </w: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249,188</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loss of affiliate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4,647</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45,437</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45,361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45,437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45,361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44,134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602,999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396,268</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benefits relating to stock-based payments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issuances related to stock-based compensation</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44,782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649,389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(200,568)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438,540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30,289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loss of affiliate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31,359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31,469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for corporate campus headquarters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stock options and the Employee Stock Purchase Plan</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Effects of exchange rate — changes in cash</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337,673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321,794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327,204</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common stock in accrued expenses</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7"/>
        </w:trPr>
        <w:tc>
          <w:tcPr>
            <w:tcW w:w="8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391" w:lineRule="exact"/>
        <w:rPr>
          <w:sz w:val="20"/>
          <w:szCs w:val="20"/>
          <w:color w:val="auto"/>
        </w:rPr>
      </w:pPr>
    </w:p>
    <w:p>
      <w:pPr>
        <w:ind w:firstLine="243"/>
        <w:spacing w:after="0" w:line="254" w:lineRule="auto"/>
        <w:rPr>
          <w:sz w:val="20"/>
          <w:szCs w:val="20"/>
          <w:color w:val="auto"/>
        </w:rPr>
      </w:pPr>
      <w:r>
        <w:rPr>
          <w:rFonts w:ascii="Times New Roman" w:cs="Times New Roman" w:eastAsia="Times New Roman" w:hAnsi="Times New Roman"/>
          <w:sz w:val="18"/>
          <w:szCs w:val="18"/>
          <w:color w:val="auto"/>
        </w:rPr>
        <w:t>Commvault Systems, Inc. and its subsidiaries (“Commvault” or the “Company”) is a leading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3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as of September 30, 2016 and for the three and six months ended September 30, 2016 and 2015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2016. The results reported in these financial statements should not necessarily be taken as indicative of results that may be expected for the entire fiscal year.</w:t>
      </w:r>
    </w:p>
    <w:p>
      <w:pPr>
        <w:spacing w:after="0" w:line="134"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and related reserves, stock-based compensation and accounting for research and development costs. Actual results could differ from those estimates.</w:t>
      </w:r>
    </w:p>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21"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policies during the six months ended September 30, 2016 as compared to the significant accounting policies described in its Annual Report on Form 10-K for the year ended March 31, 2016.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(Topic 606)" (ASU 2014-</w:t>
      </w:r>
    </w:p>
    <w:p>
      <w:pPr>
        <w:spacing w:after="0" w:line="27" w:lineRule="exact"/>
        <w:rPr>
          <w:sz w:val="20"/>
          <w:szCs w:val="20"/>
          <w:color w:val="auto"/>
        </w:rPr>
      </w:pPr>
    </w:p>
    <w:p>
      <w:pPr>
        <w:ind w:firstLine="8"/>
        <w:spacing w:after="0" w:line="253"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has since modified the standard with ASU 2015-14, "Deferral of the Effective Date." These standards replace existing revenue recognition rules with a comprehensive revenue measurement and recognition standard and expanded disclosure requirements. The new standard becomes effective for the Company's fiscal 2019 with early adoption permitted in fiscal 2018. The Company is in the process of determining the impact of the standard on the financial statements and the timing of adoption. The FASB allows two adoption methods under the new standard. Under one method, a company will apply the rules to contracts in all reporting periods presented. The Company currently believes it will apply this method of adoption.</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20" w:firstLine="18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is required to adopt the new guidance in fiscal 2018 with early adoption permitted. The Company is currently assessing the impact the adoption of ASU 2016-09 will have on the financial statements.</w:t>
      </w:r>
    </w:p>
    <w:p>
      <w:pPr>
        <w:spacing w:after="0" w:line="126"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the Company which are expected to have a material impact on the Company’s financial position, results of operations or cash flows.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 derives revenues from two primary sources: software licenses and services. Services include customer support, consulting, assessment and design services, installation services and training. A typical sales arrangement includes both licenses and services.</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For sales arrangements involving multiple elements, the Company recognizes revenue using the residual method. Under the residual method, the Company allocates and defers revenue for the undelivered elements based on fair value and recognizes the difference between the total arrangement fee and the amount deferred for the undelivered elements as revenue. The determination of fair value of the undelivered elements in multiple-element arrangements is based on the price charged when such elements are sold separately, which is commonly referred to as vendor-specific objective-evidence, or VSOE.</w:t>
      </w:r>
    </w:p>
    <w:p>
      <w:pPr>
        <w:spacing w:after="0" w:line="12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Company’s software licenses typically provide for a perpetual right to use the Company’s software and are sold on a per-terabyte basis, on a per-copy basis, as site licenses or as a solution set. Software licenses sold on a capacity basis provide the customer with unlimited licenses of specified software products based on a defined level of terabytes of data under management. Site licenses give the customer the additional right to deploy the software on a limited basis during a specified term. Solution sets are generally sold on a per unit basis such as per virtual machine for our virtual machine backup, recovery and cloud management solution set; per mailbox for our email archive solution set and per user for our endpoint data protection solution set.</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end-user. Revenue from software licenses sold through an original equipment manufacturer partner is recognized upon the receipt of a royalty report or purchase order from that original equipment manufacturer partner.</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established VSOE for the different classes of customer support when the support is sold as part of a multiple-element sales arrangement. The Company’s determination of fair value for customer support has not changed for the periods presented.</w:t>
      </w:r>
    </w:p>
    <w:p>
      <w:pPr>
        <w:spacing w:after="0" w:line="13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Company’s other professional services include consulting services, implementation and post-deployment services and education services. Other professional services provided by the Company are not mandatory and can also be performed by the customer or a third-party. In addition to a signed purchase order, the Company’s consulting services and implementation and post-deployment services are, in some cases, evidenced by a Statement of Work, which defines the specific scope of such services to be performed when sold and performed on a stand-alone basis or included in multiple-element sales arrangements. Revenues from consulting services and implementation and post-deployment services are based upon a daily or weekly rate and are recognized when the services are completed. Education services include courses taught by the Company’s instructors or third-party contractors either at one of the Company’s facilities or at the customer’s site. Education services fees are recognized as revenue after the course has been provided. Based on the Company’s analysis of such other professional services transactions sold on a stand-alone basis, the Company has concluded it has established VSOE for such other professional services when sold in connection with a multiple-element sales arrangement. The Company generally performs its other professional services within 90 days of entering into an agreement. The Company’s determination of fair value for other professional services has not changed for the periods presented.</w:t>
      </w:r>
    </w:p>
    <w:p>
      <w:pPr>
        <w:spacing w:after="0" w:line="13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has analyzed all of the undelivered elements included in its multiple-element sales arrangements and determined that VSOE of fair value exists to allocate revenues to services. Accordingly, assuming all basic revenue recognition criteria are met, software revenue is recognized upon delivery of the software license using the residual method.</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the four basic revenue recognition criteria for each of the elements as follows:</w:t>
      </w:r>
    </w:p>
    <w:p>
      <w:pPr>
        <w:spacing w:after="0" w:line="291" w:lineRule="exact"/>
        <w:rPr>
          <w:sz w:val="20"/>
          <w:szCs w:val="20"/>
          <w:color w:val="auto"/>
        </w:rPr>
      </w:pPr>
    </w:p>
    <w:p>
      <w:pPr>
        <w:ind w:left="1200" w:hanging="328"/>
        <w:spacing w:after="0" w:line="267"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with the customer exists. </w:t>
      </w:r>
      <w:r>
        <w:rPr>
          <w:rFonts w:ascii="Times New Roman" w:cs="Times New Roman" w:eastAsia="Times New Roman" w:hAnsi="Times New Roman"/>
          <w:sz w:val="18"/>
          <w:szCs w:val="18"/>
          <w:color w:val="auto"/>
        </w:rPr>
        <w:t>The Company’s customary practice is to require a purchase order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cases, a written contract signed by both the customer and the Company, or other persuasive evidence that an arrangement exists prior to recognizing revenue related to an arrangement.</w:t>
      </w:r>
    </w:p>
    <w:p>
      <w:pPr>
        <w:spacing w:after="0" w:line="173" w:lineRule="exact"/>
        <w:rPr>
          <w:rFonts w:ascii="Times New Roman" w:cs="Times New Roman" w:eastAsia="Times New Roman" w:hAnsi="Times New Roman"/>
          <w:sz w:val="18"/>
          <w:szCs w:val="18"/>
          <w:color w:val="auto"/>
        </w:rPr>
      </w:pPr>
    </w:p>
    <w:p>
      <w:pPr>
        <w:ind w:left="1200" w:right="40" w:hanging="328"/>
        <w:spacing w:after="0" w:line="257"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or performance has occurred. </w:t>
      </w:r>
      <w:r>
        <w:rPr>
          <w:rFonts w:ascii="Times New Roman" w:cs="Times New Roman" w:eastAsia="Times New Roman" w:hAnsi="Times New Roman"/>
          <w:sz w:val="18"/>
          <w:szCs w:val="18"/>
          <w:color w:val="auto"/>
        </w:rPr>
        <w:t>The Company’s software applications are either physically or electronically delivered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standard transfer terms such as FOB shipping point. Software and/or software license keys for add-on orders or software updates are typically delivered in an electronic format.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182" w:lineRule="exact"/>
        <w:rPr>
          <w:rFonts w:ascii="Times New Roman" w:cs="Times New Roman" w:eastAsia="Times New Roman" w:hAnsi="Times New Roman"/>
          <w:sz w:val="18"/>
          <w:szCs w:val="18"/>
          <w:color w:val="auto"/>
        </w:rPr>
      </w:pPr>
    </w:p>
    <w:p>
      <w:pPr>
        <w:ind w:left="1200" w:right="180" w:hanging="328"/>
        <w:spacing w:after="0" w:line="261"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Vendor’s fee is fixed or determinable. </w:t>
      </w:r>
      <w:r>
        <w:rPr>
          <w:rFonts w:ascii="Times New Roman" w:cs="Times New Roman" w:eastAsia="Times New Roman" w:hAnsi="Times New Roman"/>
          <w:sz w:val="18"/>
          <w:szCs w:val="18"/>
          <w:color w:val="auto"/>
        </w:rPr>
        <w:t>The fee customers pay for software applications, customer support and other professional services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negotiated at the outset of a sales arrangement. The fees are therefore considered to be fixed or determinable at the inception of the arrangement. The Company evaluates instances when extended payment terms are granted to determine if revenue should be deferred until payment becomes due.</w:t>
      </w:r>
    </w:p>
    <w:p>
      <w:pPr>
        <w:spacing w:after="0" w:line="180" w:lineRule="exact"/>
        <w:rPr>
          <w:rFonts w:ascii="Times New Roman" w:cs="Times New Roman" w:eastAsia="Times New Roman" w:hAnsi="Times New Roman"/>
          <w:sz w:val="18"/>
          <w:szCs w:val="18"/>
          <w:color w:val="auto"/>
        </w:rPr>
      </w:pPr>
    </w:p>
    <w:p>
      <w:pPr>
        <w:ind w:left="1200" w:right="100" w:hanging="328"/>
        <w:spacing w:after="0" w:line="261"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is probable. </w:t>
      </w:r>
      <w:r>
        <w:rPr>
          <w:rFonts w:ascii="Times New Roman" w:cs="Times New Roman" w:eastAsia="Times New Roman" w:hAnsi="Times New Roman"/>
          <w:sz w:val="18"/>
          <w:szCs w:val="18"/>
          <w:color w:val="auto"/>
        </w:rPr>
        <w:t>Probability of collection is assessed on a customer-by-customer basis. Each new customer undergoes a credit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to evaluate its financial position and ability to pay. If the Company determines from the outset of an arrangement that collection is not probable based upon the review process, revenue is recognized at the earlier of when cash is collected or when sufficient credit becomes available, assuming all of the other basic revenue recognition criteria are met.</w:t>
      </w:r>
    </w:p>
    <w:p>
      <w:pPr>
        <w:spacing w:after="0" w:line="128" w:lineRule="exact"/>
        <w:rPr>
          <w:sz w:val="20"/>
          <w:szCs w:val="20"/>
          <w:color w:val="auto"/>
        </w:rPr>
      </w:pPr>
    </w:p>
    <w:p>
      <w:pPr>
        <w:ind w:right="560" w:firstLine="432"/>
        <w:spacing w:after="0" w:line="266" w:lineRule="auto"/>
        <w:rPr>
          <w:sz w:val="20"/>
          <w:szCs w:val="20"/>
          <w:color w:val="auto"/>
        </w:rPr>
      </w:pPr>
      <w:r>
        <w:rPr>
          <w:rFonts w:ascii="Times New Roman" w:cs="Times New Roman" w:eastAsia="Times New Roman" w:hAnsi="Times New Roman"/>
          <w:sz w:val="18"/>
          <w:szCs w:val="18"/>
          <w:color w:val="auto"/>
        </w:rPr>
        <w:t>The Company’s sales arrangements generally do not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and receipt of license fees that are deferred due to one or more of the revenue recognition criteria not being met. The value of deferred revenues will increase or decrease based on the timing of invoices and recognition of revenue. The Company expenses internal direct and incremental costs related to contract acquisition and origination as incurred.</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revenue consists of the following: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7"/>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software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1,578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services revenue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189,847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193,399</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193,182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194,977</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services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59,243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49,889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252,425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244,866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Company grants credit to customers in a wide variety of industries worldwide and generally does not require collateral. Credit losses relating to these customers have been minimal.</w:t>
      </w:r>
    </w:p>
    <w:p>
      <w:pPr>
        <w:spacing w:after="0" w:line="108"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Sales through the Company’s distribution agreement with Arrow Enterprise Computing Solutions, Inc. (“Arrow”) totaled 35% and 37% of total revenues for the six months ended September 30, 2016 and 2015, respectively. Arrow accounted for approximately 38% of total accounts receivable as of September 30, 2016 and 43% of total accounts receivable as of March 31, 2016.</w:t>
      </w:r>
    </w:p>
    <w:p>
      <w:pPr>
        <w:spacing w:after="0" w:line="12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Sales through the Company’s distribution agreement with Avnet Technology Solutions ("Avnet") totaled 10% of total revenues for the six months ended September 30, 2016. Avnet accounted for approximately 11% of total accounts receivable as of September 30, 2016.</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2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composition of the Company’s financial assets measured at fair value at September 30, 2016 and March 31, 2016:</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2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8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70,661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70,661</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118,201</w:t>
            </w:r>
          </w:p>
        </w:tc>
      </w:tr>
      <w:tr>
        <w:trPr>
          <w:trHeight w:val="554"/>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8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95,735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95,735</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99,215</w:t>
            </w:r>
          </w:p>
        </w:tc>
      </w:tr>
      <w:tr>
        <w:trPr>
          <w:trHeight w:val="621"/>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1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50"/>
        </w:trPr>
        <w:tc>
          <w:tcPr>
            <w:tcW w:w="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9,445</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103,193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Computers, servers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33,120</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14,458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6,948</w:t>
            </w: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Purchased software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1,279</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169,787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168,608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w:t>
            </w: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133,051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135,904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and amortization expense of $4,878 and $5,590 for the six months ended September 30, 2016 and 2015, respectively.</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Loss per Common Share</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loss by the weighted average number of common shares during the period. Diluted net income (loss)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8,381 and 7,850 for the three months ended September 30, 2016 and 2015 and 8,374 and 8,012 for the six months ended September 30, 2016 and 2015, respectively, because the effect would have been anti-dilutive.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the normal course of its business, the Company may be involved in various claims, negotiations and legal actions. As of September 30, 2016, the Company is not aware of any asserted or unasserted claims, negotiations and legal actions for which a loss is considered reasonably possible of occurring and would require disclosure under the guidance.</w:t>
      </w:r>
    </w:p>
    <w:p>
      <w:pPr>
        <w:spacing w:after="0" w:line="17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the Company's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September 30, 2016 the Company has not recorded a reserve for this matter.</w:t>
      </w:r>
    </w:p>
    <w:p>
      <w:pPr>
        <w:spacing w:after="0" w:line="1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Revolving Credit Facility</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September 30, 2016, there were no borrowings under the Credit Facility and the Company was in compliance with all covenants.</w:t>
      </w:r>
    </w:p>
    <w:p>
      <w:pPr>
        <w:spacing w:after="0" w:line="13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 has deferred the expense related to debt issuance costs, which are classified as Other Assets, and will amortize the costs into interest expense over the term of the Credit Facility. Unamortized amounts at September 30, 2016 were $694. The amortization of debt issuance costs was $63 and $126 in the three and six months ended September 30, 2016 and 2015.</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Capitalization</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of its shares during the six months ended September 30, 2016. As of September 30, 2016, $93,102 remained in the stock repurchase authorization that expires on March 31, 2017.</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 Plans</w:t>
      </w:r>
    </w:p>
    <w:p>
      <w:pPr>
        <w:spacing w:after="0" w:line="17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On August 16, 2016, the Company’s Omnibus Incentive Plan (the “2016 Incentive Plan”) was approved by its shareholders. The 2016 Incentive Plan authorizes a broad range of awards including stock options, stock appreciation rights, full value awards (including restricted stock, restricted stock units, performance shares or units and other stock-based awards) and cash-based awards. The maximum number of shares of common stock that may be delivered under the 2016 Incentive Plan is equal to 2,800 shares.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8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stock-based compensation expense included in Cost of services revenue, Sales and marketing, Research and development and General and administrative expenses for the three and six months ended September 30, 2016 and 2015. Stock-based compensation is attributable to stock options, restricted stock units, performance based awards and the employee stock purchase plan.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8"/>
                <w:szCs w:val="18"/>
                <w:color w:val="auto"/>
              </w:rPr>
            </w:pPr>
          </w:p>
        </w:tc>
        <w:tc>
          <w:tcPr>
            <w:tcW w:w="27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8,290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13,040</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3,075</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7,679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12,786</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18,703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2016, there was approximately $96,050 of unrecognized stock-based compensation expense, net of estimated forfeitures, related to non-vested stock option and restricted stock unit awards that is expected to be recognized over a weighted average period of 1.79 years. To the extent the actual forfeiture rate is different from what the Company has estimated, stock-based compensation related to these awards will be different from the Company’s current estimate.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for the six months ended September 30, 2016 is as follows:</w:t>
      </w: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5"/>
                <w:szCs w:val="15"/>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Outstanding as of March 31, 2016</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69.73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September 30, 2016</w:t>
            </w:r>
          </w:p>
        </w:tc>
        <w:tc>
          <w:tcPr>
            <w:tcW w:w="1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84,785</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shd w:val="clear" w:color="auto" w:fill="CCEEFF"/>
              </w:rPr>
              <w:t>Vested or expected to vest as of September 30, 2016</w:t>
            </w:r>
          </w:p>
        </w:tc>
        <w:tc>
          <w:tcPr>
            <w:tcW w:w="1340" w:type="dxa"/>
            <w:vAlign w:val="bottom"/>
            <w:shd w:val="clear" w:color="auto" w:fill="CCEEFF"/>
          </w:tcPr>
          <w:p>
            <w:pPr>
              <w:jc w:val="right"/>
              <w:ind w:right="35"/>
              <w:spacing w:after="0" w:line="183" w:lineRule="exact"/>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8"/>
                <w:szCs w:val="18"/>
                <w:color w:val="auto"/>
              </w:rPr>
              <w:t>44.09</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9"/>
              <w:spacing w:after="0" w:line="183" w:lineRule="exact"/>
              <w:rPr>
                <w:sz w:val="20"/>
                <w:szCs w:val="20"/>
                <w:color w:val="auto"/>
              </w:rPr>
            </w:pPr>
            <w:r>
              <w:rPr>
                <w:rFonts w:ascii="Times New Roman" w:cs="Times New Roman" w:eastAsia="Times New Roman" w:hAnsi="Times New Roman"/>
                <w:sz w:val="18"/>
                <w:szCs w:val="18"/>
                <w:color w:val="auto"/>
              </w:rPr>
              <w:t>84,558</w:t>
            </w:r>
          </w:p>
        </w:tc>
        <w:tc>
          <w:tcPr>
            <w:tcW w:w="0" w:type="dxa"/>
            <w:vAlign w:val="bottom"/>
          </w:tcPr>
          <w:p>
            <w:pPr>
              <w:spacing w:after="0"/>
              <w:rPr>
                <w:sz w:val="1"/>
                <w:szCs w:val="1"/>
                <w:color w:val="auto"/>
              </w:rPr>
            </w:pPr>
          </w:p>
        </w:tc>
      </w:tr>
      <w:tr>
        <w:trPr>
          <w:trHeight w:val="68"/>
        </w:trPr>
        <w:tc>
          <w:tcPr>
            <w:tcW w:w="2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96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2016</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79,723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stock options granted was $13.75 and $15.47 per option during the three and six months ended September 30, 2015. The total intrinsic value of options exercised was $3,070 and $4,439 for the three and six months ended September 30, 2016 and $13,650 and $19,974 for the three and six months ended September 30, 2015. The Company’s policy is to issue new shares upon exercise of options as the Company does not hold shares in treasury.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for the six months ended September 30, 2016 is as follows:</w:t>
      </w:r>
    </w:p>
    <w:p>
      <w:pPr>
        <w:spacing w:after="0" w:line="31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4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5"/>
                <w:szCs w:val="15"/>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Awarded</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598</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2,440</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restricted stock units awarded was $52.13 and $47.76 per unit during the three and six months ended September 30, 2016, and $39.58 and $41.41 per unit during the three and six months ended September 30, 2015,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2016, the Company granted 115 performance restricted stock units ("PSU") to certain executives. Vesting of these awards is contingent upon</w:t>
      </w:r>
    </w:p>
    <w:p>
      <w:pPr>
        <w:spacing w:after="0" w:line="27" w:lineRule="exact"/>
        <w:rPr>
          <w:sz w:val="20"/>
          <w:szCs w:val="20"/>
          <w:color w:val="auto"/>
        </w:rPr>
      </w:pPr>
    </w:p>
    <w:p>
      <w:pPr>
        <w:ind w:right="80" w:firstLine="8"/>
        <w:spacing w:after="0" w:line="253"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meeting certain company-wide revenue and non-GAAP performance goals (performance-based) in fiscal 2017 and ii) the Company's customary service periods. The awards vest in three annual tranches and have a maximum potential to vest at 200% (230 shares) based on actual fiscal 2017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with a Market Condition</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six months ended September 30, 2016, the Company granted 123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(246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six months ended September 30, 2016 was $57.28. The awards are included in the restricted stock unit 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As of September 30, 2016, 2,503 shares were reserved for future issuance under the Purchase Plan. The Purchase Plan is considered compensatory and the fair value of the discount and look back provision are estimated using the Black-Scholes formula and recognized over the six month withholding period prior to purchase. The total expense associated with the Purchase Plan was $655 and $1,334 for the three and six months ended September 30, 2016 and $520 and $1,196 for the three and six months ended September 30, 2015.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Income tax benefit was $322 and $903 in the three and six months ended September 30, 2016. The effective rate of the income tax benefit in the six month period ending September 30, 2016 is lower than the federal statutory rate primarily due to the favorable impact of research tax credits partially offset the unfavorable impact of permanent differences as well as by $616 of income tax expense related to a change in the estimated state tax rate applied to the state deferred tax assets and the state income tax payable.</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Income tax expense was $4,647 and income tax benefit was $351 in the three and six months ended September 30, 2015, respectively. The effective rate of the income tax benefit in the six month period is lower than the federal statutory rate due to the impact of unfavorable permanent differences.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92"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beginning and ending amounts of unrecognized tax benefits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2016</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related to 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and effective settlements with tax authorities and remeasurements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Reductions related to the expiration of statutes of limitations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72" w:lineRule="auto"/>
        <w:rPr>
          <w:sz w:val="20"/>
          <w:szCs w:val="20"/>
          <w:color w:val="auto"/>
        </w:rPr>
      </w:pPr>
      <w:r>
        <w:rPr>
          <w:rFonts w:ascii="Times New Roman" w:cs="Times New Roman" w:eastAsia="Times New Roman" w:hAnsi="Times New Roman"/>
          <w:sz w:val="17"/>
          <w:szCs w:val="17"/>
          <w:color w:val="auto"/>
        </w:rPr>
        <w:t>All of the Company’s unrecognized tax benefits would favorably impact the effective tax rate if they were recognized. Components of the reserve are classified as either current or long-term in the Consolidated Balance Sheet based on when the Company expects each of the items to be settled. Unrecognized tax benefits and the related accrued interest and penalties totaling $1,892 are recorded as Other Liabilities on the Consolidated Balance Sheet, of</w:t>
      </w:r>
    </w:p>
    <w:p>
      <w:pPr>
        <w:spacing w:after="0" w:line="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which $230 represents interest and penalties. The Company also has unrecognized tax benefits and related accrued interest and penalties totaling $499 as a reduction of Deferred Tax Assets on the Consolidated Balance Sheet, of which $94 represents interest and penalties.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Tax Items</w:t>
      </w:r>
    </w:p>
    <w:p>
      <w:pPr>
        <w:spacing w:after="0" w:line="173"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 As of September 30, 2016, none of the Company's major legal entities are under audit by a related tax jurisdiction.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19"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2016. Our actual results may differ materially from those contained in or implied by any forward-looking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are a leading provider of data and information management software applications and related services. Our software platform is an enterprise level, integrated data and information management solution, built from the ground up on a single platform and unified code base. Our platform contains software functionality that works together seamlessly, sharing a single code and common function set to deliver Data Protection - Backup &amp; Recovery; Cloud and Infrastructure Management; and Retention and Compliance across physical, virtual and cloud environments. All software functionality share the same back-end technologies to deliver the benefits of a holistic approach to protecting, managing, and accessing data. Our software addresses many aspects of data management in the enterprise, while providing scalability and control of data and information. Our software enables our customers to simply and cost-effectively protect and manage their enterprise data throughout its lifecycle, from the mobile worker to the remote office, to the data center, covering the leading operating systems, relational databases, virtualized environments and applications. We also provide our customers with a broad range of professional services that are delivered by our worldwide support and field operations. As of September 30, 2016, we had licensed our software applications to over 23,500 registered customers.</w:t>
      </w:r>
    </w:p>
    <w:p>
      <w:pPr>
        <w:spacing w:after="0" w:line="13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software licenses typically provide for a perpetual right to use our software and are sold on a per-terabyte capacity basis, on a per-copy basis, as site licenses, or as a solution set. During the six months ended September 30, 2016, approximately 70% of software license revenue was sold on a capacity basis. This compares to approximately 73% of software license revenue was sold on a capacity basis during fiscal 2016. Capacity-based software licenses provide our customers with unlimited licenses of specified software products based on a defined level of terabytes of data under management. As a result, when we sell our platform through a capacity license, certain of the various Commvault functionalities are bundled into one capacity-based price. We anticipate that capacity-based licenses will continue to account for the majority of our software license revenue for fiscal 2017. Site licenses give the customer the additional right to deploy the software on a limited basis during a specified term. Our primary solution sets in our software suite include virtual machine backup, recovery and cloud management; endpoint data protection; and email archive. These solution sets can be individually deployed or combined as part of a comprehensive data protection and information management solution. Our solution sets are generally sold on a per-unit basis such as per virtual machine for our virtual machine backup, recovery and cloud management solution set; per mailbox for our email archive solution set and per user for our endpoint data protection solution set.</w:t>
      </w:r>
    </w:p>
    <w:p>
      <w:pPr>
        <w:spacing w:after="0" w:line="13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Historically, an insignificant amount of our revenue has been sold under subscription, or term-based, license arrangements. In these arrangements, the customer has the right to use the software on either a capacity basis or per-copy or per-unit basis over a designated period of time. Revenue in these arrangements is recognized ratably over the term of the agreement. Over the next several years, we expect revenue from these types of arrangements to become a more significant portion of our total revenue.</w:t>
      </w:r>
    </w:p>
    <w:p>
      <w:pPr>
        <w:spacing w:after="0" w:line="12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3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22"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43% and 41% of our total revenues for the six months ended September 30, 2016 and 2015, respectively.</w:t>
      </w:r>
    </w:p>
    <w:p>
      <w:pPr>
        <w:spacing w:after="0" w:line="126"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In recent fiscal periods, we have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55% and 49% of our total software revenue in the six months ended September 30, 2016 and 2015, respectively.</w:t>
      </w:r>
    </w:p>
    <w:p>
      <w:pPr>
        <w:spacing w:after="0" w:line="13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Software revenue generated through indirect distribution channels was 88% of total software revenue in the six months ended September 30, 2016 and was approximately 87% of total software revenue in the six months ended September 30, 2015. Software revenue generated through direct distribution channels was approximately 12% of total software revenue in the six months ended September 30, 2016 and was approximately 13% of total software revenue in the six months ended September 30, 2015. The dollar value of software revenue generated through indirect distribution channels increased approximately $19.3 million, or 20%, in the six months ended September 30, 2016 compared to the six months ended September 30, 2015. The dollar value of software revenue generated through direct distribution channels increased approximately $1.0 million, or 7%, in the six months ended September 30, 2016 compared to the six months ended September 30, 2015.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revenue generated through our direct distribution channels from time-to-time.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8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15% of our total revenues for both the six months ended September 30, 2016 and 2015.</w:t>
      </w:r>
    </w:p>
    <w:p>
      <w:pPr>
        <w:spacing w:after="0" w:line="13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35% of our total revenues through Arrow in the six months ended September 30, 2016, and approximately 37% in the six months ended September 30, 2015. We generated approximately 10% of our total revenues through Avnet in the six months ended September 30, 2016.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3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Our services revenue was 57% of our total revenues for the six months ended September 30, 2016 and 59% of our total revenues for the six months ended September 30, 2015.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Most of our customer support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 In addition, we are currently going through a re-alignment of our maintenance pricing to be more competitive in the market and make it easier for our customers to do business with Commvault. This maintenance pricing re-alignment will phase in over the current fiscal year and early fiscal 2018, and is primarily focused on the mid- to lower-end of the market (non-enterprise customers) which impacts approximately a quarter of our existing maintenance revenue dollar base. If we are not successful with our maintenance pricing re-alignment strategy, our business and financial performance might also be adversely impacted.</w:t>
      </w:r>
    </w:p>
    <w:p>
      <w:pPr>
        <w:spacing w:after="0" w:line="13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gross margin of our services revenue was 77% for the six months ended September 30, 2016 and 76% for the six months ended September 30, 2015. Overall, our services revenue has lower gross margins than our software revenue. The gross margin of our software revenue was approximately 99% for both the six months ended September 30, 2016 and 2015. An increase in the percentage of total revenues represented by services revenue may adversely affect our overall gross margins.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 Impact on Results of Operations</w:t>
      </w:r>
    </w:p>
    <w:p>
      <w:pPr>
        <w:spacing w:after="0" w:line="175"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Sales outside the United States were approximately 42% of our total revenue for the six months ended September 30, 2016 and 43% of our total revenue for the six months ended September 30, 2015.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34"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Using the average foreign currency exchange rates from the three months ended September 30, 2015 our software revenue would have been higher by $0.6 million, our services revenue would have been higher by $0.8 million, our cost of sales would have been unchanged and our operating expenses would have been higher by $2.4 million from non-U.S. operations for the three months ended September 30, 2016. Using the average foreign currency exchange rates from the six months ended September 30, 2015 our software revenue would have been higher by $1.5 million, our services revenue would have been higher by $1.7 million, our cost of sales would have been higher by approximately $0.1 million and our operating expenses would have been higher by $4.1 million from non-U.S. operations for the six months ended September 30, 2016.</w:t>
      </w:r>
    </w:p>
    <w:p>
      <w:pPr>
        <w:spacing w:after="0" w:line="13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 of $0.1 million and $0.4 million in the three and six months ended September 30, 2016. We recognized net foreign currency transaction gains of $0.3 million and $0.2 million in the three and six months ended September 30, 2015.</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3" w:lineRule="exact"/>
        <w:rPr>
          <w:sz w:val="20"/>
          <w:szCs w:val="20"/>
          <w:color w:val="auto"/>
        </w:rPr>
      </w:pPr>
    </w:p>
    <w:p>
      <w:pPr>
        <w:ind w:left="2020" w:hanging="310"/>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11" w:lineRule="exact"/>
        <w:rPr>
          <w:rFonts w:ascii="Times New Roman" w:cs="Times New Roman" w:eastAsia="Times New Roman" w:hAnsi="Times New Roman"/>
          <w:sz w:val="18"/>
          <w:szCs w:val="18"/>
          <w:color w:val="auto"/>
        </w:rPr>
      </w:pPr>
    </w:p>
    <w:p>
      <w:pPr>
        <w:ind w:left="2020" w:hanging="310"/>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11" w:lineRule="exact"/>
        <w:rPr>
          <w:rFonts w:ascii="Times New Roman" w:cs="Times New Roman" w:eastAsia="Times New Roman" w:hAnsi="Times New Roman"/>
          <w:sz w:val="18"/>
          <w:szCs w:val="18"/>
          <w:color w:val="auto"/>
        </w:rPr>
      </w:pPr>
    </w:p>
    <w:p>
      <w:pPr>
        <w:ind w:left="2020" w:hanging="310"/>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 and</w:t>
      </w:r>
    </w:p>
    <w:p>
      <w:pPr>
        <w:spacing w:after="0" w:line="211" w:lineRule="exact"/>
        <w:rPr>
          <w:rFonts w:ascii="Times New Roman" w:cs="Times New Roman" w:eastAsia="Times New Roman" w:hAnsi="Times New Roman"/>
          <w:sz w:val="18"/>
          <w:szCs w:val="18"/>
          <w:color w:val="auto"/>
        </w:rPr>
      </w:pPr>
    </w:p>
    <w:p>
      <w:pPr>
        <w:ind w:left="2020" w:hanging="310"/>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Costs</w:t>
      </w:r>
    </w:p>
    <w:p>
      <w:pPr>
        <w:spacing w:after="0" w:line="18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September 30, 2016 as compared to the critical accounting policies and estimates disclosed in “Management’s Discussion and Analysis of Financial Condition and Results of Operations - Critical Accounting Policies” included in our Annual Report on Form 10-K for the year ended March 31, 2016. In addition, please see Note 2 of Notes to the Condensed Consolidated Financial Statements included in this Quarterly Report on Form 10-Q and Note 2 of the Notes to Consolidated Financial Statements included in our fiscal 2016 Annual Report on Form 10-K filed for a description of our accounting policies.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of our sources of revenues and costs of revenues for the specified periods as a percentage of our total revenues for those periods (due to rounding, numbers in column may not sum to totals):</w:t>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64"/>
        </w:trPr>
        <w:tc>
          <w:tcPr>
            <w:tcW w:w="5820" w:type="dxa"/>
            <w:vAlign w:val="bottom"/>
            <w:gridSpan w:val="2"/>
          </w:tcPr>
          <w:p>
            <w:pPr>
              <w:ind w:left="54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5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4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67"/>
        </w:trPr>
        <w:tc>
          <w:tcPr>
            <w:tcW w:w="48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67"/>
        </w:trPr>
        <w:tc>
          <w:tcPr>
            <w:tcW w:w="48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59"/>
        </w:trPr>
        <w:tc>
          <w:tcPr>
            <w:tcW w:w="582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2016 compared to three months ended September 30, 2015</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Total revenues increased $18.6 million, or 13%, from $140.7 million in the three months ended September 30, 2015 to $159.3 million in the three months ended September 30, 2016.</w:t>
      </w:r>
    </w:p>
    <w:p>
      <w:pPr>
        <w:spacing w:after="0" w:line="106" w:lineRule="exact"/>
        <w:rPr>
          <w:sz w:val="20"/>
          <w:szCs w:val="20"/>
          <w:color w:val="auto"/>
        </w:rPr>
      </w:pPr>
    </w:p>
    <w:p>
      <w:pPr>
        <w:ind w:right="3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Revenue. </w:t>
      </w:r>
      <w:r>
        <w:rPr>
          <w:rFonts w:ascii="Times New Roman" w:cs="Times New Roman" w:eastAsia="Times New Roman" w:hAnsi="Times New Roman"/>
          <w:sz w:val="18"/>
          <w:szCs w:val="18"/>
          <w:color w:val="auto"/>
        </w:rPr>
        <w:t>Software revenue increased $12.9 million, or 22%, from $57.6 million in the three months ended September 30, 2015 to $70.5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three months ended September 30, 2016. Software revenue represented 44% of our total revenues in the three months ended September 30, 2016 compared to 41% of total revenues in the three months ended September 30, 2015.</w:t>
      </w:r>
    </w:p>
    <w:p>
      <w:pPr>
        <w:spacing w:after="0" w:line="12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63%, 23% and 14% of total software revenue, respectively, for the three months ended September 30, 2016. The year over year growth of software revenue in the Americas, EMEA and APAC was 21%, 12% and, 53%, respectively.</w:t>
      </w:r>
    </w:p>
    <w:p>
      <w:pPr>
        <w:spacing w:after="0" w:line="126" w:lineRule="exact"/>
        <w:rPr>
          <w:sz w:val="20"/>
          <w:szCs w:val="20"/>
          <w:color w:val="auto"/>
        </w:rPr>
      </w:pPr>
    </w:p>
    <w:p>
      <w:pPr>
        <w:ind w:left="660" w:right="320" w:hanging="328"/>
        <w:spacing w:after="0" w:line="313"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Americas software revenue growth for the three months ended September 30, 2016 was the result of a 39% increase in enterprise transaction revenue. The increase in enterprise transaction revenue was primarily a result of an increase in the total number of enterprise transactions.</w:t>
      </w:r>
    </w:p>
    <w:p>
      <w:pPr>
        <w:spacing w:after="0" w:line="84"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software revenue increased primarily due to an increase in enterprise transaction revenue. The increase in enterprise transaction revenue was primarily a result of an increase in the total number of enterprise transactions.</w:t>
      </w:r>
    </w:p>
    <w:p>
      <w:pPr>
        <w:spacing w:after="0" w:line="107" w:lineRule="exact"/>
        <w:rPr>
          <w:rFonts w:ascii="Times New Roman" w:cs="Times New Roman" w:eastAsia="Times New Roman" w:hAnsi="Times New Roman"/>
          <w:sz w:val="18"/>
          <w:szCs w:val="18"/>
          <w:color w:val="auto"/>
        </w:rPr>
      </w:pPr>
    </w:p>
    <w:p>
      <w:pPr>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over year software revenue growth in EMEA was adversely impacted by changes in foreign exchange rates as the U.S. dollar strengthened against the Euro and British pound sterling. Using average foreign exchange rates from the second quarter of fiscal 2016, second quarter fiscal 2017 EMEA software revenue would have increased 18% compared to an actual increase of 12%.</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APAC software revenue was the result of an increase in the number of enterprise revenue transactions.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0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Software revenue derived from enterprise software transactions (transactions greater than $0.1 million) represented approximately 57% of our software revenue in the three months ended September 30, 2016 and approximately 49% of our software revenue in the three months ended September 30, 2015. Enterprise software transactions increased by $12.4 million, or 44%, in the three months ended September 30, 2016 compared to the three months ended September 30, 2015. This increase was driven by a 45% increase in the number of enterprise software transactions. The average dollar amount of such transactions was approximately $268,000 in the three months ended September 30, 2016 and approximately $269,000 in the three months ended September 30, 2015. There was a increase in software revenue derived from transactions less than $0.1 million of $0.5 million, or 2%, in the three months ended September 30, 2016 compared to the three months ended September 30, 2015.</w:t>
      </w:r>
    </w:p>
    <w:p>
      <w:pPr>
        <w:spacing w:after="0" w:line="13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increased $5.7 million, or 7%, from $83.2 million in the three months ended September 30, 2015 to $88.9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2016. Services revenue represented 56% of our total revenues in the three months ended September 30, 2016 and 59% in the three months ended September 30, 2015. The increase in services revenue is due to a $5.9 million increase in revenue from customer support agreements as a result of software sales to new customers and renewal agreements with our installed software base. The increase in customer support revenue was partially offset by a decline in professional services revenue.</w:t>
      </w:r>
    </w:p>
    <w:p>
      <w:pPr>
        <w:spacing w:after="0" w:line="12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Total cost of revenues increased $0.7 million, or 3%, from $20.9 million in the three months ended September 30, 2015 to $21.7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three months ended September 30, 2016. Total cost of revenues represented 14% of our total revenues in the three months ended September 30, 2016 and 15% of our total revenues in the three months ended September 30, 2015. An increase in the percentage of total revenues represented by software revenue has the impact of improving our overall gross margins.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0"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$8.9 million, or 10%, from $85.8 million in the three months ended September 30,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$94.8 million in the three months ended September 30, 2016. The increase is due to a $5.1 million increase in employee compensation and related expenses mainly attributable to the expansion of our sales force from the prior year, a $1.9 million increase in stock-based compensation, and a $1.8 million increase in marketing expenses. Sales and marketing expenses as a percentage of total revenues decreased to 59% in the three months ended September 30, 2016 from 61% in the three months ended September 30, 2015.</w:t>
      </w:r>
    </w:p>
    <w:p>
      <w:pPr>
        <w:spacing w:after="0" w:line="126"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$4.1 million, or 25%, from $16.1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2015 to $20.2 million in the three months ended September 30, 2016. The increase is primarily due to an increase in salary and related expenses resulting from the expansion of our engineering group. Research and development expenses as a percentage of total revenues was 13% in the three months ended September 30, 2016 and 11% in the three months ended September 30, 2015. Investing in research and development has been a priority for Commvault, and we anticipate continued spending related to the development of our data and information management software applications.</w:t>
      </w:r>
    </w:p>
    <w:p>
      <w:pPr>
        <w:spacing w:after="0" w:line="126" w:lineRule="exact"/>
        <w:rPr>
          <w:sz w:val="20"/>
          <w:szCs w:val="20"/>
          <w:color w:val="auto"/>
        </w:rPr>
      </w:pPr>
    </w:p>
    <w:p>
      <w:pPr>
        <w:ind w:right="22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$1.4 million, or 7%, from $19.9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2015 to $21.3 million in the three months ended September 30, 2016. The increase is primarily the result of an increase in stock-based compensation. General and administrative expenses in the three months ended September 30, 2016 includes approximately $0.1 million of net foreign currency transaction gain compared to $0.3 million of net foreign currency transaction gains recognized in general and administrative expenses in the three months ended September 30, 2015. General and administrative expenses as a percentage of total revenues decreased to 13% in the three months ended September 30, 2016 from 14% in the three months ended September 30, 2015.</w:t>
      </w:r>
    </w:p>
    <w:p>
      <w:pPr>
        <w:spacing w:after="0" w:line="129" w:lineRule="exact"/>
        <w:rPr>
          <w:sz w:val="20"/>
          <w:szCs w:val="20"/>
          <w:color w:val="auto"/>
        </w:rPr>
      </w:pPr>
    </w:p>
    <w:p>
      <w:pPr>
        <w:ind w:right="2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expense decreased by $0.4 million from $2.5 million in the three months ended September 30,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 million in the three months ended September 30, 2016.</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Expense/Benefit</w:t>
      </w:r>
    </w:p>
    <w:p>
      <w:pPr>
        <w:spacing w:after="0" w:line="173"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Income tax benefit was $0.3 million in the three months ended September 30, 2016 compared to an expense of $4.6 million in the three months ended September 30, 2015. The effective rate of the income tax benefit in the three month period ending September 30, 2016 is lower than the federal statutory rate primarily due to projected permanent differences representing a smaller percentage of projected loss before taxes. In addition, we estimate that cash expenditures for income taxes for fiscal 2017 will be less than $5.0 million. The income tax expense recorded in the three months ended September 30, 2015 is the result of a reduction in the amount of forecasted pre-tax income for the fiscal year at that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September 30, 2016 compared to six months ended September 30, 2015</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Total revenues increased $31.9 million, or 11%, from $279.9 million in the six months ended September 30, 2015 to $311.7 million in the six months ended September 30, 2016.</w:t>
      </w:r>
    </w:p>
    <w:p>
      <w:pPr>
        <w:spacing w:after="0" w:line="106"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Revenue. </w:t>
      </w:r>
      <w:r>
        <w:rPr>
          <w:rFonts w:ascii="Times New Roman" w:cs="Times New Roman" w:eastAsia="Times New Roman" w:hAnsi="Times New Roman"/>
          <w:sz w:val="18"/>
          <w:szCs w:val="18"/>
          <w:color w:val="auto"/>
        </w:rPr>
        <w:t>Software revenue increased $20.3 million, or 18%, from $114.1 million in the six months ended September 30, 2015 to $134.4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six months ended September 30, 2016. Software revenue represented 43% of our total revenues in the six months ended September 30, 2016 as compared to 41% of total revenues in the six months ended September 30, 2015.</w:t>
      </w:r>
    </w:p>
    <w:p>
      <w:pPr>
        <w:spacing w:after="0" w:line="17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Americas, EMEA and APAC represented 59%, 27% and 14% of total software revenue, respectively, for the six months ended September 30, 2016. The year-over-year increase of software revenue in the Americas, EMEA and APAC was 17%, 11% and 36%, respectively.</w:t>
      </w:r>
    </w:p>
    <w:p>
      <w:pPr>
        <w:spacing w:after="0" w:line="108" w:lineRule="exact"/>
        <w:rPr>
          <w:sz w:val="20"/>
          <w:szCs w:val="20"/>
          <w:color w:val="auto"/>
        </w:rPr>
      </w:pPr>
    </w:p>
    <w:p>
      <w:pPr>
        <w:ind w:left="660" w:right="4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Americas software revenue for the six months ended September 30, 2016 was the result of an increase in enterprise transaction revenue due to a higher number of enterprise revenue transactions.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software revenue increased primarily as a result of an increase in both enterprise and non-enterprise transaction revenue.</w:t>
      </w:r>
    </w:p>
    <w:p>
      <w:pPr>
        <w:spacing w:after="0" w:line="171" w:lineRule="exact"/>
        <w:rPr>
          <w:rFonts w:ascii="Times New Roman" w:cs="Times New Roman" w:eastAsia="Times New Roman" w:hAnsi="Times New Roman"/>
          <w:sz w:val="18"/>
          <w:szCs w:val="18"/>
          <w:color w:val="auto"/>
        </w:rPr>
      </w:pPr>
    </w:p>
    <w:p>
      <w:pPr>
        <w:jc w:val="both"/>
        <w:ind w:left="660" w:righ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over year software revenue growth in EMEA was adversely impacted by changes in foreign exchange rates as the U.S. dollar strengthened against the Euro and British pound sterling. Using average foreign exchange rates from the first half of fiscal 2016, first half fiscal 2017 EMEA software revenue would have increased 15% compared to an actual increase of 11%.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APAC software revenue was the result of a significant increase in enterprise transaction revenue from an increase in the number of transactions.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0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Software revenue derived from enterprise software transactions (transactions greater than $0.1 million) represented approximately 55% of our software revenue in the six months ended September 30, 2016 and approximately 49% of our software revenue in the six months ended September 30, 2015. Enterprise software transaction revenue increased by $17.7 million, or 32%, in the six months ended September 30, 2016 compared to the six months ended September 30, 2015. This increase was driven by a 34% increase in the number of transactions partially offset by a 2% decline in the average dollar amount of such transactions. The average sales price was approximately $255,000 in the six months ended September 30, 2016 and approximately $260,000 in the six months ended September 30, 2015. Software revenue derived from transactions less than $0.1 million increased $2.6 million, or 5%, in the six months ended September 30, 2016 compared to the six months ended September 30, 2015.</w:t>
      </w:r>
    </w:p>
    <w:p>
      <w:pPr>
        <w:spacing w:after="0" w:line="13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increased $11.5 million, or 7%, from $165.8 million in the six months ended September 30, 2015 to $177.4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six months ended September 30, 2016. Services revenue represented 57% of our total revenues in the six months ended September 30, 2016 and 59% in the six months ended September 30, 2015. The increase in services revenue is due to a $12.5 million increase in revenue from customer support agreements as a result of software sales to new customers and renewal agreements with our installed software base. The increase in customer support revenue was partially offset by a decline in professional services revenue.</w:t>
      </w:r>
    </w:p>
    <w:p>
      <w:pPr>
        <w:spacing w:after="0" w:line="12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Total cost of revenues increased $1.2 million, or 3%, from $41.5 million in the six months ended September 30, 2015 to $42.7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six months ended September 30, 2016. Total cost of revenues represented 14% of our total revenues in the six months ended September 30, 2016 and 15% in the six months ended September 30, 2015. An increase in the percentage of total revenues represented by software revenue had the impact of improving our overall gross margins.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0"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$15.9 million, or 9%, from $171.6 million in the six months ended September 30,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$187.5 million in the six months ended September 30, 2016. The increase is primarily due to a $8.2 million increase in employee compensation and related expenses mainly attributable to the expansion of our sales force from the prior year and a $2.9 million increase in stock-based compensation. In addition, during the first quarter the Company held its first worldwide sales meeting in several years which also contributed to the year over year increase in sales and marketing expense. Sales and marketing expenses as a percentage of total revenues decreased to 60% in the six months ended September 30, 2016 from 61% in the six months ended September 30, 2015.</w:t>
      </w:r>
    </w:p>
    <w:p>
      <w:pPr>
        <w:spacing w:after="0" w:line="129" w:lineRule="exact"/>
        <w:rPr>
          <w:sz w:val="20"/>
          <w:szCs w:val="20"/>
          <w:color w:val="auto"/>
        </w:rPr>
      </w:pPr>
    </w:p>
    <w:p>
      <w:pPr>
        <w:ind w:right="18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$6.5 million, or 20%, from $32.9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2015 to $39.4 million in the six months ended September 30, 2016. The increase is due to salary and related expenses resulting from the expansion of our engineering group. Research and development expenses as a percentage of total revenues was 13% in the six months ended September 30, 2016 and 12% in the six months ended September 30, 2015. Investing in research and development has been a priority for Commvault, and we anticipate continued spending related to the development of our data and information management software applications.</w:t>
      </w:r>
    </w:p>
    <w:p>
      <w:pPr>
        <w:spacing w:after="0" w:line="126" w:lineRule="exact"/>
        <w:rPr>
          <w:sz w:val="20"/>
          <w:szCs w:val="20"/>
          <w:color w:val="auto"/>
        </w:rPr>
      </w:pPr>
    </w:p>
    <w:p>
      <w:pPr>
        <w:ind w:right="18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$1.5 million, or 4%, from $39.7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2015 to $41.3 million in the six months ended September 30, 2016. The increase is primarily the result of a $2.0 million increase in stock-based compensation. Expenses in the six months ended September 30, 2016 includes approximately $0.4 million of net foreign currency transaction gains compared to approximately $0.2 million of net foreign currency transaction gain in the six months ended September 30, 2015. General and administrative expenses as a percentage of total revenues decreased to 13% in the six months ended September 30, 2016 from 14% in the six months ended September 30, 2015.</w:t>
      </w:r>
    </w:p>
    <w:p>
      <w:pPr>
        <w:spacing w:after="0" w:line="129" w:lineRule="exact"/>
        <w:rPr>
          <w:sz w:val="20"/>
          <w:szCs w:val="20"/>
          <w:color w:val="auto"/>
        </w:rPr>
      </w:pPr>
    </w:p>
    <w:p>
      <w:pPr>
        <w:ind w:right="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expense decreased by $0.7 million from $4.9 million in the six months ended September 30, 2015 to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six months ended September 30, 2016.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7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Income tax benefit was $0.9 million in the six months ended September 30, 2016 compared to $0.4 million in the six months ended September 30, 2015. The effective rate of the income tax benefit in the six month period ending September 30, 2016 is lower than the federal statutory rate primarily due to the net favorable impact of research tax credits partially offset by the unfavorable impact of permanent differences as well as $616 of income tax expense related to a change in the estimated state tax rate applied to the state deferred tax assets and the state income tax payable. The effective rate of the income tax benefit in the six months ended September 30, 2015 is lower than the federal statutory rate due to the impact of unfavorable permanent differences.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2016, our cash and cash equivalents balance of $321.8 million primarily consisted of cash and money market funds. In addition, as of September 30, 2016 we have short-term investments invested in U.S. Treasury Bills totaling $117.8 million. In recent fiscal years, our principal source of liquidity has been cash provided by operations.</w:t>
      </w:r>
    </w:p>
    <w:p>
      <w:pPr>
        <w:spacing w:after="0" w:line="122"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As of September 30, 2016, the amount of cash and cash equivalents held outside of the United States by our foreign legal entities was approximately $159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We have a five-year $250 million revolving credit facility (the “Credit Facility”) that expires in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September 30, 2016, there were no borrowings under the Credit Facility and we believe we are in compliance with all covenants.</w:t>
      </w:r>
    </w:p>
    <w:p>
      <w:pPr>
        <w:spacing w:after="0" w:line="135"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2016, we did not repurchase any of common stock shares under our share repurchase program. As of September 30, 2016, there was $93 million remaining in the share repurchase program which expires on March 31, 2017.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we believe is undervalued.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summarized cash flow information is as follows (in thousands):</w:t>
      </w:r>
    </w:p>
    <w:p>
      <w:pPr>
        <w:spacing w:after="0" w:line="32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36830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2" w:lineRule="exact"/>
        <w:rPr>
          <w:sz w:val="20"/>
          <w:szCs w:val="20"/>
          <w:color w:val="auto"/>
        </w:rPr>
      </w:pPr>
    </w:p>
    <w:tbl>
      <w:tblPr>
        <w:tblLayout w:type="fixed"/>
        <w:tblInd w:w="1500" w:type="dxa"/>
        <w:tblCellMar>
          <w:top w:w="0" w:type="dxa"/>
          <w:left w:w="0" w:type="dxa"/>
          <w:bottom w:w="0" w:type="dxa"/>
          <w:right w:w="0" w:type="dxa"/>
        </w:tblCellMar>
      </w:tblPr>
      <w:tr>
        <w:trPr>
          <w:trHeight w:val="195"/>
        </w:trPr>
        <w:tc>
          <w:tcPr>
            <w:tcW w:w="39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8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44,286</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31,469</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12,654</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rate-changes in cash</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33,687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$44.3 million in the six months ended September 30, 2016 and $31.5 million in the six months ended September 30, 2015. In the six months ended September 30, 2016, cash provided by operating activities was primarily due to net loss adjusted for the impact of non-cash charges, a decrease in accounts receivable due to timing of cash receipts and an increase in deferred revenue. In the six months</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ended September 30, 2015, cash provided by operating activities was primarily due to net loss adjusted for the impact of non-cash charges, and decreases in accounts receivable due to timing of cash receipts, partially offset by a reduction of accrued expenses.</w:t>
      </w:r>
    </w:p>
    <w:p>
      <w:pPr>
        <w:spacing w:after="0" w:line="12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$20.8 million for the six months ended September 30, 2016 and $28.1 million in the six months ended September 30, 2015. In the six months ended September 30, 2016, cash used in investing activities was related to $18.8 million in net purchases of U.S. Treasury Bills and $2.1 million of capital expenditures. In the six months ended September 30, 2015, cash used in investing activities was due to $22.9 million in net purchases of U.S. Treasury Bills, $3.1 million of regular capital expenditures, and $2.1 million of spending on the Company’s corporate campus headquarters.</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Net cash provided by (used in) financing activities was $12.7 million in the six months ended September 30, 2016 and $(11.1) million in the six months ended September 30, 2015. The cash provided by financing activities in the six months ended September 30, 2016 was due to $11.5 million of proceeds from the exercise of stock options and purchases under the employee stock purchase plan and $1.2 million of excess tax benefits recognized as a result of the stock option exercises and restricted stock vesting. The cash used in financing activities in the six months ended September 30, 2015 was due to $25.0 million of common stock repurchases partially offset by $8.0 million of proceeds from the exercise of stock options and the employee stock purchase plan and $5.9 million of excess tax benefits recognized as a result of the stock option exercises and restricted stock vesting.</w:t>
      </w:r>
    </w:p>
    <w:p>
      <w:pPr>
        <w:spacing w:after="0" w:line="13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Working capital increased $48.7 million from $252.4 million as of March 31, 2016 to $301.1 million as of September 30, 2016. The net increase in working capital is due primarily to a net increase in cash and short-term investments as a result of cash flow generated from operations. We believe that our existing cash, cash equivalents and our cash from operations will be sufficient to meet our anticipated cash needs for working capital,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2016,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Standards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and has since modified the standard with ASU 2015-14, "Deferral of the Effective Date." These standards replace existing revenue recognition rules with a comprehensive revenue measurement and recognition standard and expanded disclosure requirements. The new standard becomes effective for our fiscal 2019 with early adoption permitted in fiscal 2018. We are still in the process of determining the impact of the standard on our financial statements and the timing of our adoption. The FASB allows two adoption methods under the new standard. Under one method, a company will apply the rules to contracts in all reporting periods presented. We currently believe we will apply this method of adoption. While we continue to evaluate the impact of the new standard, we believe the standard may require us to implement new revenue recognition processes, which will change our internal controls over revenue recognition.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our fiscal 2020, with early adoption permitted. An entity will be required to recognize and measure leases at the beginning of the earliest period presented using a modified retrospective approach. We are currently assessing the impact the adoption of ASU 2016-02 will have on our financial statements.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is required to adopt the new guidance in fiscal 2018 with early adoption permitted. We are currently assessing the impact the adoption of ASU 2016-09 will have on the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2016,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Economic Exposure</w:t>
      </w:r>
    </w:p>
    <w:p>
      <w:pPr>
        <w:spacing w:after="0" w:line="9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42% of our sales were outside the United States for the six months ended September 30, 2016.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Transaction Exposure</w:t>
      </w:r>
    </w:p>
    <w:p>
      <w:pPr>
        <w:spacing w:after="0" w:line="92" w:lineRule="exact"/>
        <w:rPr>
          <w:sz w:val="20"/>
          <w:szCs w:val="20"/>
          <w:color w:val="auto"/>
        </w:rPr>
      </w:pPr>
    </w:p>
    <w:p>
      <w:pPr>
        <w:jc w:val="both"/>
        <w:ind w:right="360" w:firstLine="432"/>
        <w:spacing w:after="0" w:line="266" w:lineRule="auto"/>
        <w:rPr>
          <w:sz w:val="20"/>
          <w:szCs w:val="20"/>
          <w:color w:val="auto"/>
        </w:rPr>
      </w:pPr>
      <w:r>
        <w:rPr>
          <w:rFonts w:ascii="Times New Roman" w:cs="Times New Roman" w:eastAsia="Times New Roman" w:hAnsi="Times New Roman"/>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Foreign currency transaction gains and losses are recorded in “General and administrative expenses” in the Consolidated Statements of Loss. We recognized a net foreign currency transaction gain of $0.1 million and $0.4 million in the three and six months ended September 30, 2016. We recognized net foreign currency transaction gains of $0.3 million and $0.2 million in the three and six months ended September 30, 2015. The net foreign currency transaction gains and losses recorded in “General and administrative” expenses include settlement gains and losses on forward contracts disclosed below.</w:t>
      </w:r>
    </w:p>
    <w:p>
      <w:pPr>
        <w:spacing w:after="0" w:line="126"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September 30, 2016 and March 31, 2016, we did not have any forward contracts outstanding. We recorded net realized gains and losses of less than $0.1 million related to the settlement of forward exchange contracts in the three and six months ended September 30, 2016 and 2015. In the future, we may enter into additional foreign currency based hedging contracts to reduce our exposure to significant fluctuations in currency exchange rates on the balance sheet.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September 30, 2016. Based on that evaluation, the Chief Executive Officer and Chief Financial Officer concluded that our disclosure controls and procedures were effective as of September 30, 2016.</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second quarter of fiscal 2017 that has materially affected, or is reasonably likely to materially affect, our internal control over financial reporting.</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Internal Controls</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4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March 31, 2016,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purchases of our common stock during the three months ended September 30,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list of exhibits filed herewith is included on the Exhibit Index, which immediately precedes such exhibits and is incorporated herein by reference.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Commvault Systems, Inc.</w:t>
            </w:r>
          </w:p>
        </w:tc>
      </w:tr>
      <w:tr>
        <w:trPr>
          <w:trHeight w:val="59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2016</w:t>
            </w:r>
          </w:p>
        </w:tc>
        <w:tc>
          <w:tcPr>
            <w:tcW w:w="34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 Robert Hammer</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8"/>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50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N. Robert Hammer</w:t>
            </w:r>
          </w:p>
        </w:tc>
      </w:tr>
      <w:tr>
        <w:trPr>
          <w:trHeight w:val="265"/>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2016</w:t>
            </w:r>
          </w:p>
        </w:tc>
        <w:tc>
          <w:tcPr>
            <w:tcW w:w="34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Carolan</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28"/>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Brian</w:t>
            </w: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Carolan</w:t>
            </w:r>
          </w:p>
        </w:tc>
      </w:tr>
      <w:tr>
        <w:trPr>
          <w:trHeight w:val="265"/>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7220" w:type="dxa"/>
            <w:vAlign w:val="bottom"/>
            <w:gridSpan w:val="3"/>
          </w:tcPr>
          <w:p>
            <w:pPr>
              <w:ind w:left="3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48"/>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80" w:type="dxa"/>
            <w:vAlign w:val="bottom"/>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37"/>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7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Times New Roman" w:cs="Times New Roman" w:eastAsia="Times New Roman" w:hAnsi="Times New Roman"/>
                <w:sz w:val="18"/>
                <w:szCs w:val="18"/>
                <w:color w:val="auto"/>
              </w:rPr>
              <w:t>28</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Commvault Systems,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80" w:hanging="320"/>
        <w:spacing w:after="0" w:line="257"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380" w:hanging="320"/>
        <w:spacing w:after="0" w:line="250"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55"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1300" w:right="62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6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2016</w:t>
      </w:r>
    </w:p>
    <w:p>
      <w:pPr>
        <w:sectPr>
          <w:pgSz w:w="11900" w:h="16838" w:orient="portrait"/>
          <w:cols w:equalWidth="0" w:num="1">
            <w:col w:w="11420"/>
          </w:cols>
          <w:pgMar w:left="240" w:top="576"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Commvault Systems,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80" w:hanging="320"/>
        <w:spacing w:after="0" w:line="257"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38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55"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1300" w:right="62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64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2016</w:t>
      </w:r>
    </w:p>
    <w:p>
      <w:pPr>
        <w:sectPr>
          <w:pgSz w:w="11900" w:h="16838" w:orient="portrait"/>
          <w:cols w:equalWidth="0" w:num="1">
            <w:col w:w="11420"/>
          </w:cols>
          <w:pgMar w:left="240" w:top="57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Commvault Systems, Inc. (the “Company”) on Form 10-Q for the period ended September 30, 2016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2" w:lineRule="exact"/>
        <w:rPr>
          <w:sz w:val="20"/>
          <w:szCs w:val="20"/>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2016</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Commvault Systems, Inc. (the “Company”) on Form 10-Q for the period ended September 30, 2016 as filed with the Securities and Exchange Commission (the “Report”), I, Brian Carolan, Vice President and Chief Financial Officer of the Company, certify, pursuant to 18 U.S.C. § 1350, as adopted pursuant to § 906 of the Sarbanes-Oxley Act of 2002, that:</w:t>
      </w:r>
    </w:p>
    <w:p>
      <w:pPr>
        <w:spacing w:after="0" w:line="82"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2019-12-29T09:44:02Z</dcterms:created>
  <dcterms:modified xsi:type="dcterms:W3CDTF">2019-12-29T09:44:02Z</dcterms:modified>
</cp:coreProperties>
</file>