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6019165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drawing>
          <wp:inline distT="0" distB="0" distL="0" distR="0">
            <wp:extent cx="34290" cy="19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8"/>
          <w:szCs w:val="18"/>
          <w:color w:val="auto"/>
        </w:rPr>
        <w:t>OMB APPROVAL</w:t>
      </w:r>
    </w:p>
    <w:p>
      <w:pPr>
        <w:ind w:left="9300"/>
        <w:spacing w:after="0"/>
        <w:rPr>
          <w:sz w:val="20"/>
          <w:szCs w:val="20"/>
          <w:color w:val="auto"/>
        </w:rPr>
      </w:pPr>
      <w:r>
        <w:rPr>
          <w:rFonts w:ascii="Arial" w:cs="Arial" w:eastAsia="Arial" w:hAnsi="Arial"/>
          <w:sz w:val="16"/>
          <w:szCs w:val="16"/>
          <w:color w:val="auto"/>
        </w:rPr>
        <w:t>OMB Number: 3235-0145</w:t>
      </w:r>
    </w:p>
    <w:p>
      <w:pPr>
        <w:spacing w:after="0" w:line="14" w:lineRule="exact"/>
        <w:rPr>
          <w:sz w:val="24"/>
          <w:szCs w:val="24"/>
          <w:color w:val="auto"/>
        </w:rPr>
      </w:pPr>
    </w:p>
    <w:p>
      <w:pPr>
        <w:ind w:left="9260"/>
        <w:spacing w:after="0"/>
        <w:rPr>
          <w:sz w:val="20"/>
          <w:szCs w:val="20"/>
          <w:color w:val="auto"/>
        </w:rPr>
      </w:pPr>
      <w:r>
        <w:rPr>
          <w:sz w:val="1"/>
          <w:szCs w:val="1"/>
          <w:color w:val="auto"/>
        </w:rPr>
        <w:drawing>
          <wp:inline distT="0" distB="0" distL="0" distR="0">
            <wp:extent cx="34290" cy="196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5"/>
          <w:szCs w:val="15"/>
          <w:color w:val="auto"/>
        </w:rPr>
        <w:t>Expires: February 28, 2009</w:t>
      </w:r>
    </w:p>
    <w:p>
      <w:pPr>
        <w:ind w:left="9300"/>
        <w:spacing w:after="0"/>
        <w:rPr>
          <w:sz w:val="20"/>
          <w:szCs w:val="20"/>
          <w:color w:val="auto"/>
        </w:rPr>
      </w:pPr>
      <w:r>
        <w:rPr>
          <w:rFonts w:ascii="Arial" w:cs="Arial" w:eastAsia="Arial" w:hAnsi="Arial"/>
          <w:sz w:val="16"/>
          <w:szCs w:val="16"/>
          <w:color w:val="auto"/>
        </w:rPr>
        <w:t>Estimated average burden</w:t>
      </w:r>
    </w:p>
    <w:p>
      <w:pPr>
        <w:spacing w:after="0" w:line="37"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CommVault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204166102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1478280</wp:posOffset>
            </wp:positionH>
            <wp:positionV relativeFrom="paragraph">
              <wp:posOffset>73660</wp:posOffset>
            </wp:positionV>
            <wp:extent cx="430911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204166102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104" w:lineRule="exact"/>
        <w:rPr>
          <w:sz w:val="24"/>
          <w:szCs w:val="24"/>
          <w:color w:val="auto"/>
        </w:rPr>
      </w:pPr>
    </w:p>
    <w:p>
      <w:pPr>
        <w:ind w:left="700" w:right="7700"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9480"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sectPr>
      </w:pPr>
    </w:p>
    <w:p>
      <w:pPr>
        <w:spacing w:after="0" w:line="200" w:lineRule="exact"/>
        <w:rPr>
          <w:sz w:val="24"/>
          <w:szCs w:val="24"/>
          <w:color w:val="auto"/>
        </w:rPr>
      </w:pPr>
    </w:p>
    <w:p>
      <w:pPr>
        <w:spacing w:after="0" w:line="249" w:lineRule="exact"/>
        <w:rPr>
          <w:sz w:val="24"/>
          <w:szCs w:val="24"/>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3.</w:t>
        <w:tab/>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164465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type w:val="continuous"/>
        </w:sectPr>
      </w:pPr>
    </w:p>
    <w:bookmarkStart w:id="1" w:name="page2"/>
    <w:bookmarkEnd w:id="1"/>
    <w:p>
      <w:pPr>
        <w:spacing w:after="0" w:line="55" w:lineRule="exact"/>
        <w:rPr>
          <w:sz w:val="20"/>
          <w:szCs w:val="20"/>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14,604,918* (See Exhibit C)</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 (See Exhibit C)</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27,058* (See Exhibit C)</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 (See Exhibit C)</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right="1499" w:hanging="435"/>
        <w:spacing w:after="0" w:line="251"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14,604,918* (See Exhibit C)</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35.04* (See Exhibit C)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1400" w:right="6499" w:hanging="439"/>
        <w:spacing w:after="0" w:line="326" w:lineRule="auto"/>
        <w:tabs>
          <w:tab w:leader="none" w:pos="14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CommVault Systems, Inc.</w:t>
      </w:r>
    </w:p>
    <w:p>
      <w:pPr>
        <w:ind w:left="1400" w:right="4699" w:hanging="439"/>
        <w:spacing w:after="0" w:line="447" w:lineRule="auto"/>
        <w:tabs>
          <w:tab w:leader="none" w:pos="14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 Crescent Place, Oceanport NJ 07757-0900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1400" w:right="659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1400" w:right="363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1400" w:right="777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1400" w:right="645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1400" w:right="7399" w:hanging="439"/>
        <w:spacing w:after="0" w:line="32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204166102</w:t>
      </w:r>
    </w:p>
    <w:p>
      <w:pPr>
        <w:spacing w:after="0" w:line="342" w:lineRule="exact"/>
        <w:rPr>
          <w:sz w:val="20"/>
          <w:szCs w:val="20"/>
          <w:color w:val="auto"/>
        </w:rPr>
      </w:pPr>
    </w:p>
    <w:p>
      <w:pPr>
        <w:ind w:left="960" w:right="2039" w:hanging="958"/>
        <w:spacing w:after="0" w:line="256" w:lineRule="auto"/>
        <w:tabs>
          <w:tab w:leader="none" w:pos="940" w:val="left"/>
        </w:tabs>
        <w:rPr>
          <w:sz w:val="20"/>
          <w:szCs w:val="20"/>
          <w:color w:val="auto"/>
        </w:rPr>
      </w:pPr>
      <w:r>
        <w:rPr>
          <w:rFonts w:ascii="Arial" w:cs="Arial" w:eastAsia="Arial" w:hAnsi="Arial"/>
          <w:sz w:val="22"/>
          <w:szCs w:val="22"/>
          <w:b w:val="1"/>
          <w:bCs w:val="1"/>
          <w:color w:val="auto"/>
        </w:rPr>
        <w:t>Item 3.</w:t>
        <w:tab/>
        <w:t>If this statement is filed pursuant to 240.13d-1(b) or 240.13d-2(b) or (c), check whether the person filing is a:</w:t>
      </w:r>
    </w:p>
    <w:p>
      <w:pPr>
        <w:spacing w:after="0" w:line="61" w:lineRule="exact"/>
        <w:rPr>
          <w:sz w:val="20"/>
          <w:szCs w:val="20"/>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Broker or dealer registered under section 15 of the Act (15 U.S.C. 78c).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Bank as defined in section 3(a)(6) of the Act (15 U.S.C. 78c).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Insurance company as defined in section 3(a)(19) of the Act (15 U.S.C. 78c).</w:t>
      </w:r>
    </w:p>
    <w:p>
      <w:pPr>
        <w:spacing w:after="0" w:line="98" w:lineRule="exact"/>
        <w:rPr>
          <w:rFonts w:ascii="Arial" w:cs="Arial" w:eastAsia="Arial" w:hAnsi="Arial"/>
          <w:sz w:val="22"/>
          <w:szCs w:val="22"/>
          <w:color w:val="auto"/>
        </w:rPr>
      </w:pPr>
    </w:p>
    <w:p>
      <w:pPr>
        <w:ind w:left="2140" w:right="1459" w:hanging="1179"/>
        <w:spacing w:after="0" w:line="251" w:lineRule="auto"/>
        <w:tabs>
          <w:tab w:leader="none" w:pos="138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of 1940 (15 U.S.C 80a-8).</w:t>
      </w:r>
    </w:p>
    <w:p>
      <w:pPr>
        <w:spacing w:after="0" w:line="65" w:lineRule="exact"/>
        <w:rPr>
          <w:sz w:val="20"/>
          <w:szCs w:val="20"/>
          <w:color w:val="auto"/>
        </w:rPr>
      </w:pPr>
    </w:p>
    <w:tbl>
      <w:tblPr>
        <w:tblLayout w:type="fixed"/>
        <w:tblInd w:w="960" w:type="dxa"/>
        <w:tblCellMar>
          <w:top w:w="0" w:type="dxa"/>
          <w:left w:w="0" w:type="dxa"/>
          <w:bottom w:w="0" w:type="dxa"/>
          <w:right w:w="0" w:type="dxa"/>
        </w:tblCellMar>
      </w:tblPr>
      <w:tr>
        <w:trPr>
          <w:trHeight w:val="275"/>
        </w:trPr>
        <w:tc>
          <w:tcPr>
            <w:tcW w:w="340" w:type="dxa"/>
            <w:vAlign w:val="bottom"/>
          </w:tcPr>
          <w:p>
            <w:pPr>
              <w:spacing w:after="0"/>
              <w:rPr>
                <w:sz w:val="20"/>
                <w:szCs w:val="20"/>
                <w:color w:val="auto"/>
              </w:rPr>
            </w:pPr>
            <w:r>
              <w:rPr>
                <w:rFonts w:ascii="Arial" w:cs="Arial" w:eastAsia="Arial" w:hAnsi="Arial"/>
                <w:sz w:val="22"/>
                <w:szCs w:val="22"/>
                <w:color w:val="auto"/>
              </w:rPr>
              <w:t>(e)</w:t>
            </w:r>
          </w:p>
        </w:tc>
        <w:tc>
          <w:tcPr>
            <w:tcW w:w="620" w:type="dxa"/>
            <w:vAlign w:val="bottom"/>
          </w:tcPr>
          <w:p>
            <w:pPr>
              <w:ind w:left="100"/>
              <w:spacing w:after="0"/>
              <w:rPr>
                <w:sz w:val="20"/>
                <w:szCs w:val="20"/>
                <w:color w:val="auto"/>
              </w:rPr>
            </w:pPr>
            <w:r>
              <w:rPr>
                <w:rFonts w:ascii="Arial" w:cs="Arial" w:eastAsia="Arial" w:hAnsi="Arial"/>
                <w:sz w:val="22"/>
                <w:szCs w:val="22"/>
                <w:color w:val="auto"/>
              </w:rPr>
              <w:t>[]</w:t>
            </w:r>
          </w:p>
        </w:tc>
        <w:tc>
          <w:tcPr>
            <w:tcW w:w="6940" w:type="dxa"/>
            <w:vAlign w:val="bottom"/>
          </w:tcPr>
          <w:p>
            <w:pPr>
              <w:ind w:left="220"/>
              <w:spacing w:after="0"/>
              <w:rPr>
                <w:sz w:val="20"/>
                <w:szCs w:val="20"/>
                <w:color w:val="auto"/>
              </w:rPr>
            </w:pPr>
            <w:r>
              <w:rPr>
                <w:rFonts w:ascii="Arial" w:cs="Arial" w:eastAsia="Arial" w:hAnsi="Arial"/>
                <w:sz w:val="22"/>
                <w:szCs w:val="22"/>
                <w:color w:val="auto"/>
              </w:rPr>
              <w:t>An investment adviser in accordance with 240.13d-1(b)(1)(ii)(E);</w:t>
            </w:r>
          </w:p>
        </w:tc>
      </w:tr>
      <w:tr>
        <w:trPr>
          <w:trHeight w:val="320"/>
        </w:trPr>
        <w:tc>
          <w:tcPr>
            <w:tcW w:w="340" w:type="dxa"/>
            <w:vAlign w:val="bottom"/>
          </w:tcPr>
          <w:p>
            <w:pPr>
              <w:spacing w:after="0"/>
              <w:rPr>
                <w:sz w:val="20"/>
                <w:szCs w:val="20"/>
                <w:color w:val="auto"/>
              </w:rPr>
            </w:pPr>
            <w:r>
              <w:rPr>
                <w:rFonts w:ascii="Arial" w:cs="Arial" w:eastAsia="Arial" w:hAnsi="Arial"/>
                <w:sz w:val="22"/>
                <w:szCs w:val="22"/>
                <w:color w:val="auto"/>
              </w:rPr>
              <w:t>(f)</w:t>
            </w:r>
          </w:p>
        </w:tc>
        <w:tc>
          <w:tcPr>
            <w:tcW w:w="620" w:type="dxa"/>
            <w:vAlign w:val="bottom"/>
          </w:tcPr>
          <w:p>
            <w:pPr>
              <w:ind w:left="100"/>
              <w:spacing w:after="0"/>
              <w:rPr>
                <w:sz w:val="20"/>
                <w:szCs w:val="20"/>
                <w:color w:val="auto"/>
              </w:rPr>
            </w:pPr>
            <w:r>
              <w:rPr>
                <w:rFonts w:ascii="Arial" w:cs="Arial" w:eastAsia="Arial" w:hAnsi="Arial"/>
                <w:sz w:val="22"/>
                <w:szCs w:val="22"/>
                <w:color w:val="auto"/>
              </w:rPr>
              <w:t>[]</w:t>
            </w:r>
          </w:p>
        </w:tc>
        <w:tc>
          <w:tcPr>
            <w:tcW w:w="6940" w:type="dxa"/>
            <w:vAlign w:val="bottom"/>
          </w:tcPr>
          <w:p>
            <w:pPr>
              <w:ind w:left="220"/>
              <w:spacing w:after="0"/>
              <w:rPr>
                <w:sz w:val="20"/>
                <w:szCs w:val="20"/>
                <w:color w:val="auto"/>
              </w:rPr>
            </w:pPr>
            <w:r>
              <w:rPr>
                <w:rFonts w:ascii="Arial" w:cs="Arial" w:eastAsia="Arial" w:hAnsi="Arial"/>
                <w:sz w:val="22"/>
                <w:szCs w:val="22"/>
                <w:color w:val="auto"/>
                <w:w w:val="92"/>
              </w:rPr>
              <w:t>An employee benefit plan or endowment fund in accordance with 240.13d-</w:t>
            </w:r>
          </w:p>
        </w:tc>
      </w:tr>
      <w:tr>
        <w:trPr>
          <w:trHeight w:val="275"/>
        </w:trPr>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40" w:type="dxa"/>
            <w:vAlign w:val="bottom"/>
          </w:tcPr>
          <w:p>
            <w:pPr>
              <w:ind w:left="220"/>
              <w:spacing w:after="0"/>
              <w:rPr>
                <w:sz w:val="20"/>
                <w:szCs w:val="20"/>
                <w:color w:val="auto"/>
              </w:rPr>
            </w:pPr>
            <w:r>
              <w:rPr>
                <w:rFonts w:ascii="Arial" w:cs="Arial" w:eastAsia="Arial" w:hAnsi="Arial"/>
                <w:sz w:val="22"/>
                <w:szCs w:val="22"/>
                <w:color w:val="auto"/>
              </w:rPr>
              <w:t>1(b)(1)(ii)(F);</w:t>
            </w:r>
          </w:p>
        </w:tc>
      </w:tr>
      <w:tr>
        <w:trPr>
          <w:trHeight w:val="351"/>
        </w:trPr>
        <w:tc>
          <w:tcPr>
            <w:tcW w:w="340" w:type="dxa"/>
            <w:vAlign w:val="bottom"/>
          </w:tcPr>
          <w:p>
            <w:pPr>
              <w:spacing w:after="0"/>
              <w:rPr>
                <w:sz w:val="20"/>
                <w:szCs w:val="20"/>
                <w:color w:val="auto"/>
              </w:rPr>
            </w:pPr>
            <w:r>
              <w:rPr>
                <w:rFonts w:ascii="Arial" w:cs="Arial" w:eastAsia="Arial" w:hAnsi="Arial"/>
                <w:sz w:val="22"/>
                <w:szCs w:val="22"/>
                <w:color w:val="auto"/>
              </w:rPr>
              <w:t>(g)</w:t>
            </w:r>
          </w:p>
        </w:tc>
        <w:tc>
          <w:tcPr>
            <w:tcW w:w="620" w:type="dxa"/>
            <w:vAlign w:val="bottom"/>
          </w:tcPr>
          <w:p>
            <w:pPr>
              <w:ind w:left="100"/>
              <w:spacing w:after="0"/>
              <w:rPr>
                <w:sz w:val="20"/>
                <w:szCs w:val="20"/>
                <w:color w:val="auto"/>
              </w:rPr>
            </w:pPr>
            <w:r>
              <w:rPr>
                <w:rFonts w:ascii="Arial" w:cs="Arial" w:eastAsia="Arial" w:hAnsi="Arial"/>
                <w:sz w:val="22"/>
                <w:szCs w:val="22"/>
                <w:color w:val="auto"/>
              </w:rPr>
              <w:t>[X]</w:t>
            </w:r>
          </w:p>
        </w:tc>
        <w:tc>
          <w:tcPr>
            <w:tcW w:w="6940" w:type="dxa"/>
            <w:vAlign w:val="bottom"/>
          </w:tcPr>
          <w:p>
            <w:pPr>
              <w:ind w:left="220"/>
              <w:spacing w:after="0"/>
              <w:rPr>
                <w:sz w:val="20"/>
                <w:szCs w:val="20"/>
                <w:color w:val="auto"/>
              </w:rPr>
            </w:pPr>
            <w:r>
              <w:rPr>
                <w:rFonts w:ascii="Arial" w:cs="Arial" w:eastAsia="Arial" w:hAnsi="Arial"/>
                <w:sz w:val="22"/>
                <w:szCs w:val="22"/>
                <w:color w:val="auto"/>
                <w:w w:val="89"/>
              </w:rPr>
              <w:t>A parent holding company or control person in accordance with 240.13d-1(b)</w:t>
            </w:r>
          </w:p>
        </w:tc>
      </w:tr>
    </w:tbl>
    <w:p>
      <w:pPr>
        <w:sectPr>
          <w:pgSz w:w="11900" w:h="16894" w:orient="portrait"/>
          <w:cols w:equalWidth="0" w:num="1">
            <w:col w:w="10159"/>
          </w:cols>
          <w:pgMar w:left="300" w:top="118"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980" w:type="dxa"/>
            <w:vAlign w:val="bottom"/>
          </w:tcPr>
          <w:p>
            <w:pPr>
              <w:ind w:left="300"/>
              <w:spacing w:after="0"/>
              <w:rPr>
                <w:sz w:val="20"/>
                <w:szCs w:val="20"/>
                <w:color w:val="auto"/>
              </w:rPr>
            </w:pPr>
            <w:r>
              <w:rPr>
                <w:rFonts w:ascii="Arial" w:cs="Arial" w:eastAsia="Arial" w:hAnsi="Arial"/>
                <w:sz w:val="22"/>
                <w:szCs w:val="22"/>
                <w:color w:val="auto"/>
              </w:rPr>
              <w:t>(1)(ii)(G);</w:t>
            </w:r>
          </w:p>
        </w:tc>
      </w:tr>
      <w:tr>
        <w:trPr>
          <w:trHeight w:val="320"/>
        </w:trPr>
        <w:tc>
          <w:tcPr>
            <w:tcW w:w="1300" w:type="dxa"/>
            <w:vAlign w:val="bottom"/>
          </w:tcPr>
          <w:p>
            <w:pPr>
              <w:ind w:left="960"/>
              <w:spacing w:after="0"/>
              <w:rPr>
                <w:sz w:val="20"/>
                <w:szCs w:val="20"/>
                <w:color w:val="auto"/>
              </w:rPr>
            </w:pPr>
            <w:r>
              <w:rPr>
                <w:rFonts w:ascii="Arial" w:cs="Arial" w:eastAsia="Arial" w:hAnsi="Arial"/>
                <w:sz w:val="22"/>
                <w:szCs w:val="22"/>
                <w:color w:val="auto"/>
              </w:rPr>
              <w:t>(h)</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w w:val="95"/>
              </w:rPr>
              <w:t>A savings associations as defined in Section 3(b) of the Federal Deposit</w:t>
            </w:r>
          </w:p>
        </w:tc>
      </w:tr>
      <w:tr>
        <w:trPr>
          <w:trHeight w:val="275"/>
        </w:trPr>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980" w:type="dxa"/>
            <w:vAlign w:val="bottom"/>
          </w:tcPr>
          <w:p>
            <w:pPr>
              <w:ind w:left="300"/>
              <w:spacing w:after="0"/>
              <w:rPr>
                <w:sz w:val="20"/>
                <w:szCs w:val="20"/>
                <w:color w:val="auto"/>
              </w:rPr>
            </w:pPr>
            <w:r>
              <w:rPr>
                <w:rFonts w:ascii="Arial" w:cs="Arial" w:eastAsia="Arial" w:hAnsi="Arial"/>
                <w:sz w:val="22"/>
                <w:szCs w:val="22"/>
                <w:color w:val="auto"/>
              </w:rPr>
              <w:t>Insurance Act (12 U.S.C. 1813);</w:t>
            </w:r>
          </w:p>
        </w:tc>
      </w:tr>
      <w:tr>
        <w:trPr>
          <w:trHeight w:val="320"/>
        </w:trPr>
        <w:tc>
          <w:tcPr>
            <w:tcW w:w="1300" w:type="dxa"/>
            <w:vAlign w:val="bottom"/>
          </w:tcPr>
          <w:p>
            <w:pPr>
              <w:ind w:left="960"/>
              <w:spacing w:after="0"/>
              <w:rPr>
                <w:sz w:val="20"/>
                <w:szCs w:val="20"/>
                <w:color w:val="auto"/>
              </w:rPr>
            </w:pPr>
            <w:r>
              <w:rPr>
                <w:rFonts w:ascii="Arial" w:cs="Arial" w:eastAsia="Arial" w:hAnsi="Arial"/>
                <w:sz w:val="22"/>
                <w:szCs w:val="22"/>
                <w:color w:val="auto"/>
              </w:rPr>
              <w:t>(i)</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w w:val="90"/>
              </w:rPr>
              <w:t>A church plan that is excluded from the definition of an investment company</w:t>
            </w:r>
          </w:p>
        </w:tc>
      </w:tr>
      <w:tr>
        <w:trPr>
          <w:trHeight w:val="243"/>
        </w:trPr>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80" w:type="dxa"/>
            <w:vAlign w:val="bottom"/>
          </w:tcPr>
          <w:p>
            <w:pPr>
              <w:ind w:left="300"/>
              <w:spacing w:after="0" w:line="243" w:lineRule="exact"/>
              <w:rPr>
                <w:sz w:val="20"/>
                <w:szCs w:val="20"/>
                <w:color w:val="auto"/>
              </w:rPr>
            </w:pPr>
            <w:r>
              <w:rPr>
                <w:rFonts w:ascii="Arial" w:cs="Arial" w:eastAsia="Arial" w:hAnsi="Arial"/>
                <w:sz w:val="22"/>
                <w:szCs w:val="22"/>
                <w:color w:val="auto"/>
                <w:w w:val="92"/>
              </w:rPr>
              <w:t>under section 3(c)(14) of the Investment Company Act of 1940 (15 U.S.C.</w:t>
            </w:r>
          </w:p>
        </w:tc>
      </w:tr>
      <w:tr>
        <w:trPr>
          <w:trHeight w:val="275"/>
        </w:trPr>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980" w:type="dxa"/>
            <w:vAlign w:val="bottom"/>
          </w:tcPr>
          <w:p>
            <w:pPr>
              <w:ind w:left="300"/>
              <w:spacing w:after="0"/>
              <w:rPr>
                <w:sz w:val="20"/>
                <w:szCs w:val="20"/>
                <w:color w:val="auto"/>
              </w:rPr>
            </w:pPr>
            <w:r>
              <w:rPr>
                <w:rFonts w:ascii="Arial" w:cs="Arial" w:eastAsia="Arial" w:hAnsi="Arial"/>
                <w:sz w:val="22"/>
                <w:szCs w:val="22"/>
                <w:color w:val="auto"/>
              </w:rPr>
              <w:t>80a-3);</w:t>
            </w:r>
          </w:p>
        </w:tc>
      </w:tr>
      <w:tr>
        <w:trPr>
          <w:trHeight w:val="351"/>
        </w:trPr>
        <w:tc>
          <w:tcPr>
            <w:tcW w:w="1300" w:type="dxa"/>
            <w:vAlign w:val="bottom"/>
          </w:tcPr>
          <w:p>
            <w:pPr>
              <w:ind w:left="960"/>
              <w:spacing w:after="0"/>
              <w:rPr>
                <w:sz w:val="20"/>
                <w:szCs w:val="20"/>
                <w:color w:val="auto"/>
              </w:rPr>
            </w:pPr>
            <w:r>
              <w:rPr>
                <w:rFonts w:ascii="Arial" w:cs="Arial" w:eastAsia="Arial" w:hAnsi="Arial"/>
                <w:sz w:val="22"/>
                <w:szCs w:val="22"/>
                <w:color w:val="auto"/>
              </w:rPr>
              <w:t>(j)</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rPr>
              <w:t>Group, in accordance with 240.13d-1(b)(1)(ii)(J).</w:t>
            </w:r>
          </w:p>
        </w:tc>
      </w:tr>
      <w:tr>
        <w:trPr>
          <w:trHeight w:val="702"/>
        </w:trPr>
        <w:tc>
          <w:tcPr>
            <w:tcW w:w="13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520" w:type="dxa"/>
            <w:vAlign w:val="bottom"/>
            <w:gridSpan w:val="2"/>
          </w:tcPr>
          <w:p>
            <w:pPr>
              <w:ind w:left="100"/>
              <w:spacing w:after="0"/>
              <w:rPr>
                <w:sz w:val="20"/>
                <w:szCs w:val="20"/>
                <w:color w:val="auto"/>
              </w:rPr>
            </w:pPr>
            <w:r>
              <w:rPr>
                <w:rFonts w:ascii="Arial" w:cs="Arial" w:eastAsia="Arial" w:hAnsi="Arial"/>
                <w:sz w:val="22"/>
                <w:szCs w:val="22"/>
                <w:b w:val="1"/>
                <w:bCs w:val="1"/>
                <w:color w:val="auto"/>
              </w:rPr>
              <w:t>Ownership.</w:t>
            </w:r>
          </w:p>
        </w:tc>
      </w:tr>
    </w:tbl>
    <w:p>
      <w:pPr>
        <w:spacing w:after="0" w:line="77"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400" w:hanging="439"/>
        <w:spacing w:after="0"/>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14,604,918* (See Exhibit 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35.04* (See Exhibit 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14,604,918* (See Exhibit C)</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0* (See Exhibit C)</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27,058* (See Exhibit C)</w:t>
      </w:r>
    </w:p>
    <w:p>
      <w:pPr>
        <w:spacing w:after="0" w:line="132" w:lineRule="exact"/>
        <w:rPr>
          <w:rFonts w:ascii="Arial" w:cs="Arial" w:eastAsia="Arial" w:hAnsi="Arial"/>
          <w:sz w:val="19"/>
          <w:szCs w:val="19"/>
          <w:color w:val="auto"/>
        </w:rPr>
      </w:pPr>
    </w:p>
    <w:p>
      <w:pPr>
        <w:ind w:left="2140" w:hanging="747"/>
        <w:spacing w:after="0"/>
        <w:tabs>
          <w:tab w:leader="none" w:pos="214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Shared power to dispose or to direct the disposition of 0* (See Exhibit 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104" w:lineRule="exact"/>
        <w:rPr>
          <w:sz w:val="20"/>
          <w:szCs w:val="20"/>
          <w:color w:val="auto"/>
        </w:rPr>
      </w:pPr>
    </w:p>
    <w:p>
      <w:pPr>
        <w:ind w:left="1400" w:right="5939" w:hanging="439"/>
        <w:spacing w:after="0" w:line="326" w:lineRule="auto"/>
        <w:tabs>
          <w:tab w:leader="none" w:pos="14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Names of Reporting Persons. Wells Fargo Bank, N.A.</w:t>
      </w:r>
    </w:p>
    <w:p>
      <w:pPr>
        <w:spacing w:after="0" w:line="1" w:lineRule="exact"/>
        <w:rPr>
          <w:sz w:val="20"/>
          <w:szCs w:val="20"/>
          <w:color w:val="auto"/>
        </w:rPr>
      </w:pPr>
    </w:p>
    <w:p>
      <w:pPr>
        <w:ind w:left="1400" w:right="7719" w:hanging="7"/>
        <w:spacing w:after="0" w:line="328" w:lineRule="auto"/>
        <w:tabs>
          <w:tab w:leader="none" w:pos="1706" w:val="left"/>
        </w:tabs>
        <w:numPr>
          <w:ilvl w:val="1"/>
          <w:numId w:val="13"/>
        </w:numPr>
        <w:rPr>
          <w:rFonts w:ascii="Arial" w:cs="Arial" w:eastAsia="Arial" w:hAnsi="Arial"/>
          <w:sz w:val="19"/>
          <w:szCs w:val="19"/>
          <w:color w:val="auto"/>
        </w:rPr>
      </w:pPr>
      <w:r>
        <w:rPr>
          <w:rFonts w:ascii="Arial" w:cs="Arial" w:eastAsia="Arial" w:hAnsi="Arial"/>
          <w:sz w:val="19"/>
          <w:szCs w:val="19"/>
          <w:color w:val="auto"/>
        </w:rPr>
        <w:t>Tax ID 94-1347393</w:t>
      </w:r>
    </w:p>
    <w:p>
      <w:pPr>
        <w:spacing w:after="0" w:line="348" w:lineRule="exact"/>
        <w:rPr>
          <w:rFonts w:ascii="Arial" w:cs="Arial" w:eastAsia="Arial" w:hAnsi="Arial"/>
          <w:sz w:val="19"/>
          <w:szCs w:val="19"/>
          <w:color w:val="auto"/>
        </w:rPr>
      </w:pPr>
    </w:p>
    <w:p>
      <w:pPr>
        <w:ind w:left="1400" w:hanging="439"/>
        <w:spacing w:after="0"/>
        <w:tabs>
          <w:tab w:leader="none" w:pos="14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[X]</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00" w:hanging="439"/>
        <w:spacing w:after="0"/>
        <w:tabs>
          <w:tab w:leader="none" w:pos="14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2"/>
          <w:szCs w:val="22"/>
          <w:color w:val="auto"/>
        </w:rPr>
        <w:t>4.</w:t>
        <w:tab/>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6"/>
              </w:rPr>
              <w:t>5.</w:t>
            </w:r>
          </w:p>
        </w:tc>
        <w:tc>
          <w:tcPr>
            <w:tcW w:w="6540" w:type="dxa"/>
            <w:vAlign w:val="bottom"/>
          </w:tcPr>
          <w:p>
            <w:pPr>
              <w:ind w:left="20"/>
              <w:spacing w:after="0"/>
              <w:rPr>
                <w:sz w:val="20"/>
                <w:szCs w:val="20"/>
                <w:color w:val="auto"/>
              </w:rPr>
            </w:pPr>
            <w:r>
              <w:rPr>
                <w:rFonts w:ascii="Arial" w:cs="Arial" w:eastAsia="Arial" w:hAnsi="Arial"/>
                <w:sz w:val="22"/>
                <w:szCs w:val="22"/>
                <w:color w:val="auto"/>
              </w:rPr>
              <w:t>Sole Voting Power 14,593,860* (See Exhibit C)</w:t>
            </w: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20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6"/>
              </w:rPr>
              <w:t>6.</w:t>
            </w:r>
          </w:p>
        </w:tc>
        <w:tc>
          <w:tcPr>
            <w:tcW w:w="65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 (See Exhibit C)</w:t>
            </w:r>
          </w:p>
        </w:tc>
        <w:tc>
          <w:tcPr>
            <w:tcW w:w="0" w:type="dxa"/>
            <w:vAlign w:val="bottom"/>
          </w:tcPr>
          <w:p>
            <w:pPr>
              <w:spacing w:after="0"/>
              <w:rPr>
                <w:sz w:val="1"/>
                <w:szCs w:val="1"/>
                <w:color w:val="auto"/>
              </w:rPr>
            </w:pPr>
          </w:p>
        </w:tc>
      </w:tr>
      <w:tr>
        <w:trPr>
          <w:trHeight w:val="261"/>
        </w:trPr>
        <w:tc>
          <w:tcPr>
            <w:tcW w:w="214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200" w:type="dxa"/>
            <w:vAlign w:val="bottom"/>
            <w:tcBorders>
              <w:bottom w:val="single" w:sz="8" w:color="808080"/>
            </w:tcBorders>
          </w:tcPr>
          <w:p>
            <w:pPr>
              <w:spacing w:after="0"/>
              <w:rPr>
                <w:sz w:val="22"/>
                <w:szCs w:val="22"/>
                <w:color w:val="auto"/>
              </w:rPr>
            </w:pPr>
          </w:p>
        </w:tc>
        <w:tc>
          <w:tcPr>
            <w:tcW w:w="65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86"/>
              </w:rPr>
              <w:t>7.</w:t>
            </w:r>
          </w:p>
        </w:tc>
        <w:tc>
          <w:tcPr>
            <w:tcW w:w="6540" w:type="dxa"/>
            <w:vAlign w:val="bottom"/>
            <w:vMerge w:val="restart"/>
          </w:tcPr>
          <w:p>
            <w:pPr>
              <w:ind w:left="20"/>
              <w:spacing w:after="0"/>
              <w:rPr>
                <w:sz w:val="20"/>
                <w:szCs w:val="20"/>
                <w:color w:val="auto"/>
              </w:rPr>
            </w:pPr>
            <w:r>
              <w:rPr>
                <w:rFonts w:ascii="Arial" w:cs="Arial" w:eastAsia="Arial" w:hAnsi="Arial"/>
                <w:sz w:val="22"/>
                <w:szCs w:val="22"/>
                <w:color w:val="auto"/>
              </w:rPr>
              <w:t>Sole Dispositive Power 16,793* (See Exhibit C)</w:t>
            </w:r>
          </w:p>
        </w:tc>
        <w:tc>
          <w:tcPr>
            <w:tcW w:w="0" w:type="dxa"/>
            <w:vAlign w:val="bottom"/>
          </w:tcPr>
          <w:p>
            <w:pPr>
              <w:spacing w:after="0"/>
              <w:rPr>
                <w:sz w:val="1"/>
                <w:szCs w:val="1"/>
                <w:color w:val="auto"/>
              </w:rPr>
            </w:pPr>
          </w:p>
        </w:tc>
      </w:tr>
      <w:tr>
        <w:trPr>
          <w:trHeight w:val="243"/>
        </w:trPr>
        <w:tc>
          <w:tcPr>
            <w:tcW w:w="214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200" w:type="dxa"/>
            <w:vAlign w:val="bottom"/>
            <w:vMerge w:val="continue"/>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200" w:type="dxa"/>
            <w:vAlign w:val="bottom"/>
            <w:tcBorders>
              <w:bottom w:val="single" w:sz="8" w:color="808080"/>
            </w:tcBorders>
          </w:tcPr>
          <w:p>
            <w:pPr>
              <w:spacing w:after="0"/>
              <w:rPr>
                <w:sz w:val="20"/>
                <w:szCs w:val="20"/>
                <w:color w:val="auto"/>
              </w:rPr>
            </w:pPr>
          </w:p>
        </w:tc>
        <w:tc>
          <w:tcPr>
            <w:tcW w:w="65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-906145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-460375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2360" w:hanging="211"/>
        <w:spacing w:after="0"/>
        <w:tabs>
          <w:tab w:leader="none" w:pos="236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Dispositive Power 0* (See Exhibit C)</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00" w:right="1419" w:hanging="439"/>
        <w:spacing w:after="0" w:line="251"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14,594,653* (See Exhibit C)</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1400" w:right="2399" w:hanging="439"/>
        <w:spacing w:after="0" w:line="251"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-1078230</wp:posOffset>
            </wp:positionV>
            <wp:extent cx="563816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-478155</wp:posOffset>
            </wp:positionV>
            <wp:extent cx="563816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263" w:gutter="0" w:footer="0" w:header="0"/>
        </w:sectPr>
      </w:pPr>
    </w:p>
    <w:p>
      <w:pPr>
        <w:spacing w:after="0" w:line="200" w:lineRule="exact"/>
        <w:rPr>
          <w:sz w:val="20"/>
          <w:szCs w:val="20"/>
          <w:color w:val="auto"/>
        </w:rPr>
      </w:pPr>
    </w:p>
    <w:p>
      <w:pPr>
        <w:spacing w:after="0" w:line="216"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Percent of Class Represented by Amount in Row (9) 35.02* (See Exhibit 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263" w:gutter="0" w:footer="0" w:header="0"/>
          <w:type w:val="continuous"/>
        </w:sectPr>
      </w:pPr>
    </w:p>
    <w:bookmarkStart w:id="3" w:name="page4"/>
    <w:bookmarkEnd w:id="3"/>
    <w:p>
      <w:pPr>
        <w:ind w:left="960"/>
        <w:spacing w:after="0"/>
        <w:rPr>
          <w:sz w:val="20"/>
          <w:szCs w:val="20"/>
          <w:color w:val="auto"/>
        </w:rPr>
      </w:pPr>
      <w:r>
        <w:rPr>
          <w:rFonts w:ascii="Arial" w:cs="Arial" w:eastAsia="Arial" w:hAnsi="Arial"/>
          <w:sz w:val="22"/>
          <w:szCs w:val="22"/>
          <w:color w:val="auto"/>
        </w:rPr>
        <w:t>12.  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1500" w:right="6399" w:hanging="363"/>
        <w:spacing w:after="0" w:line="326" w:lineRule="auto"/>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Name of Issuer CommVault Systems, Inc.</w:t>
      </w:r>
    </w:p>
    <w:p>
      <w:pPr>
        <w:ind w:left="1500" w:right="4579" w:hanging="363"/>
        <w:spacing w:after="0" w:line="447" w:lineRule="auto"/>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Address of Issuer's Principal Executive Offices 2 Crescent Place, Oceanport NJ 07757-0900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1500" w:right="6579" w:hanging="363"/>
        <w:spacing w:after="0" w:line="326" w:lineRule="auto"/>
        <w:tabs>
          <w:tab w:leader="none" w:pos="15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Name of Person Filing Wells Fargo Bank, N.A.</w:t>
      </w:r>
    </w:p>
    <w:p>
      <w:pPr>
        <w:ind w:left="1500" w:right="3519" w:hanging="363"/>
        <w:spacing w:after="0" w:line="326" w:lineRule="auto"/>
        <w:tabs>
          <w:tab w:leader="none" w:pos="15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101 N. Phillips Avenue, Sioux Falls, SD 57104</w:t>
      </w:r>
    </w:p>
    <w:p>
      <w:pPr>
        <w:ind w:left="1500" w:hanging="363"/>
        <w:spacing w:after="0"/>
        <w:tabs>
          <w:tab w:leader="none" w:pos="15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8"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United States of America</w:t>
      </w:r>
    </w:p>
    <w:p>
      <w:pPr>
        <w:spacing w:after="0" w:line="80" w:lineRule="exact"/>
        <w:rPr>
          <w:rFonts w:ascii="Arial" w:cs="Arial" w:eastAsia="Arial" w:hAnsi="Arial"/>
          <w:sz w:val="22"/>
          <w:szCs w:val="22"/>
          <w:color w:val="auto"/>
        </w:rPr>
      </w:pPr>
    </w:p>
    <w:p>
      <w:pPr>
        <w:ind w:left="1500" w:right="6359" w:hanging="363"/>
        <w:spacing w:after="0" w:line="326" w:lineRule="auto"/>
        <w:tabs>
          <w:tab w:leader="none" w:pos="15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1500" w:right="7279" w:hanging="363"/>
        <w:spacing w:after="0" w:line="328" w:lineRule="auto"/>
        <w:tabs>
          <w:tab w:leader="none" w:pos="15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CUSIP Number 204166102</w:t>
      </w:r>
    </w:p>
    <w:p>
      <w:pPr>
        <w:spacing w:after="0" w:line="342" w:lineRule="exact"/>
        <w:rPr>
          <w:sz w:val="20"/>
          <w:szCs w:val="20"/>
          <w:color w:val="auto"/>
        </w:rPr>
      </w:pPr>
    </w:p>
    <w:p>
      <w:pPr>
        <w:ind w:left="1140" w:right="1859" w:hanging="1134"/>
        <w:spacing w:after="0" w:line="256" w:lineRule="auto"/>
        <w:tabs>
          <w:tab w:leader="none" w:pos="11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240.13d-1(b) or 240.13d-2(b) or (c), check whether the person filing is a:</w:t>
      </w:r>
    </w:p>
    <w:p>
      <w:pPr>
        <w:spacing w:after="0" w:line="61" w:lineRule="exact"/>
        <w:rPr>
          <w:sz w:val="20"/>
          <w:szCs w:val="20"/>
          <w:color w:val="auto"/>
        </w:rPr>
      </w:pPr>
    </w:p>
    <w:p>
      <w:pPr>
        <w:ind w:left="1500" w:hanging="363"/>
        <w:spacing w:after="0"/>
        <w:tabs>
          <w:tab w:leader="none" w:pos="15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 ]    Broker or dealer registered under section 15 of the Act (15 U.S.C. 78c).</w:t>
      </w:r>
    </w:p>
    <w:p>
      <w:pPr>
        <w:spacing w:after="0" w:line="109" w:lineRule="exact"/>
        <w:rPr>
          <w:rFonts w:ascii="Arial" w:cs="Arial" w:eastAsia="Arial" w:hAnsi="Arial"/>
          <w:sz w:val="21"/>
          <w:szCs w:val="21"/>
          <w:color w:val="auto"/>
        </w:rPr>
      </w:pPr>
    </w:p>
    <w:p>
      <w:pPr>
        <w:ind w:left="1500" w:hanging="363"/>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[X ]  Bank as defined in section 3(a)(6) of the Act (15 U.S.C. 78c).</w:t>
      </w:r>
    </w:p>
    <w:p>
      <w:pPr>
        <w:spacing w:after="0" w:line="98" w:lineRule="exact"/>
        <w:rPr>
          <w:rFonts w:ascii="Arial" w:cs="Arial" w:eastAsia="Arial" w:hAnsi="Arial"/>
          <w:sz w:val="22"/>
          <w:szCs w:val="22"/>
          <w:color w:val="auto"/>
        </w:rPr>
      </w:pPr>
    </w:p>
    <w:p>
      <w:pPr>
        <w:ind w:left="1500" w:hanging="363"/>
        <w:spacing w:after="0"/>
        <w:tabs>
          <w:tab w:leader="none" w:pos="15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    Insurance company as defined in section 3(a)(19) of the Act (15 U.S.C. 78c).</w:t>
      </w:r>
    </w:p>
    <w:p>
      <w:pPr>
        <w:spacing w:after="0" w:line="132" w:lineRule="exact"/>
        <w:rPr>
          <w:rFonts w:ascii="Arial" w:cs="Arial" w:eastAsia="Arial" w:hAnsi="Arial"/>
          <w:sz w:val="19"/>
          <w:szCs w:val="19"/>
          <w:color w:val="auto"/>
        </w:rPr>
      </w:pPr>
    </w:p>
    <w:p>
      <w:pPr>
        <w:ind w:left="2060" w:right="1539" w:hanging="923"/>
        <w:spacing w:after="0" w:line="251" w:lineRule="auto"/>
        <w:tabs>
          <w:tab w:leader="none" w:pos="1493" w:val="left"/>
        </w:tabs>
        <w:numPr>
          <w:ilvl w:val="0"/>
          <w:numId w:val="19"/>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40" w:type="dxa"/>
            <w:vAlign w:val="bottom"/>
          </w:tcPr>
          <w:p>
            <w:pPr>
              <w:ind w:left="1140"/>
              <w:spacing w:after="0"/>
              <w:rPr>
                <w:sz w:val="20"/>
                <w:szCs w:val="20"/>
                <w:color w:val="auto"/>
              </w:rPr>
            </w:pPr>
            <w:r>
              <w:rPr>
                <w:rFonts w:ascii="Arial" w:cs="Arial" w:eastAsia="Arial" w:hAnsi="Arial"/>
                <w:sz w:val="22"/>
                <w:szCs w:val="22"/>
                <w:color w:val="auto"/>
              </w:rPr>
              <w:t>(e)</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rPr>
              <w:t>An investment adviser in accordance with 240.13d-1(b)(1)(ii)(E);</w:t>
            </w:r>
          </w:p>
        </w:tc>
      </w:tr>
      <w:tr>
        <w:trPr>
          <w:trHeight w:val="320"/>
        </w:trPr>
        <w:tc>
          <w:tcPr>
            <w:tcW w:w="1440" w:type="dxa"/>
            <w:vAlign w:val="bottom"/>
          </w:tcPr>
          <w:p>
            <w:pPr>
              <w:ind w:left="1140"/>
              <w:spacing w:after="0"/>
              <w:rPr>
                <w:sz w:val="20"/>
                <w:szCs w:val="20"/>
                <w:color w:val="auto"/>
              </w:rPr>
            </w:pPr>
            <w:r>
              <w:rPr>
                <w:rFonts w:ascii="Arial" w:cs="Arial" w:eastAsia="Arial" w:hAnsi="Arial"/>
                <w:sz w:val="22"/>
                <w:szCs w:val="22"/>
                <w:color w:val="auto"/>
              </w:rPr>
              <w:t>(f)</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w w:val="92"/>
              </w:rPr>
              <w:t>An employee benefit plan or endowment fund in accordance with 240.13d-</w:t>
            </w:r>
          </w:p>
        </w:tc>
      </w:tr>
      <w:tr>
        <w:trPr>
          <w:trHeight w:val="275"/>
        </w:trPr>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920" w:type="dxa"/>
            <w:vAlign w:val="bottom"/>
          </w:tcPr>
          <w:p>
            <w:pPr>
              <w:ind w:left="200"/>
              <w:spacing w:after="0"/>
              <w:rPr>
                <w:sz w:val="20"/>
                <w:szCs w:val="20"/>
                <w:color w:val="auto"/>
              </w:rPr>
            </w:pPr>
            <w:r>
              <w:rPr>
                <w:rFonts w:ascii="Arial" w:cs="Arial" w:eastAsia="Arial" w:hAnsi="Arial"/>
                <w:sz w:val="22"/>
                <w:szCs w:val="22"/>
                <w:color w:val="auto"/>
              </w:rPr>
              <w:t>1(b)(1)(ii)(F);</w:t>
            </w:r>
          </w:p>
        </w:tc>
      </w:tr>
      <w:tr>
        <w:trPr>
          <w:trHeight w:val="320"/>
        </w:trPr>
        <w:tc>
          <w:tcPr>
            <w:tcW w:w="1440" w:type="dxa"/>
            <w:vAlign w:val="bottom"/>
          </w:tcPr>
          <w:p>
            <w:pPr>
              <w:ind w:left="1140"/>
              <w:spacing w:after="0"/>
              <w:rPr>
                <w:sz w:val="20"/>
                <w:szCs w:val="20"/>
                <w:color w:val="auto"/>
              </w:rPr>
            </w:pPr>
            <w:r>
              <w:rPr>
                <w:rFonts w:ascii="Arial" w:cs="Arial" w:eastAsia="Arial" w:hAnsi="Arial"/>
                <w:sz w:val="22"/>
                <w:szCs w:val="22"/>
                <w:color w:val="auto"/>
              </w:rPr>
              <w:t>(g)</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w w:val="89"/>
              </w:rPr>
              <w:t>A parent holding company or control person in accordance with 240.13d-1(b)</w:t>
            </w:r>
          </w:p>
        </w:tc>
      </w:tr>
      <w:tr>
        <w:trPr>
          <w:trHeight w:val="275"/>
        </w:trPr>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920" w:type="dxa"/>
            <w:vAlign w:val="bottom"/>
          </w:tcPr>
          <w:p>
            <w:pPr>
              <w:ind w:left="200"/>
              <w:spacing w:after="0"/>
              <w:rPr>
                <w:sz w:val="20"/>
                <w:szCs w:val="20"/>
                <w:color w:val="auto"/>
              </w:rPr>
            </w:pPr>
            <w:r>
              <w:rPr>
                <w:rFonts w:ascii="Arial" w:cs="Arial" w:eastAsia="Arial" w:hAnsi="Arial"/>
                <w:sz w:val="22"/>
                <w:szCs w:val="22"/>
                <w:color w:val="auto"/>
              </w:rPr>
              <w:t>(1)(ii)(G);</w:t>
            </w:r>
          </w:p>
        </w:tc>
      </w:tr>
      <w:tr>
        <w:trPr>
          <w:trHeight w:val="320"/>
        </w:trPr>
        <w:tc>
          <w:tcPr>
            <w:tcW w:w="1440" w:type="dxa"/>
            <w:vAlign w:val="bottom"/>
          </w:tcPr>
          <w:p>
            <w:pPr>
              <w:ind w:left="1140"/>
              <w:spacing w:after="0"/>
              <w:rPr>
                <w:sz w:val="20"/>
                <w:szCs w:val="20"/>
                <w:color w:val="auto"/>
              </w:rPr>
            </w:pPr>
            <w:r>
              <w:rPr>
                <w:rFonts w:ascii="Arial" w:cs="Arial" w:eastAsia="Arial" w:hAnsi="Arial"/>
                <w:sz w:val="22"/>
                <w:szCs w:val="22"/>
                <w:color w:val="auto"/>
              </w:rPr>
              <w:t>(h)</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w w:val="95"/>
              </w:rPr>
              <w:t>A savings associations as defined in Section 3(b) of the Federal Deposit</w:t>
            </w:r>
          </w:p>
        </w:tc>
      </w:tr>
      <w:tr>
        <w:trPr>
          <w:trHeight w:val="275"/>
        </w:trPr>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920" w:type="dxa"/>
            <w:vAlign w:val="bottom"/>
          </w:tcPr>
          <w:p>
            <w:pPr>
              <w:ind w:left="200"/>
              <w:spacing w:after="0"/>
              <w:rPr>
                <w:sz w:val="20"/>
                <w:szCs w:val="20"/>
                <w:color w:val="auto"/>
              </w:rPr>
            </w:pPr>
            <w:r>
              <w:rPr>
                <w:rFonts w:ascii="Arial" w:cs="Arial" w:eastAsia="Arial" w:hAnsi="Arial"/>
                <w:sz w:val="22"/>
                <w:szCs w:val="22"/>
                <w:color w:val="auto"/>
              </w:rPr>
              <w:t>Insurance Act (12 U.S.C. 1813);</w:t>
            </w:r>
          </w:p>
        </w:tc>
      </w:tr>
      <w:tr>
        <w:trPr>
          <w:trHeight w:val="320"/>
        </w:trPr>
        <w:tc>
          <w:tcPr>
            <w:tcW w:w="1440" w:type="dxa"/>
            <w:vAlign w:val="bottom"/>
          </w:tcPr>
          <w:p>
            <w:pPr>
              <w:ind w:left="1140"/>
              <w:spacing w:after="0"/>
              <w:rPr>
                <w:sz w:val="20"/>
                <w:szCs w:val="20"/>
                <w:color w:val="auto"/>
              </w:rPr>
            </w:pPr>
            <w:r>
              <w:rPr>
                <w:rFonts w:ascii="Arial" w:cs="Arial" w:eastAsia="Arial" w:hAnsi="Arial"/>
                <w:sz w:val="22"/>
                <w:szCs w:val="22"/>
                <w:color w:val="auto"/>
              </w:rPr>
              <w:t>(i)</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w w:val="90"/>
              </w:rPr>
              <w:t>A church plan that is excluded from the definition of an investment company</w:t>
            </w:r>
          </w:p>
        </w:tc>
      </w:tr>
      <w:tr>
        <w:trPr>
          <w:trHeight w:val="243"/>
        </w:trPr>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920" w:type="dxa"/>
            <w:vAlign w:val="bottom"/>
          </w:tcPr>
          <w:p>
            <w:pPr>
              <w:ind w:left="200"/>
              <w:spacing w:after="0" w:line="243" w:lineRule="exact"/>
              <w:rPr>
                <w:sz w:val="20"/>
                <w:szCs w:val="20"/>
                <w:color w:val="auto"/>
              </w:rPr>
            </w:pPr>
            <w:r>
              <w:rPr>
                <w:rFonts w:ascii="Arial" w:cs="Arial" w:eastAsia="Arial" w:hAnsi="Arial"/>
                <w:sz w:val="22"/>
                <w:szCs w:val="22"/>
                <w:color w:val="auto"/>
                <w:w w:val="93"/>
              </w:rPr>
              <w:t>under section 3(c)(14) of the Investment Company Act of 1940 (15 U.S.C.</w:t>
            </w:r>
          </w:p>
        </w:tc>
      </w:tr>
      <w:tr>
        <w:trPr>
          <w:trHeight w:val="275"/>
        </w:trPr>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920" w:type="dxa"/>
            <w:vAlign w:val="bottom"/>
          </w:tcPr>
          <w:p>
            <w:pPr>
              <w:ind w:left="200"/>
              <w:spacing w:after="0"/>
              <w:rPr>
                <w:sz w:val="20"/>
                <w:szCs w:val="20"/>
                <w:color w:val="auto"/>
              </w:rPr>
            </w:pPr>
            <w:r>
              <w:rPr>
                <w:rFonts w:ascii="Arial" w:cs="Arial" w:eastAsia="Arial" w:hAnsi="Arial"/>
                <w:sz w:val="22"/>
                <w:szCs w:val="22"/>
                <w:color w:val="auto"/>
              </w:rPr>
              <w:t>80a-3);</w:t>
            </w:r>
          </w:p>
        </w:tc>
      </w:tr>
      <w:tr>
        <w:trPr>
          <w:trHeight w:val="351"/>
        </w:trPr>
        <w:tc>
          <w:tcPr>
            <w:tcW w:w="1440" w:type="dxa"/>
            <w:vAlign w:val="bottom"/>
          </w:tcPr>
          <w:p>
            <w:pPr>
              <w:ind w:left="1140"/>
              <w:spacing w:after="0"/>
              <w:rPr>
                <w:sz w:val="20"/>
                <w:szCs w:val="20"/>
                <w:color w:val="auto"/>
              </w:rPr>
            </w:pPr>
            <w:r>
              <w:rPr>
                <w:rFonts w:ascii="Arial" w:cs="Arial" w:eastAsia="Arial" w:hAnsi="Arial"/>
                <w:sz w:val="22"/>
                <w:szCs w:val="22"/>
                <w:color w:val="auto"/>
              </w:rPr>
              <w:t>(j)</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6920" w:type="dxa"/>
            <w:vAlign w:val="bottom"/>
          </w:tcPr>
          <w:p>
            <w:pPr>
              <w:ind w:left="200"/>
              <w:spacing w:after="0"/>
              <w:rPr>
                <w:sz w:val="20"/>
                <w:szCs w:val="20"/>
                <w:color w:val="auto"/>
              </w:rPr>
            </w:pPr>
            <w:r>
              <w:rPr>
                <w:rFonts w:ascii="Arial" w:cs="Arial" w:eastAsia="Arial" w:hAnsi="Arial"/>
                <w:sz w:val="22"/>
                <w:szCs w:val="22"/>
                <w:color w:val="auto"/>
              </w:rPr>
              <w:t>Group, in accordance with 240.13d-1(b)(1)(ii)(J).</w:t>
            </w:r>
          </w:p>
        </w:tc>
      </w:tr>
      <w:tr>
        <w:trPr>
          <w:trHeight w:val="702"/>
        </w:trPr>
        <w:tc>
          <w:tcPr>
            <w:tcW w:w="144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340" w:type="dxa"/>
            <w:vAlign w:val="bottom"/>
            <w:gridSpan w:val="2"/>
          </w:tcPr>
          <w:p>
            <w:pPr>
              <w:ind w:left="60"/>
              <w:spacing w:after="0"/>
              <w:rPr>
                <w:sz w:val="20"/>
                <w:szCs w:val="20"/>
                <w:color w:val="auto"/>
              </w:rPr>
            </w:pPr>
            <w:r>
              <w:rPr>
                <w:rFonts w:ascii="Arial" w:cs="Arial" w:eastAsia="Arial" w:hAnsi="Arial"/>
                <w:sz w:val="22"/>
                <w:szCs w:val="22"/>
                <w:b w:val="1"/>
                <w:bCs w:val="1"/>
                <w:color w:val="auto"/>
              </w:rPr>
              <w:t>Ownership.</w:t>
            </w:r>
          </w:p>
        </w:tc>
      </w:tr>
    </w:tbl>
    <w:p>
      <w:pPr>
        <w:spacing w:after="0" w:line="77"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500" w:hanging="363"/>
        <w:spacing w:after="0"/>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Amount beneficially owned: 14,594,653* (See Exhibit C)</w:t>
      </w:r>
    </w:p>
    <w:p>
      <w:pPr>
        <w:spacing w:after="0" w:line="98" w:lineRule="exact"/>
        <w:rPr>
          <w:rFonts w:ascii="Arial" w:cs="Arial" w:eastAsia="Arial" w:hAnsi="Arial"/>
          <w:sz w:val="22"/>
          <w:szCs w:val="22"/>
          <w:color w:val="auto"/>
        </w:rPr>
      </w:pPr>
    </w:p>
    <w:p>
      <w:pPr>
        <w:ind w:left="1500" w:hanging="363"/>
        <w:spacing w:after="0"/>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Percent of class: 35.02* (See Exhibit C)%</w:t>
      </w:r>
    </w:p>
    <w:p>
      <w:pPr>
        <w:spacing w:after="0" w:line="98" w:lineRule="exact"/>
        <w:rPr>
          <w:rFonts w:ascii="Arial" w:cs="Arial" w:eastAsia="Arial" w:hAnsi="Arial"/>
          <w:sz w:val="22"/>
          <w:szCs w:val="22"/>
          <w:color w:val="auto"/>
        </w:rPr>
      </w:pPr>
    </w:p>
    <w:p>
      <w:pPr>
        <w:ind w:left="1500" w:hanging="363"/>
        <w:spacing w:after="0"/>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060" w:hanging="559"/>
        <w:spacing w:after="0"/>
        <w:tabs>
          <w:tab w:leader="none" w:pos="20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Sole power to vote or to direct the vote 14,593,860* (See Exhibit C)</w:t>
      </w:r>
    </w:p>
    <w:p>
      <w:pPr>
        <w:spacing w:after="0" w:line="98" w:lineRule="exact"/>
        <w:rPr>
          <w:rFonts w:ascii="Arial" w:cs="Arial" w:eastAsia="Arial" w:hAnsi="Arial"/>
          <w:sz w:val="22"/>
          <w:szCs w:val="22"/>
          <w:color w:val="auto"/>
        </w:rPr>
      </w:pPr>
    </w:p>
    <w:p>
      <w:pPr>
        <w:ind w:left="2060" w:hanging="559"/>
        <w:spacing w:after="0"/>
        <w:tabs>
          <w:tab w:leader="none" w:pos="20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Shared power to vote or to direct the vote 0* (See Exhibit C)</w:t>
      </w:r>
    </w:p>
    <w:p>
      <w:pPr>
        <w:spacing w:after="0" w:line="98" w:lineRule="exact"/>
        <w:rPr>
          <w:rFonts w:ascii="Arial" w:cs="Arial" w:eastAsia="Arial" w:hAnsi="Arial"/>
          <w:sz w:val="22"/>
          <w:szCs w:val="22"/>
          <w:color w:val="auto"/>
        </w:rPr>
      </w:pPr>
    </w:p>
    <w:p>
      <w:pPr>
        <w:ind w:left="2060" w:hanging="559"/>
        <w:spacing w:after="0"/>
        <w:tabs>
          <w:tab w:leader="none" w:pos="20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16,793* (See Exhibit C)</w:t>
      </w:r>
    </w:p>
    <w:p>
      <w:pPr>
        <w:spacing w:after="0" w:line="132" w:lineRule="exact"/>
        <w:rPr>
          <w:rFonts w:ascii="Arial" w:cs="Arial" w:eastAsia="Arial" w:hAnsi="Arial"/>
          <w:sz w:val="19"/>
          <w:szCs w:val="19"/>
          <w:color w:val="auto"/>
        </w:rPr>
      </w:pPr>
    </w:p>
    <w:p>
      <w:pPr>
        <w:ind w:left="2060" w:hanging="559"/>
        <w:spacing w:after="0"/>
        <w:tabs>
          <w:tab w:leader="none" w:pos="20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 (See Exhibit C)</w:t>
      </w:r>
    </w:p>
    <w:p>
      <w:pPr>
        <w:sectPr>
          <w:pgSz w:w="11900" w:h="16838" w:orient="portrait"/>
          <w:cols w:equalWidth="0" w:num="1">
            <w:col w:w="10159"/>
          </w:cols>
          <w:pgMar w:left="300" w:top="118" w:right="1440" w:bottom="0" w:gutter="0" w:footer="0" w:header="0"/>
        </w:sectPr>
      </w:pPr>
    </w:p>
    <w:bookmarkStart w:id="4" w:name="page5"/>
    <w:bookmarkEnd w:id="4"/>
    <w:p>
      <w:pPr>
        <w:spacing w:after="0" w:line="239" w:lineRule="auto"/>
        <w:tabs>
          <w:tab w:leader="none" w:pos="2060" w:val="left"/>
        </w:tabs>
        <w:framePr w:w="7400" w:h="436" w:wrap="auto" w:vAnchor="page" w:hAnchor="page" w:x="1400" w:y="2743"/>
        <w:rPr>
          <w:rFonts w:ascii="Arial" w:cs="Arial" w:eastAsia="Arial" w:hAnsi="Arial"/>
          <w:sz w:val="19"/>
          <w:szCs w:val="19"/>
          <w:b w:val="1"/>
          <w:bCs w:val="1"/>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211" w:lineRule="auto"/>
        <w:tabs>
          <w:tab w:leader="none" w:pos="2060" w:val="left"/>
        </w:tabs>
        <w:framePr w:w="6300" w:h="193" w:wrap="auto" w:vAnchor="page" w:hAnchor="page" w:x="1400" w:y="2027"/>
        <w:rPr>
          <w:rFonts w:ascii="Arial" w:cs="Arial" w:eastAsia="Arial" w:hAnsi="Arial"/>
          <w:sz w:val="19"/>
          <w:szCs w:val="19"/>
          <w:b w:val="1"/>
          <w:bCs w:val="1"/>
          <w:color w:val="auto"/>
        </w:rPr>
      </w:pPr>
      <w:r>
        <w:rPr>
          <w:rFonts w:ascii="Arial" w:cs="Arial" w:eastAsia="Arial" w:hAnsi="Arial"/>
          <w:sz w:val="19"/>
          <w:szCs w:val="19"/>
          <w:b w:val="1"/>
          <w:bCs w:val="1"/>
          <w:color w:val="auto"/>
        </w:rPr>
        <w:t>Ownership of More than Five Percent on Behalf of Another Person.</w:t>
      </w:r>
    </w:p>
    <w:p>
      <w:pPr>
        <w:spacing w:after="0"/>
        <w:tabs>
          <w:tab w:leader="none" w:pos="11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rFonts w:ascii="Arial" w:cs="Arial" w:eastAsia="Arial" w:hAnsi="Arial"/>
          <w:sz w:val="19"/>
          <w:szCs w:val="19"/>
          <w:b w:val="1"/>
          <w:bCs w:val="1"/>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rFonts w:ascii="Arial" w:cs="Arial" w:eastAsia="Arial" w:hAnsi="Arial"/>
          <w:sz w:val="19"/>
          <w:szCs w:val="19"/>
          <w:b w:val="1"/>
          <w:bCs w:val="1"/>
          <w:color w:val="auto"/>
        </w:rPr>
      </w:pPr>
    </w:p>
    <w:p>
      <w:pPr>
        <w:spacing w:after="0" w:line="224"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color w:val="auto"/>
        </w:rPr>
        <w:t>Under the</w:t>
      </w:r>
    </w:p>
    <w:p>
      <w:pPr>
        <w:spacing w:after="0" w:line="180" w:lineRule="auto"/>
        <w:rPr>
          <w:sz w:val="20"/>
          <w:szCs w:val="20"/>
          <w:color w:val="auto"/>
        </w:rPr>
      </w:pPr>
      <w:r>
        <w:rPr>
          <w:rFonts w:ascii="Arial" w:cs="Arial" w:eastAsia="Arial" w:hAnsi="Arial"/>
          <w:sz w:val="15"/>
          <w:szCs w:val="15"/>
          <w:color w:val="auto"/>
        </w:rPr>
        <w:t>Agreement</w:t>
      </w:r>
    </w:p>
    <w:p>
      <w:pPr>
        <w:ind w:right="9319"/>
        <w:spacing w:after="0" w:line="200"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color w:val="auto"/>
        </w:rPr>
        <w:t>described</w:t>
      </w:r>
    </w:p>
    <w:p>
      <w:pPr>
        <w:spacing w:after="0" w:line="218" w:lineRule="auto"/>
        <w:rPr>
          <w:sz w:val="20"/>
          <w:szCs w:val="20"/>
          <w:color w:val="auto"/>
        </w:rPr>
      </w:pPr>
      <w:r>
        <w:rPr>
          <w:rFonts w:ascii="Arial" w:cs="Arial" w:eastAsia="Arial" w:hAnsi="Arial"/>
          <w:sz w:val="22"/>
          <w:szCs w:val="22"/>
          <w:color w:val="auto"/>
        </w:rPr>
        <w:t>in Exhibit</w:t>
      </w:r>
    </w:p>
    <w:p>
      <w:pPr>
        <w:spacing w:after="0"/>
        <w:rPr>
          <w:sz w:val="20"/>
          <w:szCs w:val="20"/>
          <w:color w:val="auto"/>
        </w:rPr>
      </w:pPr>
      <w:r>
        <w:rPr>
          <w:rFonts w:ascii="Arial" w:cs="Arial" w:eastAsia="Arial" w:hAnsi="Arial"/>
          <w:sz w:val="22"/>
          <w:szCs w:val="22"/>
          <w:color w:val="auto"/>
        </w:rPr>
        <w:t>SeeC,otherExhibit B</w:t>
      </w:r>
    </w:p>
    <w:tbl>
      <w:tblPr>
        <w:tblLayout w:type="fixed"/>
        <w:tblInd w:w="0" w:type="dxa"/>
        <w:tblCellMar>
          <w:top w:w="0" w:type="dxa"/>
          <w:left w:w="0" w:type="dxa"/>
          <w:bottom w:w="0" w:type="dxa"/>
          <w:right w:w="0" w:type="dxa"/>
        </w:tblCellMar>
      </w:tblPr>
      <w:tr>
        <w:trPr>
          <w:trHeight w:val="196"/>
        </w:trPr>
        <w:tc>
          <w:tcPr>
            <w:tcW w:w="1080" w:type="dxa"/>
            <w:vAlign w:val="bottom"/>
          </w:tcPr>
          <w:p>
            <w:pPr>
              <w:spacing w:after="0" w:line="197" w:lineRule="exact"/>
              <w:rPr>
                <w:sz w:val="20"/>
                <w:szCs w:val="20"/>
                <w:color w:val="auto"/>
              </w:rPr>
            </w:pPr>
            <w:r>
              <w:rPr>
                <w:rFonts w:ascii="Arial" w:cs="Arial" w:eastAsia="Arial" w:hAnsi="Arial"/>
                <w:sz w:val="22"/>
                <w:szCs w:val="22"/>
                <w:color w:val="auto"/>
              </w:rPr>
              <w:t>persons</w:t>
            </w:r>
          </w:p>
        </w:tc>
        <w:tc>
          <w:tcPr>
            <w:tcW w:w="720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Identification and Classification of Members of the Group</w:t>
            </w:r>
          </w:p>
        </w:tc>
        <w:tc>
          <w:tcPr>
            <w:tcW w:w="0" w:type="dxa"/>
            <w:vAlign w:val="bottom"/>
          </w:tcPr>
          <w:p>
            <w:pPr>
              <w:spacing w:after="0"/>
              <w:rPr>
                <w:sz w:val="1"/>
                <w:szCs w:val="1"/>
                <w:color w:val="auto"/>
              </w:rPr>
            </w:pPr>
          </w:p>
        </w:tc>
      </w:tr>
      <w:tr>
        <w:trPr>
          <w:trHeight w:val="95"/>
        </w:trPr>
        <w:tc>
          <w:tcPr>
            <w:tcW w:w="1080" w:type="dxa"/>
            <w:vAlign w:val="bottom"/>
          </w:tcPr>
          <w:p>
            <w:pPr>
              <w:spacing w:after="0" w:line="95" w:lineRule="exact"/>
              <w:rPr>
                <w:sz w:val="20"/>
                <w:szCs w:val="20"/>
                <w:color w:val="auto"/>
              </w:rPr>
            </w:pPr>
            <w:r>
              <w:rPr>
                <w:rFonts w:ascii="Arial" w:cs="Arial" w:eastAsia="Arial" w:hAnsi="Arial"/>
                <w:sz w:val="10"/>
                <w:szCs w:val="10"/>
                <w:b w:val="1"/>
                <w:bCs w:val="1"/>
                <w:color w:val="auto"/>
              </w:rPr>
              <w:t>Item 8.</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7"/>
                <w:szCs w:val="17"/>
                <w:color w:val="auto"/>
              </w:rPr>
              <w:t>may be</w:t>
            </w: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73"/>
        </w:trPr>
        <w:tc>
          <w:tcPr>
            <w:tcW w:w="1080" w:type="dxa"/>
            <w:vAlign w:val="bottom"/>
          </w:tcPr>
          <w:p>
            <w:pPr>
              <w:spacing w:after="0" w:line="73" w:lineRule="exact"/>
              <w:rPr>
                <w:sz w:val="20"/>
                <w:szCs w:val="20"/>
                <w:color w:val="auto"/>
              </w:rPr>
            </w:pPr>
            <w:r>
              <w:rPr>
                <w:rFonts w:ascii="Arial" w:cs="Arial" w:eastAsia="Arial" w:hAnsi="Arial"/>
                <w:sz w:val="8"/>
                <w:szCs w:val="8"/>
                <w:color w:val="auto"/>
              </w:rPr>
              <w:t>deemed to</w:t>
            </w:r>
          </w:p>
        </w:tc>
        <w:tc>
          <w:tcPr>
            <w:tcW w:w="7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line="210" w:lineRule="exact"/>
              <w:rPr>
                <w:sz w:val="20"/>
                <w:szCs w:val="20"/>
                <w:color w:val="auto"/>
              </w:rPr>
            </w:pPr>
            <w:r>
              <w:rPr>
                <w:rFonts w:ascii="Arial" w:cs="Arial" w:eastAsia="Arial" w:hAnsi="Arial"/>
                <w:sz w:val="22"/>
                <w:szCs w:val="22"/>
                <w:color w:val="auto"/>
              </w:rPr>
              <w:t>have the</w:t>
            </w:r>
          </w:p>
        </w:tc>
        <w:tc>
          <w:tcPr>
            <w:tcW w:w="720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Notice of Dissolution of Group</w:t>
            </w:r>
          </w:p>
        </w:tc>
        <w:tc>
          <w:tcPr>
            <w:tcW w:w="0" w:type="dxa"/>
            <w:vAlign w:val="bottom"/>
          </w:tcPr>
          <w:p>
            <w:pPr>
              <w:spacing w:after="0"/>
              <w:rPr>
                <w:sz w:val="1"/>
                <w:szCs w:val="1"/>
                <w:color w:val="auto"/>
              </w:rPr>
            </w:pPr>
          </w:p>
        </w:tc>
      </w:tr>
      <w:tr>
        <w:trPr>
          <w:trHeight w:val="68"/>
        </w:trPr>
        <w:tc>
          <w:tcPr>
            <w:tcW w:w="1080" w:type="dxa"/>
            <w:vAlign w:val="bottom"/>
          </w:tcPr>
          <w:p>
            <w:pPr>
              <w:spacing w:after="0" w:line="68" w:lineRule="exact"/>
              <w:rPr>
                <w:sz w:val="20"/>
                <w:szCs w:val="20"/>
                <w:color w:val="auto"/>
              </w:rPr>
            </w:pPr>
            <w:r>
              <w:rPr>
                <w:rFonts w:ascii="Arial" w:cs="Arial" w:eastAsia="Arial" w:hAnsi="Arial"/>
                <w:sz w:val="6"/>
                <w:szCs w:val="6"/>
                <w:b w:val="1"/>
                <w:bCs w:val="1"/>
                <w:color w:val="auto"/>
              </w:rPr>
              <w:t>Item 9.</w:t>
            </w:r>
          </w:p>
        </w:tc>
        <w:tc>
          <w:tcPr>
            <w:tcW w:w="7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line="175" w:lineRule="exact"/>
              <w:rPr>
                <w:sz w:val="20"/>
                <w:szCs w:val="20"/>
                <w:color w:val="auto"/>
              </w:rPr>
            </w:pPr>
            <w:r>
              <w:rPr>
                <w:rFonts w:ascii="Arial" w:cs="Arial" w:eastAsia="Arial" w:hAnsi="Arial"/>
                <w:sz w:val="19"/>
                <w:szCs w:val="19"/>
                <w:color w:val="auto"/>
              </w:rPr>
              <w:t>right to</w:t>
            </w:r>
          </w:p>
        </w:tc>
        <w:tc>
          <w:tcPr>
            <w:tcW w:w="7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80" w:type="dxa"/>
            <w:vAlign w:val="bottom"/>
            <w:gridSpan w:val="2"/>
          </w:tcPr>
          <w:p>
            <w:pPr>
              <w:spacing w:after="0" w:line="175" w:lineRule="exact"/>
              <w:rPr>
                <w:sz w:val="20"/>
                <w:szCs w:val="20"/>
                <w:color w:val="auto"/>
              </w:rPr>
            </w:pPr>
            <w:r>
              <w:rPr>
                <w:rFonts w:ascii="Arial" w:cs="Arial" w:eastAsia="Arial" w:hAnsi="Arial"/>
                <w:sz w:val="19"/>
                <w:szCs w:val="19"/>
                <w:color w:val="auto"/>
              </w:rPr>
              <w:t>Not applicable</w:t>
            </w:r>
          </w:p>
        </w:tc>
        <w:tc>
          <w:tcPr>
            <w:tcW w:w="0" w:type="dxa"/>
            <w:vAlign w:val="bottom"/>
          </w:tcPr>
          <w:p>
            <w:pPr>
              <w:spacing w:after="0"/>
              <w:rPr>
                <w:sz w:val="1"/>
                <w:szCs w:val="1"/>
                <w:color w:val="auto"/>
              </w:rPr>
            </w:pPr>
          </w:p>
        </w:tc>
      </w:tr>
      <w:tr>
        <w:trPr>
          <w:trHeight w:val="100"/>
        </w:trPr>
        <w:tc>
          <w:tcPr>
            <w:tcW w:w="1080" w:type="dxa"/>
            <w:vAlign w:val="bottom"/>
          </w:tcPr>
          <w:p>
            <w:pPr>
              <w:spacing w:after="0" w:line="100" w:lineRule="exact"/>
              <w:rPr>
                <w:sz w:val="20"/>
                <w:szCs w:val="20"/>
                <w:color w:val="auto"/>
              </w:rPr>
            </w:pPr>
            <w:r>
              <w:rPr>
                <w:rFonts w:ascii="Arial" w:cs="Arial" w:eastAsia="Arial" w:hAnsi="Arial"/>
                <w:sz w:val="11"/>
                <w:szCs w:val="11"/>
                <w:color w:val="auto"/>
              </w:rPr>
              <w:t>receive or</w:t>
            </w:r>
          </w:p>
        </w:tc>
        <w:tc>
          <w:tcPr>
            <w:tcW w:w="7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line="210" w:lineRule="exact"/>
              <w:rPr>
                <w:sz w:val="20"/>
                <w:szCs w:val="20"/>
                <w:color w:val="auto"/>
              </w:rPr>
            </w:pPr>
            <w:r>
              <w:rPr>
                <w:rFonts w:ascii="Arial" w:cs="Arial" w:eastAsia="Arial" w:hAnsi="Arial"/>
                <w:sz w:val="22"/>
                <w:szCs w:val="22"/>
                <w:color w:val="auto"/>
              </w:rPr>
              <w:t>the power</w:t>
            </w:r>
          </w:p>
        </w:tc>
        <w:tc>
          <w:tcPr>
            <w:tcW w:w="7200" w:type="dxa"/>
            <w:vAlign w:val="bottom"/>
            <w:vMerge w:val="restart"/>
          </w:tcPr>
          <w:p>
            <w:pPr>
              <w:ind w:left="60"/>
              <w:spacing w:after="0" w:line="251" w:lineRule="exact"/>
              <w:rPr>
                <w:sz w:val="20"/>
                <w:szCs w:val="20"/>
                <w:color w:val="auto"/>
              </w:rPr>
            </w:pPr>
            <w:r>
              <w:rPr>
                <w:rFonts w:ascii="Arial" w:cs="Arial" w:eastAsia="Arial" w:hAnsi="Arial"/>
                <w:sz w:val="22"/>
                <w:szCs w:val="22"/>
                <w:b w:val="1"/>
                <w:bCs w:val="1"/>
                <w:color w:val="auto"/>
              </w:rPr>
              <w:t>Certification</w:t>
            </w:r>
          </w:p>
        </w:tc>
        <w:tc>
          <w:tcPr>
            <w:tcW w:w="0" w:type="dxa"/>
            <w:vAlign w:val="bottom"/>
          </w:tcPr>
          <w:p>
            <w:pPr>
              <w:spacing w:after="0"/>
              <w:rPr>
                <w:sz w:val="1"/>
                <w:szCs w:val="1"/>
                <w:color w:val="auto"/>
              </w:rPr>
            </w:pPr>
          </w:p>
        </w:tc>
      </w:tr>
      <w:tr>
        <w:trPr>
          <w:trHeight w:val="41"/>
        </w:trPr>
        <w:tc>
          <w:tcPr>
            <w:tcW w:w="1080" w:type="dxa"/>
            <w:vAlign w:val="bottom"/>
          </w:tcPr>
          <w:p>
            <w:pPr>
              <w:spacing w:after="0" w:line="41" w:lineRule="exact"/>
              <w:rPr>
                <w:sz w:val="20"/>
                <w:szCs w:val="20"/>
                <w:color w:val="auto"/>
              </w:rPr>
            </w:pPr>
            <w:r>
              <w:rPr>
                <w:rFonts w:ascii="Arial" w:cs="Arial" w:eastAsia="Arial" w:hAnsi="Arial"/>
                <w:sz w:val="4"/>
                <w:szCs w:val="4"/>
                <w:b w:val="1"/>
                <w:bCs w:val="1"/>
                <w:color w:val="auto"/>
              </w:rPr>
              <w:t>Item 10.</w:t>
            </w:r>
          </w:p>
        </w:tc>
        <w:tc>
          <w:tcPr>
            <w:tcW w:w="7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80" w:type="dxa"/>
            <w:vAlign w:val="bottom"/>
          </w:tcPr>
          <w:p>
            <w:pPr>
              <w:spacing w:after="0" w:line="236" w:lineRule="exact"/>
              <w:rPr>
                <w:sz w:val="20"/>
                <w:szCs w:val="20"/>
                <w:color w:val="auto"/>
              </w:rPr>
            </w:pPr>
            <w:r>
              <w:rPr>
                <w:rFonts w:ascii="Arial" w:cs="Arial" w:eastAsia="Arial" w:hAnsi="Arial"/>
                <w:sz w:val="22"/>
                <w:szCs w:val="22"/>
                <w:color w:val="auto"/>
              </w:rPr>
              <w:t>to direct</w:t>
            </w:r>
          </w:p>
        </w:tc>
        <w:tc>
          <w:tcPr>
            <w:tcW w:w="7200" w:type="dxa"/>
            <w:vAlign w:val="bottom"/>
            <w:vMerge w:val="restart"/>
          </w:tcPr>
          <w:p>
            <w:pPr>
              <w:ind w:left="560"/>
              <w:spacing w:after="0"/>
              <w:rPr>
                <w:sz w:val="20"/>
                <w:szCs w:val="20"/>
                <w:color w:val="auto"/>
              </w:rPr>
            </w:pPr>
            <w:r>
              <w:rPr>
                <w:rFonts w:ascii="Arial" w:cs="Arial" w:eastAsia="Arial" w:hAnsi="Arial"/>
                <w:sz w:val="22"/>
                <w:szCs w:val="22"/>
                <w:color w:val="auto"/>
                <w:w w:val="92"/>
              </w:rPr>
              <w:t>By signing below I certify that, to the best of my knowledge and belief, the</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rPr>
              <w:t>the receipt</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7200" w:type="dxa"/>
            <w:vAlign w:val="bottom"/>
            <w:vMerge w:val="restart"/>
          </w:tcPr>
          <w:p>
            <w:pPr>
              <w:ind w:left="560"/>
              <w:spacing w:after="0" w:line="243" w:lineRule="exact"/>
              <w:rPr>
                <w:sz w:val="20"/>
                <w:szCs w:val="20"/>
                <w:color w:val="auto"/>
              </w:rPr>
            </w:pPr>
            <w:r>
              <w:rPr>
                <w:rFonts w:ascii="Arial" w:cs="Arial" w:eastAsia="Arial" w:hAnsi="Arial"/>
                <w:sz w:val="22"/>
                <w:szCs w:val="22"/>
                <w:color w:val="auto"/>
                <w:w w:val="96"/>
              </w:rPr>
              <w:t>securities referred to above were acquired and are held in the ordinary</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rPr>
              <w:t>of</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7200" w:type="dxa"/>
            <w:vAlign w:val="bottom"/>
            <w:vMerge w:val="restart"/>
          </w:tcPr>
          <w:p>
            <w:pPr>
              <w:ind w:left="560"/>
              <w:spacing w:after="0" w:line="243" w:lineRule="exact"/>
              <w:rPr>
                <w:sz w:val="20"/>
                <w:szCs w:val="20"/>
                <w:color w:val="auto"/>
              </w:rPr>
            </w:pPr>
            <w:r>
              <w:rPr>
                <w:rFonts w:ascii="Arial" w:cs="Arial" w:eastAsia="Arial" w:hAnsi="Arial"/>
                <w:sz w:val="22"/>
                <w:szCs w:val="22"/>
                <w:color w:val="auto"/>
                <w:w w:val="88"/>
              </w:rPr>
              <w:t>course of business and were not acquired and are not held for the purpose of</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rPr>
              <w:t>dividends</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7200" w:type="dxa"/>
            <w:vAlign w:val="bottom"/>
            <w:vMerge w:val="restart"/>
          </w:tcPr>
          <w:p>
            <w:pPr>
              <w:ind w:left="560"/>
              <w:spacing w:after="0" w:line="243" w:lineRule="exact"/>
              <w:rPr>
                <w:sz w:val="20"/>
                <w:szCs w:val="20"/>
                <w:color w:val="auto"/>
              </w:rPr>
            </w:pPr>
            <w:r>
              <w:rPr>
                <w:rFonts w:ascii="Arial" w:cs="Arial" w:eastAsia="Arial" w:hAnsi="Arial"/>
                <w:sz w:val="22"/>
                <w:szCs w:val="22"/>
                <w:color w:val="auto"/>
                <w:w w:val="92"/>
              </w:rPr>
              <w:t>or with the effect of changing or influencing the control of the issuer of the</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from, or the</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7200" w:type="dxa"/>
            <w:vAlign w:val="bottom"/>
            <w:vMerge w:val="restart"/>
          </w:tcPr>
          <w:p>
            <w:pPr>
              <w:ind w:left="560"/>
              <w:spacing w:after="0" w:line="243" w:lineRule="exact"/>
              <w:rPr>
                <w:sz w:val="20"/>
                <w:szCs w:val="20"/>
                <w:color w:val="auto"/>
              </w:rPr>
            </w:pPr>
            <w:r>
              <w:rPr>
                <w:rFonts w:ascii="Arial" w:cs="Arial" w:eastAsia="Arial" w:hAnsi="Arial"/>
                <w:sz w:val="22"/>
                <w:szCs w:val="22"/>
                <w:color w:val="auto"/>
                <w:w w:val="89"/>
              </w:rPr>
              <w:t>securities and were not acquired and are not held in connection with or as a</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rPr>
              <w:t>proceeds</w:t>
            </w: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7200" w:type="dxa"/>
            <w:vAlign w:val="bottom"/>
            <w:vMerge w:val="restart"/>
          </w:tcPr>
          <w:p>
            <w:pPr>
              <w:ind w:left="560"/>
              <w:spacing w:after="0"/>
              <w:rPr>
                <w:sz w:val="20"/>
                <w:szCs w:val="20"/>
                <w:color w:val="auto"/>
              </w:rPr>
            </w:pPr>
            <w:r>
              <w:rPr>
                <w:rFonts w:ascii="Arial" w:cs="Arial" w:eastAsia="Arial" w:hAnsi="Arial"/>
                <w:sz w:val="22"/>
                <w:szCs w:val="22"/>
                <w:color w:val="auto"/>
              </w:rPr>
              <w:t>participant in any transaction having that purpose or effect.</w:t>
            </w:r>
          </w:p>
        </w:tc>
        <w:tc>
          <w:tcPr>
            <w:tcW w:w="0" w:type="dxa"/>
            <w:vAlign w:val="bottom"/>
          </w:tcPr>
          <w:p>
            <w:pPr>
              <w:spacing w:after="0"/>
              <w:rPr>
                <w:sz w:val="1"/>
                <w:szCs w:val="1"/>
                <w:color w:val="auto"/>
              </w:rPr>
            </w:pPr>
          </w:p>
        </w:tc>
      </w:tr>
      <w:tr>
        <w:trPr>
          <w:trHeight w:val="126"/>
        </w:trPr>
        <w:tc>
          <w:tcPr>
            <w:tcW w:w="1080" w:type="dxa"/>
            <w:vAlign w:val="bottom"/>
            <w:vMerge w:val="restart"/>
          </w:tcPr>
          <w:p>
            <w:pPr>
              <w:spacing w:after="0" w:line="243" w:lineRule="exact"/>
              <w:rPr>
                <w:sz w:val="20"/>
                <w:szCs w:val="20"/>
                <w:color w:val="auto"/>
              </w:rPr>
            </w:pPr>
            <w:r>
              <w:rPr>
                <w:rFonts w:ascii="Arial" w:cs="Arial" w:eastAsia="Arial" w:hAnsi="Arial"/>
                <w:sz w:val="22"/>
                <w:szCs w:val="22"/>
                <w:color w:val="auto"/>
              </w:rPr>
              <w:t>from the</w:t>
            </w:r>
          </w:p>
        </w:tc>
        <w:tc>
          <w:tcPr>
            <w:tcW w:w="7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80" w:type="dxa"/>
            <w:vAlign w:val="bottom"/>
            <w:vMerge w:val="continue"/>
          </w:tcPr>
          <w:p>
            <w:pPr>
              <w:spacing w:after="0"/>
              <w:rPr>
                <w:sz w:val="10"/>
                <w:szCs w:val="10"/>
                <w:color w:val="auto"/>
              </w:rPr>
            </w:pPr>
          </w:p>
        </w:tc>
        <w:tc>
          <w:tcPr>
            <w:tcW w:w="7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line="243" w:lineRule="exact"/>
              <w:rPr>
                <w:sz w:val="20"/>
                <w:szCs w:val="20"/>
                <w:color w:val="auto"/>
              </w:rPr>
            </w:pPr>
            <w:r>
              <w:rPr>
                <w:rFonts w:ascii="Arial" w:cs="Arial" w:eastAsia="Arial" w:hAnsi="Arial"/>
                <w:sz w:val="22"/>
                <w:szCs w:val="22"/>
                <w:color w:val="auto"/>
                <w:w w:val="98"/>
              </w:rPr>
              <w:t>sale of, the</w:t>
            </w:r>
          </w:p>
        </w:tc>
        <w:tc>
          <w:tcPr>
            <w:tcW w:w="7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7200" w:type="dxa"/>
            <w:vAlign w:val="bottom"/>
            <w:vMerge w:val="restart"/>
          </w:tcPr>
          <w:p>
            <w:pPr>
              <w:ind w:left="3840"/>
              <w:spacing w:after="0"/>
              <w:rPr>
                <w:sz w:val="20"/>
                <w:szCs w:val="20"/>
                <w:color w:val="auto"/>
              </w:rPr>
            </w:pPr>
            <w:r>
              <w:rPr>
                <w:rFonts w:ascii="Arial" w:cs="Arial" w:eastAsia="Arial" w:hAnsi="Arial"/>
                <w:sz w:val="25"/>
                <w:szCs w:val="25"/>
                <w:b w:val="1"/>
                <w:bCs w:val="1"/>
                <w:color w:val="auto"/>
              </w:rPr>
              <w:t>SIGNATURE</w:t>
            </w:r>
          </w:p>
        </w:tc>
        <w:tc>
          <w:tcPr>
            <w:tcW w:w="0" w:type="dxa"/>
            <w:vAlign w:val="bottom"/>
          </w:tcPr>
          <w:p>
            <w:pPr>
              <w:spacing w:after="0"/>
              <w:rPr>
                <w:sz w:val="1"/>
                <w:szCs w:val="1"/>
                <w:color w:val="auto"/>
              </w:rPr>
            </w:pPr>
          </w:p>
        </w:tc>
      </w:tr>
      <w:tr>
        <w:trPr>
          <w:trHeight w:val="165"/>
        </w:trPr>
        <w:tc>
          <w:tcPr>
            <w:tcW w:w="1080" w:type="dxa"/>
            <w:vAlign w:val="bottom"/>
            <w:vMerge w:val="restart"/>
          </w:tcPr>
          <w:p>
            <w:pPr>
              <w:spacing w:after="0"/>
              <w:rPr>
                <w:sz w:val="20"/>
                <w:szCs w:val="20"/>
                <w:color w:val="auto"/>
              </w:rPr>
            </w:pPr>
            <w:r>
              <w:rPr>
                <w:rFonts w:ascii="Arial" w:cs="Arial" w:eastAsia="Arial" w:hAnsi="Arial"/>
                <w:sz w:val="22"/>
                <w:szCs w:val="22"/>
                <w:color w:val="auto"/>
                <w:w w:val="98"/>
              </w:rPr>
              <w:t>covered by</w:t>
            </w:r>
          </w:p>
        </w:tc>
        <w:tc>
          <w:tcPr>
            <w:tcW w:w="7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080" w:type="dxa"/>
            <w:vAlign w:val="bottom"/>
            <w:vMerge w:val="continue"/>
          </w:tcPr>
          <w:p>
            <w:pPr>
              <w:spacing w:after="0"/>
              <w:rPr>
                <w:sz w:val="8"/>
                <w:szCs w:val="8"/>
                <w:color w:val="auto"/>
              </w:rPr>
            </w:pPr>
          </w:p>
        </w:tc>
        <w:tc>
          <w:tcPr>
            <w:tcW w:w="7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auto"/>
        <w:rPr>
          <w:sz w:val="20"/>
          <w:szCs w:val="20"/>
          <w:color w:val="auto"/>
        </w:rPr>
      </w:pPr>
      <w:r>
        <w:rPr>
          <w:rFonts w:ascii="Arial" w:cs="Arial" w:eastAsia="Arial" w:hAnsi="Arial"/>
          <w:sz w:val="22"/>
          <w:szCs w:val="22"/>
          <w:color w:val="auto"/>
        </w:rPr>
        <w:t>this report.</w:t>
      </w:r>
    </w:p>
    <w:tbl>
      <w:tblPr>
        <w:tblLayout w:type="fixed"/>
        <w:tblInd w:w="0" w:type="dxa"/>
        <w:tblCellMar>
          <w:top w:w="0" w:type="dxa"/>
          <w:left w:w="0" w:type="dxa"/>
          <w:bottom w:w="0" w:type="dxa"/>
          <w:right w:w="0" w:type="dxa"/>
        </w:tblCellMar>
      </w:tblPr>
      <w:tr>
        <w:trPr>
          <w:trHeight w:val="193"/>
        </w:trPr>
        <w:tc>
          <w:tcPr>
            <w:tcW w:w="8960" w:type="dxa"/>
            <w:vAlign w:val="bottom"/>
            <w:gridSpan w:val="2"/>
          </w:tcPr>
          <w:p>
            <w:pPr>
              <w:spacing w:after="0" w:line="192" w:lineRule="exact"/>
              <w:rPr>
                <w:sz w:val="20"/>
                <w:szCs w:val="20"/>
                <w:color w:val="auto"/>
              </w:rPr>
            </w:pPr>
            <w:r>
              <w:rPr>
                <w:rFonts w:ascii="Arial" w:cs="Arial" w:eastAsia="Arial" w:hAnsi="Arial"/>
                <w:sz w:val="22"/>
                <w:szCs w:val="22"/>
                <w:color w:val="auto"/>
                <w:w w:val="92"/>
              </w:rPr>
              <w:t>After reasonable inquiry and to the best of my knowledge and belief, I certify that the information set</w:t>
            </w:r>
          </w:p>
        </w:tc>
        <w:tc>
          <w:tcPr>
            <w:tcW w:w="0" w:type="dxa"/>
            <w:vAlign w:val="bottom"/>
          </w:tcPr>
          <w:p>
            <w:pPr>
              <w:spacing w:after="0"/>
              <w:rPr>
                <w:sz w:val="1"/>
                <w:szCs w:val="1"/>
                <w:color w:val="auto"/>
              </w:rPr>
            </w:pPr>
          </w:p>
        </w:tc>
      </w:tr>
      <w:tr>
        <w:trPr>
          <w:trHeight w:val="41"/>
        </w:trPr>
        <w:tc>
          <w:tcPr>
            <w:tcW w:w="4300" w:type="dxa"/>
            <w:vAlign w:val="bottom"/>
          </w:tcPr>
          <w:p>
            <w:pPr>
              <w:spacing w:after="0" w:line="41" w:lineRule="exact"/>
              <w:rPr>
                <w:sz w:val="20"/>
                <w:szCs w:val="20"/>
                <w:color w:val="auto"/>
              </w:rPr>
            </w:pPr>
            <w:r>
              <w:rPr>
                <w:rFonts w:ascii="Arial" w:cs="Arial" w:eastAsia="Arial" w:hAnsi="Arial"/>
                <w:sz w:val="4"/>
                <w:szCs w:val="4"/>
                <w:color w:val="auto"/>
              </w:rPr>
              <w:t>Credit</w:t>
            </w:r>
          </w:p>
        </w:tc>
        <w:tc>
          <w:tcPr>
            <w:tcW w:w="4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960" w:type="dxa"/>
            <w:vAlign w:val="bottom"/>
            <w:gridSpan w:val="2"/>
          </w:tcPr>
          <w:p>
            <w:pPr>
              <w:spacing w:after="0" w:line="203" w:lineRule="exact"/>
              <w:rPr>
                <w:sz w:val="20"/>
                <w:szCs w:val="20"/>
                <w:color w:val="auto"/>
              </w:rPr>
            </w:pPr>
            <w:r>
              <w:rPr>
                <w:rFonts w:ascii="Arial" w:cs="Arial" w:eastAsia="Arial" w:hAnsi="Arial"/>
                <w:sz w:val="22"/>
                <w:szCs w:val="22"/>
                <w:color w:val="auto"/>
              </w:rPr>
              <w:t>forth in this statement is true, complete and correct.</w:t>
            </w:r>
          </w:p>
        </w:tc>
        <w:tc>
          <w:tcPr>
            <w:tcW w:w="0" w:type="dxa"/>
            <w:vAlign w:val="bottom"/>
          </w:tcPr>
          <w:p>
            <w:pPr>
              <w:spacing w:after="0"/>
              <w:rPr>
                <w:sz w:val="1"/>
                <w:szCs w:val="1"/>
                <w:color w:val="auto"/>
              </w:rPr>
            </w:pPr>
          </w:p>
        </w:tc>
      </w:tr>
      <w:tr>
        <w:trPr>
          <w:trHeight w:val="73"/>
        </w:trPr>
        <w:tc>
          <w:tcPr>
            <w:tcW w:w="4300" w:type="dxa"/>
            <w:vAlign w:val="bottom"/>
          </w:tcPr>
          <w:p>
            <w:pPr>
              <w:spacing w:after="0" w:line="73" w:lineRule="exact"/>
              <w:rPr>
                <w:sz w:val="20"/>
                <w:szCs w:val="20"/>
                <w:color w:val="auto"/>
              </w:rPr>
            </w:pPr>
            <w:r>
              <w:rPr>
                <w:rFonts w:ascii="Arial" w:cs="Arial" w:eastAsia="Arial" w:hAnsi="Arial"/>
                <w:sz w:val="8"/>
                <w:szCs w:val="8"/>
                <w:color w:val="auto"/>
              </w:rPr>
              <w:t>Suisse</w:t>
            </w:r>
          </w:p>
        </w:tc>
        <w:tc>
          <w:tcPr>
            <w:tcW w:w="4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(USA)</w:t>
            </w:r>
          </w:p>
        </w:tc>
        <w:tc>
          <w:tcPr>
            <w:tcW w:w="4660" w:type="dxa"/>
            <w:vAlign w:val="bottom"/>
          </w:tcPr>
          <w:p>
            <w:pPr>
              <w:jc w:val="center"/>
              <w:spacing w:after="0" w:line="243" w:lineRule="exact"/>
              <w:rPr>
                <w:sz w:val="20"/>
                <w:szCs w:val="20"/>
                <w:color w:val="auto"/>
              </w:rPr>
            </w:pPr>
            <w:r>
              <w:rPr>
                <w:rFonts w:ascii="Arial" w:cs="Arial" w:eastAsia="Arial" w:hAnsi="Arial"/>
                <w:sz w:val="22"/>
                <w:szCs w:val="22"/>
                <w:color w:val="auto"/>
                <w:w w:val="87"/>
              </w:rPr>
              <w:t>February 09, 2007</w:t>
            </w:r>
          </w:p>
        </w:tc>
        <w:tc>
          <w:tcPr>
            <w:tcW w:w="0" w:type="dxa"/>
            <w:vAlign w:val="bottom"/>
          </w:tcPr>
          <w:p>
            <w:pPr>
              <w:spacing w:after="0"/>
              <w:rPr>
                <w:sz w:val="1"/>
                <w:szCs w:val="1"/>
                <w:color w:val="auto"/>
              </w:rPr>
            </w:pPr>
          </w:p>
        </w:tc>
      </w:tr>
      <w:tr>
        <w:trPr>
          <w:trHeight w:val="62"/>
        </w:trPr>
        <w:tc>
          <w:tcPr>
            <w:tcW w:w="4300" w:type="dxa"/>
            <w:vAlign w:val="bottom"/>
            <w:vMerge w:val="restart"/>
          </w:tcPr>
          <w:p>
            <w:pPr>
              <w:spacing w:after="0" w:line="243" w:lineRule="exact"/>
              <w:rPr>
                <w:sz w:val="20"/>
                <w:szCs w:val="20"/>
                <w:color w:val="auto"/>
              </w:rPr>
            </w:pPr>
            <w:r>
              <w:rPr>
                <w:rFonts w:ascii="Arial" w:cs="Arial" w:eastAsia="Arial" w:hAnsi="Arial"/>
                <w:sz w:val="22"/>
                <w:szCs w:val="22"/>
                <w:color w:val="auto"/>
              </w:rPr>
              <w:t>LLC and</w:t>
            </w:r>
          </w:p>
        </w:tc>
        <w:tc>
          <w:tcPr>
            <w:tcW w:w="4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00" w:type="dxa"/>
            <w:vAlign w:val="bottom"/>
            <w:vMerge w:val="continue"/>
          </w:tcPr>
          <w:p>
            <w:pPr>
              <w:spacing w:after="0"/>
              <w:rPr>
                <w:sz w:val="14"/>
                <w:szCs w:val="14"/>
                <w:color w:val="auto"/>
              </w:rPr>
            </w:pPr>
          </w:p>
        </w:tc>
        <w:tc>
          <w:tcPr>
            <w:tcW w:w="4660" w:type="dxa"/>
            <w:vAlign w:val="bottom"/>
            <w:vMerge w:val="restart"/>
          </w:tcPr>
          <w:p>
            <w:pPr>
              <w:jc w:val="center"/>
              <w:spacing w:after="0"/>
              <w:rPr>
                <w:sz w:val="20"/>
                <w:szCs w:val="20"/>
                <w:color w:val="auto"/>
              </w:rPr>
            </w:pPr>
            <w:r>
              <w:rPr>
                <w:rFonts w:ascii="Arial" w:cs="Arial" w:eastAsia="Arial" w:hAnsi="Arial"/>
                <w:sz w:val="22"/>
                <w:szCs w:val="22"/>
                <w:color w:val="auto"/>
                <w:w w:val="90"/>
              </w:rPr>
              <w:t>Date</w:t>
            </w:r>
          </w:p>
        </w:tc>
        <w:tc>
          <w:tcPr>
            <w:tcW w:w="0" w:type="dxa"/>
            <w:vAlign w:val="bottom"/>
          </w:tcPr>
          <w:p>
            <w:pPr>
              <w:spacing w:after="0"/>
              <w:rPr>
                <w:sz w:val="1"/>
                <w:szCs w:val="1"/>
                <w:color w:val="auto"/>
              </w:rPr>
            </w:pPr>
          </w:p>
        </w:tc>
      </w:tr>
      <w:tr>
        <w:trPr>
          <w:trHeight w:val="126"/>
        </w:trPr>
        <w:tc>
          <w:tcPr>
            <w:tcW w:w="4300" w:type="dxa"/>
            <w:vAlign w:val="bottom"/>
            <w:vMerge w:val="restart"/>
          </w:tcPr>
          <w:p>
            <w:pPr>
              <w:spacing w:after="0" w:line="243" w:lineRule="exact"/>
              <w:rPr>
                <w:sz w:val="20"/>
                <w:szCs w:val="20"/>
                <w:color w:val="auto"/>
              </w:rPr>
            </w:pPr>
            <w:r>
              <w:rPr>
                <w:rFonts w:ascii="Arial" w:cs="Arial" w:eastAsia="Arial" w:hAnsi="Arial"/>
                <w:sz w:val="22"/>
                <w:szCs w:val="22"/>
                <w:color w:val="auto"/>
              </w:rPr>
              <w:t>certain of</w:t>
            </w:r>
          </w:p>
        </w:tc>
        <w:tc>
          <w:tcPr>
            <w:tcW w:w="4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00" w:type="dxa"/>
            <w:vAlign w:val="bottom"/>
            <w:vMerge w:val="continue"/>
          </w:tcPr>
          <w:p>
            <w:pPr>
              <w:spacing w:after="0"/>
              <w:rPr>
                <w:sz w:val="10"/>
                <w:szCs w:val="10"/>
                <w:color w:val="auto"/>
              </w:rPr>
            </w:pPr>
          </w:p>
        </w:tc>
        <w:tc>
          <w:tcPr>
            <w:tcW w:w="4660" w:type="dxa"/>
            <w:vAlign w:val="bottom"/>
            <w:vMerge w:val="restart"/>
          </w:tcPr>
          <w:p>
            <w:pPr>
              <w:jc w:val="center"/>
              <w:spacing w:after="0"/>
              <w:rPr>
                <w:sz w:val="20"/>
                <w:szCs w:val="20"/>
                <w:color w:val="auto"/>
              </w:rPr>
            </w:pPr>
            <w:r>
              <w:rPr>
                <w:rFonts w:ascii="Arial" w:cs="Arial" w:eastAsia="Arial" w:hAnsi="Arial"/>
                <w:sz w:val="22"/>
                <w:szCs w:val="22"/>
                <w:color w:val="auto"/>
                <w:w w:val="91"/>
              </w:rPr>
              <w:t>/s/ Mark B. Kraske</w:t>
            </w:r>
          </w:p>
        </w:tc>
        <w:tc>
          <w:tcPr>
            <w:tcW w:w="0" w:type="dxa"/>
            <w:vAlign w:val="bottom"/>
          </w:tcPr>
          <w:p>
            <w:pPr>
              <w:spacing w:after="0"/>
              <w:rPr>
                <w:sz w:val="1"/>
                <w:szCs w:val="1"/>
                <w:color w:val="auto"/>
              </w:rPr>
            </w:pPr>
          </w:p>
        </w:tc>
      </w:tr>
      <w:tr>
        <w:trPr>
          <w:trHeight w:val="243"/>
        </w:trPr>
        <w:tc>
          <w:tcPr>
            <w:tcW w:w="4300" w:type="dxa"/>
            <w:vAlign w:val="bottom"/>
          </w:tcPr>
          <w:p>
            <w:pPr>
              <w:spacing w:after="0" w:line="238" w:lineRule="exact"/>
              <w:rPr>
                <w:sz w:val="20"/>
                <w:szCs w:val="20"/>
                <w:color w:val="auto"/>
              </w:rPr>
            </w:pPr>
            <w:r>
              <w:rPr>
                <w:rFonts w:ascii="Arial" w:cs="Arial" w:eastAsia="Arial" w:hAnsi="Arial"/>
                <w:sz w:val="22"/>
                <w:szCs w:val="22"/>
                <w:color w:val="auto"/>
              </w:rPr>
              <w:t>its affiliates</w:t>
            </w:r>
          </w:p>
        </w:tc>
        <w:tc>
          <w:tcPr>
            <w:tcW w:w="4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line="228" w:lineRule="exact"/>
              <w:rPr>
                <w:sz w:val="20"/>
                <w:szCs w:val="20"/>
                <w:color w:val="auto"/>
              </w:rPr>
            </w:pPr>
            <w:r>
              <w:rPr>
                <w:rFonts w:ascii="Arial" w:cs="Arial" w:eastAsia="Arial" w:hAnsi="Arial"/>
                <w:sz w:val="22"/>
                <w:szCs w:val="22"/>
                <w:color w:val="auto"/>
              </w:rPr>
              <w:t>may be</w:t>
            </w:r>
          </w:p>
        </w:tc>
        <w:tc>
          <w:tcPr>
            <w:tcW w:w="4660" w:type="dxa"/>
            <w:vAlign w:val="bottom"/>
          </w:tcPr>
          <w:p>
            <w:pPr>
              <w:jc w:val="center"/>
              <w:spacing w:after="0" w:line="228" w:lineRule="exact"/>
              <w:rPr>
                <w:sz w:val="20"/>
                <w:szCs w:val="20"/>
                <w:color w:val="auto"/>
              </w:rPr>
            </w:pPr>
            <w:r>
              <w:rPr>
                <w:rFonts w:ascii="Arial" w:cs="Arial" w:eastAsia="Arial" w:hAnsi="Arial"/>
                <w:sz w:val="22"/>
                <w:szCs w:val="22"/>
                <w:color w:val="auto"/>
                <w:w w:val="87"/>
              </w:rPr>
              <w:t>Signature</w:t>
            </w:r>
          </w:p>
        </w:tc>
        <w:tc>
          <w:tcPr>
            <w:tcW w:w="0" w:type="dxa"/>
            <w:vAlign w:val="bottom"/>
          </w:tcPr>
          <w:p>
            <w:pPr>
              <w:spacing w:after="0"/>
              <w:rPr>
                <w:sz w:val="1"/>
                <w:szCs w:val="1"/>
                <w:color w:val="auto"/>
              </w:rPr>
            </w:pP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deemed to</w:t>
            </w:r>
          </w:p>
        </w:tc>
        <w:tc>
          <w:tcPr>
            <w:tcW w:w="4660" w:type="dxa"/>
            <w:vAlign w:val="bottom"/>
            <w:vMerge w:val="restart"/>
          </w:tcPr>
          <w:p>
            <w:pPr>
              <w:jc w:val="center"/>
              <w:spacing w:after="0"/>
              <w:rPr>
                <w:sz w:val="20"/>
                <w:szCs w:val="20"/>
                <w:color w:val="auto"/>
              </w:rPr>
            </w:pPr>
            <w:r>
              <w:rPr>
                <w:rFonts w:ascii="Arial" w:cs="Arial" w:eastAsia="Arial" w:hAnsi="Arial"/>
                <w:sz w:val="22"/>
                <w:szCs w:val="22"/>
                <w:color w:val="auto"/>
                <w:w w:val="89"/>
              </w:rPr>
              <w:t>Mark B. Kraske, VP Trust Operations Management</w:t>
            </w:r>
          </w:p>
        </w:tc>
        <w:tc>
          <w:tcPr>
            <w:tcW w:w="0" w:type="dxa"/>
            <w:vAlign w:val="bottom"/>
          </w:tcPr>
          <w:p>
            <w:pPr>
              <w:spacing w:after="0"/>
              <w:rPr>
                <w:sz w:val="1"/>
                <w:szCs w:val="1"/>
                <w:color w:val="auto"/>
              </w:rPr>
            </w:pPr>
          </w:p>
        </w:tc>
      </w:tr>
      <w:tr>
        <w:trPr>
          <w:trHeight w:val="135"/>
        </w:trPr>
        <w:tc>
          <w:tcPr>
            <w:tcW w:w="430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300" w:type="dxa"/>
            <w:vAlign w:val="bottom"/>
            <w:vMerge w:val="continue"/>
          </w:tcPr>
          <w:p>
            <w:pPr>
              <w:spacing w:after="0"/>
              <w:rPr>
                <w:sz w:val="9"/>
                <w:szCs w:val="9"/>
                <w:color w:val="auto"/>
              </w:rPr>
            </w:pPr>
          </w:p>
        </w:tc>
        <w:tc>
          <w:tcPr>
            <w:tcW w:w="4660" w:type="dxa"/>
            <w:vAlign w:val="bottom"/>
            <w:vMerge w:val="restart"/>
          </w:tcPr>
          <w:p>
            <w:pPr>
              <w:jc w:val="center"/>
              <w:spacing w:after="0"/>
              <w:rPr>
                <w:sz w:val="20"/>
                <w:szCs w:val="20"/>
                <w:color w:val="auto"/>
              </w:rPr>
            </w:pPr>
            <w:r>
              <w:rPr>
                <w:rFonts w:ascii="Arial" w:cs="Arial" w:eastAsia="Arial" w:hAnsi="Arial"/>
                <w:sz w:val="22"/>
                <w:szCs w:val="22"/>
                <w:color w:val="auto"/>
                <w:w w:val="87"/>
              </w:rPr>
              <w:t>Support Services</w:t>
            </w: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line="243" w:lineRule="exact"/>
              <w:rPr>
                <w:sz w:val="20"/>
                <w:szCs w:val="20"/>
                <w:color w:val="auto"/>
              </w:rPr>
            </w:pPr>
            <w:r>
              <w:rPr>
                <w:rFonts w:ascii="Arial" w:cs="Arial" w:eastAsia="Arial" w:hAnsi="Arial"/>
                <w:sz w:val="22"/>
                <w:szCs w:val="22"/>
                <w:color w:val="auto"/>
              </w:rPr>
              <w:t>own more</w:t>
            </w:r>
          </w:p>
        </w:tc>
        <w:tc>
          <w:tcPr>
            <w:tcW w:w="4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4300" w:type="dxa"/>
            <w:vAlign w:val="bottom"/>
            <w:vMerge w:val="continue"/>
          </w:tcPr>
          <w:p>
            <w:pPr>
              <w:spacing w:after="0"/>
              <w:rPr>
                <w:sz w:val="4"/>
                <w:szCs w:val="4"/>
                <w:color w:val="auto"/>
              </w:rPr>
            </w:pPr>
          </w:p>
        </w:tc>
        <w:tc>
          <w:tcPr>
            <w:tcW w:w="4660" w:type="dxa"/>
            <w:vAlign w:val="bottom"/>
            <w:vMerge w:val="restart"/>
          </w:tcPr>
          <w:p>
            <w:pPr>
              <w:jc w:val="center"/>
              <w:spacing w:after="0"/>
              <w:rPr>
                <w:sz w:val="20"/>
                <w:szCs w:val="20"/>
                <w:color w:val="auto"/>
              </w:rPr>
            </w:pPr>
            <w:r>
              <w:rPr>
                <w:rFonts w:ascii="Arial" w:cs="Arial" w:eastAsia="Arial" w:hAnsi="Arial"/>
                <w:sz w:val="22"/>
                <w:szCs w:val="22"/>
                <w:color w:val="auto"/>
                <w:w w:val="92"/>
              </w:rPr>
              <w:t>Name/Title</w:t>
            </w:r>
          </w:p>
        </w:tc>
        <w:tc>
          <w:tcPr>
            <w:tcW w:w="0" w:type="dxa"/>
            <w:vAlign w:val="bottom"/>
          </w:tcPr>
          <w:p>
            <w:pPr>
              <w:spacing w:after="0"/>
              <w:rPr>
                <w:sz w:val="1"/>
                <w:szCs w:val="1"/>
                <w:color w:val="auto"/>
              </w:rPr>
            </w:pPr>
          </w:p>
        </w:tc>
      </w:tr>
      <w:tr>
        <w:trPr>
          <w:trHeight w:val="261"/>
        </w:trPr>
        <w:tc>
          <w:tcPr>
            <w:tcW w:w="4300" w:type="dxa"/>
            <w:vAlign w:val="bottom"/>
          </w:tcPr>
          <w:p>
            <w:pPr>
              <w:spacing w:after="0"/>
              <w:rPr>
                <w:sz w:val="20"/>
                <w:szCs w:val="20"/>
                <w:color w:val="auto"/>
              </w:rPr>
            </w:pPr>
            <w:r>
              <w:rPr>
                <w:rFonts w:ascii="Arial" w:cs="Arial" w:eastAsia="Arial" w:hAnsi="Arial"/>
                <w:sz w:val="22"/>
                <w:szCs w:val="22"/>
                <w:color w:val="auto"/>
              </w:rPr>
              <w:t>than 5% of</w:t>
            </w:r>
          </w:p>
        </w:tc>
        <w:tc>
          <w:tcPr>
            <w:tcW w:w="4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6"/>
          <w:szCs w:val="6"/>
          <w:color w:val="auto"/>
        </w:rPr>
        <w:t>the shares</w:t>
      </w:r>
    </w:p>
    <w:p>
      <w:pPr>
        <w:spacing w:after="0" w:line="188" w:lineRule="auto"/>
        <w:rPr>
          <w:sz w:val="20"/>
          <w:szCs w:val="20"/>
          <w:color w:val="auto"/>
        </w:rPr>
      </w:pPr>
      <w:r>
        <w:rPr>
          <w:rFonts w:ascii="Arial" w:cs="Arial" w:eastAsia="Arial" w:hAnsi="Arial"/>
          <w:sz w:val="21"/>
          <w:szCs w:val="21"/>
          <w:b w:val="1"/>
          <w:bCs w:val="1"/>
          <w:color w:val="auto"/>
        </w:rPr>
        <w:t>Exhibit A</w:t>
      </w:r>
    </w:p>
    <w:p>
      <w:pPr>
        <w:spacing w:after="0" w:line="188" w:lineRule="auto"/>
        <w:rPr>
          <w:sz w:val="20"/>
          <w:szCs w:val="20"/>
          <w:color w:val="auto"/>
        </w:rPr>
      </w:pPr>
      <w:r>
        <w:rPr>
          <w:rFonts w:ascii="Arial" w:cs="Arial" w:eastAsia="Arial" w:hAnsi="Arial"/>
          <w:sz w:val="18"/>
          <w:szCs w:val="18"/>
          <w:color w:val="auto"/>
        </w:rPr>
        <w:t>of</w:t>
      </w:r>
    </w:p>
    <w:p>
      <w:pPr>
        <w:spacing w:after="0" w:line="188" w:lineRule="auto"/>
        <w:rPr>
          <w:sz w:val="20"/>
          <w:szCs w:val="20"/>
          <w:color w:val="auto"/>
        </w:rPr>
      </w:pPr>
      <w:r>
        <w:rPr>
          <w:rFonts w:ascii="Arial" w:cs="Arial" w:eastAsia="Arial" w:hAnsi="Arial"/>
          <w:sz w:val="9"/>
          <w:szCs w:val="9"/>
          <w:color w:val="auto"/>
        </w:rPr>
        <w:t>EXPLANATORY NOTE</w:t>
      </w:r>
    </w:p>
    <w:p>
      <w:pPr>
        <w:spacing w:after="0" w:line="230" w:lineRule="auto"/>
        <w:rPr>
          <w:sz w:val="20"/>
          <w:szCs w:val="20"/>
          <w:color w:val="auto"/>
        </w:rPr>
      </w:pPr>
      <w:r>
        <w:rPr>
          <w:rFonts w:ascii="Arial" w:cs="Arial" w:eastAsia="Arial" w:hAnsi="Arial"/>
          <w:sz w:val="22"/>
          <w:szCs w:val="22"/>
          <w:color w:val="auto"/>
        </w:rPr>
        <w:t>Common</w:t>
      </w:r>
    </w:p>
    <w:p>
      <w:pPr>
        <w:spacing w:after="0" w:line="188" w:lineRule="auto"/>
        <w:rPr>
          <w:sz w:val="20"/>
          <w:szCs w:val="20"/>
          <w:color w:val="auto"/>
        </w:rPr>
      </w:pPr>
      <w:r>
        <w:rPr>
          <w:rFonts w:ascii="Arial" w:cs="Arial" w:eastAsia="Arial" w:hAnsi="Arial"/>
          <w:sz w:val="18"/>
          <w:szCs w:val="18"/>
          <w:color w:val="auto"/>
        </w:rPr>
        <w:t>Stock</w:t>
      </w:r>
    </w:p>
    <w:p>
      <w:pPr>
        <w:spacing w:after="0" w:line="1" w:lineRule="exact"/>
        <w:rPr>
          <w:rFonts w:ascii="Arial" w:cs="Arial" w:eastAsia="Arial" w:hAnsi="Arial"/>
          <w:sz w:val="19"/>
          <w:szCs w:val="19"/>
          <w:b w:val="1"/>
          <w:bCs w:val="1"/>
          <w:color w:val="auto"/>
        </w:rPr>
      </w:pPr>
    </w:p>
    <w:p>
      <w:pPr>
        <w:ind w:right="1899"/>
        <w:spacing w:after="0"/>
        <w:rPr>
          <w:sz w:val="20"/>
          <w:szCs w:val="20"/>
          <w:color w:val="auto"/>
        </w:rPr>
      </w:pPr>
      <w:r>
        <w:rPr>
          <w:rFonts w:ascii="Arial" w:cs="Arial" w:eastAsia="Arial" w:hAnsi="Arial"/>
          <w:sz w:val="17"/>
          <w:szCs w:val="17"/>
          <w:color w:val="auto"/>
        </w:rPr>
        <w:t>This Schedule 13G is filed by Wells Fargo &amp; Company on its own behalf and on behalf of each outstanding</w:t>
      </w:r>
    </w:p>
    <w:p>
      <w:pPr>
        <w:spacing w:after="0" w:line="48" w:lineRule="exact"/>
        <w:rPr>
          <w:rFonts w:ascii="Arial" w:cs="Arial" w:eastAsia="Arial" w:hAnsi="Arial"/>
          <w:sz w:val="19"/>
          <w:szCs w:val="19"/>
          <w:b w:val="1"/>
          <w:bCs w:val="1"/>
          <w:color w:val="auto"/>
        </w:rPr>
      </w:pPr>
    </w:p>
    <w:p>
      <w:pPr>
        <w:ind w:right="1459"/>
        <w:spacing w:after="0"/>
        <w:rPr>
          <w:sz w:val="20"/>
          <w:szCs w:val="20"/>
          <w:color w:val="auto"/>
        </w:rPr>
      </w:pPr>
      <w:r>
        <w:rPr>
          <w:rFonts w:ascii="Arial" w:cs="Arial" w:eastAsia="Arial" w:hAnsi="Arial"/>
          <w:sz w:val="17"/>
          <w:szCs w:val="17"/>
          <w:color w:val="auto"/>
        </w:rPr>
        <w:t>subsidiary listed on Exhibit B. Aggregate beneficial ownership reported by Wells Fargo &amp; Company at October</w:t>
      </w:r>
    </w:p>
    <w:p>
      <w:pPr>
        <w:spacing w:after="0" w:line="48" w:lineRule="exact"/>
        <w:rPr>
          <w:rFonts w:ascii="Arial" w:cs="Arial" w:eastAsia="Arial" w:hAnsi="Arial"/>
          <w:sz w:val="19"/>
          <w:szCs w:val="19"/>
          <w:b w:val="1"/>
          <w:bCs w:val="1"/>
          <w:color w:val="auto"/>
        </w:rPr>
      </w:pPr>
    </w:p>
    <w:p>
      <w:pPr>
        <w:ind w:right="1619"/>
        <w:spacing w:after="0"/>
        <w:rPr>
          <w:sz w:val="20"/>
          <w:szCs w:val="20"/>
          <w:color w:val="auto"/>
        </w:rPr>
      </w:pPr>
      <w:r>
        <w:rPr>
          <w:rFonts w:ascii="Arial" w:cs="Arial" w:eastAsia="Arial" w:hAnsi="Arial"/>
          <w:sz w:val="17"/>
          <w:szCs w:val="17"/>
          <w:color w:val="auto"/>
        </w:rPr>
        <w:t>under Item 9 on page 2 is on a consolidated basis and includes any beneficial ownership separately 31, 2006.</w:t>
      </w:r>
    </w:p>
    <w:p>
      <w:pPr>
        <w:spacing w:after="0" w:line="48"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color w:val="auto"/>
        </w:rPr>
        <w:t>reported herein by a subsidiary.</w:t>
      </w:r>
    </w:p>
    <w:p>
      <w:pPr>
        <w:spacing w:after="0" w:line="74"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rFonts w:ascii="Arial" w:cs="Arial" w:eastAsia="Arial" w:hAnsi="Arial"/>
          <w:sz w:val="19"/>
          <w:szCs w:val="19"/>
          <w:b w:val="1"/>
          <w:bCs w:val="1"/>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line="230" w:lineRule="auto"/>
        <w:rPr>
          <w:sz w:val="20"/>
          <w:szCs w:val="20"/>
          <w:color w:val="auto"/>
        </w:rPr>
      </w:pPr>
      <w:r>
        <w:rPr>
          <w:rFonts w:ascii="Arial" w:cs="Arial" w:eastAsia="Arial" w:hAnsi="Arial"/>
          <w:sz w:val="22"/>
          <w:szCs w:val="22"/>
          <w:color w:val="auto"/>
        </w:rPr>
        <w:t>Wells Fargo Bank, National Association (2)</w:t>
      </w:r>
    </w:p>
    <w:p>
      <w:pPr>
        <w:spacing w:after="0" w:line="1"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color w:val="auto"/>
        </w:rPr>
        <w:t>________________</w:t>
      </w:r>
    </w:p>
    <w:p>
      <w:pPr>
        <w:spacing w:after="0" w:line="215" w:lineRule="exact"/>
        <w:rPr>
          <w:rFonts w:ascii="Arial" w:cs="Arial" w:eastAsia="Arial" w:hAnsi="Arial"/>
          <w:sz w:val="19"/>
          <w:szCs w:val="19"/>
          <w:b w:val="1"/>
          <w:bCs w:val="1"/>
          <w:color w:val="auto"/>
        </w:rPr>
      </w:pPr>
    </w:p>
    <w:p>
      <w:pPr>
        <w:ind w:left="300" w:hanging="298"/>
        <w:spacing w:after="0"/>
        <w:tabs>
          <w:tab w:leader="none" w:pos="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317"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104"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19"/>
          <w:szCs w:val="19"/>
          <w:color w:val="auto"/>
        </w:rPr>
        <w:t>Wells Fargo &amp; Company (the "Parent Company") may be deemed to beneficially own 14,604,918</w:t>
      </w:r>
    </w:p>
    <w:p>
      <w:pPr>
        <w:sectPr>
          <w:pgSz w:w="11900" w:h="16838" w:orient="portrait"/>
          <w:cols w:equalWidth="0" w:num="1">
            <w:col w:w="10159"/>
          </w:cols>
          <w:pgMar w:left="300" w:top="463" w:right="1440" w:bottom="0" w:gutter="0" w:footer="0" w:header="0"/>
        </w:sectPr>
      </w:pPr>
    </w:p>
    <w:bookmarkStart w:id="5" w:name="page6"/>
    <w:bookmarkEnd w:id="5"/>
    <w:p>
      <w:pPr>
        <w:ind w:right="1339"/>
        <w:spacing w:after="0" w:line="247" w:lineRule="auto"/>
        <w:rPr>
          <w:sz w:val="20"/>
          <w:szCs w:val="20"/>
          <w:color w:val="auto"/>
        </w:rPr>
      </w:pPr>
      <w:r>
        <w:rPr>
          <w:rFonts w:ascii="Arial" w:cs="Arial" w:eastAsia="Arial" w:hAnsi="Arial"/>
          <w:sz w:val="21"/>
          <w:szCs w:val="21"/>
          <w:color w:val="auto"/>
        </w:rPr>
        <w:t xml:space="preserve">shares of the common stock, par value $0.01 ("Common Stock"), of </w:t>
      </w:r>
      <w:r>
        <w:rPr>
          <w:rFonts w:ascii="Arial" w:cs="Arial" w:eastAsia="Arial" w:hAnsi="Arial"/>
          <w:sz w:val="21"/>
          <w:szCs w:val="21"/>
          <w:b w:val="1"/>
          <w:bCs w:val="1"/>
          <w:color w:val="auto"/>
        </w:rPr>
        <w:t>CommVault Systems</w:t>
      </w:r>
      <w:r>
        <w:rPr>
          <w:rFonts w:ascii="Arial" w:cs="Arial" w:eastAsia="Arial" w:hAnsi="Arial"/>
          <w:sz w:val="21"/>
          <w:szCs w:val="21"/>
          <w:color w:val="auto"/>
        </w:rPr>
        <w:t xml:space="preserve">, Inc., consisting of 14,594,653 shares of Common Stock that Wells Fargo Bank, N.A. (the "Bank"), a subsidiary of the Parent Company, may be deemed to beneficially own as described below and 27,058 shares of Common Stock that other Parent Company subsidiaries may be deemed to beneficially own (see Exhibit B). Of the 14,594,653 shares of Common Stock that the Bank may be deemed to beneficially own, </w:t>
      </w:r>
      <w:r>
        <w:rPr>
          <w:rFonts w:ascii="Arial" w:cs="Arial" w:eastAsia="Arial" w:hAnsi="Arial"/>
          <w:sz w:val="21"/>
          <w:szCs w:val="21"/>
          <w:b w:val="1"/>
          <w:bCs w:val="1"/>
          <w:color w:val="auto"/>
        </w:rPr>
        <w:t>14,577,860</w:t>
      </w:r>
      <w:r>
        <w:rPr>
          <w:rFonts w:ascii="Arial" w:cs="Arial" w:eastAsia="Arial" w:hAnsi="Arial"/>
          <w:sz w:val="21"/>
          <w:szCs w:val="21"/>
          <w:color w:val="auto"/>
        </w:rPr>
        <w:t xml:space="preserve"> shares are subject to a Voting Trust Agreement, dated as of </w:t>
      </w:r>
      <w:r>
        <w:rPr>
          <w:rFonts w:ascii="Arial" w:cs="Arial" w:eastAsia="Arial" w:hAnsi="Arial"/>
          <w:sz w:val="21"/>
          <w:szCs w:val="21"/>
          <w:b w:val="1"/>
          <w:bCs w:val="1"/>
          <w:color w:val="auto"/>
        </w:rPr>
        <w:t>September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21, 2006 </w:t>
      </w:r>
      <w:r>
        <w:rPr>
          <w:rFonts w:ascii="Arial" w:cs="Arial" w:eastAsia="Arial" w:hAnsi="Arial"/>
          <w:sz w:val="21"/>
          <w:szCs w:val="21"/>
          <w:color w:val="auto"/>
        </w:rPr>
        <w:t>(the "Agreement"), among Wells Fargo Bank, N.A.(the Bank), and Credit Suisse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(USA) LLC and certain of its affiliates.</w:t>
      </w:r>
    </w:p>
    <w:p>
      <w:pPr>
        <w:spacing w:after="0" w:line="179" w:lineRule="exact"/>
        <w:rPr>
          <w:sz w:val="20"/>
          <w:szCs w:val="20"/>
          <w:color w:val="auto"/>
        </w:rPr>
      </w:pPr>
    </w:p>
    <w:p>
      <w:pPr>
        <w:ind w:right="1339" w:firstLine="486"/>
        <w:spacing w:after="0" w:line="245" w:lineRule="auto"/>
        <w:rPr>
          <w:sz w:val="20"/>
          <w:szCs w:val="20"/>
          <w:color w:val="auto"/>
        </w:rPr>
      </w:pPr>
      <w:r>
        <w:rPr>
          <w:rFonts w:ascii="Arial" w:cs="Arial" w:eastAsia="Arial" w:hAnsi="Arial"/>
          <w:sz w:val="21"/>
          <w:szCs w:val="21"/>
          <w:color w:val="auto"/>
        </w:rPr>
        <w:t>Under the Agreement, the shares have been deposited into a voting trust and are voted by the Bank in accordance with the Agreement. The Agreement requires that the Bank cause the shares of Common Stock subject to the Agreement to be represented at all CommVault stockholder meetings for purposes of determining a quorum, but the Bank is not required to vote the shares on any matter and any determination whether to vote the shares is required by the Agreement to be made by the Bank without consultation with Credit Suisse Securities (USA) LLC and its affiliates. If, however, the Bank votes the shares on any matter subject to a stockholder vote, including proposals involving the election of directors, change of control and other significant corporate transactions, the shares will be voted in the same proportion as votes cast “for” or “against” those proposals by other CommVault stockholders.</w:t>
      </w:r>
    </w:p>
    <w:p>
      <w:pPr>
        <w:spacing w:after="0" w:line="209" w:lineRule="exact"/>
        <w:rPr>
          <w:sz w:val="20"/>
          <w:szCs w:val="20"/>
          <w:color w:val="auto"/>
        </w:rPr>
      </w:pPr>
    </w:p>
    <w:p>
      <w:pPr>
        <w:ind w:right="1299" w:firstLine="486"/>
        <w:spacing w:after="0" w:line="273" w:lineRule="auto"/>
        <w:rPr>
          <w:sz w:val="20"/>
          <w:szCs w:val="20"/>
          <w:color w:val="auto"/>
        </w:rPr>
      </w:pPr>
      <w:r>
        <w:rPr>
          <w:rFonts w:ascii="Arial" w:cs="Arial" w:eastAsia="Arial" w:hAnsi="Arial"/>
          <w:sz w:val="19"/>
          <w:szCs w:val="19"/>
          <w:color w:val="auto"/>
        </w:rPr>
        <w:t>Holders of shares of Common Stock subject to the Agreement will retain the right to receive any dividends or distributions paid on the Common Stock. In order for a holder to cause shares covered by the Agreement to be distributed or transfered, the transfer must be deemed an “eligible transfer” under the Agreement, or such transfer must be in connection with a tender offer to purchase all of the outstanding shares of Common Stock. Generally, an eligible transfer under the Agreement is a transfer of shares that would not (i) subject to certain normal trading activity and customer account exceptions cause the aggregate number of shares of Common Stock held outside of the voting trust by Credit Suisse Securities (USA) LLC and its affiliates to equal or exceed 5% of the Common Stock then outstanding or (ii) cause the entity receiving the shares to be an affiliate of CommVault. The Agreement also permits the parties to the Agreement to make distributions-in-kind of shares of Common Stock subject to the Agreement upon the satisfaction of specified requirements.</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The Agreement will terminate upon the earliest of:</w:t>
      </w:r>
    </w:p>
    <w:p>
      <w:pPr>
        <w:spacing w:after="0" w:line="200" w:lineRule="exact"/>
        <w:rPr>
          <w:sz w:val="20"/>
          <w:szCs w:val="20"/>
          <w:color w:val="auto"/>
        </w:rPr>
      </w:pPr>
    </w:p>
    <w:p>
      <w:pPr>
        <w:spacing w:after="0" w:line="24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September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-99060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1819"/>
        <w:spacing w:after="0" w:line="238" w:lineRule="auto"/>
        <w:rPr>
          <w:sz w:val="20"/>
          <w:szCs w:val="20"/>
          <w:color w:val="auto"/>
        </w:rPr>
      </w:pPr>
      <w:r>
        <w:rPr>
          <w:rFonts w:ascii="Arial" w:cs="Arial" w:eastAsia="Arial" w:hAnsi="Arial"/>
          <w:sz w:val="22"/>
          <w:szCs w:val="22"/>
          <w:color w:val="auto"/>
        </w:rPr>
        <w:t>the written election of Credit Suisse First Boston Private Equity, Inc., an affiliate of Credit Suisse Securities (USA) LLC, Credit Suisse Securities (USA) LLC or the holders of the majority of the shares of Common Stock subject to the Agreement and the satisfaction of specified requirements;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-575310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2159"/>
        <w:spacing w:after="0" w:line="251" w:lineRule="auto"/>
        <w:rPr>
          <w:sz w:val="20"/>
          <w:szCs w:val="20"/>
          <w:color w:val="auto"/>
        </w:rPr>
      </w:pPr>
      <w:r>
        <w:rPr>
          <w:rFonts w:ascii="Arial" w:cs="Arial" w:eastAsia="Arial" w:hAnsi="Arial"/>
          <w:sz w:val="22"/>
          <w:szCs w:val="22"/>
          <w:color w:val="auto"/>
        </w:rPr>
        <w:t>the transfer of all of the shares of Common Stock subject to the Agreement in a matter permitted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-274320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1319" w:firstLine="486"/>
        <w:spacing w:after="0" w:line="235" w:lineRule="auto"/>
        <w:rPr>
          <w:sz w:val="20"/>
          <w:szCs w:val="20"/>
          <w:color w:val="auto"/>
        </w:rPr>
      </w:pPr>
      <w:r>
        <w:rPr>
          <w:rFonts w:ascii="Arial" w:cs="Arial" w:eastAsia="Arial" w:hAnsi="Arial"/>
          <w:sz w:val="22"/>
          <w:szCs w:val="22"/>
          <w:color w:val="auto"/>
        </w:rPr>
        <w:t>The Agreement provides Credit Suisse First Boston Private Equity, Inc., Credit Suisse Securities (USA) LLC and the holders of a majority of the shares of Common Stock subject to the Agreement with the right to terminate the Agreement subject to the satisfaction of specified requirements, including that, immediately after giving effect to such termination, Credit Suisse First Boston Private Equity, Inc. and its affiliates will not be affiliates of CommVault within the meaning of Rule 144 of the Securities Act of 1933.</w:t>
      </w:r>
    </w:p>
    <w:p>
      <w:pPr>
        <w:spacing w:after="0" w:line="188" w:lineRule="exact"/>
        <w:rPr>
          <w:sz w:val="20"/>
          <w:szCs w:val="20"/>
          <w:color w:val="auto"/>
        </w:rPr>
      </w:pPr>
    </w:p>
    <w:p>
      <w:pPr>
        <w:ind w:right="2039" w:firstLine="486"/>
        <w:spacing w:after="0" w:line="328" w:lineRule="auto"/>
        <w:rPr>
          <w:sz w:val="20"/>
          <w:szCs w:val="20"/>
          <w:color w:val="auto"/>
        </w:rPr>
      </w:pPr>
      <w:r>
        <w:rPr>
          <w:rFonts w:ascii="Arial" w:cs="Arial" w:eastAsia="Arial" w:hAnsi="Arial"/>
          <w:sz w:val="19"/>
          <w:szCs w:val="19"/>
          <w:color w:val="auto"/>
        </w:rPr>
        <w:t>The foregoing discussion of the Agreement is qualified in its entirety by reference to the Agreement, which is filed as Attachment A hereto and incorporated herein by reference.</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D</w:t>
      </w:r>
    </w:p>
    <w:p>
      <w:pPr>
        <w:spacing w:after="0" w:line="104" w:lineRule="exact"/>
        <w:rPr>
          <w:sz w:val="20"/>
          <w:szCs w:val="20"/>
          <w:color w:val="auto"/>
        </w:rPr>
      </w:pPr>
    </w:p>
    <w:p>
      <w:pPr>
        <w:ind w:right="1539"/>
        <w:spacing w:after="0" w:line="251" w:lineRule="auto"/>
        <w:rPr>
          <w:sz w:val="20"/>
          <w:szCs w:val="20"/>
          <w:color w:val="auto"/>
        </w:rPr>
      </w:pPr>
      <w:r>
        <w:rPr>
          <w:rFonts w:ascii="Arial" w:cs="Arial" w:eastAsia="Arial" w:hAnsi="Arial"/>
          <w:sz w:val="22"/>
          <w:szCs w:val="22"/>
          <w:color w:val="auto"/>
        </w:rPr>
        <w:t>Attachment A: Voting Trust Agreement, dated as of September 21, 2006, among Wells Fargo Bank, N.A. and Credit Suisse Securities (USA) LLC and certain of its affiliates.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vtawfccommvault021207.htm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ectPr>
          <w:pgSz w:w="11900" w:h="16838" w:orient="portrait"/>
          <w:cols w:equalWidth="0" w:num="1">
            <w:col w:w="10159"/>
          </w:cols>
          <w:pgMar w:left="300" w:top="111" w:right="1440" w:bottom="0" w:gutter="0" w:footer="0" w:header="0"/>
        </w:sectPr>
      </w:pPr>
    </w:p>
    <w:p>
      <w:pPr>
        <w:spacing w:after="0" w:line="274" w:lineRule="exact"/>
        <w:rPr>
          <w:sz w:val="20"/>
          <w:szCs w:val="20"/>
          <w:color w:val="auto"/>
        </w:rPr>
      </w:pPr>
    </w:p>
    <w:p>
      <w:pPr>
        <w:ind w:left="6020"/>
        <w:spacing w:after="0"/>
        <w:rPr>
          <w:sz w:val="20"/>
          <w:szCs w:val="20"/>
          <w:color w:val="auto"/>
        </w:rPr>
      </w:pPr>
      <w:r>
        <w:rPr>
          <w:rFonts w:ascii="Arial" w:cs="Arial" w:eastAsia="Arial" w:hAnsi="Arial"/>
          <w:sz w:val="12"/>
          <w:szCs w:val="12"/>
          <w:color w:val="auto"/>
        </w:rPr>
        <w:t>Advisor Consultant Network, Inc. Copyright © 2006</w:t>
      </w:r>
    </w:p>
    <w:p>
      <w:pPr>
        <w:sectPr>
          <w:pgSz w:w="11900" w:h="16838" w:orient="portrait"/>
          <w:cols w:equalWidth="0" w:num="1">
            <w:col w:w="10159"/>
          </w:cols>
          <w:pgMar w:left="300" w:top="111" w:right="1440" w:bottom="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19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6131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613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8310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0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lvl w:ilvl="1">
      <w:lvlJc w:val="left"/>
      <w:lvlText w:val="(%2)"/>
      <w:numFmt w:val="lowerLetter"/>
      <w:start w:val="2"/>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1"/>
    </w:lvl>
    <w:lvl w:ilvl="1">
      <w:lvlJc w:val="left"/>
      <w:lvlText w:val="%2."/>
      <w:numFmt w:val="decimal"/>
      <w:start w:val="8"/>
    </w:lvl>
  </w:abstractNum>
  <w:abstractNum w:abstractNumId="6">
    <w:nsid w:val="DED7263"/>
    <w:multiLevelType w:val="hybridMultilevel"/>
    <w:lvl w:ilvl="0">
      <w:lvlJc w:val="left"/>
      <w:lvlText w:val="%1."/>
      <w:numFmt w:val="decimal"/>
      <w:start w:val="9"/>
    </w:lvl>
    <w:lvl w:ilvl="1">
      <w:lvlJc w:val="left"/>
      <w:lvlText w:val="%2"/>
      <w:numFmt w:val="decimal"/>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lvl w:ilvl="1">
      <w:lvlJc w:val="left"/>
      <w:lvlText w:val="(%2)"/>
      <w:numFmt w:val="lowerRoman"/>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2)"/>
      <w:numFmt w:val="lowerLetter"/>
      <w:start w:val="2"/>
    </w:lvl>
  </w:abstractNum>
  <w:abstractNum w:abstractNumId="13">
    <w:nsid w:val="519B500D"/>
    <w:multiLevelType w:val="hybridMultilevel"/>
    <w:lvl w:ilvl="0">
      <w:lvlJc w:val="left"/>
      <w:lvlText w:val="%1."/>
      <w:numFmt w:val="decimal"/>
      <w:start w:val="2"/>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decimal"/>
      <w:start w:val="8"/>
    </w:lvl>
  </w:abstractNum>
  <w:abstractNum w:abstractNumId="15">
    <w:nsid w:val="3F2DBA31"/>
    <w:multiLevelType w:val="hybridMultilevel"/>
    <w:lvl w:ilvl="0">
      <w:lvlJc w:val="left"/>
      <w:lvlText w:val="%1."/>
      <w:numFmt w:val="decimal"/>
      <w:start w:val="9"/>
    </w:lvl>
    <w:lvl w:ilvl="1">
      <w:lvlJc w:val="left"/>
      <w:lvlText w:val="%2"/>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lvl w:ilvl="1">
      <w:lvlJc w:val="left"/>
      <w:lvlText w:val="(%2)"/>
      <w:numFmt w:val="lowerRoman"/>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2019-12-15T07:20:50Z</dcterms:created>
  <dcterms:modified xsi:type="dcterms:W3CDTF">2019-12-15T07:20:50Z</dcterms:modified>
</cp:coreProperties>
</file>