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p>
      <w:pPr>
        <w:ind w:left="140" w:right="1280"/>
        <w:spacing w:after="0" w:line="21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o Non-accelerated filer o Smaller reporting company o Emerging growth company o</w:t>
      </w:r>
    </w:p>
    <w:p>
      <w:pPr>
        <w:spacing w:after="0" w:line="301" w:lineRule="exact"/>
        <w:rPr>
          <w:sz w:val="24"/>
          <w:szCs w:val="24"/>
          <w:color w:val="auto"/>
        </w:rPr>
      </w:pPr>
    </w:p>
    <w:p>
      <w:pPr>
        <w:ind w:left="140" w:right="50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1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25, 2019, there were 45,896,602 shares of the registrant’s common stock, $0.01 par value, outstanding.</w:t>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9"/>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620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 as of December 31, 2018 and March 31, 2018</w:t>
              </w:r>
            </w:hyperlink>
          </w:p>
        </w:tc>
        <w:tc>
          <w:tcPr>
            <w:tcW w:w="2640" w:type="dxa"/>
            <w:vAlign w:val="bottom"/>
            <w:gridSpan w:val="6"/>
          </w:tcPr>
          <w:p>
            <w:pPr>
              <w:spacing w:after="0"/>
              <w:rPr>
                <w:sz w:val="19"/>
                <w:szCs w:val="19"/>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380" w:type="dxa"/>
            <w:vAlign w:val="bottom"/>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Statements of Operations for the three and nine months ended December 31, 2018 and 2017</w:t>
              </w:r>
            </w:hyperlink>
          </w:p>
        </w:tc>
        <w:tc>
          <w:tcPr>
            <w:tcW w:w="460" w:type="dxa"/>
            <w:vAlign w:val="bottom"/>
            <w:gridSpan w:val="3"/>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Comprehensive Income (Loss) for the three and nine months ended December 31,</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 and 2017</w:t>
              </w:r>
            </w:hyperlink>
          </w:p>
        </w:tc>
        <w:tc>
          <w:tcPr>
            <w:tcW w:w="764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 for the three and nine months ended December 31, 2018 and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6">
              <w:r>
                <w:rPr>
                  <w:rFonts w:ascii="Arial" w:cs="Arial" w:eastAsia="Arial" w:hAnsi="Arial"/>
                  <w:sz w:val="18"/>
                  <w:szCs w:val="18"/>
                  <w:color w:val="0000EE"/>
                  <w:w w:val="7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 for the nine months ended December 31, 2018 and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7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12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SIGNATURES</w:t>
              </w:r>
            </w:hyperlink>
          </w:p>
        </w:tc>
        <w:tc>
          <w:tcPr>
            <w:tcW w:w="8840" w:type="dxa"/>
            <w:vAlign w:val="bottom"/>
            <w:gridSpan w:val="1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20" w:type="dxa"/>
            <w:vAlign w:val="bottom"/>
          </w:tcPr>
          <w:p>
            <w:pPr>
              <w:spacing w:after="0"/>
              <w:rPr>
                <w:sz w:val="24"/>
                <w:szCs w:val="24"/>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327,398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330,784</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162,119</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646,982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646,788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32,744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33,092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814,687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67"/>
        </w:trPr>
        <w:tc>
          <w:tcPr>
            <w:tcW w:w="8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82,299</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317,687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324,173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0"/>
              </w:rPr>
              <w:t>Preferred stock, $0.01 par value: 50,000 shares authorized, no shares issued and outstanding at December 31,</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2018 and March 31, 2018</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250,000 shares authorized, 45,799 shares and 45,118 shares issued and</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and March 31, 2018,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854,883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782,764</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814,687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50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84,515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81,443</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229,069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228,224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98,923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286,254</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180,366</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529,530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514,478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23,723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66,760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28,853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24,957</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83,332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69,885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155,409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444,593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105,106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305,610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22,916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23,981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67,858</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144,978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151,931</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450,131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loss of affiliate</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62,621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55,282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46,074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45,291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45,340</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45,291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6"/>
                <w:szCs w:val="16"/>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7"/>
              </w:rPr>
              <w:t>Nine Months Ended December 31,</w:t>
            </w:r>
          </w:p>
        </w:tc>
      </w:tr>
      <w:tr>
        <w:trPr>
          <w:trHeight w:val="190"/>
        </w:trPr>
        <w:tc>
          <w:tcPr>
            <w:tcW w:w="5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80"/>
        </w:trPr>
        <w:tc>
          <w:tcPr>
            <w:tcW w:w="5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13,227</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(54,556)</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46,034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15,832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854,883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51,586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6"/>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854,883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5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2017</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749,544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515,283</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17,753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(80,050)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(58,945)</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44,785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756,531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396,082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540" w:type="dxa"/>
            <w:vAlign w:val="bottom"/>
          </w:tcPr>
          <w:p>
            <w:pPr>
              <w:spacing w:after="0"/>
              <w:rPr>
                <w:sz w:val="24"/>
                <w:szCs w:val="2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5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Cumulative Effect of Adoption of ASU 2016-09</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57,138</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(91,309)</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(60,239)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44,785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756,531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396,082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80"/>
        </w:trPr>
        <w:tc>
          <w:tcPr>
            <w:tcW w:w="82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(60,239)</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8,446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57,138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53,682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 of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12,314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Deferred commissions cost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17,963</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60,828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(110,181)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99,243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99,881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(91,309)</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17,713</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13,368</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329,491</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327,398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314,494</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In fiscal 2018 the Company also started selling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consolidated financial statements as of December 31, 2018 and for the three and nine months ended December 31, 2018 and 2017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2018. The results reported in these financial statements should not necessarily be taken as indicative of results that may be expected for the entire fiscal year.</w:t>
      </w:r>
    </w:p>
    <w:p>
      <w:pPr>
        <w:spacing w:after="0" w:line="13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during the nine months ended December 31, 2018 as compared to the significant accounting policies described in its Annual Report on Form 10-K for the year ended March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a liability to make lease payments (the lease liability) and a right-to-use asset representing its right to use the underlying asset for the lease term. The Company will adopt this ASU in fiscal 2020 and will apply it at the beginning of the period of adoption with the cumulative effect of applying the new rules recognized then. The Company anticipates the most significant impact will be the recognition of right-of-use assets and lease liabilities on its consolidated balance sheet, related to operating leases. This impact on its consolidated balance sheet is estimated to be less than 10% of total assets and liabilities. Furthermore, the Company expects no significant impact on its consolidated income statement.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37% of total revenues for both the nine months ended December 31, 2018 and 2017, respectively. Arrow accounted for 37% of total accounts receivable as of December 31, 2018 and 38% of total accounts receivable as of March 31, 2018.</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December 31, 2018 and March 31,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 2018</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120,288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120,288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131,824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131,824</w:t>
            </w:r>
          </w:p>
        </w:tc>
      </w:tr>
      <w:tr>
        <w:trPr>
          <w:trHeight w:val="554"/>
        </w:trPr>
        <w:tc>
          <w:tcPr>
            <w:tcW w:w="384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43,545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132,263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132,263</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Historically, 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5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Within 90 days of delivery except for Residual approach</w:t>
            </w:r>
          </w:p>
        </w:tc>
      </w:tr>
      <w:tr>
        <w:trPr>
          <w:trHeight w:val="203"/>
        </w:trPr>
        <w:tc>
          <w:tcPr>
            <w:tcW w:w="2080" w:type="dxa"/>
            <w:vAlign w:val="bottom"/>
            <w:shd w:val="clear" w:color="auto" w:fill="CCEEFF"/>
          </w:tcPr>
          <w:p>
            <w:pPr>
              <w:spacing w:after="0"/>
              <w:rPr>
                <w:sz w:val="17"/>
                <w:szCs w:val="17"/>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certain subscriptions which are paid</w:t>
            </w:r>
          </w:p>
        </w:tc>
        <w:tc>
          <w:tcPr>
            <w:tcW w:w="2880" w:type="dxa"/>
            <w:vAlign w:val="bottom"/>
            <w:shd w:val="clear" w:color="auto" w:fill="CCEEFF"/>
          </w:tcPr>
          <w:p>
            <w:pPr>
              <w:spacing w:after="0"/>
              <w:rPr>
                <w:sz w:val="17"/>
                <w:szCs w:val="17"/>
                <w:color w:val="auto"/>
              </w:rPr>
            </w:pP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over time</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8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125" w:right="25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December 31, 2018</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28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84,515</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58,575</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20,597</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9,669</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88,841</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10,919</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106,566</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184,275</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December 31, 2017</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28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81,443</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59,225</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19,478</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87,854</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180,366</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4"/>
              </w:rPr>
              <w:t>Nine Months Ended December 31, 2018</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125,290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70,624</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229,069</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178,676</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61,399</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28,779</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268,854</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31,607</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321,433</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140,968</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67,129</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529,530</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4"/>
              </w:rPr>
              <w:t>Nine Months Ended December 31, 2017</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121,498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74,293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32,433</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228,224</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173,619</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55,214</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26,688</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255,521</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30,733</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312,230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137,755</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64,493</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514,478</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In certain contracts the Company allows customers to pay for term-based, or subscription, software licenses and products over the term of the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Accounts</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Receivable</w:t>
            </w:r>
          </w:p>
        </w:tc>
        <w:tc>
          <w:tcPr>
            <w:tcW w:w="24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4,731</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3,647</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2,519</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(12,169)</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11,787</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96,448</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86"/>
        <w:spacing w:after="0" w:line="308" w:lineRule="auto"/>
        <w:rPr>
          <w:sz w:val="20"/>
          <w:szCs w:val="20"/>
          <w:color w:val="auto"/>
        </w:rPr>
      </w:pPr>
      <w:r>
        <w:rPr>
          <w:rFonts w:ascii="Arial" w:cs="Arial" w:eastAsia="Arial" w:hAnsi="Arial"/>
          <w:sz w:val="17"/>
          <w:szCs w:val="17"/>
          <w:color w:val="auto"/>
        </w:rPr>
        <w:t>The increase in accounts receivable is primarily a result of an increase in software and products revenue later in the quarter relative to the fourth quarter of the prior year. The decrease in deferred revenue is primarily the result of the strengthening of the U.S. dollar.</w:t>
      </w:r>
    </w:p>
    <w:p>
      <w:pPr>
        <w:spacing w:after="0" w:line="147"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The amount of revenue recognized in fiscal 2019 that was included in the March 31, 2018 balance of deferred revenue was $51,615 and $208,845 for the three and nine months ended December 31, 2018, respectively. The vast majority of this revenue consists of customer support arrangements. The amount of revenue recognized from performance obligations satisfied in prior periods was not significant.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addition to the amounts included in deferred revenue as of December 31, 2018, $30,154 of revenue may be recognized from remaining performance obligations, of which $5,901 was related to software and products. The Company expects the vast majority of this software and products revenue to be recognized next quarter. The vast majority of the services revenue is related to other professional services which may be recognized over the next twelve months but is contingent upon a number of factors, including customers’ needs and schedules.</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1,045 and 7,247 for the three months ended December 31, 2018 and 2017, respectively, and 1,024 and 7,398 for the nine months ended December 31, 2018 and 2017, respectively, because the effect would have been anti-dilutive.</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w:t>
      </w:r>
    </w:p>
    <w:p>
      <w:pPr>
        <w:spacing w:after="0" w:line="252" w:lineRule="exact"/>
        <w:rPr>
          <w:sz w:val="20"/>
          <w:szCs w:val="20"/>
          <w:color w:val="auto"/>
        </w:rPr>
      </w:pPr>
    </w:p>
    <w:p>
      <w:pPr>
        <w:ind w:right="40" w:firstLine="405"/>
        <w:spacing w:after="0" w:line="322" w:lineRule="auto"/>
        <w:rPr>
          <w:sz w:val="20"/>
          <w:szCs w:val="20"/>
          <w:color w:val="auto"/>
        </w:rPr>
      </w:pPr>
      <w:r>
        <w:rPr>
          <w:rFonts w:ascii="Arial" w:cs="Arial" w:eastAsia="Arial" w:hAnsi="Arial"/>
          <w:sz w:val="17"/>
          <w:szCs w:val="17"/>
          <w:color w:val="auto"/>
        </w:rPr>
        <w:t>On February 27, 2017, Realtime Data LLC d/b/a/ IXO (“Realtime”), a non-practicing entity, sued the Company and Spectra Logic Corporation in the Eastern District of Texas for alleged infringement of four patents. Realtime has sued numerous other companies for infringement of these and other patents. Realtime seeks monetary damages and an injunction. On October 5, 2018, the Company reached an agreement which resulted in the dismissal with prejudice of Realtime’s claims, as well as Realtime’s claims against the Company’s customers, to the extent those claims are based on Commvault’s products. In the nine months ended December 31, 2018, the Company recorded $1,400 of General and administrative expense related to the settlement of this matter. The Company has concluded that any loss related to this matter in excess of this amount is remote. However, due to the inherent uncertainties of litigation, the Company cannot accurately predict the ultimate outcome of this matter.</w:t>
      </w:r>
    </w:p>
    <w:p>
      <w:pPr>
        <w:spacing w:after="0" w:line="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On August 1, 2018 the Company's Board of Directors unanimously approved the termination of the Company’s rights agreement, which was originally scheduled to expire on November 14, 2018. The plan was amended to accelerate the expiration date to August 1, 2018, effectively terminating the plan as of that date.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2018, $151,055 remained in the Company's current stock repurchase authorization which expires on March 31, 2020.</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August 23, 2018, the Company’s shareholders approved an amendment to the Omnibus Incentive Plan (the “2016 Incentive Plan”) to increase the maximum number of shares of common stock that may be delivered under plan to 5,550, an increase of 2,000 shares.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133"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The following table presents the stock-based compensation expense included in Cost of services revenue, Sales and marketing, Research and development and General and administrative expenses and Restructuring for the three and nine months ended December 31, 2018 and 2017. Stock-based compensation is attributable to stock options, restricted stock units, performance based awards and the employee stock purchase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50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8,395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27,888</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4,406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20,592</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15,832</w:t>
            </w:r>
          </w:p>
        </w:tc>
        <w:tc>
          <w:tcPr>
            <w:tcW w:w="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57,138</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As of December 31, 2018, there was $89,112 of unrecognized stock-based compensation expense related to non-vested stock option and restricted stock unit awards that is expected to be recognized over a weighted average period of 1.86 years. The Company accounts for forfeitures as they occur. To the extent that awards are forfeited, stock-based compensation will be different from the Company’s current estimate.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nine months ended December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11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Outstanding as of March 31, 2018</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48.64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Options expired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Outstanding as of December 31, 2018</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42,235</w:t>
            </w:r>
          </w:p>
        </w:tc>
        <w:tc>
          <w:tcPr>
            <w:tcW w:w="0" w:type="dxa"/>
            <w:vAlign w:val="bottom"/>
          </w:tcPr>
          <w:p>
            <w:pPr>
              <w:spacing w:after="0"/>
              <w:rPr>
                <w:sz w:val="1"/>
                <w:szCs w:val="1"/>
                <w:color w:val="auto"/>
              </w:rPr>
            </w:pPr>
          </w:p>
        </w:tc>
      </w:tr>
      <w:tr>
        <w:trPr>
          <w:trHeight w:val="27"/>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color w:val="auto"/>
              </w:rPr>
              <w:t>Exercisable as of December 31, 2018</w:t>
            </w: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gridSpan w:val="3"/>
            <w:vMerge w:val="continue"/>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42,041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was $10,276 and $34,462 for the three and nine months ended December 31, 2018 and $1,194 and $12,819 for the three and nine months ended December 31, 2017. The Company’s policy is to issue new shares upon exercise of options as the Company does not hold shares in treasury.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nine months ended December 31, 2018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1,049</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1,863</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weighted average fair value of restricted stock units awarded was $58.55 and $63.30 per unit during the three and nine months ended December 31, 2018, and $59.84 and $59.91 per unit during the three and nine months ended December 31, 2017. The weighted average fair value of awards includes the awards with a market condition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nine months ended December 31, 2018, the Company granted 72 performance restricted stock units ("PSU") to certain executives. Vesting of these awards is contingent upon i) the Company meeting certain company-wide revenue and non-GAAP performance goals (performance-based) in fiscal 2019 and ii) the Company's customary service periods. The awards vest over three years and have a maximum potential to vest at 200% (144 shares) based on actual fiscal 2019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the nine months ended December 31, 2018, the Company granted 75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(150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nine months ended December 31, 2018 was $81.78 per unit. The awards are included in the restricted stock unit table.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Income tax expense was $2,677 in the nine months ended December 31, 2018 compared to an expense of $55,282 in the nine months ended December 31, 2017. In third quarter of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tax expense for the nine months ended December 31, 2018 relates primarily to current foreign taxes.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The most significant impact of the legislation for the Company was the reduction of the value of the Company's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income tax purposes. The Company has concluded that the one-time transition tax is zero. In addition, the Company no longer considers the undistributed earnings held outside of the U.S. by most of its foreign subsidiaries to be indefinitely reinvested.</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the Company was evaluating the provisions of GILTI as of the fiscal year ended March 31, 2018, it recorded no GILTI-related deferred amounts in the financial statements for the year ended March 31, 2018. After further consideration in the current year, the Company has elected to account for GILTI in the year the tax is incurred, and has recorded an estimate of GILTI as a component of the projected tax provision for the fiscal year ending March 31, 2019.</w:t>
      </w:r>
    </w:p>
    <w:p>
      <w:pPr>
        <w:spacing w:after="0" w:line="18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Act also requires other complex computations to be performed that were not previously required in U.S. tax law, judgments to be made in interpretation of the provisions of the Act, estimates in calculations, and the preparation and analysis of information not previously relevant or regularly produced. The U.S. Treasury Department, the IRS, and other standard-setting bodies could interpret or issue guidance on how provisions of the Act will be applied or otherwise administered that is different from our current interpretation.</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fiscal 2019, the Company initiated a restructuring plan to increase efficiency in its sales, marketing and distribution functions as well as reduce costs across all functional areas. During the three and nine months ended December 31, 2018, the Company incurred total restructuring charges of $4,953 and $13,342. These restructuring charges relate primarily to severance and related costs associated with headcount reductions and lease abandonment charges associated with two leases. These charges include $1,482 of stock-based compensation related to modifications of existing unvested awards granted to certain employees impacted by the restructuring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the Company’s restructuring accruals for the nine months ended December 31, 2018 is summarized as follows:</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Lease abandonment</w:t>
            </w: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Severance &amp; payroll</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charges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related charges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12,706</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Accrual reversals</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outstanding restructuring accruals primarily relate to future severance and lease payments.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2018.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December 31, 2018, we had licensed our software applications to over 27,000 registered customers.</w:t>
      </w:r>
    </w:p>
    <w:p>
      <w:pPr>
        <w:spacing w:after="0" w:line="17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Historically, our software licenses typically provided for a perpetual right to use our software and are sold on a per terabyte capacity basis, per-copy, as site licenses or as a solution set. Prior to fiscal 2018, an insignificant amount of our revenue has been sold under subscription, or term-based, license arrangements. In these arrangements, the customer has the right to use the software over a designated period of time. Revenue from subscription arrangements has continued to become a more significant portion of our total revenue compared to historical periods. We expect that this trend will continue.</w:t>
      </w:r>
    </w:p>
    <w:p>
      <w:pPr>
        <w:spacing w:after="0" w:line="10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43% and 44% of our total revenues for the nine months ended December 31, 2018 and 2017,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63% and 59% of our total software and products revenue in the nine months ended December 31, 2018 and 2017,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90% of total software and products revenue in the nine months ended December 31, 2018 and was 88% of total software revenue in the nine months ended December 31, 2017. Software and products revenue generated through direct distribution channels was 10% of total software and products revenue in the nine months ended December 31, 2018 and was 12% of total software revenue in the nine months ended December 31, 2017. The dollar value of software and products revenue generated through indirect distribution channels increased $7.3 million, or 4%, in the nine months ended December 31, 2018 compared to the nine months ended December 31, 2017. The dollar value of software and products revenue generated through direct distribution channels decreased $6.4 million, or 23%, in the nine months ended December 31, 2018 compared to the nine months ended December 31, 2017.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primary original equipment manufacturer agreement is with Hitachi Vantara (formerly Hitachi Data Systems) ("Hitachi") and allows them to market, sell and support our software applications and services on a stand-alone basis and/or incorporate our software applications into their own hardware products. Our original equipment manufacturer partners, including Hitachi, have no obligation to recommend or offer our software applications exclusively or at all, and they have no minimum sales requirements and can terminate our relationship at any time. Sales through our original equipment manufacturer agreements, accounted for 11% and 14% of our total revenues for the nine months ended December 31, 2018 and the nine months ended December 31, 2017.</w:t>
      </w:r>
    </w:p>
    <w:p>
      <w:pPr>
        <w:spacing w:after="0" w:line="10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and Tech Data Corporation ("Tech Data"). Pursuant to these distribution agreements, these distributors’ primary role is to enable a more efficient and effective distribution channel for our products and services by managing our reseller partners and leveraging their own industry experience. We generated 37% of our total revenues through Arrow in both the nine months ended December 31, 2018 and 2017, respectively. If Arrow were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services revenue was 57% of our total revenues for the nine months ended December 31, 2018 and 56% of our total revenues for the nine months ended December 31, 2017.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Sales outside the United States were 47% of our total revenue for the nine months ended December 31, 2018 and 46% of our total revenue for the nine months ended December 31, 2017.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December 31, 2017 our software and products revenue would have been higher by $2.0 million, our services revenue would have been higher by $1.7 million, our cost of sales would have been higher by $0.5 million and our operating expenses would have been higher by $2.2 million from non-U.S. operations for the three months ended December 31, 2018. Using the average foreign currency exchange rates from the nine months ended December 31, 2017 our software revenue would have been higher by $2.1 million, our services revenue would have been higher by $1.2 million, our cost of sales would have been lower by less than $0.1 million and our operating expenses would have been higher by $1.9 million from non-U.S. operations for the nine months ended December 31, 2018.</w:t>
      </w:r>
    </w:p>
    <w:p>
      <w:pPr>
        <w:spacing w:after="0" w:line="12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gains of $0.1 million and $0.8 million in the three and nine months ended December 31, 2018, respectively. We recognized a net foreign currency transaction gains of less than $0.2 million and less than $0.1 million in the three and nine months ended December 31,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18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during the nine months ended December 31, 2018 as compared to the critical accounting policies and estimates disclosed in “Management’s Discussion and Analysis of Financial Condition and Results of Operations - Critical Accounting Policies” included in our Annual Report on Form 10-K for the year ended March 31, 2018. In addition, please see Note 2 of Notes to the Condensed Consolidated Financial Statements included in this Quarterly Report on Form 10-Q and Note 2 of the Notes to Consolidated Financial Statements included in our fiscal 2018 Annual Report on Form 10-K filed for a description of our accounting policies.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to three months ended December 31,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Total revenues increased $3.9 million, or 2%, from $180.4 million in the three months ended December 31, 2017 to $184.3 million in the three months ended December 31, 2018.</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increased $3.1 million, or 4%, from $81.4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to $84.5 million in the three months ended December 31, 2018. Software and products revenue represented 46% of our total revenues in the three months ended December 31, 2018 and 45% in the three months ended December 31, 2017.</w:t>
      </w:r>
    </w:p>
    <w:p>
      <w:pPr>
        <w:spacing w:after="0" w:line="12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49%, 37% and 14% of total software and products revenue, respectively, for the three months ended December 31, 2018. The year-over-year increase of software and products revenue in the Americas, EMEA and APAC was 2%, 5% and 4%, respectively.</w:t>
      </w:r>
    </w:p>
    <w:p>
      <w:pPr>
        <w:spacing w:after="0" w:line="117" w:lineRule="exact"/>
        <w:rPr>
          <w:sz w:val="20"/>
          <w:szCs w:val="20"/>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primarily the result of an increase in the number of enterprise revenue transactions. These increases were partially offset by a decrease in revenue from non-enterprise revenue transactions.</w:t>
      </w:r>
    </w:p>
    <w:p>
      <w:pPr>
        <w:spacing w:after="0" w:line="11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significant increase in enterprise transaction revenue. The significant increase in enterprise transaction revenue was driven by an increase in the number of transactions. The year over year increase in EMEA software and products revenue was also impacted by the strengthening of the US dollar. Using exchanges rates from the prior year quarter, the increase in software and products revenue would have been 10%.</w:t>
      </w:r>
    </w:p>
    <w:p>
      <w:pPr>
        <w:spacing w:after="0" w:line="132"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 in APAC software and products revenue was primarily the result of an increase in enterprise revenue due to a significant increase in the number of transactions. The year over year increase in APAC software and products revenue was also impacted by the strengthening of the US dollar. Using exchanges rates from the prior year quarter, the increase in software and products revenue would have been 9%.</w:t>
      </w:r>
    </w:p>
    <w:p>
      <w:pPr>
        <w:spacing w:after="0" w:line="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Software and products revenue derived from enterprise transactions (transactions greater than $0.1 million) represented 65% of our software and products revenue in the three months ended December 31, 2018 and 57% of our software and products revenue in the three months ended December 31, 2017. Enterprise transactions increased by $8.8 million, or 19%, in the three months ended December 31, 2018 compared to the three months ended December 31, 2017. This increase was driven by a 19% increase in the number of enterprise transactions. The average dollar amount of such transactions was approximately $268,000 in both the three months ended December 31, 2018 and in the three months ended December 31, 2017.</w:t>
      </w:r>
    </w:p>
    <w:p>
      <w:pPr>
        <w:spacing w:after="0" w:line="11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increased $0.8 million, or 1%, from $98.9 million in the three months ended December 31, 2017 to $99.8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December 31, 2018. Services revenue represented 54% of our total revenues in the three months ended December 31, 2018 and 55% in the three months ended December 31, 2017. The increase in services revenue is due to a $1.0 million increase in revenue from customer support agreements as a result of software sales to new customers and renewal agreements with our installed software base.</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$4.9 million, from $1.2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to $6.1 million in the three months ended December 31, 2018. Cost of software and product revenue represented 7% of software and product revenue in the three months ended December 31, 2018 compared to 2% in the three months ended December 31, 2017.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Services Revenues. </w:t>
      </w:r>
      <w:r>
        <w:rPr>
          <w:rFonts w:ascii="Arial" w:cs="Arial" w:eastAsia="Arial" w:hAnsi="Arial"/>
          <w:sz w:val="16"/>
          <w:szCs w:val="16"/>
          <w:color w:val="auto"/>
        </w:rPr>
        <w:t>Total cost of services revenues decreased $1.0 million, or 4%, from $23.7 million in the three months ended December 31,</w:t>
      </w: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2017 to $22.8 million in the three months ended December 31, 2018. The gross margin of our services revenue was 77% and 76% for the three months ended December 31, 2018 and 2017, respectively.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$10.7 million, or 10%, from $105.1 million in the three months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$94.4 million in the three months ended December 31, 2018. The decrease is due to a $6.9 million decrease in employee compensation and related expenses mainly attributable to our restructuring and reorganization initiatives and a $1.1 million decrease in travel expenses. Sales and marketing expenses as a percentage of total revenues was 51% and 58% the three months ended December 31, 2018 and 2017, respectively.</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$1.1 million, or 4%, from $24.0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to $22.9 million in the three months ended December 31, 2018. The decrease is primarily due to a decline in non-employee related costs . Research and development expenses as a percentage of total revenues was 12% in the three months ended December 31, 2018 and 13% in the three months ended December 31, 2017. Investing in research and development has been a priority for Commvault, and we anticipate continued spending related to the development of our data and information management software applications.</w:t>
      </w:r>
    </w:p>
    <w:p>
      <w:pPr>
        <w:spacing w:after="0" w:line="13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decreased $0.4 million, or 2%, from $20.4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to $20.0 million in the three months ended December 31, 2018. The decrease is primarily the result of a reduction in employee related expenses. General and administrative expenses in the three months ended December 31, 2018 includes $1.4 million of costs related to a non-routine shareholder matter. These costs relate primarily to professional fees related to the settlement with the shareholder. General and administrative expenses in the three months ended December 31, 2018 also includes $0.1 million of net foreign currency transaction gains. General and administrative expenses as a percentage of total revenues was 11% in both the three months ended December 31, 2018 and 2017.</w:t>
      </w:r>
    </w:p>
    <w:p>
      <w:pPr>
        <w:spacing w:after="0" w:line="12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i w:val="1"/>
          <w:iCs w:val="1"/>
          <w:color w:val="auto"/>
        </w:rPr>
        <w:t>Restructuring</w:t>
      </w:r>
      <w:r>
        <w:rPr>
          <w:rFonts w:ascii="Arial" w:cs="Arial" w:eastAsia="Arial" w:hAnsi="Arial"/>
          <w:sz w:val="17"/>
          <w:szCs w:val="17"/>
          <w:color w:val="auto"/>
        </w:rPr>
        <w:t>. In fiscal 2019 we initiated a restructuring plan to increase efficiency in our sales, marketing and distribution functions as well as reduce</w:t>
      </w:r>
      <w:r>
        <w:rPr>
          <w:rFonts w:ascii="Arial" w:cs="Arial" w:eastAsia="Arial" w:hAnsi="Arial"/>
          <w:sz w:val="17"/>
          <w:szCs w:val="17"/>
          <w:i w:val="1"/>
          <w:iCs w:val="1"/>
          <w:color w:val="auto"/>
        </w:rPr>
        <w:t xml:space="preserve"> </w:t>
      </w:r>
      <w:r>
        <w:rPr>
          <w:rFonts w:ascii="Arial" w:cs="Arial" w:eastAsia="Arial" w:hAnsi="Arial"/>
          <w:sz w:val="17"/>
          <w:szCs w:val="17"/>
          <w:color w:val="auto"/>
        </w:rPr>
        <w:t>costs across all functional areas. During the quarter we incurred total restructuring charges of $5.0 million. These restructuring charges relate primarily to severance and related costs associated with headcount reductions as well as lease abandonment charges related to the closure of two offices. These charges include $0.3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2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$0.3 million from $2.5 million in the three months ended December 31,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$2.7 million in the three months ended December 31,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Income tax benefit was $1.2 million in the three months ended December 31, 2018 compared to expense of $62.6 million in the three months ended December 31, 2017. The benefit in the three months ended December 31, 2018 is the result of an updated estimate of the mix of domestic and foreign earnings. In the third quarter of fiscal 2018 we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2018 compared to nine months ended December 31,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Total revenues increased $15.1 million, or 3%, from $514.5 million in the nine months ended December 31, 2017 to $529.5 million in the nine months ended December 31, 2018.</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Software and Products Revenue. </w:t>
      </w:r>
      <w:r>
        <w:rPr>
          <w:rFonts w:ascii="Arial" w:cs="Arial" w:eastAsia="Arial" w:hAnsi="Arial"/>
          <w:sz w:val="16"/>
          <w:szCs w:val="16"/>
          <w:color w:val="auto"/>
        </w:rPr>
        <w:t>Software and products revenue increased $0.8 million, from $228.2 million in the nine months ended December 31,</w:t>
      </w:r>
    </w:p>
    <w:p>
      <w:pPr>
        <w:spacing w:after="0" w:line="46"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2017 to $229.1 million in the nine months ended December 31, 2018. Software and products revenue represented 43% of our total revenues in the nine months ended December 31, 2018 as compared to 44% of total revenues in the nine months ended December 31, 2017.</w:t>
      </w:r>
    </w:p>
    <w:p>
      <w:pPr>
        <w:spacing w:after="0" w:line="108"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Americas, EMEA and APAC represented 55%, 31% and 14% of total software and products revenue, respectively, for the nine months ended December 31, 2018. Year-over-year growth in software and products revenue in the Americas was 3% and APAC was 2%, while EMEA decreased 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an increase in the number of enterprise revenue transactions. This increase was partially offset by a decline in the average size of enterprise revenue transactions and a decrease in revenue from non-enterprise revenue transactions.</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 decline in enterprise transaction revenue driven by a decrease in the average size of these transactions as well as a decrease in total revenue from non-enterprise revenue transactions. This decrease was partially offset by an increase in the number of enterprise revenue transactions.</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APAC was the result of an increase in revenue from enterprise revenue transactions that was partially offset by a decrease in non-enterprise revenue transactions.</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Software and products revenue derived from enterprise transactions (transactions greater than $0.1 million) represented 63% of our software and products revenue in the nine months ended December 31, 2018 and 59% of our software and products revenue in the nine months ended December 31, 2017. Enterprise transaction revenue increased by $9.6 million, or 7%, in the nine months ended December 31, 2018 compared to the nine months ended December 31, 2017. This increase was driven by a 23% increase in the number of transactions partially offset by a 13% decrease in the average dollar amount of such transactions. The average sales price was approximately $264,000 in the nine months ended December 31, 2018 and approximately $305,000 in the nine months ended December 31, 2017. Software and products revenue derived from transactions less than $0.1 million decreased $8.8 million, or 9%, in the nine months ended December 31, 2018 compared to the nine months ended December 31, 2017.</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increased $14.2 million, or 5%, from $286.3 million in the nine months ended December 31, 2017 to $300.5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nine months ended December 31, 2018. Services revenue represented 57% of our total revenues in the nine months ended December 31, 2018 and 56% in the nine months ended December 31, 2017. The increase in services revenue is due to a $13.3 million increase in revenue from customer support agreements as a result of software sales to new customers and renewal agreements with our installed software base.</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Cost of Software and Products Revenues</w:t>
      </w:r>
      <w:r>
        <w:rPr>
          <w:rFonts w:ascii="Arial" w:cs="Arial" w:eastAsia="Arial" w:hAnsi="Arial"/>
          <w:sz w:val="18"/>
          <w:szCs w:val="18"/>
          <w:color w:val="auto"/>
        </w:rPr>
        <w:t>. Total cost of software and products revenues increased $12.1 million, from $3.1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to $15.3 million in the nine months ended December 31, 2018. Cost of software and product revenue represented 7% of software and product revenue in the nine months ended December 31, 2018 compared to 1% in the nine months ended December 31, 2017.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Services Revenues</w:t>
      </w:r>
      <w:r>
        <w:rPr>
          <w:rFonts w:ascii="Arial" w:cs="Arial" w:eastAsia="Arial" w:hAnsi="Arial"/>
          <w:sz w:val="16"/>
          <w:szCs w:val="16"/>
          <w:color w:val="auto"/>
        </w:rPr>
        <w:t>. Total cost of services revenues increased $1.3 million, or 2%, from $66.8 million in the nine months ended December 31,</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2017 to $68.1 million in the nine months ended December 31, 2018. The gross margin of our services revenue was 77% for both the nine months ended December 31,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$24.1 million, or 8%, from $305.6 million in the nine months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to $281.5 million in the nine months ended December 31, 2018. The decrease is primarily the result of a $10.7 million decrease in employee compensation and related expenses mainly attributable to our restructuring initiatives, a $4.5 million decrease in travel expenses, and a $2.0 million decrease in marketing expenses. Sales and marketing expenses as a percentage of total revenues was 53% in the nine months ended December 31, 2018 and 59% in the nine months ended December 31, 2017.</w:t>
      </w:r>
    </w:p>
    <w:p>
      <w:pPr>
        <w:spacing w:after="0" w:line="1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$2.8 million, or 4%, from $69.5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to $72.2 million in the nine months ended December 31, 2018. The increase is due to salary and related expenses resulting from the expansion of our engineering group. Research and development expenses as a percentage of total revenues was 14% and 13% for the nine months ended December 31, 2018 and 2017. Investing in research and development has been a priority for Commvault, and we anticipate continued spending related to the development of our data and information management software applications.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$1.3 million, or 2%, from $67.9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to $66.5 million in the nine months ended December 31, 2018. The decrease is primarily the result of a $6.4 million decrease in stock-based compensation as well as a $3.1 million reduction in other employee-related expenses. This decrease was partially offset by $9.1 million of costs related to a non-routine shareholder matter. The costs are for professional fees related to our settlement agreement with the shareholder and consulting fees incurred with the operational review which was agreed to as part of the settlement. Expenses in the nine months ended December 31, 2018 also includes $0.8 million of net foreign currency transaction gains compared to $0.1 million of net foreign currency transaction gains in the nine months ended December 31, 2017. General and administrative expenses as a percentage of total revenues was 13% in both the nine months ended December 31, 2018 and 2017.</w:t>
      </w:r>
    </w:p>
    <w:p>
      <w:pPr>
        <w:spacing w:after="0" w:line="11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In fiscal 2019 we initiated a restructuring plan to increase efficiency in our sales, marketing and distribution functions as well as reduce</w:t>
      </w:r>
      <w:r>
        <w:rPr>
          <w:rFonts w:ascii="Arial" w:cs="Arial" w:eastAsia="Arial" w:hAnsi="Arial"/>
          <w:sz w:val="17"/>
          <w:szCs w:val="17"/>
          <w:i w:val="1"/>
          <w:iCs w:val="1"/>
          <w:color w:val="auto"/>
        </w:rPr>
        <w:t xml:space="preserve"> </w:t>
      </w:r>
      <w:r>
        <w:rPr>
          <w:rFonts w:ascii="Arial" w:cs="Arial" w:eastAsia="Arial" w:hAnsi="Arial"/>
          <w:sz w:val="17"/>
          <w:szCs w:val="17"/>
          <w:color w:val="auto"/>
        </w:rPr>
        <w:t>costs across all functional areas. During the first nine months of fiscal 2019, we have incurred total restructuring charges of $13.3 million. These restructuring charges relate primarily to severance and related costs associated with headcount reductions. These charges include $1.5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$0.7 million from $7.2 million in the nine months ended December 31, 2017 to $8.0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Income tax expense was $2.7 million in the nine months ended December 31, 2018 compared to expense of $55.3 million in the nine months ended December 31, 2017. In the third quarter of fiscal 2018 we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income tax expense for the nine months ended December 31, 2018 relates primarily to current foreign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2018, our cash and cash equivalents balance of $327.4 million primarily consisted of cash and money market funds. In addition, as of December 31, 2018 we have short-term investments invested in U.S. Treasury Bills totaling $130.5 million. In recent fiscal years, our principal source of liquidity has been cash provided by operations.</w:t>
      </w:r>
    </w:p>
    <w:p>
      <w:pPr>
        <w:spacing w:after="0" w:line="12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As of December 31, 2018, the amount of cash and cash equivalents held outside of the United States by our foreign legal entities was approximately $132.5 million. The remaining balances are dispersed across many international locations around the world. We believe that as a result of recent tax reform, we will likely be able to repatriate foreign earnings without paying U.S. income tax. However, we will remain subject to restrictions by local laws and/or tax consequences including foreign withholding taxes. As a result, it may not be economically efficient, or possible, to make this cash available to the U.S. in the near term. As a result of the enactment of the U.S. Tax Reform, among other things, we have changed our assertion regarding the indefinite reinvestment of foreign earnings outside the U.S. for certain of our foreign affiliates. As of December 31, 2018, we no longer consider undistributed earnings held outside of the U.S. by most of our foreign subsidiaries to be indefinitely reinvested.</w:t>
      </w:r>
    </w:p>
    <w:p>
      <w:pPr>
        <w:spacing w:after="0" w:line="1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During the nine months ended December 31, 2018, we repurchased $92.7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On October 18, 2018, the Board of Directors extended the expiration date of the share repurchase program to March 31, 2020 and authorized an increase to the existing share repurchase program so that $200 million was available. As of December 31, 2018, $151,055 remained in the Company's current stock repurchase authorization.</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73,594</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60,828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(4,011)</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(15,597)</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(59,854)</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(73,596)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(13,115)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13,368</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Net cash provided by operating activities was $73.6 million in the nine months ended December 31, 2018 and $60.8 million in the nine months ended December 31, 2017. In the nine months ended December 31, 2018, cash provided by operating activities was primarily due to net income adjusted for the impact of non-cash charges and increases in deferred revenue, after adjusting for changes in foreign currency rates, and accrued expenses. These amounts were partially offset by a an increase in accounts receivable. In the nine months ended December 31, 2017, cash provided by operating activities was primarily due to net loss adjusted for the impact of non-cash charges, an increase in deferred revenue and collection of accounts receivable. These amounts were partially offset by a decrease in accrued liabilities and an increase in other current assets.</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Net cash used in investing activities was $4.0 million for the nine months ended December 31, 2018 and $15.6 million in the nine months ended December 31, 2017. In the nine months ended December 31, 2018, cash used in investing activities was related to $5.1 million of capital expenditures, which was partially offset by $1.1 million in net proceeds from the maturity of U.S. Treasury Bills. In the nine months ended December 31, 2017, cash used in investing activities was related to $10.2 million in net purchases of U.S. Treasury Bills and $5.3 million of capital expenditures.</w:t>
      </w:r>
    </w:p>
    <w:p>
      <w:pPr>
        <w:spacing w:after="0" w:line="11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Net cash used in financing activities was $59.9 million in the nine months ended December 31, 2018 and $73.6 million in the nine months ended December 31, 2017. The cash used in financing activities in the nine months ended December 31, 2018 was the result of $92.7 million of repurchases of common shares partially offset by $32.8 million of proceeds from the exercise of stock options and purchases related to our employee stock purchase program. The cash provided by financing activities in the nine months ended December 31, 2017 was due to $91.3 million of repurchases of common shares partially offset by $17.7 million of proceeds from the exercise of stock options and our employee stock purchase program.</w:t>
      </w:r>
    </w:p>
    <w:p>
      <w:pPr>
        <w:spacing w:after="0" w:line="11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Working capital increased $6.7 million from $322.6 million as of March 31, 2018 to $329.3 million as of December 31, 2018. The net increase in working capital is primarily the result of cash flow from operations.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2018,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As of December 31, 2018,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47% of our sales were outside the United States for the nine months ended December 31, 2018.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a net foreign currency transaction gains of $0.1 million and $0.8 million in the three and nine months ended December 31, 2018. We recognized net foreign currency transaction loss of $0.2 million and less than $0.1 million in the three and nine months ended December 31, 2017. The net foreign currency transaction gains and losses recorded in “General and administrative” expenses include settlement gains and losses on forward contracts disclosed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December 31, 2018. Based on that evaluation, the Chief Executive Officer and Chief Financial Officer concluded that our disclosure controls and procedures were effective as of December 31, 2018.</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2018,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recently implemented a restructuring program, which we cannot guarantee will achieve its intended result.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During the third fiscal quarter of the fiscal 2019, we repurchased $54.4 million of common stock, or 937,430 shares, under our share repurchase program. A summary of our repurchases of common stock during the three months ended December 31, 2018 is as follows:</w:t>
      </w:r>
    </w:p>
    <w:p>
      <w:pPr>
        <w:spacing w:after="0" w:line="170"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6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00" w:type="dxa"/>
            <w:vAlign w:val="bottom"/>
          </w:tcPr>
          <w:p>
            <w:pPr>
              <w:spacing w:after="0"/>
              <w:rPr>
                <w:sz w:val="18"/>
                <w:szCs w:val="18"/>
                <w:color w:val="auto"/>
              </w:rPr>
            </w:pPr>
          </w:p>
        </w:tc>
        <w:tc>
          <w:tcPr>
            <w:tcW w:w="16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1840" w:type="dxa"/>
            <w:vAlign w:val="bottom"/>
            <w:gridSpan w:val="2"/>
          </w:tcPr>
          <w:p>
            <w:pPr>
              <w:ind w:left="600"/>
              <w:spacing w:after="0"/>
              <w:rPr>
                <w:sz w:val="20"/>
                <w:szCs w:val="20"/>
                <w:color w:val="auto"/>
              </w:rPr>
            </w:pPr>
            <w:r>
              <w:rPr>
                <w:rFonts w:ascii="Arial" w:cs="Arial" w:eastAsia="Arial" w:hAnsi="Arial"/>
                <w:sz w:val="18"/>
                <w:szCs w:val="18"/>
                <w:b w:val="1"/>
                <w:bCs w:val="1"/>
                <w:color w:val="auto"/>
              </w:rPr>
              <w:t>Period</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purchased</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paid per share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192,037,438</w:t>
            </w:r>
          </w:p>
        </w:tc>
      </w:tr>
      <w:tr>
        <w:trPr>
          <w:trHeight w:val="243"/>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November 2018</w:t>
            </w:r>
          </w:p>
        </w:tc>
        <w:tc>
          <w:tcPr>
            <w:tcW w:w="1280" w:type="dxa"/>
            <w:vAlign w:val="bottom"/>
          </w:tcPr>
          <w:p>
            <w:pPr>
              <w:jc w:val="right"/>
              <w:spacing w:after="0"/>
              <w:rPr>
                <w:sz w:val="20"/>
                <w:szCs w:val="20"/>
                <w:color w:val="auto"/>
              </w:rPr>
            </w:pPr>
            <w:r>
              <w:rPr>
                <w:rFonts w:ascii="Arial" w:cs="Arial" w:eastAsia="Arial" w:hAnsi="Arial"/>
                <w:sz w:val="18"/>
                <w:szCs w:val="18"/>
                <w:color w:val="auto"/>
              </w:rPr>
              <w:t>348,074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348,074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171,732,989</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151,055,030</w:t>
            </w:r>
          </w:p>
        </w:tc>
      </w:tr>
      <w:tr>
        <w:trPr>
          <w:trHeight w:val="209"/>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Three Months Ended</w:t>
            </w: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right"/>
              <w:spacing w:after="0"/>
              <w:rPr>
                <w:sz w:val="20"/>
                <w:szCs w:val="20"/>
                <w:color w:val="auto"/>
              </w:rPr>
            </w:pPr>
            <w:r>
              <w:rPr>
                <w:rFonts w:ascii="Arial" w:cs="Arial" w:eastAsia="Arial" w:hAnsi="Arial"/>
                <w:sz w:val="18"/>
                <w:szCs w:val="18"/>
                <w:color w:val="auto"/>
              </w:rPr>
              <w:t>937,430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937,430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3"/>
                <w:szCs w:val="13"/>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480" w:type="dxa"/>
            <w:vAlign w:val="bottom"/>
            <w:gridSpan w:val="2"/>
          </w:tcPr>
          <w:p>
            <w:pPr>
              <w:ind w:left="180"/>
              <w:spacing w:after="0" w:line="196"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00" w:type="dxa"/>
            <w:vAlign w:val="bottom"/>
          </w:tcPr>
          <w:p>
            <w:pPr>
              <w:spacing w:after="0"/>
              <w:rPr>
                <w:sz w:val="17"/>
                <w:szCs w:val="17"/>
                <w:color w:val="auto"/>
              </w:rPr>
            </w:pPr>
          </w:p>
        </w:tc>
        <w:tc>
          <w:tcPr>
            <w:tcW w:w="7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26</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29, 2019</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29, 2019</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ind w:left="288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20" w:type="dxa"/>
            <w:vAlign w:val="bottom"/>
          </w:tcPr>
          <w:p>
            <w:pPr>
              <w:ind w:left="172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2019</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2019</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2018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29, 2019</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2018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2019-12-28T17:04:53Z</dcterms:created>
  <dcterms:modified xsi:type="dcterms:W3CDTF">2019-12-28T17:04:53Z</dcterms:modified>
</cp:coreProperties>
</file>