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line="237" w:lineRule="auto"/>
        <w:rPr>
          <w:sz w:val="20"/>
          <w:szCs w:val="20"/>
          <w:color w:val="auto"/>
        </w:rPr>
      </w:pPr>
      <w:r>
        <w:rPr>
          <w:rFonts w:ascii="Arial" w:cs="Arial" w:eastAsia="Arial" w:hAnsi="Arial"/>
          <w:sz w:val="20"/>
          <w:szCs w:val="20"/>
          <w:color w:val="auto"/>
        </w:rPr>
        <w:t>SECURITIES AND EXCHANGE COMMISSION</w:t>
      </w:r>
    </w:p>
    <w:p>
      <w:pPr>
        <w:jc w:val="center"/>
        <w:ind w:right="-59"/>
        <w:spacing w:after="0"/>
        <w:rPr>
          <w:sz w:val="20"/>
          <w:szCs w:val="20"/>
          <w:color w:val="auto"/>
        </w:rPr>
      </w:pPr>
      <w:r>
        <w:rPr>
          <w:rFonts w:ascii="Arial" w:cs="Arial" w:eastAsia="Arial" w:hAnsi="Arial"/>
          <w:sz w:val="20"/>
          <w:szCs w:val="20"/>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SCHEDULE 13D/A</w:t>
      </w:r>
    </w:p>
    <w:p>
      <w:pPr>
        <w:spacing w:after="0" w:line="226"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Under the Securities Exchange Act of 1934</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(Amendment No. 3)</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Commvault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9525</wp:posOffset>
            </wp:positionV>
            <wp:extent cx="6985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500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18"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9525</wp:posOffset>
            </wp:positionV>
            <wp:extent cx="6985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500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0"/>
          <w:szCs w:val="20"/>
          <w:color w:val="auto"/>
        </w:rPr>
        <w:t>(Title of Class of Securities)</w:t>
      </w:r>
    </w:p>
    <w:p>
      <w:pPr>
        <w:spacing w:after="0" w:line="218"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204166102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9525</wp:posOffset>
            </wp:positionV>
            <wp:extent cx="6985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00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0"/>
          <w:szCs w:val="20"/>
          <w:color w:val="auto"/>
        </w:rPr>
        <w:t>(CUSIP Number)</w:t>
      </w:r>
    </w:p>
    <w:p>
      <w:pPr>
        <w:spacing w:after="0" w:line="218"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Elliott Associates, L.P.</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c/o Elliott Management Corporation</w:t>
      </w:r>
    </w:p>
    <w:p>
      <w:pPr>
        <w:jc w:val="center"/>
        <w:ind w:right="-159"/>
        <w:spacing w:after="0" w:line="237" w:lineRule="auto"/>
        <w:rPr>
          <w:sz w:val="20"/>
          <w:szCs w:val="20"/>
          <w:color w:val="auto"/>
        </w:rPr>
      </w:pPr>
      <w:r>
        <w:rPr>
          <w:rFonts w:ascii="Arial" w:cs="Arial" w:eastAsia="Arial" w:hAnsi="Arial"/>
          <w:sz w:val="20"/>
          <w:szCs w:val="20"/>
          <w:color w:val="auto"/>
        </w:rPr>
        <w:t>40 West 57th Street</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New York, NY 10019</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with a copy to:</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Eleazer Klein, Esq.</w:t>
      </w:r>
    </w:p>
    <w:p>
      <w:pPr>
        <w:jc w:val="center"/>
        <w:ind w:right="-159"/>
        <w:spacing w:after="0" w:line="237" w:lineRule="auto"/>
        <w:rPr>
          <w:sz w:val="20"/>
          <w:szCs w:val="20"/>
          <w:color w:val="auto"/>
        </w:rPr>
      </w:pPr>
      <w:r>
        <w:rPr>
          <w:rFonts w:ascii="Arial" w:cs="Arial" w:eastAsia="Arial" w:hAnsi="Arial"/>
          <w:sz w:val="20"/>
          <w:szCs w:val="20"/>
          <w:color w:val="auto"/>
        </w:rPr>
        <w:t>Marc Weingarten, Esq.</w:t>
      </w:r>
    </w:p>
    <w:p>
      <w:pPr>
        <w:jc w:val="center"/>
        <w:ind w:right="-159"/>
        <w:spacing w:after="0"/>
        <w:rPr>
          <w:sz w:val="20"/>
          <w:szCs w:val="20"/>
          <w:color w:val="auto"/>
        </w:rPr>
      </w:pPr>
      <w:r>
        <w:rPr>
          <w:rFonts w:ascii="Arial" w:cs="Arial" w:eastAsia="Arial" w:hAnsi="Arial"/>
          <w:sz w:val="20"/>
          <w:szCs w:val="20"/>
          <w:color w:val="auto"/>
        </w:rPr>
        <w:t>Schulte Roth &amp; Zabel LLP</w:t>
      </w:r>
    </w:p>
    <w:p>
      <w:pPr>
        <w:jc w:val="center"/>
        <w:ind w:right="-159"/>
        <w:spacing w:after="0" w:line="237" w:lineRule="auto"/>
        <w:rPr>
          <w:sz w:val="20"/>
          <w:szCs w:val="20"/>
          <w:color w:val="auto"/>
        </w:rPr>
      </w:pPr>
      <w:r>
        <w:rPr>
          <w:rFonts w:ascii="Arial" w:cs="Arial" w:eastAsia="Arial" w:hAnsi="Arial"/>
          <w:sz w:val="20"/>
          <w:szCs w:val="20"/>
          <w:color w:val="auto"/>
        </w:rPr>
        <w:t>919 Third Avenue</w:t>
      </w:r>
    </w:p>
    <w:p>
      <w:pPr>
        <w:jc w:val="center"/>
        <w:ind w:right="-159"/>
        <w:spacing w:after="0"/>
        <w:rPr>
          <w:sz w:val="20"/>
          <w:szCs w:val="20"/>
          <w:color w:val="auto"/>
        </w:rPr>
      </w:pPr>
      <w:r>
        <w:rPr>
          <w:rFonts w:ascii="Arial" w:cs="Arial" w:eastAsia="Arial" w:hAnsi="Arial"/>
          <w:sz w:val="20"/>
          <w:szCs w:val="20"/>
          <w:color w:val="auto"/>
        </w:rPr>
        <w:t>New York, New York 10022</w:t>
      </w:r>
    </w:p>
    <w:p>
      <w:pPr>
        <w:jc w:val="center"/>
        <w:ind w:right="-159"/>
        <w:spacing w:after="0"/>
        <w:rPr>
          <w:sz w:val="20"/>
          <w:szCs w:val="20"/>
          <w:color w:val="auto"/>
        </w:rPr>
      </w:pPr>
      <w:r>
        <w:rPr>
          <w:rFonts w:ascii="Arial" w:cs="Arial" w:eastAsia="Arial" w:hAnsi="Arial"/>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0</wp:posOffset>
            </wp:positionV>
            <wp:extent cx="6985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00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0"/>
          <w:szCs w:val="20"/>
          <w:color w:val="auto"/>
        </w:rPr>
        <w:t>(Name, Address and Telephone Number of Person</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Authorized to Receive Notices and Communications)</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February 21,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9525</wp:posOffset>
            </wp:positionV>
            <wp:extent cx="6985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00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46" w:lineRule="exact"/>
        <w:rPr>
          <w:sz w:val="24"/>
          <w:szCs w:val="24"/>
          <w:color w:val="auto"/>
        </w:rPr>
      </w:pPr>
    </w:p>
    <w:p>
      <w:pPr>
        <w:spacing w:after="0" w:line="284"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8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(Page 1 of 9 Pages)</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ind w:right="240"/>
        <w:spacing w:after="0" w:line="326" w:lineRule="auto"/>
        <w:tabs>
          <w:tab w:leader="none" w:pos="147"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7" w:lineRule="exact"/>
        <w:rPr>
          <w:sz w:val="24"/>
          <w:szCs w:val="24"/>
          <w:color w:val="auto"/>
        </w:rPr>
      </w:pPr>
    </w:p>
    <w:p>
      <w:pPr>
        <w:ind w:right="100" w:firstLine="644"/>
        <w:spacing w:after="0" w:line="248"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2240" w:h="15840" w:orient="portrait"/>
          <w:cols w:equalWidth="0" w:num="1">
            <w:col w:w="11020"/>
          </w:cols>
          <w:pgMar w:left="520" w:top="0" w:right="70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3"/>
        </w:trPr>
        <w:tc>
          <w:tcPr>
            <w:tcW w:w="1820" w:type="dxa"/>
            <w:vAlign w:val="bottom"/>
          </w:tcPr>
          <w:p>
            <w:pPr>
              <w:spacing w:after="0"/>
              <w:rPr>
                <w:sz w:val="20"/>
                <w:szCs w:val="20"/>
                <w:color w:val="auto"/>
              </w:rPr>
            </w:pPr>
            <w:r>
              <w:rPr>
                <w:rFonts w:ascii="Arial" w:cs="Arial" w:eastAsia="Arial" w:hAnsi="Arial"/>
                <w:sz w:val="18"/>
                <w:szCs w:val="18"/>
                <w:b w:val="1"/>
                <w:bCs w:val="1"/>
                <w:color w:val="auto"/>
                <w:w w:val="96"/>
              </w:rPr>
              <w:t>CUSIP No. 204166102</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ind w:left="1620"/>
              <w:spacing w:after="0"/>
              <w:rPr>
                <w:sz w:val="20"/>
                <w:szCs w:val="20"/>
                <w:color w:val="auto"/>
              </w:rPr>
            </w:pPr>
            <w:r>
              <w:rPr>
                <w:rFonts w:ascii="Arial" w:cs="Arial" w:eastAsia="Arial" w:hAnsi="Arial"/>
                <w:sz w:val="18"/>
                <w:szCs w:val="18"/>
                <w:b w:val="1"/>
                <w:bCs w:val="1"/>
                <w:color w:val="auto"/>
              </w:rPr>
              <w:t>Schedule 13D/A</w:t>
            </w:r>
          </w:p>
        </w:tc>
        <w:tc>
          <w:tcPr>
            <w:tcW w:w="1560" w:type="dxa"/>
            <w:vAlign w:val="bottom"/>
          </w:tcPr>
          <w:p>
            <w:pPr>
              <w:ind w:left="280"/>
              <w:spacing w:after="0"/>
              <w:rPr>
                <w:sz w:val="20"/>
                <w:szCs w:val="20"/>
                <w:color w:val="auto"/>
              </w:rPr>
            </w:pPr>
            <w:r>
              <w:rPr>
                <w:rFonts w:ascii="Arial" w:cs="Arial" w:eastAsia="Arial" w:hAnsi="Arial"/>
                <w:sz w:val="18"/>
                <w:szCs w:val="18"/>
                <w:b w:val="1"/>
                <w:bCs w:val="1"/>
                <w:color w:val="auto"/>
                <w:w w:val="82"/>
              </w:rPr>
              <w:t>Page 2 of 9 Pages</w:t>
            </w:r>
          </w:p>
        </w:tc>
        <w:tc>
          <w:tcPr>
            <w:tcW w:w="0" w:type="dxa"/>
            <w:vAlign w:val="bottom"/>
          </w:tcPr>
          <w:p>
            <w:pPr>
              <w:spacing w:after="0"/>
              <w:rPr>
                <w:sz w:val="1"/>
                <w:szCs w:val="1"/>
                <w:color w:val="auto"/>
              </w:rPr>
            </w:pPr>
          </w:p>
        </w:tc>
      </w:tr>
      <w:tr>
        <w:trPr>
          <w:trHeight w:val="335"/>
        </w:trPr>
        <w:tc>
          <w:tcPr>
            <w:tcW w:w="182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gridSpan w:val="3"/>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NAME OF REPORTING PERSON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7780" w:type="dxa"/>
            <w:vAlign w:val="bottom"/>
            <w:gridSpan w:val="3"/>
            <w:vMerge w:val="restart"/>
          </w:tcPr>
          <w:p>
            <w:pPr>
              <w:ind w:left="420"/>
              <w:spacing w:after="0"/>
              <w:rPr>
                <w:sz w:val="20"/>
                <w:szCs w:val="20"/>
                <w:color w:val="auto"/>
              </w:rPr>
            </w:pPr>
            <w:r>
              <w:rPr>
                <w:rFonts w:ascii="Arial" w:cs="Arial" w:eastAsia="Arial" w:hAnsi="Arial"/>
                <w:sz w:val="20"/>
                <w:szCs w:val="20"/>
                <w:color w:val="auto"/>
              </w:rPr>
              <w:t>Elliott Associates, L.P.</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77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780" w:type="dxa"/>
            <w:vAlign w:val="bottom"/>
            <w:tcBorders>
              <w:bottom w:val="single" w:sz="8" w:color="auto"/>
            </w:tcBorders>
            <w:gridSpan w:val="3"/>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right w:val="single" w:sz="8" w:color="auto"/>
            </w:tcBorders>
            <w:vMerge w:val="restart"/>
          </w:tcPr>
          <w:p>
            <w:pPr>
              <w:jc w:val="center"/>
              <w:spacing w:after="0" w:line="317" w:lineRule="exact"/>
              <w:rPr>
                <w:sz w:val="20"/>
                <w:szCs w:val="20"/>
                <w:color w:val="auto"/>
              </w:rPr>
            </w:pPr>
            <w:r>
              <w:rPr>
                <w:rFonts w:ascii="Arial" w:cs="Arial" w:eastAsia="Arial" w:hAnsi="Arial"/>
                <w:sz w:val="29"/>
                <w:szCs w:val="29"/>
                <w:b w:val="1"/>
                <w:bCs w:val="1"/>
                <w:color w:val="auto"/>
                <w:w w:val="86"/>
              </w:rPr>
              <w:t>2</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560" w:type="dxa"/>
            <w:vAlign w:val="bottom"/>
            <w:vMerge w:val="restart"/>
          </w:tcPr>
          <w:p>
            <w:pPr>
              <w:ind w:left="36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5"/>
                <w:szCs w:val="25"/>
                <w:color w:val="auto"/>
              </w:rPr>
              <w:t>x</w:t>
            </w:r>
          </w:p>
        </w:tc>
        <w:tc>
          <w:tcPr>
            <w:tcW w:w="0" w:type="dxa"/>
            <w:vAlign w:val="bottom"/>
          </w:tcPr>
          <w:p>
            <w:pPr>
              <w:spacing w:after="0"/>
              <w:rPr>
                <w:sz w:val="1"/>
                <w:szCs w:val="1"/>
                <w:color w:val="auto"/>
              </w:rPr>
            </w:pPr>
          </w:p>
        </w:tc>
      </w:tr>
      <w:tr>
        <w:trPr>
          <w:trHeight w:val="75"/>
        </w:trPr>
        <w:tc>
          <w:tcPr>
            <w:tcW w:w="182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9"/>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ind w:left="36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w:t>
            </w: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156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6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82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gridSpan w:val="2"/>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560" w:type="dxa"/>
            <w:vAlign w:val="bottom"/>
            <w:gridSpan w:val="2"/>
          </w:tcPr>
          <w:p>
            <w:pPr>
              <w:ind w:left="100"/>
              <w:spacing w:after="0"/>
              <w:rPr>
                <w:sz w:val="20"/>
                <w:szCs w:val="20"/>
                <w:color w:val="auto"/>
              </w:rPr>
            </w:pPr>
            <w:r>
              <w:rPr>
                <w:rFonts w:ascii="Arial" w:cs="Arial" w:eastAsia="Arial" w:hAnsi="Arial"/>
                <w:sz w:val="16"/>
                <w:szCs w:val="16"/>
                <w:color w:val="auto"/>
                <w:w w:val="93"/>
              </w:rPr>
              <w:t>SOURCE OF FUNDS</w:t>
            </w:r>
          </w:p>
        </w:tc>
        <w:tc>
          <w:tcPr>
            <w:tcW w:w="6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560" w:type="dxa"/>
            <w:vAlign w:val="bottom"/>
            <w:gridSpan w:val="2"/>
            <w:vMerge w:val="restart"/>
          </w:tcPr>
          <w:p>
            <w:pPr>
              <w:ind w:left="420"/>
              <w:spacing w:after="0"/>
              <w:rPr>
                <w:sz w:val="20"/>
                <w:szCs w:val="20"/>
                <w:color w:val="auto"/>
              </w:rPr>
            </w:pPr>
            <w:r>
              <w:rPr>
                <w:rFonts w:ascii="Arial" w:cs="Arial" w:eastAsia="Arial" w:hAnsi="Arial"/>
                <w:sz w:val="20"/>
                <w:szCs w:val="20"/>
                <w:color w:val="auto"/>
              </w:rPr>
              <w:t>WC</w:t>
            </w: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tcPr>
          <w:p>
            <w:pPr>
              <w:jc w:val="center"/>
              <w:spacing w:after="0" w:line="194" w:lineRule="exact"/>
              <w:rPr>
                <w:sz w:val="20"/>
                <w:szCs w:val="20"/>
                <w:color w:val="auto"/>
              </w:rPr>
            </w:pPr>
            <w:r>
              <w:rPr>
                <w:rFonts w:ascii="Arial" w:cs="Arial" w:eastAsia="Arial" w:hAnsi="Arial"/>
                <w:sz w:val="22"/>
                <w:szCs w:val="22"/>
                <w:b w:val="1"/>
                <w:bCs w:val="1"/>
                <w:color w:val="auto"/>
              </w:rPr>
              <w:t>5</w:t>
            </w:r>
          </w:p>
        </w:tc>
        <w:tc>
          <w:tcPr>
            <w:tcW w:w="7780" w:type="dxa"/>
            <w:vAlign w:val="bottom"/>
            <w:gridSpan w:val="3"/>
            <w:vMerge w:val="restart"/>
          </w:tcPr>
          <w:p>
            <w:pPr>
              <w:spacing w:after="0"/>
              <w:rPr>
                <w:sz w:val="20"/>
                <w:szCs w:val="20"/>
                <w:color w:val="auto"/>
              </w:rPr>
            </w:pPr>
            <w:r>
              <w:rPr>
                <w:rFonts w:ascii="Arial" w:cs="Arial" w:eastAsia="Arial" w:hAnsi="Arial"/>
                <w:sz w:val="16"/>
                <w:szCs w:val="16"/>
                <w:color w:val="auto"/>
                <w:w w:val="99"/>
              </w:rPr>
              <w:t>CHECK BOX IF DISCLOSURE OF LEGAL PROCEEDING IS REQUIRED PURSUANT TO ITEMS 2(d) or 2(e)</w:t>
            </w:r>
          </w:p>
        </w:tc>
        <w:tc>
          <w:tcPr>
            <w:tcW w:w="1560" w:type="dxa"/>
            <w:vAlign w:val="bottom"/>
          </w:tcPr>
          <w:p>
            <w:pPr>
              <w:ind w:left="360"/>
              <w:spacing w:after="0" w:line="194"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
        </w:trPr>
        <w:tc>
          <w:tcPr>
            <w:tcW w:w="1820" w:type="dxa"/>
            <w:vAlign w:val="bottom"/>
            <w:tcBorders>
              <w:left w:val="single" w:sz="8" w:color="auto"/>
              <w:right w:val="single" w:sz="8" w:color="auto"/>
            </w:tcBorders>
          </w:tcPr>
          <w:p>
            <w:pPr>
              <w:spacing w:after="0"/>
              <w:rPr>
                <w:sz w:val="4"/>
                <w:szCs w:val="4"/>
                <w:color w:val="auto"/>
              </w:rPr>
            </w:pPr>
          </w:p>
        </w:tc>
        <w:tc>
          <w:tcPr>
            <w:tcW w:w="7780" w:type="dxa"/>
            <w:vAlign w:val="bottom"/>
            <w:gridSpan w:val="3"/>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bottom w:val="single" w:sz="8" w:color="auto"/>
              <w:right w:val="single" w:sz="8" w:color="auto"/>
            </w:tcBorders>
          </w:tcPr>
          <w:p>
            <w:pPr>
              <w:spacing w:after="0"/>
              <w:rPr>
                <w:sz w:val="22"/>
                <w:szCs w:val="22"/>
                <w:color w:val="auto"/>
              </w:rPr>
            </w:pPr>
          </w:p>
        </w:tc>
        <w:tc>
          <w:tcPr>
            <w:tcW w:w="7780" w:type="dxa"/>
            <w:vAlign w:val="bottom"/>
            <w:tcBorders>
              <w:bottom w:val="single" w:sz="8" w:color="auto"/>
            </w:tcBorders>
            <w:gridSpan w:val="3"/>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CITIZENSHIP OR PLACE OF ORGANIZATION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560" w:type="dxa"/>
            <w:vAlign w:val="bottom"/>
            <w:gridSpan w:val="2"/>
            <w:vMerge w:val="restart"/>
          </w:tcPr>
          <w:p>
            <w:pPr>
              <w:ind w:left="420"/>
              <w:spacing w:after="0"/>
              <w:rPr>
                <w:sz w:val="20"/>
                <w:szCs w:val="20"/>
                <w:color w:val="auto"/>
              </w:rPr>
            </w:pPr>
            <w:r>
              <w:rPr>
                <w:rFonts w:ascii="Arial" w:cs="Arial" w:eastAsia="Arial" w:hAnsi="Arial"/>
                <w:sz w:val="20"/>
                <w:szCs w:val="20"/>
                <w:color w:val="auto"/>
              </w:rPr>
              <w:t>Delaware</w:t>
            </w: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tcPr>
          <w:p>
            <w:pPr>
              <w:spacing w:after="0"/>
              <w:rPr>
                <w:sz w:val="20"/>
                <w:szCs w:val="2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SOLE VOTING POWER</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20" w:type="dxa"/>
            <w:vAlign w:val="bottom"/>
            <w:vMerge w:val="restart"/>
          </w:tcPr>
          <w:p>
            <w:pPr>
              <w:ind w:left="320"/>
              <w:spacing w:after="0"/>
              <w:rPr>
                <w:sz w:val="20"/>
                <w:szCs w:val="20"/>
                <w:color w:val="auto"/>
              </w:rPr>
            </w:pPr>
            <w:r>
              <w:rPr>
                <w:rFonts w:ascii="Arial" w:cs="Arial" w:eastAsia="Arial" w:hAnsi="Arial"/>
                <w:sz w:val="20"/>
                <w:szCs w:val="20"/>
                <w:color w:val="auto"/>
              </w:rPr>
              <w:t>591,529 (1)</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6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line="305" w:lineRule="exact"/>
              <w:rPr>
                <w:sz w:val="20"/>
                <w:szCs w:val="20"/>
                <w:color w:val="auto"/>
              </w:rPr>
            </w:pPr>
            <w:r>
              <w:rPr>
                <w:rFonts w:ascii="Arial" w:cs="Arial" w:eastAsia="Arial" w:hAnsi="Arial"/>
                <w:sz w:val="29"/>
                <w:szCs w:val="29"/>
                <w:b w:val="1"/>
                <w:bCs w:val="1"/>
                <w:color w:val="auto"/>
                <w:w w:val="86"/>
              </w:rPr>
              <w:t>8</w:t>
            </w:r>
          </w:p>
        </w:tc>
        <w:tc>
          <w:tcPr>
            <w:tcW w:w="100" w:type="dxa"/>
            <w:vAlign w:val="bottom"/>
          </w:tcPr>
          <w:p>
            <w:pPr>
              <w:spacing w:after="0"/>
              <w:rPr>
                <w:sz w:val="9"/>
                <w:szCs w:val="9"/>
                <w:color w:val="auto"/>
              </w:rPr>
            </w:pPr>
          </w:p>
        </w:tc>
        <w:tc>
          <w:tcPr>
            <w:tcW w:w="6220" w:type="dxa"/>
            <w:vAlign w:val="bottom"/>
            <w:vMerge w:val="restart"/>
          </w:tcPr>
          <w:p>
            <w:pPr>
              <w:spacing w:after="0"/>
              <w:rPr>
                <w:sz w:val="20"/>
                <w:szCs w:val="20"/>
                <w:color w:val="auto"/>
              </w:rPr>
            </w:pPr>
            <w:r>
              <w:rPr>
                <w:rFonts w:ascii="Arial" w:cs="Arial" w:eastAsia="Arial" w:hAnsi="Arial"/>
                <w:sz w:val="16"/>
                <w:szCs w:val="16"/>
                <w:color w:val="auto"/>
              </w:rPr>
              <w:t>SHARED VOTING POWER</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4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22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2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restart"/>
          </w:tcPr>
          <w:p>
            <w:pPr>
              <w:ind w:left="320"/>
              <w:spacing w:after="0"/>
              <w:rPr>
                <w:sz w:val="20"/>
                <w:szCs w:val="20"/>
                <w:color w:val="auto"/>
              </w:rPr>
            </w:pPr>
            <w:r>
              <w:rPr>
                <w:rFonts w:ascii="Arial" w:cs="Arial" w:eastAsia="Arial" w:hAnsi="Arial"/>
                <w:sz w:val="20"/>
                <w:szCs w:val="20"/>
                <w:color w:val="auto"/>
              </w:rPr>
              <w:t>-0-</w:t>
            </w: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line="305" w:lineRule="exact"/>
              <w:rPr>
                <w:sz w:val="20"/>
                <w:szCs w:val="20"/>
                <w:color w:val="auto"/>
              </w:rPr>
            </w:pPr>
            <w:r>
              <w:rPr>
                <w:rFonts w:ascii="Arial" w:cs="Arial" w:eastAsia="Arial" w:hAnsi="Arial"/>
                <w:sz w:val="29"/>
                <w:szCs w:val="29"/>
                <w:b w:val="1"/>
                <w:bCs w:val="1"/>
                <w:color w:val="auto"/>
                <w:w w:val="86"/>
              </w:rPr>
              <w:t>9</w:t>
            </w:r>
          </w:p>
        </w:tc>
        <w:tc>
          <w:tcPr>
            <w:tcW w:w="100" w:type="dxa"/>
            <w:vAlign w:val="bottom"/>
          </w:tcPr>
          <w:p>
            <w:pPr>
              <w:spacing w:after="0"/>
              <w:rPr>
                <w:sz w:val="9"/>
                <w:szCs w:val="9"/>
                <w:color w:val="auto"/>
              </w:rPr>
            </w:pPr>
          </w:p>
        </w:tc>
        <w:tc>
          <w:tcPr>
            <w:tcW w:w="6220" w:type="dxa"/>
            <w:vAlign w:val="bottom"/>
            <w:vMerge w:val="restart"/>
          </w:tcPr>
          <w:p>
            <w:pPr>
              <w:spacing w:after="0"/>
              <w:rPr>
                <w:sz w:val="20"/>
                <w:szCs w:val="20"/>
                <w:color w:val="auto"/>
              </w:rPr>
            </w:pPr>
            <w:r>
              <w:rPr>
                <w:rFonts w:ascii="Arial" w:cs="Arial" w:eastAsia="Arial" w:hAnsi="Arial"/>
                <w:sz w:val="16"/>
                <w:szCs w:val="16"/>
                <w:color w:val="auto"/>
              </w:rPr>
              <w:t>SOLE DISPOSITIVE POWER</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EACH</w:t>
            </w:r>
          </w:p>
        </w:tc>
        <w:tc>
          <w:tcPr>
            <w:tcW w:w="14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22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2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restart"/>
          </w:tcPr>
          <w:p>
            <w:pPr>
              <w:ind w:left="320"/>
              <w:spacing w:after="0"/>
              <w:rPr>
                <w:sz w:val="20"/>
                <w:szCs w:val="20"/>
                <w:color w:val="auto"/>
              </w:rPr>
            </w:pPr>
            <w:r>
              <w:rPr>
                <w:rFonts w:ascii="Arial" w:cs="Arial" w:eastAsia="Arial" w:hAnsi="Arial"/>
                <w:sz w:val="20"/>
                <w:szCs w:val="20"/>
                <w:color w:val="auto"/>
              </w:rPr>
              <w:t>591,529 (1)</w:t>
            </w: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4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100" w:type="dxa"/>
            <w:vAlign w:val="bottom"/>
          </w:tcPr>
          <w:p>
            <w:pPr>
              <w:spacing w:after="0"/>
              <w:rPr>
                <w:sz w:val="9"/>
                <w:szCs w:val="9"/>
                <w:color w:val="auto"/>
              </w:rPr>
            </w:pPr>
          </w:p>
        </w:tc>
        <w:tc>
          <w:tcPr>
            <w:tcW w:w="6220" w:type="dxa"/>
            <w:vAlign w:val="bottom"/>
            <w:vMerge w:val="restart"/>
          </w:tcPr>
          <w:p>
            <w:pPr>
              <w:spacing w:after="0"/>
              <w:rPr>
                <w:sz w:val="20"/>
                <w:szCs w:val="20"/>
                <w:color w:val="auto"/>
              </w:rPr>
            </w:pPr>
            <w:r>
              <w:rPr>
                <w:rFonts w:ascii="Arial" w:cs="Arial" w:eastAsia="Arial" w:hAnsi="Arial"/>
                <w:sz w:val="16"/>
                <w:szCs w:val="16"/>
                <w:color w:val="auto"/>
              </w:rPr>
              <w:t>SHARED DISPOSITIVE POWER</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820" w:type="dxa"/>
            <w:vAlign w:val="bottom"/>
            <w:tcBorders>
              <w:left w:val="single" w:sz="8" w:color="auto"/>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22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20" w:type="dxa"/>
            <w:vAlign w:val="bottom"/>
            <w:vMerge w:val="restart"/>
          </w:tcPr>
          <w:p>
            <w:pPr>
              <w:ind w:left="320"/>
              <w:spacing w:after="0"/>
              <w:rPr>
                <w:sz w:val="20"/>
                <w:szCs w:val="20"/>
                <w:color w:val="auto"/>
              </w:rPr>
            </w:pPr>
            <w:r>
              <w:rPr>
                <w:rFonts w:ascii="Arial" w:cs="Arial" w:eastAsia="Arial" w:hAnsi="Arial"/>
                <w:sz w:val="20"/>
                <w:szCs w:val="20"/>
                <w:color w:val="auto"/>
              </w:rPr>
              <w:t>-0-</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632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AGGREGATE AMOUNT BENEFICIALLY OWNED BY EACH PERSON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460" w:type="dxa"/>
            <w:vAlign w:val="bottom"/>
            <w:vMerge w:val="restart"/>
          </w:tcPr>
          <w:p>
            <w:pPr>
              <w:ind w:left="420"/>
              <w:spacing w:after="0"/>
              <w:rPr>
                <w:sz w:val="20"/>
                <w:szCs w:val="20"/>
                <w:color w:val="auto"/>
              </w:rPr>
            </w:pPr>
            <w:r>
              <w:rPr>
                <w:rFonts w:ascii="Arial" w:cs="Arial" w:eastAsia="Arial" w:hAnsi="Arial"/>
                <w:sz w:val="20"/>
                <w:szCs w:val="20"/>
                <w:color w:val="auto"/>
                <w:w w:val="97"/>
              </w:rPr>
              <w:t>591,529 (1)</w:t>
            </w:r>
          </w:p>
        </w:tc>
        <w:tc>
          <w:tcPr>
            <w:tcW w:w="1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tcPr>
          <w:p>
            <w:pPr>
              <w:jc w:val="center"/>
              <w:spacing w:after="0" w:line="194" w:lineRule="exact"/>
              <w:rPr>
                <w:sz w:val="20"/>
                <w:szCs w:val="20"/>
                <w:color w:val="auto"/>
              </w:rPr>
            </w:pPr>
            <w:r>
              <w:rPr>
                <w:rFonts w:ascii="Arial" w:cs="Arial" w:eastAsia="Arial" w:hAnsi="Arial"/>
                <w:sz w:val="22"/>
                <w:szCs w:val="22"/>
                <w:b w:val="1"/>
                <w:bCs w:val="1"/>
                <w:color w:val="auto"/>
              </w:rPr>
              <w:t>12</w:t>
            </w:r>
          </w:p>
        </w:tc>
        <w:tc>
          <w:tcPr>
            <w:tcW w:w="7780" w:type="dxa"/>
            <w:vAlign w:val="bottom"/>
            <w:gridSpan w:val="3"/>
            <w:vMerge w:val="restart"/>
          </w:tcPr>
          <w:p>
            <w:pPr>
              <w:ind w:left="10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60" w:type="dxa"/>
            <w:vAlign w:val="bottom"/>
          </w:tcPr>
          <w:p>
            <w:pPr>
              <w:jc w:val="right"/>
              <w:ind w:right="898"/>
              <w:spacing w:after="0" w:line="194"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
        </w:trPr>
        <w:tc>
          <w:tcPr>
            <w:tcW w:w="1820" w:type="dxa"/>
            <w:vAlign w:val="bottom"/>
            <w:tcBorders>
              <w:left w:val="single" w:sz="8" w:color="auto"/>
              <w:right w:val="single" w:sz="8" w:color="auto"/>
            </w:tcBorders>
          </w:tcPr>
          <w:p>
            <w:pPr>
              <w:spacing w:after="0"/>
              <w:rPr>
                <w:sz w:val="4"/>
                <w:szCs w:val="4"/>
                <w:color w:val="auto"/>
              </w:rPr>
            </w:pPr>
          </w:p>
        </w:tc>
        <w:tc>
          <w:tcPr>
            <w:tcW w:w="7780" w:type="dxa"/>
            <w:vAlign w:val="bottom"/>
            <w:gridSpan w:val="3"/>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6320" w:type="dxa"/>
            <w:vAlign w:val="bottom"/>
            <w:tcBorders>
              <w:bottom w:val="single" w:sz="8" w:color="auto"/>
            </w:tcBorders>
            <w:gridSpan w:val="2"/>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13</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(11)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460" w:type="dxa"/>
            <w:vAlign w:val="bottom"/>
            <w:vMerge w:val="restart"/>
          </w:tcPr>
          <w:p>
            <w:pPr>
              <w:ind w:left="420"/>
              <w:spacing w:after="0"/>
              <w:rPr>
                <w:sz w:val="20"/>
                <w:szCs w:val="20"/>
                <w:color w:val="auto"/>
              </w:rPr>
            </w:pPr>
            <w:r>
              <w:rPr>
                <w:rFonts w:ascii="Arial" w:cs="Arial" w:eastAsia="Arial" w:hAnsi="Arial"/>
                <w:sz w:val="20"/>
                <w:szCs w:val="20"/>
                <w:color w:val="auto"/>
              </w:rPr>
              <w:t>1.3%</w:t>
            </w:r>
          </w:p>
        </w:tc>
        <w:tc>
          <w:tcPr>
            <w:tcW w:w="1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632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14</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560" w:type="dxa"/>
            <w:vAlign w:val="bottom"/>
            <w:gridSpan w:val="2"/>
            <w:vMerge w:val="restart"/>
          </w:tcPr>
          <w:p>
            <w:pPr>
              <w:ind w:left="420"/>
              <w:spacing w:after="0"/>
              <w:rPr>
                <w:sz w:val="20"/>
                <w:szCs w:val="20"/>
                <w:color w:val="auto"/>
              </w:rPr>
            </w:pPr>
            <w:r>
              <w:rPr>
                <w:rFonts w:ascii="Arial" w:cs="Arial" w:eastAsia="Arial" w:hAnsi="Arial"/>
                <w:sz w:val="20"/>
                <w:szCs w:val="20"/>
                <w:color w:val="auto"/>
              </w:rPr>
              <w:t>PN</w:t>
            </w: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 Includes 48,188 shares of Common Stock underlying Physical Derivative Agreements.</w:t>
      </w:r>
    </w:p>
    <w:p>
      <w:pPr>
        <w:sectPr>
          <w:pgSz w:w="12240" w:h="15840" w:orient="portrait"/>
          <w:cols w:equalWidth="0" w:num="1">
            <w:col w:w="11160"/>
          </w:cols>
          <w:pgMar w:left="520" w:top="88" w:right="560"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3"/>
        </w:trPr>
        <w:tc>
          <w:tcPr>
            <w:tcW w:w="1820" w:type="dxa"/>
            <w:vAlign w:val="bottom"/>
          </w:tcPr>
          <w:p>
            <w:pPr>
              <w:spacing w:after="0"/>
              <w:rPr>
                <w:sz w:val="20"/>
                <w:szCs w:val="20"/>
                <w:color w:val="auto"/>
              </w:rPr>
            </w:pPr>
            <w:r>
              <w:rPr>
                <w:rFonts w:ascii="Arial" w:cs="Arial" w:eastAsia="Arial" w:hAnsi="Arial"/>
                <w:sz w:val="18"/>
                <w:szCs w:val="18"/>
                <w:b w:val="1"/>
                <w:bCs w:val="1"/>
                <w:color w:val="auto"/>
                <w:w w:val="96"/>
              </w:rPr>
              <w:t>CUSIP No. 204166102</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ind w:left="1620"/>
              <w:spacing w:after="0"/>
              <w:rPr>
                <w:sz w:val="20"/>
                <w:szCs w:val="20"/>
                <w:color w:val="auto"/>
              </w:rPr>
            </w:pPr>
            <w:r>
              <w:rPr>
                <w:rFonts w:ascii="Arial" w:cs="Arial" w:eastAsia="Arial" w:hAnsi="Arial"/>
                <w:sz w:val="18"/>
                <w:szCs w:val="18"/>
                <w:b w:val="1"/>
                <w:bCs w:val="1"/>
                <w:color w:val="auto"/>
              </w:rPr>
              <w:t>Schedule 13D/A</w:t>
            </w:r>
          </w:p>
        </w:tc>
        <w:tc>
          <w:tcPr>
            <w:tcW w:w="1560" w:type="dxa"/>
            <w:vAlign w:val="bottom"/>
          </w:tcPr>
          <w:p>
            <w:pPr>
              <w:ind w:left="280"/>
              <w:spacing w:after="0"/>
              <w:rPr>
                <w:sz w:val="20"/>
                <w:szCs w:val="20"/>
                <w:color w:val="auto"/>
              </w:rPr>
            </w:pPr>
            <w:r>
              <w:rPr>
                <w:rFonts w:ascii="Arial" w:cs="Arial" w:eastAsia="Arial" w:hAnsi="Arial"/>
                <w:sz w:val="18"/>
                <w:szCs w:val="18"/>
                <w:b w:val="1"/>
                <w:bCs w:val="1"/>
                <w:color w:val="auto"/>
                <w:w w:val="82"/>
              </w:rPr>
              <w:t>Page 3 of 9 Pages</w:t>
            </w:r>
          </w:p>
        </w:tc>
        <w:tc>
          <w:tcPr>
            <w:tcW w:w="0" w:type="dxa"/>
            <w:vAlign w:val="bottom"/>
          </w:tcPr>
          <w:p>
            <w:pPr>
              <w:spacing w:after="0"/>
              <w:rPr>
                <w:sz w:val="1"/>
                <w:szCs w:val="1"/>
                <w:color w:val="auto"/>
              </w:rPr>
            </w:pPr>
          </w:p>
        </w:tc>
      </w:tr>
      <w:tr>
        <w:trPr>
          <w:trHeight w:val="563"/>
        </w:trPr>
        <w:tc>
          <w:tcPr>
            <w:tcW w:w="182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gridSpan w:val="3"/>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NAME OF REPORTING PERSON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7780" w:type="dxa"/>
            <w:vAlign w:val="bottom"/>
            <w:gridSpan w:val="3"/>
            <w:vMerge w:val="restart"/>
          </w:tcPr>
          <w:p>
            <w:pPr>
              <w:ind w:left="420"/>
              <w:spacing w:after="0"/>
              <w:rPr>
                <w:sz w:val="20"/>
                <w:szCs w:val="20"/>
                <w:color w:val="auto"/>
              </w:rPr>
            </w:pPr>
            <w:r>
              <w:rPr>
                <w:rFonts w:ascii="Arial" w:cs="Arial" w:eastAsia="Arial" w:hAnsi="Arial"/>
                <w:sz w:val="20"/>
                <w:szCs w:val="20"/>
                <w:color w:val="auto"/>
              </w:rPr>
              <w:t>Elliott International, L.P.</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77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780" w:type="dxa"/>
            <w:vAlign w:val="bottom"/>
            <w:tcBorders>
              <w:bottom w:val="single" w:sz="8" w:color="auto"/>
            </w:tcBorders>
            <w:gridSpan w:val="3"/>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right w:val="single" w:sz="8" w:color="auto"/>
            </w:tcBorders>
            <w:vMerge w:val="restart"/>
          </w:tcPr>
          <w:p>
            <w:pPr>
              <w:jc w:val="center"/>
              <w:spacing w:after="0" w:line="317" w:lineRule="exact"/>
              <w:rPr>
                <w:sz w:val="20"/>
                <w:szCs w:val="20"/>
                <w:color w:val="auto"/>
              </w:rPr>
            </w:pPr>
            <w:r>
              <w:rPr>
                <w:rFonts w:ascii="Arial" w:cs="Arial" w:eastAsia="Arial" w:hAnsi="Arial"/>
                <w:sz w:val="29"/>
                <w:szCs w:val="29"/>
                <w:b w:val="1"/>
                <w:bCs w:val="1"/>
                <w:color w:val="auto"/>
                <w:w w:val="86"/>
              </w:rPr>
              <w:t>2</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560" w:type="dxa"/>
            <w:vAlign w:val="bottom"/>
            <w:vMerge w:val="restart"/>
          </w:tcPr>
          <w:p>
            <w:pPr>
              <w:ind w:left="36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5"/>
                <w:szCs w:val="25"/>
                <w:color w:val="auto"/>
              </w:rPr>
              <w:t>x</w:t>
            </w:r>
          </w:p>
        </w:tc>
        <w:tc>
          <w:tcPr>
            <w:tcW w:w="0" w:type="dxa"/>
            <w:vAlign w:val="bottom"/>
          </w:tcPr>
          <w:p>
            <w:pPr>
              <w:spacing w:after="0"/>
              <w:rPr>
                <w:sz w:val="1"/>
                <w:szCs w:val="1"/>
                <w:color w:val="auto"/>
              </w:rPr>
            </w:pPr>
          </w:p>
        </w:tc>
      </w:tr>
      <w:tr>
        <w:trPr>
          <w:trHeight w:val="75"/>
        </w:trPr>
        <w:tc>
          <w:tcPr>
            <w:tcW w:w="182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9"/>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ind w:left="36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w:t>
            </w:r>
          </w:p>
        </w:tc>
        <w:tc>
          <w:tcPr>
            <w:tcW w:w="0" w:type="dxa"/>
            <w:vAlign w:val="bottom"/>
          </w:tcPr>
          <w:p>
            <w:pPr>
              <w:spacing w:after="0"/>
              <w:rPr>
                <w:sz w:val="1"/>
                <w:szCs w:val="1"/>
                <w:color w:val="auto"/>
              </w:rPr>
            </w:pPr>
          </w:p>
        </w:tc>
      </w:tr>
      <w:tr>
        <w:trPr>
          <w:trHeight w:val="24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156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6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82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gridSpan w:val="2"/>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560" w:type="dxa"/>
            <w:vAlign w:val="bottom"/>
            <w:gridSpan w:val="2"/>
          </w:tcPr>
          <w:p>
            <w:pPr>
              <w:ind w:left="100"/>
              <w:spacing w:after="0"/>
              <w:rPr>
                <w:sz w:val="20"/>
                <w:szCs w:val="20"/>
                <w:color w:val="auto"/>
              </w:rPr>
            </w:pPr>
            <w:r>
              <w:rPr>
                <w:rFonts w:ascii="Arial" w:cs="Arial" w:eastAsia="Arial" w:hAnsi="Arial"/>
                <w:sz w:val="16"/>
                <w:szCs w:val="16"/>
                <w:color w:val="auto"/>
                <w:w w:val="93"/>
              </w:rPr>
              <w:t>SOURCE OF FUNDS</w:t>
            </w:r>
          </w:p>
        </w:tc>
        <w:tc>
          <w:tcPr>
            <w:tcW w:w="6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560" w:type="dxa"/>
            <w:vAlign w:val="bottom"/>
            <w:gridSpan w:val="2"/>
            <w:vMerge w:val="restart"/>
          </w:tcPr>
          <w:p>
            <w:pPr>
              <w:ind w:left="420"/>
              <w:spacing w:after="0"/>
              <w:rPr>
                <w:sz w:val="20"/>
                <w:szCs w:val="20"/>
                <w:color w:val="auto"/>
              </w:rPr>
            </w:pPr>
            <w:r>
              <w:rPr>
                <w:rFonts w:ascii="Arial" w:cs="Arial" w:eastAsia="Arial" w:hAnsi="Arial"/>
                <w:sz w:val="20"/>
                <w:szCs w:val="20"/>
                <w:color w:val="auto"/>
              </w:rPr>
              <w:t>WC</w:t>
            </w: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tcPr>
          <w:p>
            <w:pPr>
              <w:jc w:val="center"/>
              <w:spacing w:after="0" w:line="194" w:lineRule="exact"/>
              <w:rPr>
                <w:sz w:val="20"/>
                <w:szCs w:val="20"/>
                <w:color w:val="auto"/>
              </w:rPr>
            </w:pPr>
            <w:r>
              <w:rPr>
                <w:rFonts w:ascii="Arial" w:cs="Arial" w:eastAsia="Arial" w:hAnsi="Arial"/>
                <w:sz w:val="22"/>
                <w:szCs w:val="22"/>
                <w:b w:val="1"/>
                <w:bCs w:val="1"/>
                <w:color w:val="auto"/>
              </w:rPr>
              <w:t>5</w:t>
            </w:r>
          </w:p>
        </w:tc>
        <w:tc>
          <w:tcPr>
            <w:tcW w:w="7780" w:type="dxa"/>
            <w:vAlign w:val="bottom"/>
            <w:gridSpan w:val="3"/>
            <w:vMerge w:val="restart"/>
          </w:tcPr>
          <w:p>
            <w:pPr>
              <w:spacing w:after="0"/>
              <w:rPr>
                <w:sz w:val="20"/>
                <w:szCs w:val="20"/>
                <w:color w:val="auto"/>
              </w:rPr>
            </w:pPr>
            <w:r>
              <w:rPr>
                <w:rFonts w:ascii="Arial" w:cs="Arial" w:eastAsia="Arial" w:hAnsi="Arial"/>
                <w:sz w:val="16"/>
                <w:szCs w:val="16"/>
                <w:color w:val="auto"/>
                <w:w w:val="99"/>
              </w:rPr>
              <w:t>CHECK BOX IF DISCLOSURE OF LEGAL PROCEEDING IS REQUIRED PURSUANT TO ITEMS 2(d) or 2(e)</w:t>
            </w:r>
          </w:p>
        </w:tc>
        <w:tc>
          <w:tcPr>
            <w:tcW w:w="1560" w:type="dxa"/>
            <w:vAlign w:val="bottom"/>
          </w:tcPr>
          <w:p>
            <w:pPr>
              <w:ind w:left="360"/>
              <w:spacing w:after="0" w:line="194"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
        </w:trPr>
        <w:tc>
          <w:tcPr>
            <w:tcW w:w="1820" w:type="dxa"/>
            <w:vAlign w:val="bottom"/>
            <w:tcBorders>
              <w:left w:val="single" w:sz="8" w:color="auto"/>
              <w:right w:val="single" w:sz="8" w:color="auto"/>
            </w:tcBorders>
          </w:tcPr>
          <w:p>
            <w:pPr>
              <w:spacing w:after="0"/>
              <w:rPr>
                <w:sz w:val="4"/>
                <w:szCs w:val="4"/>
                <w:color w:val="auto"/>
              </w:rPr>
            </w:pPr>
          </w:p>
        </w:tc>
        <w:tc>
          <w:tcPr>
            <w:tcW w:w="7780" w:type="dxa"/>
            <w:vAlign w:val="bottom"/>
            <w:gridSpan w:val="3"/>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bottom w:val="single" w:sz="8" w:color="auto"/>
              <w:right w:val="single" w:sz="8" w:color="auto"/>
            </w:tcBorders>
          </w:tcPr>
          <w:p>
            <w:pPr>
              <w:spacing w:after="0"/>
              <w:rPr>
                <w:sz w:val="22"/>
                <w:szCs w:val="22"/>
                <w:color w:val="auto"/>
              </w:rPr>
            </w:pPr>
          </w:p>
        </w:tc>
        <w:tc>
          <w:tcPr>
            <w:tcW w:w="7780" w:type="dxa"/>
            <w:vAlign w:val="bottom"/>
            <w:tcBorders>
              <w:bottom w:val="single" w:sz="8" w:color="auto"/>
            </w:tcBorders>
            <w:gridSpan w:val="3"/>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CITIZENSHIP OR PLACE OF ORGANIZATION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7780" w:type="dxa"/>
            <w:vAlign w:val="bottom"/>
            <w:gridSpan w:val="3"/>
            <w:vMerge w:val="restart"/>
          </w:tcPr>
          <w:p>
            <w:pPr>
              <w:ind w:left="420"/>
              <w:spacing w:after="0"/>
              <w:rPr>
                <w:sz w:val="20"/>
                <w:szCs w:val="20"/>
                <w:color w:val="auto"/>
              </w:rPr>
            </w:pPr>
            <w:r>
              <w:rPr>
                <w:rFonts w:ascii="Arial" w:cs="Arial" w:eastAsia="Arial" w:hAnsi="Arial"/>
                <w:sz w:val="20"/>
                <w:szCs w:val="20"/>
                <w:color w:val="auto"/>
              </w:rPr>
              <w:t>Cayman Islands, British West Indies</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77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tcPr>
          <w:p>
            <w:pPr>
              <w:spacing w:after="0"/>
              <w:rPr>
                <w:sz w:val="20"/>
                <w:szCs w:val="2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SOLE VOTING POWER</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20" w:type="dxa"/>
            <w:vAlign w:val="bottom"/>
            <w:vMerge w:val="restart"/>
          </w:tcPr>
          <w:p>
            <w:pPr>
              <w:ind w:left="320"/>
              <w:spacing w:after="0"/>
              <w:rPr>
                <w:sz w:val="20"/>
                <w:szCs w:val="20"/>
                <w:color w:val="auto"/>
              </w:rPr>
            </w:pPr>
            <w:r>
              <w:rPr>
                <w:rFonts w:ascii="Arial" w:cs="Arial" w:eastAsia="Arial" w:hAnsi="Arial"/>
                <w:sz w:val="20"/>
                <w:szCs w:val="20"/>
                <w:color w:val="auto"/>
              </w:rPr>
              <w:t>-0-</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6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line="305" w:lineRule="exact"/>
              <w:rPr>
                <w:sz w:val="20"/>
                <w:szCs w:val="20"/>
                <w:color w:val="auto"/>
              </w:rPr>
            </w:pPr>
            <w:r>
              <w:rPr>
                <w:rFonts w:ascii="Arial" w:cs="Arial" w:eastAsia="Arial" w:hAnsi="Arial"/>
                <w:sz w:val="29"/>
                <w:szCs w:val="29"/>
                <w:b w:val="1"/>
                <w:bCs w:val="1"/>
                <w:color w:val="auto"/>
                <w:w w:val="86"/>
              </w:rPr>
              <w:t>8</w:t>
            </w:r>
          </w:p>
        </w:tc>
        <w:tc>
          <w:tcPr>
            <w:tcW w:w="100" w:type="dxa"/>
            <w:vAlign w:val="bottom"/>
          </w:tcPr>
          <w:p>
            <w:pPr>
              <w:spacing w:after="0"/>
              <w:rPr>
                <w:sz w:val="9"/>
                <w:szCs w:val="9"/>
                <w:color w:val="auto"/>
              </w:rPr>
            </w:pPr>
          </w:p>
        </w:tc>
        <w:tc>
          <w:tcPr>
            <w:tcW w:w="6220" w:type="dxa"/>
            <w:vAlign w:val="bottom"/>
            <w:vMerge w:val="restart"/>
          </w:tcPr>
          <w:p>
            <w:pPr>
              <w:spacing w:after="0"/>
              <w:rPr>
                <w:sz w:val="20"/>
                <w:szCs w:val="20"/>
                <w:color w:val="auto"/>
              </w:rPr>
            </w:pPr>
            <w:r>
              <w:rPr>
                <w:rFonts w:ascii="Arial" w:cs="Arial" w:eastAsia="Arial" w:hAnsi="Arial"/>
                <w:sz w:val="16"/>
                <w:szCs w:val="16"/>
                <w:color w:val="auto"/>
              </w:rPr>
              <w:t>SHARED VOTING POWER</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4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22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2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restart"/>
          </w:tcPr>
          <w:p>
            <w:pPr>
              <w:ind w:left="320"/>
              <w:spacing w:after="0"/>
              <w:rPr>
                <w:sz w:val="20"/>
                <w:szCs w:val="20"/>
                <w:color w:val="auto"/>
              </w:rPr>
            </w:pPr>
            <w:r>
              <w:rPr>
                <w:rFonts w:ascii="Arial" w:cs="Arial" w:eastAsia="Arial" w:hAnsi="Arial"/>
                <w:sz w:val="20"/>
                <w:szCs w:val="20"/>
                <w:color w:val="auto"/>
              </w:rPr>
              <w:t>1,256,419 (1)</w:t>
            </w: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line="305" w:lineRule="exact"/>
              <w:rPr>
                <w:sz w:val="20"/>
                <w:szCs w:val="20"/>
                <w:color w:val="auto"/>
              </w:rPr>
            </w:pPr>
            <w:r>
              <w:rPr>
                <w:rFonts w:ascii="Arial" w:cs="Arial" w:eastAsia="Arial" w:hAnsi="Arial"/>
                <w:sz w:val="29"/>
                <w:szCs w:val="29"/>
                <w:b w:val="1"/>
                <w:bCs w:val="1"/>
                <w:color w:val="auto"/>
                <w:w w:val="86"/>
              </w:rPr>
              <w:t>9</w:t>
            </w:r>
          </w:p>
        </w:tc>
        <w:tc>
          <w:tcPr>
            <w:tcW w:w="100" w:type="dxa"/>
            <w:vAlign w:val="bottom"/>
          </w:tcPr>
          <w:p>
            <w:pPr>
              <w:spacing w:after="0"/>
              <w:rPr>
                <w:sz w:val="9"/>
                <w:szCs w:val="9"/>
                <w:color w:val="auto"/>
              </w:rPr>
            </w:pPr>
          </w:p>
        </w:tc>
        <w:tc>
          <w:tcPr>
            <w:tcW w:w="6220" w:type="dxa"/>
            <w:vAlign w:val="bottom"/>
            <w:vMerge w:val="restart"/>
          </w:tcPr>
          <w:p>
            <w:pPr>
              <w:spacing w:after="0"/>
              <w:rPr>
                <w:sz w:val="20"/>
                <w:szCs w:val="20"/>
                <w:color w:val="auto"/>
              </w:rPr>
            </w:pPr>
            <w:r>
              <w:rPr>
                <w:rFonts w:ascii="Arial" w:cs="Arial" w:eastAsia="Arial" w:hAnsi="Arial"/>
                <w:sz w:val="16"/>
                <w:szCs w:val="16"/>
                <w:color w:val="auto"/>
              </w:rPr>
              <w:t>SOLE DISPOSITIVE POWER</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EACH</w:t>
            </w:r>
          </w:p>
        </w:tc>
        <w:tc>
          <w:tcPr>
            <w:tcW w:w="14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22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2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restart"/>
          </w:tcPr>
          <w:p>
            <w:pPr>
              <w:ind w:left="320"/>
              <w:spacing w:after="0"/>
              <w:rPr>
                <w:sz w:val="20"/>
                <w:szCs w:val="20"/>
                <w:color w:val="auto"/>
              </w:rPr>
            </w:pPr>
            <w:r>
              <w:rPr>
                <w:rFonts w:ascii="Arial" w:cs="Arial" w:eastAsia="Arial" w:hAnsi="Arial"/>
                <w:sz w:val="20"/>
                <w:szCs w:val="20"/>
                <w:color w:val="auto"/>
              </w:rPr>
              <w:t>-0-</w:t>
            </w: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4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100" w:type="dxa"/>
            <w:vAlign w:val="bottom"/>
          </w:tcPr>
          <w:p>
            <w:pPr>
              <w:spacing w:after="0"/>
              <w:rPr>
                <w:sz w:val="9"/>
                <w:szCs w:val="9"/>
                <w:color w:val="auto"/>
              </w:rPr>
            </w:pPr>
          </w:p>
        </w:tc>
        <w:tc>
          <w:tcPr>
            <w:tcW w:w="6220" w:type="dxa"/>
            <w:vAlign w:val="bottom"/>
            <w:vMerge w:val="restart"/>
          </w:tcPr>
          <w:p>
            <w:pPr>
              <w:spacing w:after="0"/>
              <w:rPr>
                <w:sz w:val="20"/>
                <w:szCs w:val="20"/>
                <w:color w:val="auto"/>
              </w:rPr>
            </w:pPr>
            <w:r>
              <w:rPr>
                <w:rFonts w:ascii="Arial" w:cs="Arial" w:eastAsia="Arial" w:hAnsi="Arial"/>
                <w:sz w:val="16"/>
                <w:szCs w:val="16"/>
                <w:color w:val="auto"/>
              </w:rPr>
              <w:t>SHARED DISPOSITIVE POWER</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820" w:type="dxa"/>
            <w:vAlign w:val="bottom"/>
            <w:tcBorders>
              <w:left w:val="single" w:sz="8" w:color="auto"/>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22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20" w:type="dxa"/>
            <w:vAlign w:val="bottom"/>
            <w:vMerge w:val="restart"/>
          </w:tcPr>
          <w:p>
            <w:pPr>
              <w:ind w:left="320"/>
              <w:spacing w:after="0"/>
              <w:rPr>
                <w:sz w:val="20"/>
                <w:szCs w:val="20"/>
                <w:color w:val="auto"/>
              </w:rPr>
            </w:pPr>
            <w:r>
              <w:rPr>
                <w:rFonts w:ascii="Arial" w:cs="Arial" w:eastAsia="Arial" w:hAnsi="Arial"/>
                <w:sz w:val="20"/>
                <w:szCs w:val="20"/>
                <w:color w:val="auto"/>
              </w:rPr>
              <w:t>1,256,419 (1)</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632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AGGREGATE AMOUNT BENEFICIALLY OWNED BY EACH PERSON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560" w:type="dxa"/>
            <w:vAlign w:val="bottom"/>
            <w:gridSpan w:val="2"/>
            <w:vMerge w:val="restart"/>
          </w:tcPr>
          <w:p>
            <w:pPr>
              <w:ind w:left="420"/>
              <w:spacing w:after="0"/>
              <w:rPr>
                <w:sz w:val="20"/>
                <w:szCs w:val="20"/>
                <w:color w:val="auto"/>
              </w:rPr>
            </w:pPr>
            <w:r>
              <w:rPr>
                <w:rFonts w:ascii="Arial" w:cs="Arial" w:eastAsia="Arial" w:hAnsi="Arial"/>
                <w:sz w:val="20"/>
                <w:szCs w:val="20"/>
                <w:color w:val="auto"/>
                <w:w w:val="94"/>
              </w:rPr>
              <w:t>1,256,419 (1)</w:t>
            </w: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tcPr>
          <w:p>
            <w:pPr>
              <w:jc w:val="center"/>
              <w:spacing w:after="0" w:line="194" w:lineRule="exact"/>
              <w:rPr>
                <w:sz w:val="20"/>
                <w:szCs w:val="20"/>
                <w:color w:val="auto"/>
              </w:rPr>
            </w:pPr>
            <w:r>
              <w:rPr>
                <w:rFonts w:ascii="Arial" w:cs="Arial" w:eastAsia="Arial" w:hAnsi="Arial"/>
                <w:sz w:val="22"/>
                <w:szCs w:val="22"/>
                <w:b w:val="1"/>
                <w:bCs w:val="1"/>
                <w:color w:val="auto"/>
              </w:rPr>
              <w:t>12</w:t>
            </w:r>
          </w:p>
        </w:tc>
        <w:tc>
          <w:tcPr>
            <w:tcW w:w="7780" w:type="dxa"/>
            <w:vAlign w:val="bottom"/>
            <w:gridSpan w:val="3"/>
            <w:vMerge w:val="restart"/>
          </w:tcPr>
          <w:p>
            <w:pPr>
              <w:ind w:left="10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60" w:type="dxa"/>
            <w:vAlign w:val="bottom"/>
          </w:tcPr>
          <w:p>
            <w:pPr>
              <w:jc w:val="right"/>
              <w:ind w:right="898"/>
              <w:spacing w:after="0" w:line="194"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
        </w:trPr>
        <w:tc>
          <w:tcPr>
            <w:tcW w:w="1820" w:type="dxa"/>
            <w:vAlign w:val="bottom"/>
            <w:tcBorders>
              <w:left w:val="single" w:sz="8" w:color="auto"/>
              <w:right w:val="single" w:sz="8" w:color="auto"/>
            </w:tcBorders>
          </w:tcPr>
          <w:p>
            <w:pPr>
              <w:spacing w:after="0"/>
              <w:rPr>
                <w:sz w:val="4"/>
                <w:szCs w:val="4"/>
                <w:color w:val="auto"/>
              </w:rPr>
            </w:pPr>
          </w:p>
        </w:tc>
        <w:tc>
          <w:tcPr>
            <w:tcW w:w="7780" w:type="dxa"/>
            <w:vAlign w:val="bottom"/>
            <w:gridSpan w:val="3"/>
            <w:vMerge w:val="continue"/>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6320" w:type="dxa"/>
            <w:vAlign w:val="bottom"/>
            <w:tcBorders>
              <w:bottom w:val="single" w:sz="8" w:color="auto"/>
            </w:tcBorders>
            <w:gridSpan w:val="2"/>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13</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(11)</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460" w:type="dxa"/>
            <w:vAlign w:val="bottom"/>
            <w:vMerge w:val="restart"/>
          </w:tcPr>
          <w:p>
            <w:pPr>
              <w:ind w:left="420"/>
              <w:spacing w:after="0"/>
              <w:rPr>
                <w:sz w:val="20"/>
                <w:szCs w:val="20"/>
                <w:color w:val="auto"/>
              </w:rPr>
            </w:pPr>
            <w:r>
              <w:rPr>
                <w:rFonts w:ascii="Arial" w:cs="Arial" w:eastAsia="Arial" w:hAnsi="Arial"/>
                <w:sz w:val="20"/>
                <w:szCs w:val="20"/>
                <w:color w:val="auto"/>
              </w:rPr>
              <w:t>2.7%</w:t>
            </w:r>
          </w:p>
        </w:tc>
        <w:tc>
          <w:tcPr>
            <w:tcW w:w="1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632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14</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560" w:type="dxa"/>
            <w:vAlign w:val="bottom"/>
            <w:gridSpan w:val="2"/>
            <w:vMerge w:val="restart"/>
          </w:tcPr>
          <w:p>
            <w:pPr>
              <w:ind w:left="420"/>
              <w:spacing w:after="0"/>
              <w:rPr>
                <w:sz w:val="20"/>
                <w:szCs w:val="20"/>
                <w:color w:val="auto"/>
              </w:rPr>
            </w:pPr>
            <w:r>
              <w:rPr>
                <w:rFonts w:ascii="Arial" w:cs="Arial" w:eastAsia="Arial" w:hAnsi="Arial"/>
                <w:sz w:val="20"/>
                <w:szCs w:val="20"/>
                <w:color w:val="auto"/>
              </w:rPr>
              <w:t>PN</w:t>
            </w: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 Includes 102,392 shares of Common Stock underlying Physical Derivative Agreements.</w:t>
      </w:r>
    </w:p>
    <w:p>
      <w:pPr>
        <w:sectPr>
          <w:pgSz w:w="12240" w:h="15840" w:orient="portrait"/>
          <w:cols w:equalWidth="0" w:num="1">
            <w:col w:w="11160"/>
          </w:cols>
          <w:pgMar w:left="520" w:top="88" w:right="560"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3"/>
        </w:trPr>
        <w:tc>
          <w:tcPr>
            <w:tcW w:w="1820" w:type="dxa"/>
            <w:vAlign w:val="bottom"/>
          </w:tcPr>
          <w:p>
            <w:pPr>
              <w:spacing w:after="0"/>
              <w:rPr>
                <w:sz w:val="20"/>
                <w:szCs w:val="20"/>
                <w:color w:val="auto"/>
              </w:rPr>
            </w:pPr>
            <w:r>
              <w:rPr>
                <w:rFonts w:ascii="Arial" w:cs="Arial" w:eastAsia="Arial" w:hAnsi="Arial"/>
                <w:sz w:val="18"/>
                <w:szCs w:val="18"/>
                <w:b w:val="1"/>
                <w:bCs w:val="1"/>
                <w:color w:val="auto"/>
                <w:w w:val="96"/>
              </w:rPr>
              <w:t>CUSIP No. 204166102</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ind w:left="1620"/>
              <w:spacing w:after="0"/>
              <w:rPr>
                <w:sz w:val="20"/>
                <w:szCs w:val="20"/>
                <w:color w:val="auto"/>
              </w:rPr>
            </w:pPr>
            <w:r>
              <w:rPr>
                <w:rFonts w:ascii="Arial" w:cs="Arial" w:eastAsia="Arial" w:hAnsi="Arial"/>
                <w:sz w:val="18"/>
                <w:szCs w:val="18"/>
                <w:b w:val="1"/>
                <w:bCs w:val="1"/>
                <w:color w:val="auto"/>
              </w:rPr>
              <w:t>Schedule 13D/A</w:t>
            </w:r>
          </w:p>
        </w:tc>
        <w:tc>
          <w:tcPr>
            <w:tcW w:w="1580" w:type="dxa"/>
            <w:vAlign w:val="bottom"/>
            <w:gridSpan w:val="2"/>
          </w:tcPr>
          <w:p>
            <w:pPr>
              <w:ind w:left="280"/>
              <w:spacing w:after="0"/>
              <w:rPr>
                <w:sz w:val="20"/>
                <w:szCs w:val="20"/>
                <w:color w:val="auto"/>
              </w:rPr>
            </w:pPr>
            <w:r>
              <w:rPr>
                <w:rFonts w:ascii="Arial" w:cs="Arial" w:eastAsia="Arial" w:hAnsi="Arial"/>
                <w:sz w:val="18"/>
                <w:szCs w:val="18"/>
                <w:b w:val="1"/>
                <w:bCs w:val="1"/>
                <w:color w:val="auto"/>
                <w:w w:val="83"/>
              </w:rPr>
              <w:t>Page 4 of 9 Pages</w:t>
            </w:r>
          </w:p>
        </w:tc>
        <w:tc>
          <w:tcPr>
            <w:tcW w:w="0" w:type="dxa"/>
            <w:vAlign w:val="bottom"/>
          </w:tcPr>
          <w:p>
            <w:pPr>
              <w:spacing w:after="0"/>
              <w:rPr>
                <w:sz w:val="1"/>
                <w:szCs w:val="1"/>
                <w:color w:val="auto"/>
              </w:rPr>
            </w:pPr>
          </w:p>
        </w:tc>
      </w:tr>
      <w:tr>
        <w:trPr>
          <w:trHeight w:val="563"/>
        </w:trPr>
        <w:tc>
          <w:tcPr>
            <w:tcW w:w="182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gridSpan w:val="3"/>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NAME OF REPORTING PERSON</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7780" w:type="dxa"/>
            <w:vAlign w:val="bottom"/>
            <w:gridSpan w:val="3"/>
            <w:vMerge w:val="restart"/>
          </w:tcPr>
          <w:p>
            <w:pPr>
              <w:ind w:left="420"/>
              <w:spacing w:after="0"/>
              <w:rPr>
                <w:sz w:val="20"/>
                <w:szCs w:val="20"/>
                <w:color w:val="auto"/>
              </w:rPr>
            </w:pPr>
            <w:r>
              <w:rPr>
                <w:rFonts w:ascii="Arial" w:cs="Arial" w:eastAsia="Arial" w:hAnsi="Arial"/>
                <w:sz w:val="20"/>
                <w:szCs w:val="20"/>
                <w:color w:val="auto"/>
              </w:rPr>
              <w:t>Elliott International Capital Advisors Inc.</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77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tcPr>
          <w:p>
            <w:pPr>
              <w:jc w:val="center"/>
              <w:spacing w:after="0" w:line="194" w:lineRule="exact"/>
              <w:rPr>
                <w:sz w:val="20"/>
                <w:szCs w:val="20"/>
                <w:color w:val="auto"/>
              </w:rPr>
            </w:pPr>
            <w:r>
              <w:rPr>
                <w:rFonts w:ascii="Arial" w:cs="Arial" w:eastAsia="Arial" w:hAnsi="Arial"/>
                <w:sz w:val="22"/>
                <w:szCs w:val="22"/>
                <w:b w:val="1"/>
                <w:bCs w:val="1"/>
                <w:color w:val="auto"/>
              </w:rPr>
              <w:t>2</w:t>
            </w:r>
          </w:p>
        </w:tc>
        <w:tc>
          <w:tcPr>
            <w:tcW w:w="7780" w:type="dxa"/>
            <w:vAlign w:val="bottom"/>
            <w:gridSpan w:val="3"/>
            <w:vMerge w:val="restart"/>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560" w:type="dxa"/>
            <w:vAlign w:val="bottom"/>
          </w:tcPr>
          <w:p>
            <w:pPr>
              <w:ind w:left="360"/>
              <w:spacing w:after="0" w:line="194" w:lineRule="exact"/>
              <w:rPr>
                <w:sz w:val="20"/>
                <w:szCs w:val="20"/>
                <w:color w:val="auto"/>
              </w:rPr>
            </w:pPr>
            <w:r>
              <w:rPr>
                <w:rFonts w:ascii="Arial" w:cs="Arial" w:eastAsia="Arial" w:hAnsi="Arial"/>
                <w:sz w:val="17"/>
                <w:szCs w:val="17"/>
                <w:color w:val="auto"/>
              </w:rPr>
              <w:t xml:space="preserve">(a) </w:t>
            </w:r>
            <w:r>
              <w:rPr>
                <w:rFonts w:ascii="Arial" w:cs="Arial" w:eastAsia="Arial" w:hAnsi="Arial"/>
                <w:sz w:val="22"/>
                <w:szCs w:val="22"/>
                <w:color w:val="auto"/>
              </w:rPr>
              <w:t>x</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820" w:type="dxa"/>
            <w:vAlign w:val="bottom"/>
            <w:tcBorders>
              <w:left w:val="single" w:sz="8" w:color="auto"/>
              <w:right w:val="single" w:sz="8" w:color="auto"/>
            </w:tcBorders>
          </w:tcPr>
          <w:p>
            <w:pPr>
              <w:spacing w:after="0"/>
              <w:rPr>
                <w:sz w:val="4"/>
                <w:szCs w:val="4"/>
                <w:color w:val="auto"/>
              </w:rPr>
            </w:pPr>
          </w:p>
        </w:tc>
        <w:tc>
          <w:tcPr>
            <w:tcW w:w="7780" w:type="dxa"/>
            <w:vAlign w:val="bottom"/>
            <w:gridSpan w:val="3"/>
            <w:vMerge w:val="continue"/>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1"/>
        </w:trPr>
        <w:tc>
          <w:tcPr>
            <w:tcW w:w="1820" w:type="dxa"/>
            <w:vAlign w:val="bottom"/>
            <w:tcBorders>
              <w:left w:val="single" w:sz="8" w:color="auto"/>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580" w:type="dxa"/>
            <w:vAlign w:val="bottom"/>
            <w:gridSpan w:val="2"/>
          </w:tcPr>
          <w:p>
            <w:pPr>
              <w:ind w:left="36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w:t>
            </w:r>
          </w:p>
        </w:tc>
        <w:tc>
          <w:tcPr>
            <w:tcW w:w="0" w:type="dxa"/>
            <w:vAlign w:val="bottom"/>
          </w:tcPr>
          <w:p>
            <w:pPr>
              <w:spacing w:after="0"/>
              <w:rPr>
                <w:sz w:val="1"/>
                <w:szCs w:val="1"/>
                <w:color w:val="auto"/>
              </w:rPr>
            </w:pPr>
          </w:p>
        </w:tc>
      </w:tr>
      <w:tr>
        <w:trPr>
          <w:trHeight w:val="243"/>
        </w:trPr>
        <w:tc>
          <w:tcPr>
            <w:tcW w:w="18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15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SEC USE ONLY</w:t>
            </w:r>
          </w:p>
        </w:tc>
        <w:tc>
          <w:tcPr>
            <w:tcW w:w="62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82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gridSpan w:val="2"/>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1560" w:type="dxa"/>
            <w:vAlign w:val="bottom"/>
            <w:gridSpan w:val="2"/>
          </w:tcPr>
          <w:p>
            <w:pPr>
              <w:ind w:left="100"/>
              <w:spacing w:after="0"/>
              <w:rPr>
                <w:sz w:val="20"/>
                <w:szCs w:val="20"/>
                <w:color w:val="auto"/>
              </w:rPr>
            </w:pPr>
            <w:r>
              <w:rPr>
                <w:rFonts w:ascii="Arial" w:cs="Arial" w:eastAsia="Arial" w:hAnsi="Arial"/>
                <w:sz w:val="16"/>
                <w:szCs w:val="16"/>
                <w:color w:val="auto"/>
                <w:w w:val="93"/>
              </w:rPr>
              <w:t>SOURCE OF FUNDS</w:t>
            </w:r>
          </w:p>
        </w:tc>
        <w:tc>
          <w:tcPr>
            <w:tcW w:w="6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560" w:type="dxa"/>
            <w:vAlign w:val="bottom"/>
            <w:gridSpan w:val="2"/>
            <w:vMerge w:val="restart"/>
          </w:tcPr>
          <w:p>
            <w:pPr>
              <w:ind w:left="420"/>
              <w:spacing w:after="0"/>
              <w:rPr>
                <w:sz w:val="20"/>
                <w:szCs w:val="20"/>
                <w:color w:val="auto"/>
              </w:rPr>
            </w:pPr>
            <w:r>
              <w:rPr>
                <w:rFonts w:ascii="Arial" w:cs="Arial" w:eastAsia="Arial" w:hAnsi="Arial"/>
                <w:sz w:val="20"/>
                <w:szCs w:val="20"/>
                <w:color w:val="auto"/>
              </w:rPr>
              <w:t>OO</w:t>
            </w: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tcPr>
          <w:p>
            <w:pPr>
              <w:jc w:val="center"/>
              <w:spacing w:after="0" w:line="194" w:lineRule="exact"/>
              <w:rPr>
                <w:sz w:val="20"/>
                <w:szCs w:val="20"/>
                <w:color w:val="auto"/>
              </w:rPr>
            </w:pPr>
            <w:r>
              <w:rPr>
                <w:rFonts w:ascii="Arial" w:cs="Arial" w:eastAsia="Arial" w:hAnsi="Arial"/>
                <w:sz w:val="22"/>
                <w:szCs w:val="22"/>
                <w:b w:val="1"/>
                <w:bCs w:val="1"/>
                <w:color w:val="auto"/>
              </w:rPr>
              <w:t>5</w:t>
            </w:r>
          </w:p>
        </w:tc>
        <w:tc>
          <w:tcPr>
            <w:tcW w:w="7780" w:type="dxa"/>
            <w:vAlign w:val="bottom"/>
            <w:gridSpan w:val="3"/>
            <w:vMerge w:val="restart"/>
          </w:tcPr>
          <w:p>
            <w:pPr>
              <w:spacing w:after="0"/>
              <w:rPr>
                <w:sz w:val="20"/>
                <w:szCs w:val="20"/>
                <w:color w:val="auto"/>
              </w:rPr>
            </w:pPr>
            <w:r>
              <w:rPr>
                <w:rFonts w:ascii="Arial" w:cs="Arial" w:eastAsia="Arial" w:hAnsi="Arial"/>
                <w:sz w:val="16"/>
                <w:szCs w:val="16"/>
                <w:color w:val="auto"/>
                <w:w w:val="99"/>
              </w:rPr>
              <w:t>CHECK BOX IF DISCLOSURE OF LEGAL PROCEEDING IS REQUIRED PURSUANT TO ITEMS 2(d) or 2(e)</w:t>
            </w:r>
          </w:p>
        </w:tc>
        <w:tc>
          <w:tcPr>
            <w:tcW w:w="1560" w:type="dxa"/>
            <w:vAlign w:val="bottom"/>
          </w:tcPr>
          <w:p>
            <w:pPr>
              <w:ind w:left="360"/>
              <w:spacing w:after="0" w:line="194"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820" w:type="dxa"/>
            <w:vAlign w:val="bottom"/>
            <w:tcBorders>
              <w:left w:val="single" w:sz="8" w:color="auto"/>
              <w:right w:val="single" w:sz="8" w:color="auto"/>
            </w:tcBorders>
          </w:tcPr>
          <w:p>
            <w:pPr>
              <w:spacing w:after="0"/>
              <w:rPr>
                <w:sz w:val="4"/>
                <w:szCs w:val="4"/>
                <w:color w:val="auto"/>
              </w:rPr>
            </w:pPr>
          </w:p>
        </w:tc>
        <w:tc>
          <w:tcPr>
            <w:tcW w:w="7780" w:type="dxa"/>
            <w:vAlign w:val="bottom"/>
            <w:gridSpan w:val="3"/>
            <w:vMerge w:val="continue"/>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bottom w:val="single" w:sz="8" w:color="auto"/>
              <w:right w:val="single" w:sz="8" w:color="auto"/>
            </w:tcBorders>
          </w:tcPr>
          <w:p>
            <w:pPr>
              <w:spacing w:after="0"/>
              <w:rPr>
                <w:sz w:val="22"/>
                <w:szCs w:val="22"/>
                <w:color w:val="auto"/>
              </w:rPr>
            </w:pPr>
          </w:p>
        </w:tc>
        <w:tc>
          <w:tcPr>
            <w:tcW w:w="7780" w:type="dxa"/>
            <w:vAlign w:val="bottom"/>
            <w:tcBorders>
              <w:bottom w:val="single" w:sz="8" w:color="auto"/>
            </w:tcBorders>
            <w:gridSpan w:val="3"/>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6</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CITIZENSHIP OR PLACE OF ORGANIZATION</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560" w:type="dxa"/>
            <w:vAlign w:val="bottom"/>
            <w:gridSpan w:val="2"/>
            <w:vMerge w:val="restart"/>
          </w:tcPr>
          <w:p>
            <w:pPr>
              <w:ind w:left="420"/>
              <w:spacing w:after="0"/>
              <w:rPr>
                <w:sz w:val="20"/>
                <w:szCs w:val="20"/>
                <w:color w:val="auto"/>
              </w:rPr>
            </w:pPr>
            <w:r>
              <w:rPr>
                <w:rFonts w:ascii="Arial" w:cs="Arial" w:eastAsia="Arial" w:hAnsi="Arial"/>
                <w:sz w:val="20"/>
                <w:szCs w:val="20"/>
                <w:color w:val="auto"/>
              </w:rPr>
              <w:t>Delaware</w:t>
            </w: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tcPr>
          <w:p>
            <w:pPr>
              <w:spacing w:after="0"/>
              <w:rPr>
                <w:sz w:val="20"/>
                <w:szCs w:val="2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7</w:t>
            </w: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SOLE VOTING POWER</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20" w:type="dxa"/>
            <w:vAlign w:val="bottom"/>
            <w:vMerge w:val="restart"/>
          </w:tcPr>
          <w:p>
            <w:pPr>
              <w:ind w:left="320"/>
              <w:spacing w:after="0"/>
              <w:rPr>
                <w:sz w:val="20"/>
                <w:szCs w:val="20"/>
                <w:color w:val="auto"/>
              </w:rPr>
            </w:pPr>
            <w:r>
              <w:rPr>
                <w:rFonts w:ascii="Arial" w:cs="Arial" w:eastAsia="Arial" w:hAnsi="Arial"/>
                <w:sz w:val="20"/>
                <w:szCs w:val="20"/>
                <w:color w:val="auto"/>
              </w:rPr>
              <w:t>-0-</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6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line="305" w:lineRule="exact"/>
              <w:rPr>
                <w:sz w:val="20"/>
                <w:szCs w:val="20"/>
                <w:color w:val="auto"/>
              </w:rPr>
            </w:pPr>
            <w:r>
              <w:rPr>
                <w:rFonts w:ascii="Arial" w:cs="Arial" w:eastAsia="Arial" w:hAnsi="Arial"/>
                <w:sz w:val="29"/>
                <w:szCs w:val="29"/>
                <w:b w:val="1"/>
                <w:bCs w:val="1"/>
                <w:color w:val="auto"/>
                <w:w w:val="86"/>
              </w:rPr>
              <w:t>8</w:t>
            </w:r>
          </w:p>
        </w:tc>
        <w:tc>
          <w:tcPr>
            <w:tcW w:w="100" w:type="dxa"/>
            <w:vAlign w:val="bottom"/>
          </w:tcPr>
          <w:p>
            <w:pPr>
              <w:spacing w:after="0"/>
              <w:rPr>
                <w:sz w:val="9"/>
                <w:szCs w:val="9"/>
                <w:color w:val="auto"/>
              </w:rPr>
            </w:pPr>
          </w:p>
        </w:tc>
        <w:tc>
          <w:tcPr>
            <w:tcW w:w="6220" w:type="dxa"/>
            <w:vAlign w:val="bottom"/>
            <w:vMerge w:val="restart"/>
          </w:tcPr>
          <w:p>
            <w:pPr>
              <w:spacing w:after="0"/>
              <w:rPr>
                <w:sz w:val="20"/>
                <w:szCs w:val="20"/>
                <w:color w:val="auto"/>
              </w:rPr>
            </w:pPr>
            <w:r>
              <w:rPr>
                <w:rFonts w:ascii="Arial" w:cs="Arial" w:eastAsia="Arial" w:hAnsi="Arial"/>
                <w:sz w:val="16"/>
                <w:szCs w:val="16"/>
                <w:color w:val="auto"/>
              </w:rPr>
              <w:t>SHARED VOTING POWER</w:t>
            </w: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4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22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2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restart"/>
          </w:tcPr>
          <w:p>
            <w:pPr>
              <w:ind w:left="320"/>
              <w:spacing w:after="0"/>
              <w:rPr>
                <w:sz w:val="20"/>
                <w:szCs w:val="20"/>
                <w:color w:val="auto"/>
              </w:rPr>
            </w:pPr>
            <w:r>
              <w:rPr>
                <w:rFonts w:ascii="Arial" w:cs="Arial" w:eastAsia="Arial" w:hAnsi="Arial"/>
                <w:sz w:val="20"/>
                <w:szCs w:val="20"/>
                <w:color w:val="auto"/>
              </w:rPr>
              <w:t>1,256,419 (1)</w:t>
            </w: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line="305" w:lineRule="exact"/>
              <w:rPr>
                <w:sz w:val="20"/>
                <w:szCs w:val="20"/>
                <w:color w:val="auto"/>
              </w:rPr>
            </w:pPr>
            <w:r>
              <w:rPr>
                <w:rFonts w:ascii="Arial" w:cs="Arial" w:eastAsia="Arial" w:hAnsi="Arial"/>
                <w:sz w:val="29"/>
                <w:szCs w:val="29"/>
                <w:b w:val="1"/>
                <w:bCs w:val="1"/>
                <w:color w:val="auto"/>
                <w:w w:val="86"/>
              </w:rPr>
              <w:t>9</w:t>
            </w:r>
          </w:p>
        </w:tc>
        <w:tc>
          <w:tcPr>
            <w:tcW w:w="100" w:type="dxa"/>
            <w:vAlign w:val="bottom"/>
          </w:tcPr>
          <w:p>
            <w:pPr>
              <w:spacing w:after="0"/>
              <w:rPr>
                <w:sz w:val="9"/>
                <w:szCs w:val="9"/>
                <w:color w:val="auto"/>
              </w:rPr>
            </w:pPr>
          </w:p>
        </w:tc>
        <w:tc>
          <w:tcPr>
            <w:tcW w:w="6220" w:type="dxa"/>
            <w:vAlign w:val="bottom"/>
            <w:vMerge w:val="restart"/>
          </w:tcPr>
          <w:p>
            <w:pPr>
              <w:spacing w:after="0"/>
              <w:rPr>
                <w:sz w:val="20"/>
                <w:szCs w:val="20"/>
                <w:color w:val="auto"/>
              </w:rPr>
            </w:pPr>
            <w:r>
              <w:rPr>
                <w:rFonts w:ascii="Arial" w:cs="Arial" w:eastAsia="Arial" w:hAnsi="Arial"/>
                <w:sz w:val="16"/>
                <w:szCs w:val="16"/>
                <w:color w:val="auto"/>
              </w:rPr>
              <w:t>SOLE DISPOSITIVE POWER</w:t>
            </w: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EACH</w:t>
            </w:r>
          </w:p>
        </w:tc>
        <w:tc>
          <w:tcPr>
            <w:tcW w:w="14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22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20" w:type="dxa"/>
            <w:vAlign w:val="bottom"/>
            <w:tcBorders>
              <w:left w:val="single" w:sz="8" w:color="auto"/>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restart"/>
          </w:tcPr>
          <w:p>
            <w:pPr>
              <w:ind w:left="320"/>
              <w:spacing w:after="0"/>
              <w:rPr>
                <w:sz w:val="20"/>
                <w:szCs w:val="20"/>
                <w:color w:val="auto"/>
              </w:rPr>
            </w:pPr>
            <w:r>
              <w:rPr>
                <w:rFonts w:ascii="Arial" w:cs="Arial" w:eastAsia="Arial" w:hAnsi="Arial"/>
                <w:sz w:val="20"/>
                <w:szCs w:val="20"/>
                <w:color w:val="auto"/>
              </w:rPr>
              <w:t>-0-</w:t>
            </w: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4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820" w:type="dxa"/>
            <w:vAlign w:val="bottom"/>
            <w:tcBorders>
              <w:left w:val="single" w:sz="8" w:color="auto"/>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100" w:type="dxa"/>
            <w:vAlign w:val="bottom"/>
          </w:tcPr>
          <w:p>
            <w:pPr>
              <w:spacing w:after="0"/>
              <w:rPr>
                <w:sz w:val="9"/>
                <w:szCs w:val="9"/>
                <w:color w:val="auto"/>
              </w:rPr>
            </w:pPr>
          </w:p>
        </w:tc>
        <w:tc>
          <w:tcPr>
            <w:tcW w:w="6220" w:type="dxa"/>
            <w:vAlign w:val="bottom"/>
            <w:vMerge w:val="restart"/>
          </w:tcPr>
          <w:p>
            <w:pPr>
              <w:spacing w:after="0"/>
              <w:rPr>
                <w:sz w:val="20"/>
                <w:szCs w:val="20"/>
                <w:color w:val="auto"/>
              </w:rPr>
            </w:pPr>
            <w:r>
              <w:rPr>
                <w:rFonts w:ascii="Arial" w:cs="Arial" w:eastAsia="Arial" w:hAnsi="Arial"/>
                <w:sz w:val="16"/>
                <w:szCs w:val="16"/>
                <w:color w:val="auto"/>
              </w:rPr>
              <w:t>SHARED DISPOSITIVE POWER</w:t>
            </w: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820" w:type="dxa"/>
            <w:vAlign w:val="bottom"/>
            <w:tcBorders>
              <w:left w:val="single" w:sz="8" w:color="auto"/>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22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tcPr>
          <w:p>
            <w:pPr>
              <w:spacing w:after="0"/>
              <w:rPr>
                <w:sz w:val="14"/>
                <w:szCs w:val="14"/>
                <w:color w:val="auto"/>
              </w:rPr>
            </w:pPr>
          </w:p>
        </w:tc>
        <w:tc>
          <w:tcPr>
            <w:tcW w:w="146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20" w:type="dxa"/>
            <w:vAlign w:val="bottom"/>
            <w:vMerge w:val="restart"/>
          </w:tcPr>
          <w:p>
            <w:pPr>
              <w:ind w:left="320"/>
              <w:spacing w:after="0"/>
              <w:rPr>
                <w:sz w:val="20"/>
                <w:szCs w:val="20"/>
                <w:color w:val="auto"/>
              </w:rPr>
            </w:pPr>
            <w:r>
              <w:rPr>
                <w:rFonts w:ascii="Arial" w:cs="Arial" w:eastAsia="Arial" w:hAnsi="Arial"/>
                <w:sz w:val="20"/>
                <w:szCs w:val="20"/>
                <w:color w:val="auto"/>
              </w:rPr>
              <w:t>1,256,419 (1)</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632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AGGREGATE AMOUNT BENEFICIALLY OWNED BY EACH PERSON</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560" w:type="dxa"/>
            <w:vAlign w:val="bottom"/>
            <w:gridSpan w:val="2"/>
            <w:vMerge w:val="restart"/>
          </w:tcPr>
          <w:p>
            <w:pPr>
              <w:ind w:left="420"/>
              <w:spacing w:after="0"/>
              <w:rPr>
                <w:sz w:val="20"/>
                <w:szCs w:val="20"/>
                <w:color w:val="auto"/>
              </w:rPr>
            </w:pPr>
            <w:r>
              <w:rPr>
                <w:rFonts w:ascii="Arial" w:cs="Arial" w:eastAsia="Arial" w:hAnsi="Arial"/>
                <w:sz w:val="20"/>
                <w:szCs w:val="20"/>
                <w:color w:val="auto"/>
                <w:w w:val="94"/>
              </w:rPr>
              <w:t>1,256,419 (1)</w:t>
            </w: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tcPr>
          <w:p>
            <w:pPr>
              <w:jc w:val="center"/>
              <w:spacing w:after="0" w:line="194" w:lineRule="exact"/>
              <w:rPr>
                <w:sz w:val="20"/>
                <w:szCs w:val="20"/>
                <w:color w:val="auto"/>
              </w:rPr>
            </w:pPr>
            <w:r>
              <w:rPr>
                <w:rFonts w:ascii="Arial" w:cs="Arial" w:eastAsia="Arial" w:hAnsi="Arial"/>
                <w:sz w:val="22"/>
                <w:szCs w:val="22"/>
                <w:b w:val="1"/>
                <w:bCs w:val="1"/>
                <w:color w:val="auto"/>
              </w:rPr>
              <w:t>12</w:t>
            </w:r>
          </w:p>
        </w:tc>
        <w:tc>
          <w:tcPr>
            <w:tcW w:w="7780" w:type="dxa"/>
            <w:vAlign w:val="bottom"/>
            <w:gridSpan w:val="3"/>
            <w:vMerge w:val="restart"/>
          </w:tcPr>
          <w:p>
            <w:pPr>
              <w:ind w:left="100"/>
              <w:spacing w:after="0"/>
              <w:rPr>
                <w:sz w:val="20"/>
                <w:szCs w:val="20"/>
                <w:color w:val="auto"/>
              </w:rPr>
            </w:pPr>
            <w:r>
              <w:rPr>
                <w:rFonts w:ascii="Arial" w:cs="Arial" w:eastAsia="Arial" w:hAnsi="Arial"/>
                <w:sz w:val="16"/>
                <w:szCs w:val="16"/>
                <w:color w:val="auto"/>
              </w:rPr>
              <w:t>CHECK IF THE AGGREGATE AMOUNT IN ROW (11) EXCLUDES CERTAIN SHARES</w:t>
            </w:r>
          </w:p>
        </w:tc>
        <w:tc>
          <w:tcPr>
            <w:tcW w:w="1560" w:type="dxa"/>
            <w:vAlign w:val="bottom"/>
          </w:tcPr>
          <w:p>
            <w:pPr>
              <w:jc w:val="right"/>
              <w:ind w:right="900"/>
              <w:spacing w:after="0" w:line="194"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820" w:type="dxa"/>
            <w:vAlign w:val="bottom"/>
            <w:tcBorders>
              <w:left w:val="single" w:sz="8" w:color="auto"/>
              <w:right w:val="single" w:sz="8" w:color="auto"/>
            </w:tcBorders>
          </w:tcPr>
          <w:p>
            <w:pPr>
              <w:spacing w:after="0"/>
              <w:rPr>
                <w:sz w:val="4"/>
                <w:szCs w:val="4"/>
                <w:color w:val="auto"/>
              </w:rPr>
            </w:pPr>
          </w:p>
        </w:tc>
        <w:tc>
          <w:tcPr>
            <w:tcW w:w="7780" w:type="dxa"/>
            <w:vAlign w:val="bottom"/>
            <w:gridSpan w:val="3"/>
            <w:vMerge w:val="continue"/>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6320" w:type="dxa"/>
            <w:vAlign w:val="bottom"/>
            <w:tcBorders>
              <w:bottom w:val="single" w:sz="8" w:color="auto"/>
            </w:tcBorders>
            <w:gridSpan w:val="2"/>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13</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(11)</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460" w:type="dxa"/>
            <w:vAlign w:val="bottom"/>
            <w:vMerge w:val="restart"/>
          </w:tcPr>
          <w:p>
            <w:pPr>
              <w:ind w:left="420"/>
              <w:spacing w:after="0"/>
              <w:rPr>
                <w:sz w:val="20"/>
                <w:szCs w:val="20"/>
                <w:color w:val="auto"/>
              </w:rPr>
            </w:pPr>
            <w:r>
              <w:rPr>
                <w:rFonts w:ascii="Arial" w:cs="Arial" w:eastAsia="Arial" w:hAnsi="Arial"/>
                <w:sz w:val="20"/>
                <w:szCs w:val="20"/>
                <w:color w:val="auto"/>
              </w:rPr>
              <w:t>2.7%</w:t>
            </w:r>
          </w:p>
        </w:tc>
        <w:tc>
          <w:tcPr>
            <w:tcW w:w="1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4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632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14</w:t>
            </w:r>
          </w:p>
        </w:tc>
        <w:tc>
          <w:tcPr>
            <w:tcW w:w="778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tcBorders>
              <w:left w:val="single" w:sz="8" w:color="auto"/>
              <w:right w:val="single" w:sz="8" w:color="auto"/>
            </w:tcBorders>
            <w:vMerge w:val="continue"/>
          </w:tcPr>
          <w:p>
            <w:pPr>
              <w:spacing w:after="0"/>
              <w:rPr>
                <w:sz w:val="14"/>
                <w:szCs w:val="14"/>
                <w:color w:val="auto"/>
              </w:rPr>
            </w:pPr>
          </w:p>
        </w:tc>
        <w:tc>
          <w:tcPr>
            <w:tcW w:w="1560" w:type="dxa"/>
            <w:vAlign w:val="bottom"/>
            <w:gridSpan w:val="2"/>
            <w:vMerge w:val="restart"/>
          </w:tcPr>
          <w:p>
            <w:pPr>
              <w:ind w:left="420"/>
              <w:spacing w:after="0"/>
              <w:rPr>
                <w:sz w:val="20"/>
                <w:szCs w:val="20"/>
                <w:color w:val="auto"/>
              </w:rPr>
            </w:pPr>
            <w:r>
              <w:rPr>
                <w:rFonts w:ascii="Arial" w:cs="Arial" w:eastAsia="Arial" w:hAnsi="Arial"/>
                <w:sz w:val="20"/>
                <w:szCs w:val="20"/>
                <w:color w:val="auto"/>
              </w:rPr>
              <w:t>CO</w:t>
            </w:r>
          </w:p>
        </w:tc>
        <w:tc>
          <w:tcPr>
            <w:tcW w:w="6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820" w:type="dxa"/>
            <w:vAlign w:val="bottom"/>
            <w:tcBorders>
              <w:left w:val="single" w:sz="8" w:color="auto"/>
              <w:right w:val="single" w:sz="8" w:color="auto"/>
            </w:tcBorders>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 Includes 102,392 shares of Common Stock underlying Physical Derivative Agreements.</w:t>
      </w:r>
    </w:p>
    <w:p>
      <w:pPr>
        <w:sectPr>
          <w:pgSz w:w="12240" w:h="15840" w:orient="portrait"/>
          <w:cols w:equalWidth="0" w:num="1">
            <w:col w:w="11160"/>
          </w:cols>
          <w:pgMar w:left="520" w:top="88" w:right="560" w:bottom="1440" w:gutter="0" w:footer="0" w:header="0"/>
        </w:sectPr>
      </w:pPr>
    </w:p>
    <w:bookmarkStart w:id="4" w:name="page5"/>
    <w:bookmarkEnd w:id="4"/>
    <w:p>
      <w:pPr>
        <w:spacing w:after="0"/>
        <w:tabs>
          <w:tab w:leader="none" w:pos="4980" w:val="left"/>
          <w:tab w:leader="none" w:pos="9860" w:val="left"/>
        </w:tabs>
        <w:rPr>
          <w:sz w:val="20"/>
          <w:szCs w:val="20"/>
          <w:color w:val="auto"/>
        </w:rPr>
      </w:pPr>
      <w:r>
        <w:rPr>
          <w:rFonts w:ascii="Arial" w:cs="Arial" w:eastAsia="Arial" w:hAnsi="Arial"/>
          <w:sz w:val="18"/>
          <w:szCs w:val="18"/>
          <w:b w:val="1"/>
          <w:bCs w:val="1"/>
          <w:color w:val="auto"/>
        </w:rPr>
        <w:t>CUSIP No. 204166102</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5 of 9 Pages</w:t>
      </w:r>
    </w:p>
    <w:p>
      <w:pPr>
        <w:sectPr>
          <w:pgSz w:w="12240" w:h="15840" w:orient="portrait"/>
          <w:cols w:equalWidth="0" w:num="1">
            <w:col w:w="11160"/>
          </w:cols>
          <w:pgMar w:left="520" w:top="88" w:right="560" w:bottom="1440" w:gutter="0" w:footer="0" w:header="0"/>
        </w:sectPr>
      </w:pPr>
    </w:p>
    <w:p>
      <w:pPr>
        <w:spacing w:after="0" w:line="345" w:lineRule="exact"/>
        <w:rPr>
          <w:sz w:val="20"/>
          <w:szCs w:val="20"/>
          <w:color w:val="auto"/>
        </w:rPr>
      </w:pPr>
    </w:p>
    <w:p>
      <w:pPr>
        <w:ind w:left="100" w:right="180"/>
        <w:spacing w:after="0" w:line="258" w:lineRule="auto"/>
        <w:rPr>
          <w:sz w:val="20"/>
          <w:szCs w:val="20"/>
          <w:color w:val="auto"/>
        </w:rPr>
      </w:pPr>
      <w:r>
        <w:rPr>
          <w:rFonts w:ascii="Arial" w:cs="Arial" w:eastAsia="Arial" w:hAnsi="Arial"/>
          <w:sz w:val="20"/>
          <w:szCs w:val="20"/>
          <w:color w:val="auto"/>
        </w:rPr>
        <w:t>The following constitutes Amendment No. 3 to the Schedule 13D filed by the undersigned ("</w:t>
      </w:r>
      <w:r>
        <w:rPr>
          <w:rFonts w:ascii="Arial" w:cs="Arial" w:eastAsia="Arial" w:hAnsi="Arial"/>
          <w:sz w:val="20"/>
          <w:szCs w:val="20"/>
          <w:u w:val="single" w:color="auto"/>
          <w:color w:val="auto"/>
        </w:rPr>
        <w:t>Amendment No. 3</w:t>
      </w:r>
      <w:r>
        <w:rPr>
          <w:rFonts w:ascii="Arial" w:cs="Arial" w:eastAsia="Arial" w:hAnsi="Arial"/>
          <w:sz w:val="20"/>
          <w:szCs w:val="20"/>
          <w:color w:val="auto"/>
        </w:rPr>
        <w:t>"). This Amendment No. 3 amends the Schedule 13D as specifically set forth herein.</w:t>
      </w:r>
    </w:p>
    <w:p>
      <w:pPr>
        <w:spacing w:after="0" w:line="184"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SOURCE AND AMOUNT OF FUNDS OR OTHER CONSIDERATION</w:t>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Item 3 of the Schedule 13D is hereby amended and restated as follows:</w:t>
      </w:r>
    </w:p>
    <w:p>
      <w:pPr>
        <w:spacing w:after="0" w:line="226"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20"/>
          <w:szCs w:val="20"/>
          <w:color w:val="auto"/>
        </w:rPr>
        <w:t>Elliott Working</w:t>
      </w:r>
      <w:r>
        <w:rPr>
          <w:sz w:val="20"/>
          <w:szCs w:val="20"/>
          <w:color w:val="auto"/>
        </w:rPr>
        <w:tab/>
      </w:r>
      <w:r>
        <w:rPr>
          <w:rFonts w:ascii="Arial" w:cs="Arial" w:eastAsia="Arial" w:hAnsi="Arial"/>
          <w:sz w:val="17"/>
          <w:szCs w:val="17"/>
          <w:color w:val="auto"/>
        </w:rPr>
        <w:t>The  aggregate  purchase  price  of  the  shares  of  Common  Stock  directly  owned  by  Elliott  is  approximately</w:t>
      </w:r>
    </w:p>
    <w:p>
      <w:pPr>
        <w:spacing w:after="0" w:line="12" w:lineRule="exact"/>
        <w:rPr>
          <w:sz w:val="20"/>
          <w:szCs w:val="20"/>
          <w:color w:val="auto"/>
        </w:rPr>
      </w:pPr>
    </w:p>
    <w:p>
      <w:pPr>
        <w:ind w:left="100"/>
        <w:spacing w:after="0"/>
        <w:tabs>
          <w:tab w:leader="none" w:pos="2100" w:val="left"/>
          <w:tab w:leader="none" w:pos="3360" w:val="left"/>
          <w:tab w:leader="none" w:pos="3780" w:val="left"/>
          <w:tab w:leader="none" w:pos="4660" w:val="left"/>
          <w:tab w:leader="none" w:pos="5460" w:val="left"/>
          <w:tab w:leader="none" w:pos="5980" w:val="left"/>
          <w:tab w:leader="none" w:pos="6240" w:val="left"/>
          <w:tab w:leader="none" w:pos="6600" w:val="left"/>
          <w:tab w:leader="none" w:pos="7380" w:val="left"/>
          <w:tab w:leader="none" w:pos="8320" w:val="left"/>
          <w:tab w:leader="none" w:pos="9380" w:val="left"/>
          <w:tab w:leader="none" w:pos="10020" w:val="left"/>
          <w:tab w:leader="none" w:pos="10340" w:val="left"/>
          <w:tab w:leader="none" w:pos="10940" w:val="left"/>
        </w:tabs>
        <w:rPr>
          <w:sz w:val="20"/>
          <w:szCs w:val="20"/>
          <w:color w:val="auto"/>
        </w:rPr>
      </w:pPr>
      <w:r>
        <w:rPr>
          <w:rFonts w:ascii="Arial" w:cs="Arial" w:eastAsia="Arial" w:hAnsi="Arial"/>
          <w:sz w:val="20"/>
          <w:szCs w:val="20"/>
          <w:color w:val="auto"/>
        </w:rPr>
        <w:t>Capital</w:t>
      </w:r>
      <w:r>
        <w:rPr>
          <w:sz w:val="20"/>
          <w:szCs w:val="20"/>
          <w:color w:val="auto"/>
        </w:rPr>
        <w:tab/>
      </w:r>
      <w:r>
        <w:rPr>
          <w:rFonts w:ascii="Arial" w:cs="Arial" w:eastAsia="Arial" w:hAnsi="Arial"/>
          <w:sz w:val="20"/>
          <w:szCs w:val="20"/>
          <w:color w:val="auto"/>
        </w:rPr>
        <w:t>$28,729,013.</w:t>
      </w:r>
      <w:r>
        <w:rPr>
          <w:sz w:val="20"/>
          <w:szCs w:val="20"/>
          <w:color w:val="auto"/>
        </w:rPr>
        <w:tab/>
      </w:r>
      <w:r>
        <w:rPr>
          <w:rFonts w:ascii="Arial" w:cs="Arial" w:eastAsia="Arial" w:hAnsi="Arial"/>
          <w:sz w:val="20"/>
          <w:szCs w:val="20"/>
          <w:color w:val="auto"/>
        </w:rPr>
        <w:t>The</w:t>
        <w:tab/>
        <w:t>aggregate</w:t>
        <w:tab/>
        <w:t>purchase</w:t>
        <w:tab/>
        <w:t>price</w:t>
        <w:tab/>
        <w:t>of</w:t>
        <w:tab/>
        <w:t>the</w:t>
        <w:tab/>
        <w:t>Physical</w:t>
        <w:tab/>
        <w:t>Derivative</w:t>
        <w:tab/>
        <w:t>Agreements</w:t>
        <w:tab/>
        <w:t>owned</w:t>
        <w:tab/>
        <w:t>by</w:t>
        <w:tab/>
        <w:t>Elliott</w:t>
      </w:r>
      <w:r>
        <w:rPr>
          <w:sz w:val="20"/>
          <w:szCs w:val="20"/>
          <w:color w:val="auto"/>
        </w:rPr>
        <w:tab/>
      </w:r>
      <w:r>
        <w:rPr>
          <w:rFonts w:ascii="Arial" w:cs="Arial" w:eastAsia="Arial" w:hAnsi="Arial"/>
          <w:sz w:val="16"/>
          <w:szCs w:val="16"/>
          <w:color w:val="auto"/>
        </w:rPr>
        <w:t>is</w:t>
      </w:r>
    </w:p>
    <w:p>
      <w:pPr>
        <w:ind w:left="2120"/>
        <w:spacing w:after="0" w:line="237" w:lineRule="auto"/>
        <w:rPr>
          <w:sz w:val="20"/>
          <w:szCs w:val="20"/>
          <w:color w:val="auto"/>
        </w:rPr>
      </w:pPr>
      <w:r>
        <w:rPr>
          <w:rFonts w:ascii="Arial" w:cs="Arial" w:eastAsia="Arial" w:hAnsi="Arial"/>
          <w:sz w:val="20"/>
          <w:szCs w:val="20"/>
          <w:color w:val="auto"/>
        </w:rPr>
        <w:t>approximately $2,776,680.</w:t>
      </w:r>
    </w:p>
    <w:p>
      <w:pPr>
        <w:ind w:left="100"/>
        <w:spacing w:after="0"/>
        <w:tabs>
          <w:tab w:leader="none" w:pos="2100" w:val="left"/>
          <w:tab w:leader="none" w:pos="8280" w:val="left"/>
          <w:tab w:leader="none" w:pos="8900" w:val="left"/>
          <w:tab w:leader="none" w:pos="9200" w:val="left"/>
          <w:tab w:leader="none" w:pos="9800" w:val="left"/>
          <w:tab w:leader="none" w:pos="10920" w:val="left"/>
        </w:tabs>
        <w:rPr>
          <w:sz w:val="20"/>
          <w:szCs w:val="20"/>
          <w:color w:val="auto"/>
        </w:rPr>
      </w:pPr>
      <w:r>
        <w:rPr>
          <w:rFonts w:ascii="Arial" w:cs="Arial" w:eastAsia="Arial" w:hAnsi="Arial"/>
          <w:sz w:val="20"/>
          <w:szCs w:val="20"/>
          <w:color w:val="auto"/>
        </w:rPr>
        <w:t>Elliott International</w:t>
      </w:r>
      <w:r>
        <w:rPr>
          <w:sz w:val="20"/>
          <w:szCs w:val="20"/>
          <w:color w:val="auto"/>
        </w:rPr>
        <w:tab/>
      </w:r>
      <w:r>
        <w:rPr>
          <w:rFonts w:ascii="Arial" w:cs="Arial" w:eastAsia="Arial" w:hAnsi="Arial"/>
          <w:sz w:val="19"/>
          <w:szCs w:val="19"/>
          <w:color w:val="auto"/>
        </w:rPr>
        <w:t>The  aggregate  purchase  price  of  the  shares  of  Common  Stock  directly</w:t>
      </w:r>
      <w:r>
        <w:rPr>
          <w:sz w:val="20"/>
          <w:szCs w:val="20"/>
          <w:color w:val="auto"/>
        </w:rPr>
        <w:tab/>
      </w:r>
      <w:r>
        <w:rPr>
          <w:rFonts w:ascii="Arial" w:cs="Arial" w:eastAsia="Arial" w:hAnsi="Arial"/>
          <w:sz w:val="20"/>
          <w:szCs w:val="20"/>
          <w:color w:val="auto"/>
        </w:rPr>
        <w:t>owned</w:t>
        <w:tab/>
        <w:t>by</w:t>
        <w:tab/>
        <w:t>Elliott</w:t>
        <w:tab/>
        <w:t>International</w:t>
      </w:r>
      <w:r>
        <w:rPr>
          <w:sz w:val="20"/>
          <w:szCs w:val="20"/>
          <w:color w:val="auto"/>
        </w:rPr>
        <w:tab/>
      </w:r>
      <w:r>
        <w:rPr>
          <w:rFonts w:ascii="Arial" w:cs="Arial" w:eastAsia="Arial" w:hAnsi="Arial"/>
          <w:sz w:val="19"/>
          <w:szCs w:val="19"/>
          <w:color w:val="auto"/>
        </w:rPr>
        <w:t>is</w:t>
      </w:r>
    </w:p>
    <w:p>
      <w:pPr>
        <w:ind w:left="100"/>
        <w:spacing w:after="0"/>
        <w:tabs>
          <w:tab w:leader="none" w:pos="2100" w:val="left"/>
          <w:tab w:leader="none" w:pos="4460" w:val="left"/>
        </w:tabs>
        <w:rPr>
          <w:sz w:val="20"/>
          <w:szCs w:val="20"/>
          <w:color w:val="auto"/>
        </w:rPr>
      </w:pPr>
      <w:r>
        <w:rPr>
          <w:rFonts w:ascii="Arial" w:cs="Arial" w:eastAsia="Arial" w:hAnsi="Arial"/>
          <w:sz w:val="20"/>
          <w:szCs w:val="20"/>
          <w:color w:val="auto"/>
        </w:rPr>
        <w:t>Working Capital</w:t>
      </w:r>
      <w:r>
        <w:rPr>
          <w:sz w:val="20"/>
          <w:szCs w:val="20"/>
          <w:color w:val="auto"/>
        </w:rPr>
        <w:tab/>
      </w:r>
      <w:r>
        <w:rPr>
          <w:rFonts w:ascii="Arial" w:cs="Arial" w:eastAsia="Arial" w:hAnsi="Arial"/>
          <w:sz w:val="20"/>
          <w:szCs w:val="20"/>
          <w:color w:val="auto"/>
        </w:rPr>
        <w:t>approximately $61,049,214.</w:t>
      </w:r>
      <w:r>
        <w:rPr>
          <w:sz w:val="20"/>
          <w:szCs w:val="20"/>
          <w:color w:val="auto"/>
        </w:rPr>
        <w:tab/>
      </w:r>
      <w:r>
        <w:rPr>
          <w:rFonts w:ascii="Arial" w:cs="Arial" w:eastAsia="Arial" w:hAnsi="Arial"/>
          <w:sz w:val="17"/>
          <w:szCs w:val="17"/>
          <w:color w:val="auto"/>
        </w:rPr>
        <w:t>The aggregate purchase price of Physical Derivative Agreements owned by Elliott</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International is approximately $5,900,018.</w:t>
      </w:r>
    </w:p>
    <w:p>
      <w:pPr>
        <w:spacing w:after="0" w:line="210" w:lineRule="exact"/>
        <w:rPr>
          <w:sz w:val="20"/>
          <w:szCs w:val="20"/>
          <w:color w:val="auto"/>
        </w:rPr>
      </w:pPr>
    </w:p>
    <w:p>
      <w:pPr>
        <w:ind w:left="100" w:right="180"/>
        <w:spacing w:after="0" w:line="242" w:lineRule="auto"/>
        <w:rPr>
          <w:sz w:val="20"/>
          <w:szCs w:val="20"/>
          <w:color w:val="auto"/>
        </w:rPr>
      </w:pPr>
      <w:r>
        <w:rPr>
          <w:rFonts w:ascii="Arial" w:cs="Arial" w:eastAsia="Arial" w:hAnsi="Arial"/>
          <w:sz w:val="20"/>
          <w:szCs w:val="20"/>
          <w:color w:val="auto"/>
        </w:rPr>
        <w:t>The Reporting Persons may effect purchases of the shares of Common Stock through margin accounts maintained for them with prime brokers, which extend margin credit as and when required to open or carry positions in their margin accounts, subject to applicable federal margin regulations, stock exchange rules and such firms' credit policies. Positions in the shares of Common Stock may be held in margin accounts and may be pledged as collateral security for the repayment of debit balances in such accounts. Since other securities may be held in such margin accounts, it may not be possible to determine the amounts, if any, of margin used to purchase the shares of Common Stock.</w:t>
      </w:r>
    </w:p>
    <w:p>
      <w:pPr>
        <w:spacing w:after="0" w:line="199"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PURPOSE OF TRANSACTION</w:t>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Item 4 of the Schedule 13D is hereby amended and supplemented by the addition of the following:</w:t>
      </w:r>
    </w:p>
    <w:p>
      <w:pPr>
        <w:spacing w:after="0" w:line="226" w:lineRule="exact"/>
        <w:rPr>
          <w:sz w:val="20"/>
          <w:szCs w:val="20"/>
          <w:color w:val="auto"/>
        </w:rPr>
      </w:pPr>
    </w:p>
    <w:p>
      <w:pPr>
        <w:ind w:left="100" w:right="160"/>
        <w:spacing w:after="0" w:line="301" w:lineRule="auto"/>
        <w:rPr>
          <w:sz w:val="20"/>
          <w:szCs w:val="20"/>
          <w:color w:val="auto"/>
        </w:rPr>
      </w:pPr>
      <w:r>
        <w:rPr>
          <w:rFonts w:ascii="Arial" w:cs="Arial" w:eastAsia="Arial" w:hAnsi="Arial"/>
          <w:sz w:val="17"/>
          <w:szCs w:val="17"/>
          <w:color w:val="auto"/>
        </w:rPr>
        <w:t>The Reporting Persons are pleased with the operational, financial, governance and strategic progress achieved at the Issuer over the last year. This includes the Issuer’s hiring of a new Chief Executive Officer, enhancements to its Board of Directors and significant product, operational and margin improvement initiatives. With the Issuer’s share price appreciating meaningfully from the Reporting Persons’ cost basis, the Reporting Persons have reduced their position in the Issuer but remain one of the Issuer’s largest shareholders.</w:t>
      </w:r>
    </w:p>
    <w:p>
      <w:pPr>
        <w:spacing w:after="0" w:line="154" w:lineRule="exact"/>
        <w:rPr>
          <w:sz w:val="20"/>
          <w:szCs w:val="20"/>
          <w:color w:val="auto"/>
        </w:rPr>
      </w:pPr>
    </w:p>
    <w:p>
      <w:pPr>
        <w:ind w:left="100"/>
        <w:spacing w:after="0"/>
        <w:tabs>
          <w:tab w:leader="none" w:pos="132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INTEREST IN SECURITIES OF THE ISSUER</w:t>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Item 5(a), (c) and (e) of the Schedule 13D are hereby amended and restated as follows:</w:t>
      </w:r>
    </w:p>
    <w:p>
      <w:pPr>
        <w:spacing w:after="0" w:line="220" w:lineRule="exact"/>
        <w:rPr>
          <w:sz w:val="20"/>
          <w:szCs w:val="20"/>
          <w:color w:val="auto"/>
        </w:rPr>
      </w:pPr>
    </w:p>
    <w:p>
      <w:pPr>
        <w:ind w:left="100" w:right="180" w:firstLine="647"/>
        <w:spacing w:after="0" w:line="246" w:lineRule="auto"/>
        <w:tabs>
          <w:tab w:leader="none" w:pos="1022"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As of the date hereof, Elliott, Elliott International and EICA collectively have beneficial ownership of 1,847,678 shares of Common Stock constituting approximately 4.0% of the shares of Common Stock outstanding and combined economic exposure in the Issuer equivalent to 2,503,063 shares of Common Stock constituting approximately 5.5% of the shares of Common Stock outstanding.</w:t>
      </w:r>
    </w:p>
    <w:p>
      <w:pPr>
        <w:spacing w:after="0" w:line="203" w:lineRule="exact"/>
        <w:rPr>
          <w:sz w:val="20"/>
          <w:szCs w:val="20"/>
          <w:color w:val="auto"/>
        </w:rPr>
      </w:pPr>
    </w:p>
    <w:p>
      <w:pPr>
        <w:ind w:left="100" w:right="180" w:firstLine="644"/>
        <w:spacing w:after="0" w:line="244" w:lineRule="auto"/>
        <w:rPr>
          <w:sz w:val="20"/>
          <w:szCs w:val="20"/>
          <w:color w:val="auto"/>
        </w:rPr>
      </w:pPr>
      <w:r>
        <w:rPr>
          <w:rFonts w:ascii="Arial" w:cs="Arial" w:eastAsia="Arial" w:hAnsi="Arial"/>
          <w:sz w:val="20"/>
          <w:szCs w:val="20"/>
          <w:color w:val="auto"/>
        </w:rPr>
        <w:t>The aggregate percentage of the Common Stock reported owned by each person named herein is based upon 45,896,602 shares of Common Stock outstanding, which is the total number of shares of Common Stock outstanding as of January 25, 2019 as reported in the Issuer's Quarterly Report on Form 10-Q for the quarterly period ended December 31, 2018, filed with the Securities and Exchange Commission (the "</w:t>
      </w:r>
      <w:r>
        <w:rPr>
          <w:rFonts w:ascii="Arial" w:cs="Arial" w:eastAsia="Arial" w:hAnsi="Arial"/>
          <w:sz w:val="20"/>
          <w:szCs w:val="20"/>
          <w:u w:val="single" w:color="auto"/>
          <w:color w:val="auto"/>
        </w:rPr>
        <w:t>SEC</w:t>
      </w:r>
      <w:r>
        <w:rPr>
          <w:rFonts w:ascii="Arial" w:cs="Arial" w:eastAsia="Arial" w:hAnsi="Arial"/>
          <w:sz w:val="20"/>
          <w:szCs w:val="20"/>
          <w:color w:val="auto"/>
        </w:rPr>
        <w:t>") on January 29, 2019.</w:t>
      </w:r>
    </w:p>
    <w:p>
      <w:pPr>
        <w:sectPr>
          <w:pgSz w:w="12240" w:h="15840" w:orient="portrait"/>
          <w:cols w:equalWidth="0" w:num="1">
            <w:col w:w="11160"/>
          </w:cols>
          <w:pgMar w:left="520" w:top="88" w:right="560" w:bottom="1440" w:gutter="0" w:footer="0" w:header="0"/>
          <w:type w:val="continuous"/>
        </w:sectPr>
      </w:pPr>
    </w:p>
    <w:bookmarkStart w:id="5" w:name="page6"/>
    <w:bookmarkEnd w:id="5"/>
    <w:p>
      <w:pPr>
        <w:spacing w:after="0"/>
        <w:tabs>
          <w:tab w:leader="none" w:pos="4980" w:val="left"/>
          <w:tab w:leader="none" w:pos="9860" w:val="left"/>
        </w:tabs>
        <w:rPr>
          <w:sz w:val="20"/>
          <w:szCs w:val="20"/>
          <w:color w:val="auto"/>
        </w:rPr>
      </w:pPr>
      <w:r>
        <w:rPr>
          <w:rFonts w:ascii="Arial" w:cs="Arial" w:eastAsia="Arial" w:hAnsi="Arial"/>
          <w:sz w:val="18"/>
          <w:szCs w:val="18"/>
          <w:b w:val="1"/>
          <w:bCs w:val="1"/>
          <w:color w:val="auto"/>
        </w:rPr>
        <w:t>CUSIP No. 204166102</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6 of 9 Pages</w:t>
      </w:r>
    </w:p>
    <w:p>
      <w:pPr>
        <w:sectPr>
          <w:pgSz w:w="12240" w:h="15840" w:orient="portrait"/>
          <w:cols w:equalWidth="0" w:num="1">
            <w:col w:w="11160"/>
          </w:cols>
          <w:pgMar w:left="520" w:top="88" w:right="560" w:bottom="1440" w:gutter="0" w:footer="0" w:header="0"/>
        </w:sectPr>
      </w:pPr>
    </w:p>
    <w:p>
      <w:pPr>
        <w:spacing w:after="0" w:line="345" w:lineRule="exact"/>
        <w:rPr>
          <w:sz w:val="20"/>
          <w:szCs w:val="20"/>
          <w:color w:val="auto"/>
        </w:rPr>
      </w:pPr>
    </w:p>
    <w:p>
      <w:pPr>
        <w:jc w:val="both"/>
        <w:ind w:left="100" w:right="80" w:firstLine="644"/>
        <w:spacing w:after="0" w:line="248" w:lineRule="auto"/>
        <w:rPr>
          <w:sz w:val="20"/>
          <w:szCs w:val="20"/>
          <w:color w:val="auto"/>
        </w:rPr>
      </w:pPr>
      <w:r>
        <w:rPr>
          <w:rFonts w:ascii="Arial" w:cs="Arial" w:eastAsia="Arial" w:hAnsi="Arial"/>
          <w:sz w:val="20"/>
          <w:szCs w:val="20"/>
          <w:color w:val="auto"/>
        </w:rPr>
        <w:t>As of the date hereof, Elliott beneficially owned 591,259 shares of Common Stock, including 48,188 shares of Common Stock underlying Physical Derivative Agreements that Elliott may be deemed to beneficially own upon satisfaction of certain conditions, constituting 1.3% of the shares of Common Stock outstanding.</w:t>
      </w:r>
    </w:p>
    <w:p>
      <w:pPr>
        <w:spacing w:after="0" w:line="199" w:lineRule="exact"/>
        <w:rPr>
          <w:sz w:val="20"/>
          <w:szCs w:val="20"/>
          <w:color w:val="auto"/>
        </w:rPr>
      </w:pPr>
    </w:p>
    <w:p>
      <w:pPr>
        <w:ind w:left="100" w:right="160" w:firstLine="644"/>
        <w:spacing w:after="0" w:line="243" w:lineRule="auto"/>
        <w:rPr>
          <w:sz w:val="20"/>
          <w:szCs w:val="20"/>
          <w:color w:val="auto"/>
        </w:rPr>
      </w:pPr>
      <w:r>
        <w:rPr>
          <w:rFonts w:ascii="Arial" w:cs="Arial" w:eastAsia="Arial" w:hAnsi="Arial"/>
          <w:sz w:val="20"/>
          <w:szCs w:val="20"/>
          <w:color w:val="auto"/>
        </w:rPr>
        <w:t>As of the date hereof, Elliott International beneficially owned 1,256,419 shares of Common Stock, including 102,392 shares of Common Stock underlying Physical Derivative Agreements that Elliott International may be deemed to beneficially own upon satisfaction of certain conditions, constituting 2.7% of the shares of Common Stock outstanding. EICA, as the investment manager of Elliott International, may be deemed to beneficially own the 1,256,419 shares of Common Stock beneficially owned by Elliott International, constituting 2.7% of the shares of Common Stock outstanding.</w:t>
      </w:r>
    </w:p>
    <w:p>
      <w:pPr>
        <w:spacing w:after="0" w:line="204" w:lineRule="exact"/>
        <w:rPr>
          <w:sz w:val="20"/>
          <w:szCs w:val="20"/>
          <w:color w:val="auto"/>
        </w:rPr>
      </w:pPr>
    </w:p>
    <w:p>
      <w:pPr>
        <w:ind w:left="100" w:right="200" w:firstLine="647"/>
        <w:spacing w:after="0" w:line="258" w:lineRule="auto"/>
        <w:tabs>
          <w:tab w:leader="none" w:pos="1011"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The transactions in the Common Stock effected by the Reporting Persons since the filing of Amendment No. 2 are set forth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attached hereto.</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 February 21, 2019.</w:t>
      </w:r>
    </w:p>
    <w:p>
      <w:pPr>
        <w:spacing w:after="0" w:line="220" w:lineRule="exact"/>
        <w:rPr>
          <w:sz w:val="20"/>
          <w:szCs w:val="20"/>
          <w:color w:val="auto"/>
        </w:rPr>
      </w:pPr>
    </w:p>
    <w:p>
      <w:pPr>
        <w:ind w:left="1340" w:right="980" w:hanging="1233"/>
        <w:spacing w:after="0" w:line="264" w:lineRule="auto"/>
        <w:tabs>
          <w:tab w:leader="none" w:pos="132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CONTRACTS, ARRANGEMENTS, UNDERSTANDINGS OR RELATIONSHIPS WITH RESPECT TO SECURITIES OF THE ISSUER</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Item 6 of the Schedule 13D is hereby amended and restated as follows:</w:t>
      </w:r>
    </w:p>
    <w:p>
      <w:pPr>
        <w:spacing w:after="0" w:line="226" w:lineRule="exact"/>
        <w:rPr>
          <w:sz w:val="20"/>
          <w:szCs w:val="20"/>
          <w:color w:val="auto"/>
        </w:rPr>
      </w:pPr>
    </w:p>
    <w:p>
      <w:pPr>
        <w:ind w:left="100" w:right="120" w:firstLine="644"/>
        <w:spacing w:after="0" w:line="296" w:lineRule="auto"/>
        <w:rPr>
          <w:sz w:val="20"/>
          <w:szCs w:val="20"/>
          <w:color w:val="auto"/>
        </w:rPr>
      </w:pPr>
      <w:r>
        <w:rPr>
          <w:rFonts w:ascii="Arial" w:cs="Arial" w:eastAsia="Arial" w:hAnsi="Arial"/>
          <w:sz w:val="17"/>
          <w:szCs w:val="17"/>
          <w:color w:val="auto"/>
        </w:rPr>
        <w:t>Elliott and Elliott International have entered into notional principal amount derivative agreements in the form of physically settled swaps (the "</w:t>
      </w:r>
      <w:r>
        <w:rPr>
          <w:rFonts w:ascii="Arial" w:cs="Arial" w:eastAsia="Arial" w:hAnsi="Arial"/>
          <w:sz w:val="17"/>
          <w:szCs w:val="17"/>
          <w:u w:val="single" w:color="auto"/>
          <w:color w:val="auto"/>
        </w:rPr>
        <w:t>Physical Derivative Agreements</w:t>
      </w:r>
      <w:r>
        <w:rPr>
          <w:rFonts w:ascii="Arial" w:cs="Arial" w:eastAsia="Arial" w:hAnsi="Arial"/>
          <w:sz w:val="17"/>
          <w:szCs w:val="17"/>
          <w:color w:val="auto"/>
        </w:rPr>
        <w:t>") with respect to 48,188 and 102,392 shares of Common Stock of the Issuer, respectively, that the Reporting Persons may be deemed to beneficially own upon satisfaction of certain conditions. Collectively, the Physical Derivative Agreements held by the Reporting Persons represent economic exposure comparable to an interest in approximately 0.3% of the shares of Common Stock. The counterparties to the Physical Derivative Agreements are unaffiliated third party financial institutions.</w:t>
      </w:r>
    </w:p>
    <w:p>
      <w:pPr>
        <w:spacing w:after="0" w:line="163" w:lineRule="exact"/>
        <w:rPr>
          <w:sz w:val="20"/>
          <w:szCs w:val="20"/>
          <w:color w:val="auto"/>
        </w:rPr>
      </w:pPr>
    </w:p>
    <w:p>
      <w:pPr>
        <w:jc w:val="both"/>
        <w:ind w:left="100" w:right="80" w:firstLine="644"/>
        <w:spacing w:after="0" w:line="254" w:lineRule="auto"/>
        <w:rPr>
          <w:sz w:val="20"/>
          <w:szCs w:val="20"/>
          <w:color w:val="auto"/>
        </w:rPr>
      </w:pPr>
      <w:r>
        <w:rPr>
          <w:rFonts w:ascii="Arial" w:cs="Arial" w:eastAsia="Arial" w:hAnsi="Arial"/>
          <w:sz w:val="19"/>
          <w:szCs w:val="19"/>
          <w:color w:val="auto"/>
        </w:rPr>
        <w:t>Elliott, through The Liverpool Limited Partnership, a Bermuda limited partnership and a wholly-owned subsidiary of Elliott, and Elliott International have entered into notional principal amount derivative agreements in the form of cash settled swaps (the "</w:t>
      </w:r>
      <w:r>
        <w:rPr>
          <w:rFonts w:ascii="Arial" w:cs="Arial" w:eastAsia="Arial" w:hAnsi="Arial"/>
          <w:sz w:val="19"/>
          <w:szCs w:val="19"/>
          <w:u w:val="single" w:color="auto"/>
          <w:color w:val="auto"/>
        </w:rPr>
        <w:t>Cash</w:t>
      </w:r>
      <w:r>
        <w:rPr>
          <w:rFonts w:ascii="Arial" w:cs="Arial" w:eastAsia="Arial" w:hAnsi="Arial"/>
          <w:sz w:val="19"/>
          <w:szCs w:val="19"/>
          <w:color w:val="auto"/>
        </w:rPr>
        <w:t xml:space="preserve"> </w:t>
      </w:r>
      <w:r>
        <w:rPr>
          <w:rFonts w:ascii="Arial" w:cs="Arial" w:eastAsia="Arial" w:hAnsi="Arial"/>
          <w:sz w:val="19"/>
          <w:szCs w:val="19"/>
          <w:u w:val="single" w:color="auto"/>
          <w:color w:val="auto"/>
        </w:rPr>
        <w:t>Derivative Agreements</w:t>
      </w:r>
      <w:r>
        <w:rPr>
          <w:rFonts w:ascii="Arial" w:cs="Arial" w:eastAsia="Arial" w:hAnsi="Arial"/>
          <w:sz w:val="19"/>
          <w:szCs w:val="19"/>
          <w:color w:val="auto"/>
        </w:rPr>
        <w:t>") with respect to 209,724 and 445,661 shares of Common Stock of the Issuer, respectively (representing economic exposure comparable to approximately 0.5% and 1.0% of the shares of Common Stock of the Issuer, respectively). Collectively, the Cash Derivative Agreements held by the Reporting Persons represent economic exposure comparable to an interest in approximately 1.4% of the shares of Common Stock. The Cash Derivative Agreements provide Elliott and Elliott International with economic results that are comparable to the economic results of ownership but do not provide them with the power to vote or direct the voting or dispose of or direct the disposition of the shares that are referenced in the Cash Derivative Agreements (such shares, the "</w:t>
      </w:r>
      <w:r>
        <w:rPr>
          <w:rFonts w:ascii="Arial" w:cs="Arial" w:eastAsia="Arial" w:hAnsi="Arial"/>
          <w:sz w:val="19"/>
          <w:szCs w:val="19"/>
          <w:u w:val="single" w:color="auto"/>
          <w:color w:val="auto"/>
        </w:rPr>
        <w:t>Subject Shares</w:t>
      </w:r>
      <w:r>
        <w:rPr>
          <w:rFonts w:ascii="Arial" w:cs="Arial" w:eastAsia="Arial" w:hAnsi="Arial"/>
          <w:sz w:val="19"/>
          <w:szCs w:val="19"/>
          <w:color w:val="auto"/>
        </w:rPr>
        <w:t>"). The Reporting Persons disclaim beneficial ownership in the Subject Shares. The counterparties to the Cash Derivative Agreements are unaffiliated third party financial institutions.</w:t>
      </w:r>
    </w:p>
    <w:p>
      <w:pPr>
        <w:sectPr>
          <w:pgSz w:w="12240" w:h="15840" w:orient="portrait"/>
          <w:cols w:equalWidth="0" w:num="1">
            <w:col w:w="11160"/>
          </w:cols>
          <w:pgMar w:left="520" w:top="88" w:right="560" w:bottom="1440" w:gutter="0" w:footer="0" w:header="0"/>
          <w:type w:val="continuous"/>
        </w:sectPr>
      </w:pPr>
    </w:p>
    <w:bookmarkStart w:id="6" w:name="page7"/>
    <w:bookmarkEnd w:id="6"/>
    <w:p>
      <w:pPr>
        <w:spacing w:after="0"/>
        <w:tabs>
          <w:tab w:leader="none" w:pos="4980" w:val="left"/>
          <w:tab w:leader="none" w:pos="9860" w:val="left"/>
        </w:tabs>
        <w:rPr>
          <w:sz w:val="20"/>
          <w:szCs w:val="20"/>
          <w:color w:val="auto"/>
        </w:rPr>
      </w:pPr>
      <w:r>
        <w:rPr>
          <w:rFonts w:ascii="Arial" w:cs="Arial" w:eastAsia="Arial" w:hAnsi="Arial"/>
          <w:sz w:val="18"/>
          <w:szCs w:val="18"/>
          <w:b w:val="1"/>
          <w:bCs w:val="1"/>
          <w:color w:val="auto"/>
        </w:rPr>
        <w:t>CUSIP No. 204166102</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7 of 9 Pages</w:t>
      </w:r>
    </w:p>
    <w:p>
      <w:pPr>
        <w:sectPr>
          <w:pgSz w:w="12240" w:h="15840" w:orient="portrait"/>
          <w:cols w:equalWidth="0" w:num="1">
            <w:col w:w="11160"/>
          </w:cols>
          <w:pgMar w:left="520" w:top="88" w:right="560" w:bottom="1440" w:gutter="0" w:footer="0" w:header="0"/>
        </w:sectPr>
      </w:pPr>
    </w:p>
    <w:p>
      <w:pPr>
        <w:spacing w:after="0" w:line="345" w:lineRule="exact"/>
        <w:rPr>
          <w:sz w:val="20"/>
          <w:szCs w:val="20"/>
          <w:color w:val="auto"/>
        </w:rPr>
      </w:pPr>
    </w:p>
    <w:p>
      <w:pPr>
        <w:jc w:val="both"/>
        <w:ind w:left="100" w:right="80" w:firstLine="644"/>
        <w:spacing w:after="0" w:line="244" w:lineRule="auto"/>
        <w:rPr>
          <w:sz w:val="20"/>
          <w:szCs w:val="20"/>
          <w:color w:val="auto"/>
        </w:rPr>
      </w:pPr>
      <w:r>
        <w:rPr>
          <w:rFonts w:ascii="Arial" w:cs="Arial" w:eastAsia="Arial" w:hAnsi="Arial"/>
          <w:sz w:val="20"/>
          <w:szCs w:val="20"/>
          <w:color w:val="auto"/>
        </w:rPr>
        <w:t>On April 2, 2018, Elliott, Elliott International and EICA entered into a Joint Filing Agreement (the "</w:t>
      </w:r>
      <w:r>
        <w:rPr>
          <w:rFonts w:ascii="Arial" w:cs="Arial" w:eastAsia="Arial" w:hAnsi="Arial"/>
          <w:sz w:val="20"/>
          <w:szCs w:val="20"/>
          <w:u w:val="single" w:color="auto"/>
          <w:color w:val="auto"/>
        </w:rPr>
        <w:t>Joint Filing Agreement</w:t>
      </w:r>
      <w:r>
        <w:rPr>
          <w:rFonts w:ascii="Arial" w:cs="Arial" w:eastAsia="Arial" w:hAnsi="Arial"/>
          <w:sz w:val="20"/>
          <w:szCs w:val="20"/>
          <w:color w:val="auto"/>
        </w:rPr>
        <w:t xml:space="preserve">") in which the parties agreed to the joint filing on behalf of each of them of statements on Schedule 13D with respect to the securities of the Issuer to the extent required by applicable law. The Joint Filing Agreement is attached as </w:t>
      </w:r>
      <w:r>
        <w:rPr>
          <w:rFonts w:ascii="Arial" w:cs="Arial" w:eastAsia="Arial" w:hAnsi="Arial"/>
          <w:sz w:val="20"/>
          <w:szCs w:val="20"/>
          <w:u w:val="single" w:color="auto"/>
          <w:color w:val="auto"/>
        </w:rPr>
        <w:t>Exhibit 99.1</w:t>
      </w:r>
      <w:r>
        <w:rPr>
          <w:rFonts w:ascii="Arial" w:cs="Arial" w:eastAsia="Arial" w:hAnsi="Arial"/>
          <w:sz w:val="20"/>
          <w:szCs w:val="20"/>
          <w:color w:val="auto"/>
        </w:rPr>
        <w:t xml:space="preserve"> hereto and is incorporated herein by reference.</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Reporting Persons' response to Item 4 is incorporated by reference into this Item 6.</w:t>
      </w:r>
    </w:p>
    <w:p>
      <w:pPr>
        <w:spacing w:after="0" w:line="226" w:lineRule="exact"/>
        <w:rPr>
          <w:sz w:val="20"/>
          <w:szCs w:val="20"/>
          <w:color w:val="auto"/>
        </w:rPr>
      </w:pPr>
    </w:p>
    <w:p>
      <w:pPr>
        <w:ind w:left="100" w:right="700" w:firstLine="644"/>
        <w:spacing w:after="0" w:line="258" w:lineRule="auto"/>
        <w:rPr>
          <w:sz w:val="20"/>
          <w:szCs w:val="20"/>
          <w:color w:val="auto"/>
        </w:rPr>
      </w:pPr>
      <w:r>
        <w:rPr>
          <w:rFonts w:ascii="Arial" w:cs="Arial" w:eastAsia="Arial" w:hAnsi="Arial"/>
          <w:sz w:val="20"/>
          <w:szCs w:val="20"/>
          <w:color w:val="auto"/>
        </w:rPr>
        <w:t>Except as described above in this Item 6, none of the Reporting Persons has any contracts, arrangements, understandings or relationships with respect to the securities of the Issuer.</w:t>
      </w:r>
    </w:p>
    <w:p>
      <w:pPr>
        <w:sectPr>
          <w:pgSz w:w="12240" w:h="15840" w:orient="portrait"/>
          <w:cols w:equalWidth="0" w:num="1">
            <w:col w:w="11160"/>
          </w:cols>
          <w:pgMar w:left="520" w:top="88" w:right="560" w:bottom="1440" w:gutter="0" w:footer="0" w:header="0"/>
          <w:type w:val="continuous"/>
        </w:sectPr>
      </w:pPr>
    </w:p>
    <w:bookmarkStart w:id="7" w:name="page8"/>
    <w:bookmarkEnd w:id="7"/>
    <w:p>
      <w:pPr>
        <w:spacing w:after="0"/>
        <w:tabs>
          <w:tab w:leader="none" w:pos="4980" w:val="left"/>
          <w:tab w:leader="none" w:pos="9860" w:val="left"/>
        </w:tabs>
        <w:rPr>
          <w:sz w:val="20"/>
          <w:szCs w:val="20"/>
          <w:color w:val="auto"/>
        </w:rPr>
      </w:pPr>
      <w:r>
        <w:rPr>
          <w:rFonts w:ascii="Arial" w:cs="Arial" w:eastAsia="Arial" w:hAnsi="Arial"/>
          <w:sz w:val="18"/>
          <w:szCs w:val="18"/>
          <w:b w:val="1"/>
          <w:bCs w:val="1"/>
          <w:color w:val="auto"/>
        </w:rPr>
        <w:t>CUSIP No. 204166102</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8 of 9 Pages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19" w:lineRule="exact"/>
        <w:rPr>
          <w:sz w:val="20"/>
          <w:szCs w:val="20"/>
          <w:color w:val="auto"/>
        </w:rPr>
      </w:pPr>
    </w:p>
    <w:p>
      <w:pPr>
        <w:ind w:firstLine="644"/>
        <w:spacing w:after="0" w:line="258"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22, 2019</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ELLIOTT ASSOCIATES, L.P.</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By: Elliott Capital Advisors, L.P., as General Partner</w:t>
      </w:r>
    </w:p>
    <w:p>
      <w:pPr>
        <w:spacing w:after="0"/>
        <w:rPr>
          <w:sz w:val="20"/>
          <w:szCs w:val="20"/>
          <w:color w:val="auto"/>
        </w:rPr>
      </w:pPr>
      <w:r>
        <w:rPr>
          <w:rFonts w:ascii="Arial" w:cs="Arial" w:eastAsia="Arial" w:hAnsi="Arial"/>
          <w:sz w:val="20"/>
          <w:szCs w:val="20"/>
          <w:color w:val="auto"/>
        </w:rPr>
        <w:t>By: Braxton Associates, Inc., as General Partner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4335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357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Elliot Greenberg</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Title: Vice President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ELLIOTT INTERNATIONAL, L.P.</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By: Elliott International Capital Advisors Inc., as Attorney-in-Fact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43357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357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Elliot Greenberg</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ELLIOTT INTERNATIONAL CAPITAL ADVISORS INC.</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/s/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4335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357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Elliot Greenberg</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Title: Vice President</w:t>
      </w:r>
    </w:p>
    <w:p>
      <w:pPr>
        <w:sectPr>
          <w:pgSz w:w="12240" w:h="15840" w:orient="portrait"/>
          <w:cols w:equalWidth="0" w:num="1">
            <w:col w:w="11160"/>
          </w:cols>
          <w:pgMar w:left="520" w:top="88" w:right="560" w:bottom="1440" w:gutter="0" w:footer="0" w:header="0"/>
        </w:sectPr>
      </w:pPr>
    </w:p>
    <w:bookmarkStart w:id="8" w:name="page9"/>
    <w:bookmarkEnd w:id="8"/>
    <w:p>
      <w:pPr>
        <w:spacing w:after="0"/>
        <w:tabs>
          <w:tab w:leader="none" w:pos="4980" w:val="left"/>
          <w:tab w:leader="none" w:pos="9860" w:val="left"/>
        </w:tabs>
        <w:rPr>
          <w:sz w:val="20"/>
          <w:szCs w:val="20"/>
          <w:color w:val="auto"/>
        </w:rPr>
      </w:pPr>
      <w:r>
        <w:rPr>
          <w:rFonts w:ascii="Arial" w:cs="Arial" w:eastAsia="Arial" w:hAnsi="Arial"/>
          <w:sz w:val="18"/>
          <w:szCs w:val="18"/>
          <w:b w:val="1"/>
          <w:bCs w:val="1"/>
          <w:color w:val="auto"/>
        </w:rPr>
        <w:t>CUSIP No. 204166102</w:t>
      </w:r>
      <w:r>
        <w:rPr>
          <w:sz w:val="20"/>
          <w:szCs w:val="20"/>
          <w:color w:val="auto"/>
        </w:rPr>
        <w:tab/>
      </w:r>
      <w:r>
        <w:rPr>
          <w:rFonts w:ascii="Arial" w:cs="Arial" w:eastAsia="Arial" w:hAnsi="Arial"/>
          <w:sz w:val="18"/>
          <w:szCs w:val="18"/>
          <w:b w:val="1"/>
          <w:bCs w:val="1"/>
          <w:color w:val="auto"/>
        </w:rPr>
        <w:t>Schedule 13D/A</w:t>
      </w:r>
      <w:r>
        <w:rPr>
          <w:sz w:val="20"/>
          <w:szCs w:val="20"/>
          <w:color w:val="auto"/>
        </w:rPr>
        <w:tab/>
      </w:r>
      <w:r>
        <w:rPr>
          <w:rFonts w:ascii="Arial" w:cs="Arial" w:eastAsia="Arial" w:hAnsi="Arial"/>
          <w:sz w:val="15"/>
          <w:szCs w:val="15"/>
          <w:b w:val="1"/>
          <w:bCs w:val="1"/>
          <w:color w:val="auto"/>
        </w:rPr>
        <w:t>Page 9 of 9 Pages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Transactions of the Reporting Persons Effected Since the Filing of Amendment No. 2</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transactions were effected directly by Elliott Associates, L.P. in the Common Stock since the filing of Amendment No. 2:</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20" w:type="dxa"/>
            <w:vAlign w:val="bottom"/>
            <w:gridSpan w:val="4"/>
          </w:tcPr>
          <w:p>
            <w:pPr>
              <w:jc w:val="center"/>
              <w:ind w:left="924"/>
              <w:spacing w:after="0"/>
              <w:rPr>
                <w:sz w:val="20"/>
                <w:szCs w:val="20"/>
                <w:color w:val="auto"/>
              </w:rPr>
            </w:pPr>
            <w:r>
              <w:rPr>
                <w:rFonts w:ascii="Arial" w:cs="Arial" w:eastAsia="Arial" w:hAnsi="Arial"/>
                <w:sz w:val="18"/>
                <w:szCs w:val="18"/>
                <w:color w:val="auto"/>
                <w:w w:val="90"/>
              </w:rPr>
              <w:t>Amount of Shs.</w:t>
            </w:r>
          </w:p>
        </w:tc>
        <w:tc>
          <w:tcPr>
            <w:tcW w:w="2920" w:type="dxa"/>
            <w:vAlign w:val="bottom"/>
            <w:gridSpan w:val="4"/>
          </w:tcPr>
          <w:p>
            <w:pPr>
              <w:jc w:val="center"/>
              <w:ind w:left="1464"/>
              <w:spacing w:after="0"/>
              <w:rPr>
                <w:sz w:val="20"/>
                <w:szCs w:val="20"/>
                <w:color w:val="auto"/>
              </w:rPr>
            </w:pPr>
            <w:r>
              <w:rPr>
                <w:rFonts w:ascii="Arial" w:cs="Arial" w:eastAsia="Arial" w:hAnsi="Arial"/>
                <w:sz w:val="18"/>
                <w:szCs w:val="18"/>
                <w:color w:val="auto"/>
                <w:w w:val="93"/>
              </w:rPr>
              <w:t xml:space="preserve">Approx. price </w:t>
            </w:r>
            <w:r>
              <w:rPr>
                <w:rFonts w:ascii="Arial" w:cs="Arial" w:eastAsia="Arial" w:hAnsi="Arial"/>
                <w:sz w:val="18"/>
                <w:szCs w:val="18"/>
                <w:u w:val="single" w:color="auto"/>
                <w:color w:val="auto"/>
                <w:w w:val="93"/>
              </w:rPr>
              <w:t>($</w:t>
            </w:r>
            <w:r>
              <w:rPr>
                <w:rFonts w:ascii="Arial" w:cs="Arial" w:eastAsia="Arial" w:hAnsi="Arial"/>
                <w:sz w:val="18"/>
                <w:szCs w:val="18"/>
                <w:color w:val="auto"/>
                <w:w w:val="93"/>
              </w:rPr>
              <w:t>)</w:t>
            </w:r>
          </w:p>
        </w:tc>
      </w:tr>
      <w:tr>
        <w:trPr>
          <w:trHeight w:val="195"/>
        </w:trPr>
        <w:tc>
          <w:tcPr>
            <w:tcW w:w="280" w:type="dxa"/>
            <w:vAlign w:val="bottom"/>
          </w:tcPr>
          <w:p>
            <w:pPr>
              <w:spacing w:after="0"/>
              <w:rPr>
                <w:sz w:val="16"/>
                <w:szCs w:val="16"/>
                <w:color w:val="auto"/>
              </w:rPr>
            </w:pPr>
          </w:p>
        </w:tc>
        <w:tc>
          <w:tcPr>
            <w:tcW w:w="1460" w:type="dxa"/>
            <w:vAlign w:val="bottom"/>
            <w:gridSpan w:val="2"/>
          </w:tcPr>
          <w:p>
            <w:pPr>
              <w:jc w:val="center"/>
              <w:ind w:right="1120"/>
              <w:spacing w:after="0" w:line="195" w:lineRule="exact"/>
              <w:rPr>
                <w:sz w:val="20"/>
                <w:szCs w:val="20"/>
                <w:color w:val="auto"/>
              </w:rPr>
            </w:pPr>
            <w:r>
              <w:rPr>
                <w:rFonts w:ascii="Arial" w:cs="Arial" w:eastAsia="Arial" w:hAnsi="Arial"/>
                <w:sz w:val="18"/>
                <w:szCs w:val="18"/>
                <w:color w:val="auto"/>
                <w:w w:val="89"/>
              </w:rPr>
              <w:t>Date</w:t>
            </w:r>
          </w:p>
        </w:tc>
        <w:tc>
          <w:tcPr>
            <w:tcW w:w="1160" w:type="dxa"/>
            <w:vAlign w:val="bottom"/>
          </w:tcPr>
          <w:p>
            <w:pPr>
              <w:spacing w:after="0"/>
              <w:rPr>
                <w:sz w:val="16"/>
                <w:szCs w:val="16"/>
                <w:color w:val="auto"/>
              </w:rPr>
            </w:pPr>
          </w:p>
        </w:tc>
        <w:tc>
          <w:tcPr>
            <w:tcW w:w="1960" w:type="dxa"/>
            <w:vAlign w:val="bottom"/>
            <w:gridSpan w:val="2"/>
          </w:tcPr>
          <w:p>
            <w:pPr>
              <w:jc w:val="center"/>
              <w:ind w:right="1360"/>
              <w:spacing w:after="0" w:line="195" w:lineRule="exact"/>
              <w:rPr>
                <w:sz w:val="20"/>
                <w:szCs w:val="20"/>
                <w:color w:val="auto"/>
              </w:rPr>
            </w:pPr>
            <w:r>
              <w:rPr>
                <w:rFonts w:ascii="Arial" w:cs="Arial" w:eastAsia="Arial" w:hAnsi="Arial"/>
                <w:sz w:val="18"/>
                <w:szCs w:val="18"/>
                <w:color w:val="auto"/>
                <w:w w:val="92"/>
              </w:rPr>
              <w:t>Security</w:t>
            </w:r>
          </w:p>
        </w:tc>
        <w:tc>
          <w:tcPr>
            <w:tcW w:w="1060" w:type="dxa"/>
            <w:vAlign w:val="bottom"/>
          </w:tcPr>
          <w:p>
            <w:pPr>
              <w:spacing w:after="0"/>
              <w:rPr>
                <w:sz w:val="16"/>
                <w:szCs w:val="16"/>
                <w:color w:val="auto"/>
              </w:rPr>
            </w:pPr>
          </w:p>
        </w:tc>
        <w:tc>
          <w:tcPr>
            <w:tcW w:w="116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Bought / (Sold)</w:t>
            </w:r>
          </w:p>
        </w:tc>
        <w:tc>
          <w:tcPr>
            <w:tcW w:w="1620" w:type="dxa"/>
            <w:vAlign w:val="bottom"/>
          </w:tcPr>
          <w:p>
            <w:pPr>
              <w:spacing w:after="0"/>
              <w:rPr>
                <w:sz w:val="16"/>
                <w:szCs w:val="16"/>
                <w:color w:val="auto"/>
              </w:rPr>
            </w:pPr>
          </w:p>
        </w:tc>
        <w:tc>
          <w:tcPr>
            <w:tcW w:w="1300" w:type="dxa"/>
            <w:vAlign w:val="bottom"/>
            <w:tcBorders>
              <w:top w:val="single" w:sz="8" w:color="auto"/>
            </w:tcBorders>
            <w:gridSpan w:val="3"/>
          </w:tcPr>
          <w:p>
            <w:pPr>
              <w:jc w:val="center"/>
              <w:ind w:right="20"/>
              <w:spacing w:after="0" w:line="195" w:lineRule="exact"/>
              <w:rPr>
                <w:sz w:val="20"/>
                <w:szCs w:val="20"/>
                <w:color w:val="auto"/>
              </w:rPr>
            </w:pPr>
            <w:r>
              <w:rPr>
                <w:rFonts w:ascii="Arial" w:cs="Arial" w:eastAsia="Arial" w:hAnsi="Arial"/>
                <w:sz w:val="18"/>
                <w:szCs w:val="18"/>
                <w:color w:val="auto"/>
                <w:w w:val="85"/>
              </w:rPr>
              <w:t>per Share</w:t>
            </w:r>
          </w:p>
        </w:tc>
      </w:tr>
      <w:tr>
        <w:trPr>
          <w:trHeight w:val="20"/>
        </w:trPr>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73"/>
        </w:trPr>
        <w:tc>
          <w:tcPr>
            <w:tcW w:w="1740" w:type="dxa"/>
            <w:vAlign w:val="bottom"/>
            <w:gridSpan w:val="3"/>
          </w:tcPr>
          <w:p>
            <w:pPr>
              <w:jc w:val="center"/>
              <w:ind w:right="840"/>
              <w:spacing w:after="0"/>
              <w:rPr>
                <w:sz w:val="20"/>
                <w:szCs w:val="20"/>
                <w:color w:val="auto"/>
              </w:rPr>
            </w:pPr>
            <w:r>
              <w:rPr>
                <w:rFonts w:ascii="Arial" w:cs="Arial" w:eastAsia="Arial" w:hAnsi="Arial"/>
                <w:sz w:val="20"/>
                <w:szCs w:val="20"/>
                <w:color w:val="auto"/>
                <w:w w:val="89"/>
              </w:rPr>
              <w:t>02/21/2019</w:t>
            </w:r>
          </w:p>
        </w:tc>
        <w:tc>
          <w:tcPr>
            <w:tcW w:w="3120" w:type="dxa"/>
            <w:vAlign w:val="bottom"/>
            <w:gridSpan w:val="3"/>
          </w:tcPr>
          <w:p>
            <w:pPr>
              <w:jc w:val="center"/>
              <w:ind w:right="200"/>
              <w:spacing w:after="0"/>
              <w:rPr>
                <w:sz w:val="20"/>
                <w:szCs w:val="20"/>
                <w:color w:val="auto"/>
              </w:rPr>
            </w:pPr>
            <w:r>
              <w:rPr>
                <w:rFonts w:ascii="Arial" w:cs="Arial" w:eastAsia="Arial" w:hAnsi="Arial"/>
                <w:sz w:val="20"/>
                <w:szCs w:val="20"/>
                <w:color w:val="auto"/>
                <w:w w:val="90"/>
              </w:rPr>
              <w:t>Common Stock</w:t>
            </w:r>
          </w:p>
        </w:tc>
        <w:tc>
          <w:tcPr>
            <w:tcW w:w="2200" w:type="dxa"/>
            <w:vAlign w:val="bottom"/>
            <w:gridSpan w:val="3"/>
          </w:tcPr>
          <w:p>
            <w:pPr>
              <w:jc w:val="center"/>
              <w:ind w:left="984"/>
              <w:spacing w:after="0"/>
              <w:rPr>
                <w:sz w:val="20"/>
                <w:szCs w:val="20"/>
                <w:color w:val="auto"/>
              </w:rPr>
            </w:pPr>
            <w:r>
              <w:rPr>
                <w:rFonts w:ascii="Arial" w:cs="Arial" w:eastAsia="Arial" w:hAnsi="Arial"/>
                <w:sz w:val="20"/>
                <w:szCs w:val="20"/>
                <w:color w:val="auto"/>
                <w:w w:val="91"/>
              </w:rPr>
              <w:t>(34,738)</w:t>
            </w:r>
          </w:p>
        </w:tc>
        <w:tc>
          <w:tcPr>
            <w:tcW w:w="20" w:type="dxa"/>
            <w:vAlign w:val="bottom"/>
          </w:tcPr>
          <w:p>
            <w:pPr>
              <w:spacing w:after="0"/>
              <w:rPr>
                <w:sz w:val="24"/>
                <w:szCs w:val="24"/>
                <w:color w:val="auto"/>
              </w:rPr>
            </w:pPr>
          </w:p>
        </w:tc>
        <w:tc>
          <w:tcPr>
            <w:tcW w:w="2600" w:type="dxa"/>
            <w:vAlign w:val="bottom"/>
            <w:gridSpan w:val="3"/>
          </w:tcPr>
          <w:p>
            <w:pPr>
              <w:jc w:val="center"/>
              <w:ind w:left="1824"/>
              <w:spacing w:after="0"/>
              <w:rPr>
                <w:sz w:val="20"/>
                <w:szCs w:val="20"/>
                <w:color w:val="auto"/>
              </w:rPr>
            </w:pPr>
            <w:r>
              <w:rPr>
                <w:rFonts w:ascii="Arial" w:cs="Arial" w:eastAsia="Arial" w:hAnsi="Arial"/>
                <w:sz w:val="20"/>
                <w:szCs w:val="20"/>
                <w:color w:val="auto"/>
                <w:w w:val="88"/>
              </w:rPr>
              <w:t>68.5015</w:t>
            </w:r>
          </w:p>
        </w:tc>
        <w:tc>
          <w:tcPr>
            <w:tcW w:w="320" w:type="dxa"/>
            <w:vAlign w:val="bottom"/>
          </w:tcPr>
          <w:p>
            <w:pPr>
              <w:spacing w:after="0"/>
              <w:rPr>
                <w:sz w:val="24"/>
                <w:szCs w:val="24"/>
                <w:color w:val="auto"/>
              </w:rPr>
            </w:pPr>
          </w:p>
        </w:tc>
      </w:tr>
      <w:tr>
        <w:trPr>
          <w:trHeight w:val="228"/>
        </w:trPr>
        <w:tc>
          <w:tcPr>
            <w:tcW w:w="1740" w:type="dxa"/>
            <w:vAlign w:val="bottom"/>
            <w:gridSpan w:val="3"/>
          </w:tcPr>
          <w:p>
            <w:pPr>
              <w:jc w:val="center"/>
              <w:ind w:right="840"/>
              <w:spacing w:after="0" w:line="228" w:lineRule="exact"/>
              <w:rPr>
                <w:sz w:val="20"/>
                <w:szCs w:val="20"/>
                <w:color w:val="auto"/>
              </w:rPr>
            </w:pPr>
            <w:r>
              <w:rPr>
                <w:rFonts w:ascii="Arial" w:cs="Arial" w:eastAsia="Arial" w:hAnsi="Arial"/>
                <w:sz w:val="20"/>
                <w:szCs w:val="20"/>
                <w:color w:val="auto"/>
                <w:w w:val="89"/>
              </w:rPr>
              <w:t>02/22/2019</w:t>
            </w:r>
          </w:p>
        </w:tc>
        <w:tc>
          <w:tcPr>
            <w:tcW w:w="3120" w:type="dxa"/>
            <w:vAlign w:val="bottom"/>
            <w:gridSpan w:val="3"/>
          </w:tcPr>
          <w:p>
            <w:pPr>
              <w:jc w:val="center"/>
              <w:ind w:right="200"/>
              <w:spacing w:after="0" w:line="228" w:lineRule="exact"/>
              <w:rPr>
                <w:sz w:val="20"/>
                <w:szCs w:val="20"/>
                <w:color w:val="auto"/>
              </w:rPr>
            </w:pPr>
            <w:r>
              <w:rPr>
                <w:rFonts w:ascii="Arial" w:cs="Arial" w:eastAsia="Arial" w:hAnsi="Arial"/>
                <w:sz w:val="20"/>
                <w:szCs w:val="20"/>
                <w:color w:val="auto"/>
                <w:w w:val="90"/>
              </w:rPr>
              <w:t>Common Stock</w:t>
            </w:r>
          </w:p>
        </w:tc>
        <w:tc>
          <w:tcPr>
            <w:tcW w:w="2200" w:type="dxa"/>
            <w:vAlign w:val="bottom"/>
            <w:gridSpan w:val="3"/>
          </w:tcPr>
          <w:p>
            <w:pPr>
              <w:jc w:val="center"/>
              <w:ind w:left="984"/>
              <w:spacing w:after="0" w:line="228" w:lineRule="exact"/>
              <w:rPr>
                <w:sz w:val="20"/>
                <w:szCs w:val="20"/>
                <w:color w:val="auto"/>
              </w:rPr>
            </w:pPr>
            <w:r>
              <w:rPr>
                <w:rFonts w:ascii="Arial" w:cs="Arial" w:eastAsia="Arial" w:hAnsi="Arial"/>
                <w:sz w:val="20"/>
                <w:szCs w:val="20"/>
                <w:color w:val="auto"/>
                <w:w w:val="91"/>
              </w:rPr>
              <w:t>(46,190)</w:t>
            </w:r>
          </w:p>
        </w:tc>
        <w:tc>
          <w:tcPr>
            <w:tcW w:w="20" w:type="dxa"/>
            <w:vAlign w:val="bottom"/>
          </w:tcPr>
          <w:p>
            <w:pPr>
              <w:spacing w:after="0"/>
              <w:rPr>
                <w:sz w:val="19"/>
                <w:szCs w:val="19"/>
                <w:color w:val="auto"/>
              </w:rPr>
            </w:pPr>
          </w:p>
        </w:tc>
        <w:tc>
          <w:tcPr>
            <w:tcW w:w="2600" w:type="dxa"/>
            <w:vAlign w:val="bottom"/>
            <w:gridSpan w:val="3"/>
          </w:tcPr>
          <w:p>
            <w:pPr>
              <w:jc w:val="center"/>
              <w:ind w:left="1824"/>
              <w:spacing w:after="0" w:line="228" w:lineRule="exact"/>
              <w:rPr>
                <w:sz w:val="20"/>
                <w:szCs w:val="20"/>
                <w:color w:val="auto"/>
              </w:rPr>
            </w:pPr>
            <w:r>
              <w:rPr>
                <w:rFonts w:ascii="Arial" w:cs="Arial" w:eastAsia="Arial" w:hAnsi="Arial"/>
                <w:sz w:val="20"/>
                <w:szCs w:val="20"/>
                <w:color w:val="auto"/>
                <w:w w:val="88"/>
              </w:rPr>
              <w:t>68.0456</w:t>
            </w:r>
          </w:p>
        </w:tc>
        <w:tc>
          <w:tcPr>
            <w:tcW w:w="320" w:type="dxa"/>
            <w:vAlign w:val="bottom"/>
          </w:tcPr>
          <w:p>
            <w:pPr>
              <w:spacing w:after="0"/>
              <w:rPr>
                <w:sz w:val="19"/>
                <w:szCs w:val="19"/>
                <w:color w:val="auto"/>
              </w:rPr>
            </w:pPr>
          </w:p>
        </w:tc>
      </w:tr>
      <w:tr>
        <w:trPr>
          <w:trHeight w:val="249"/>
        </w:trPr>
        <w:tc>
          <w:tcPr>
            <w:tcW w:w="1740" w:type="dxa"/>
            <w:vAlign w:val="bottom"/>
            <w:gridSpan w:val="3"/>
          </w:tcPr>
          <w:p>
            <w:pPr>
              <w:jc w:val="center"/>
              <w:ind w:right="840"/>
              <w:spacing w:after="0"/>
              <w:rPr>
                <w:sz w:val="20"/>
                <w:szCs w:val="20"/>
                <w:color w:val="auto"/>
              </w:rPr>
            </w:pPr>
            <w:r>
              <w:rPr>
                <w:rFonts w:ascii="Arial" w:cs="Arial" w:eastAsia="Arial" w:hAnsi="Arial"/>
                <w:sz w:val="20"/>
                <w:szCs w:val="20"/>
                <w:color w:val="auto"/>
                <w:w w:val="89"/>
              </w:rPr>
              <w:t>02/22/2019</w:t>
            </w:r>
          </w:p>
        </w:tc>
        <w:tc>
          <w:tcPr>
            <w:tcW w:w="3120" w:type="dxa"/>
            <w:vAlign w:val="bottom"/>
            <w:gridSpan w:val="3"/>
          </w:tcPr>
          <w:p>
            <w:pPr>
              <w:jc w:val="center"/>
              <w:ind w:right="200"/>
              <w:spacing w:after="0"/>
              <w:rPr>
                <w:sz w:val="20"/>
                <w:szCs w:val="20"/>
                <w:color w:val="auto"/>
              </w:rPr>
            </w:pPr>
            <w:r>
              <w:rPr>
                <w:rFonts w:ascii="Arial" w:cs="Arial" w:eastAsia="Arial" w:hAnsi="Arial"/>
                <w:sz w:val="20"/>
                <w:szCs w:val="20"/>
                <w:color w:val="auto"/>
                <w:w w:val="90"/>
              </w:rPr>
              <w:t>Common Stock</w:t>
            </w:r>
          </w:p>
        </w:tc>
        <w:tc>
          <w:tcPr>
            <w:tcW w:w="2200" w:type="dxa"/>
            <w:vAlign w:val="bottom"/>
            <w:gridSpan w:val="3"/>
          </w:tcPr>
          <w:p>
            <w:pPr>
              <w:jc w:val="center"/>
              <w:ind w:left="984"/>
              <w:spacing w:after="0"/>
              <w:rPr>
                <w:sz w:val="20"/>
                <w:szCs w:val="20"/>
                <w:color w:val="auto"/>
              </w:rPr>
            </w:pPr>
            <w:r>
              <w:rPr>
                <w:rFonts w:ascii="Arial" w:cs="Arial" w:eastAsia="Arial" w:hAnsi="Arial"/>
                <w:sz w:val="20"/>
                <w:szCs w:val="20"/>
                <w:color w:val="auto"/>
                <w:w w:val="91"/>
              </w:rPr>
              <w:t>(48,000)</w:t>
            </w:r>
          </w:p>
        </w:tc>
        <w:tc>
          <w:tcPr>
            <w:tcW w:w="20" w:type="dxa"/>
            <w:vAlign w:val="bottom"/>
          </w:tcPr>
          <w:p>
            <w:pPr>
              <w:spacing w:after="0"/>
              <w:rPr>
                <w:sz w:val="21"/>
                <w:szCs w:val="21"/>
                <w:color w:val="auto"/>
              </w:rPr>
            </w:pPr>
          </w:p>
        </w:tc>
        <w:tc>
          <w:tcPr>
            <w:tcW w:w="2600" w:type="dxa"/>
            <w:vAlign w:val="bottom"/>
            <w:gridSpan w:val="3"/>
          </w:tcPr>
          <w:p>
            <w:pPr>
              <w:jc w:val="center"/>
              <w:ind w:left="1824"/>
              <w:spacing w:after="0"/>
              <w:rPr>
                <w:sz w:val="20"/>
                <w:szCs w:val="20"/>
                <w:color w:val="auto"/>
              </w:rPr>
            </w:pPr>
            <w:r>
              <w:rPr>
                <w:rFonts w:ascii="Arial" w:cs="Arial" w:eastAsia="Arial" w:hAnsi="Arial"/>
                <w:sz w:val="20"/>
                <w:szCs w:val="20"/>
                <w:color w:val="auto"/>
                <w:w w:val="88"/>
              </w:rPr>
              <w:t>68.1470</w:t>
            </w:r>
          </w:p>
        </w:tc>
        <w:tc>
          <w:tcPr>
            <w:tcW w:w="320" w:type="dxa"/>
            <w:vAlign w:val="bottom"/>
          </w:tcPr>
          <w:p>
            <w:pPr>
              <w:spacing w:after="0"/>
              <w:rPr>
                <w:sz w:val="21"/>
                <w:szCs w:val="2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transactions were effected by Elliott International, L.P. in the Common Stock since the filing of Amendment No. 2:</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20" w:type="dxa"/>
            <w:vAlign w:val="bottom"/>
            <w:gridSpan w:val="4"/>
          </w:tcPr>
          <w:p>
            <w:pPr>
              <w:ind w:left="1060"/>
              <w:spacing w:after="0"/>
              <w:rPr>
                <w:sz w:val="20"/>
                <w:szCs w:val="20"/>
                <w:color w:val="auto"/>
              </w:rPr>
            </w:pPr>
            <w:r>
              <w:rPr>
                <w:rFonts w:ascii="Arial" w:cs="Arial" w:eastAsia="Arial" w:hAnsi="Arial"/>
                <w:sz w:val="18"/>
                <w:szCs w:val="18"/>
                <w:color w:val="auto"/>
                <w:w w:val="92"/>
              </w:rPr>
              <w:t>Amount of Shs.</w:t>
            </w:r>
          </w:p>
        </w:tc>
        <w:tc>
          <w:tcPr>
            <w:tcW w:w="2920" w:type="dxa"/>
            <w:vAlign w:val="bottom"/>
            <w:gridSpan w:val="4"/>
          </w:tcPr>
          <w:p>
            <w:pPr>
              <w:jc w:val="center"/>
              <w:ind w:left="1464"/>
              <w:spacing w:after="0"/>
              <w:rPr>
                <w:sz w:val="20"/>
                <w:szCs w:val="20"/>
                <w:color w:val="auto"/>
              </w:rPr>
            </w:pPr>
            <w:r>
              <w:rPr>
                <w:rFonts w:ascii="Arial" w:cs="Arial" w:eastAsia="Arial" w:hAnsi="Arial"/>
                <w:sz w:val="18"/>
                <w:szCs w:val="18"/>
                <w:color w:val="auto"/>
                <w:w w:val="93"/>
              </w:rPr>
              <w:t xml:space="preserve">Approx. price </w:t>
            </w:r>
            <w:r>
              <w:rPr>
                <w:rFonts w:ascii="Arial" w:cs="Arial" w:eastAsia="Arial" w:hAnsi="Arial"/>
                <w:sz w:val="18"/>
                <w:szCs w:val="18"/>
                <w:u w:val="single" w:color="auto"/>
                <w:color w:val="auto"/>
                <w:w w:val="93"/>
              </w:rPr>
              <w:t>($</w:t>
            </w:r>
            <w:r>
              <w:rPr>
                <w:rFonts w:ascii="Arial" w:cs="Arial" w:eastAsia="Arial" w:hAnsi="Arial"/>
                <w:sz w:val="18"/>
                <w:szCs w:val="18"/>
                <w:color w:val="auto"/>
                <w:w w:val="93"/>
              </w:rPr>
              <w:t>)</w:t>
            </w:r>
          </w:p>
        </w:tc>
      </w:tr>
      <w:tr>
        <w:trPr>
          <w:trHeight w:val="195"/>
        </w:trPr>
        <w:tc>
          <w:tcPr>
            <w:tcW w:w="280" w:type="dxa"/>
            <w:vAlign w:val="bottom"/>
          </w:tcPr>
          <w:p>
            <w:pPr>
              <w:spacing w:after="0"/>
              <w:rPr>
                <w:sz w:val="16"/>
                <w:szCs w:val="16"/>
                <w:color w:val="auto"/>
              </w:rPr>
            </w:pPr>
          </w:p>
        </w:tc>
        <w:tc>
          <w:tcPr>
            <w:tcW w:w="1460" w:type="dxa"/>
            <w:vAlign w:val="bottom"/>
            <w:gridSpan w:val="2"/>
          </w:tcPr>
          <w:p>
            <w:pPr>
              <w:jc w:val="center"/>
              <w:ind w:right="1120"/>
              <w:spacing w:after="0" w:line="195" w:lineRule="exact"/>
              <w:rPr>
                <w:sz w:val="20"/>
                <w:szCs w:val="20"/>
                <w:color w:val="auto"/>
              </w:rPr>
            </w:pPr>
            <w:r>
              <w:rPr>
                <w:rFonts w:ascii="Arial" w:cs="Arial" w:eastAsia="Arial" w:hAnsi="Arial"/>
                <w:sz w:val="18"/>
                <w:szCs w:val="18"/>
                <w:color w:val="auto"/>
                <w:w w:val="89"/>
              </w:rPr>
              <w:t>Date</w:t>
            </w:r>
          </w:p>
        </w:tc>
        <w:tc>
          <w:tcPr>
            <w:tcW w:w="1160" w:type="dxa"/>
            <w:vAlign w:val="bottom"/>
          </w:tcPr>
          <w:p>
            <w:pPr>
              <w:spacing w:after="0"/>
              <w:rPr>
                <w:sz w:val="16"/>
                <w:szCs w:val="16"/>
                <w:color w:val="auto"/>
              </w:rPr>
            </w:pPr>
          </w:p>
        </w:tc>
        <w:tc>
          <w:tcPr>
            <w:tcW w:w="1960" w:type="dxa"/>
            <w:vAlign w:val="bottom"/>
            <w:gridSpan w:val="2"/>
          </w:tcPr>
          <w:p>
            <w:pPr>
              <w:jc w:val="center"/>
              <w:ind w:right="1360"/>
              <w:spacing w:after="0" w:line="195" w:lineRule="exact"/>
              <w:rPr>
                <w:sz w:val="20"/>
                <w:szCs w:val="20"/>
                <w:color w:val="auto"/>
              </w:rPr>
            </w:pPr>
            <w:r>
              <w:rPr>
                <w:rFonts w:ascii="Arial" w:cs="Arial" w:eastAsia="Arial" w:hAnsi="Arial"/>
                <w:sz w:val="18"/>
                <w:szCs w:val="18"/>
                <w:color w:val="auto"/>
                <w:w w:val="92"/>
              </w:rPr>
              <w:t>Security</w:t>
            </w:r>
          </w:p>
        </w:tc>
        <w:tc>
          <w:tcPr>
            <w:tcW w:w="1060" w:type="dxa"/>
            <w:vAlign w:val="bottom"/>
          </w:tcPr>
          <w:p>
            <w:pPr>
              <w:spacing w:after="0"/>
              <w:rPr>
                <w:sz w:val="16"/>
                <w:szCs w:val="16"/>
                <w:color w:val="auto"/>
              </w:rPr>
            </w:pPr>
          </w:p>
        </w:tc>
        <w:tc>
          <w:tcPr>
            <w:tcW w:w="116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w w:val="93"/>
              </w:rPr>
              <w:t>Bought / (Sold)</w:t>
            </w:r>
          </w:p>
        </w:tc>
        <w:tc>
          <w:tcPr>
            <w:tcW w:w="1620" w:type="dxa"/>
            <w:vAlign w:val="bottom"/>
          </w:tcPr>
          <w:p>
            <w:pPr>
              <w:spacing w:after="0"/>
              <w:rPr>
                <w:sz w:val="16"/>
                <w:szCs w:val="16"/>
                <w:color w:val="auto"/>
              </w:rPr>
            </w:pPr>
          </w:p>
        </w:tc>
        <w:tc>
          <w:tcPr>
            <w:tcW w:w="1300" w:type="dxa"/>
            <w:vAlign w:val="bottom"/>
            <w:tcBorders>
              <w:top w:val="single" w:sz="8" w:color="auto"/>
            </w:tcBorders>
            <w:gridSpan w:val="3"/>
          </w:tcPr>
          <w:p>
            <w:pPr>
              <w:jc w:val="center"/>
              <w:ind w:right="20"/>
              <w:spacing w:after="0" w:line="195" w:lineRule="exact"/>
              <w:rPr>
                <w:sz w:val="20"/>
                <w:szCs w:val="20"/>
                <w:color w:val="auto"/>
              </w:rPr>
            </w:pPr>
            <w:r>
              <w:rPr>
                <w:rFonts w:ascii="Arial" w:cs="Arial" w:eastAsia="Arial" w:hAnsi="Arial"/>
                <w:sz w:val="18"/>
                <w:szCs w:val="18"/>
                <w:color w:val="auto"/>
                <w:w w:val="85"/>
              </w:rPr>
              <w:t>per Share</w:t>
            </w:r>
          </w:p>
        </w:tc>
      </w:tr>
      <w:tr>
        <w:trPr>
          <w:trHeight w:val="20"/>
        </w:trPr>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73"/>
        </w:trPr>
        <w:tc>
          <w:tcPr>
            <w:tcW w:w="1740" w:type="dxa"/>
            <w:vAlign w:val="bottom"/>
            <w:gridSpan w:val="3"/>
          </w:tcPr>
          <w:p>
            <w:pPr>
              <w:jc w:val="center"/>
              <w:ind w:right="840"/>
              <w:spacing w:after="0"/>
              <w:rPr>
                <w:sz w:val="20"/>
                <w:szCs w:val="20"/>
                <w:color w:val="auto"/>
              </w:rPr>
            </w:pPr>
            <w:r>
              <w:rPr>
                <w:rFonts w:ascii="Arial" w:cs="Arial" w:eastAsia="Arial" w:hAnsi="Arial"/>
                <w:sz w:val="20"/>
                <w:szCs w:val="20"/>
                <w:color w:val="auto"/>
                <w:w w:val="89"/>
              </w:rPr>
              <w:t>02/21/2019</w:t>
            </w:r>
          </w:p>
        </w:tc>
        <w:tc>
          <w:tcPr>
            <w:tcW w:w="3120" w:type="dxa"/>
            <w:vAlign w:val="bottom"/>
            <w:gridSpan w:val="3"/>
          </w:tcPr>
          <w:p>
            <w:pPr>
              <w:jc w:val="center"/>
              <w:ind w:right="200"/>
              <w:spacing w:after="0"/>
              <w:rPr>
                <w:sz w:val="20"/>
                <w:szCs w:val="20"/>
                <w:color w:val="auto"/>
              </w:rPr>
            </w:pPr>
            <w:r>
              <w:rPr>
                <w:rFonts w:ascii="Arial" w:cs="Arial" w:eastAsia="Arial" w:hAnsi="Arial"/>
                <w:sz w:val="20"/>
                <w:szCs w:val="20"/>
                <w:color w:val="auto"/>
                <w:w w:val="90"/>
              </w:rPr>
              <w:t>Common Stock</w:t>
            </w:r>
          </w:p>
        </w:tc>
        <w:tc>
          <w:tcPr>
            <w:tcW w:w="2200" w:type="dxa"/>
            <w:vAlign w:val="bottom"/>
            <w:gridSpan w:val="3"/>
          </w:tcPr>
          <w:p>
            <w:pPr>
              <w:jc w:val="center"/>
              <w:ind w:left="984"/>
              <w:spacing w:after="0"/>
              <w:rPr>
                <w:sz w:val="20"/>
                <w:szCs w:val="20"/>
                <w:color w:val="auto"/>
              </w:rPr>
            </w:pPr>
            <w:r>
              <w:rPr>
                <w:rFonts w:ascii="Arial" w:cs="Arial" w:eastAsia="Arial" w:hAnsi="Arial"/>
                <w:sz w:val="20"/>
                <w:szCs w:val="20"/>
                <w:color w:val="auto"/>
                <w:w w:val="91"/>
              </w:rPr>
              <w:t>(73,818)</w:t>
            </w:r>
          </w:p>
        </w:tc>
        <w:tc>
          <w:tcPr>
            <w:tcW w:w="20" w:type="dxa"/>
            <w:vAlign w:val="bottom"/>
          </w:tcPr>
          <w:p>
            <w:pPr>
              <w:spacing w:after="0"/>
              <w:rPr>
                <w:sz w:val="24"/>
                <w:szCs w:val="24"/>
                <w:color w:val="auto"/>
              </w:rPr>
            </w:pPr>
          </w:p>
        </w:tc>
        <w:tc>
          <w:tcPr>
            <w:tcW w:w="2600" w:type="dxa"/>
            <w:vAlign w:val="bottom"/>
            <w:gridSpan w:val="3"/>
          </w:tcPr>
          <w:p>
            <w:pPr>
              <w:jc w:val="center"/>
              <w:ind w:left="1824"/>
              <w:spacing w:after="0"/>
              <w:rPr>
                <w:sz w:val="20"/>
                <w:szCs w:val="20"/>
                <w:color w:val="auto"/>
              </w:rPr>
            </w:pPr>
            <w:r>
              <w:rPr>
                <w:rFonts w:ascii="Arial" w:cs="Arial" w:eastAsia="Arial" w:hAnsi="Arial"/>
                <w:sz w:val="20"/>
                <w:szCs w:val="20"/>
                <w:color w:val="auto"/>
                <w:w w:val="88"/>
              </w:rPr>
              <w:t>68.5015</w:t>
            </w:r>
          </w:p>
        </w:tc>
        <w:tc>
          <w:tcPr>
            <w:tcW w:w="320" w:type="dxa"/>
            <w:vAlign w:val="bottom"/>
          </w:tcPr>
          <w:p>
            <w:pPr>
              <w:spacing w:after="0"/>
              <w:rPr>
                <w:sz w:val="24"/>
                <w:szCs w:val="24"/>
                <w:color w:val="auto"/>
              </w:rPr>
            </w:pPr>
          </w:p>
        </w:tc>
      </w:tr>
      <w:tr>
        <w:trPr>
          <w:trHeight w:val="228"/>
        </w:trPr>
        <w:tc>
          <w:tcPr>
            <w:tcW w:w="1740" w:type="dxa"/>
            <w:vAlign w:val="bottom"/>
            <w:gridSpan w:val="3"/>
          </w:tcPr>
          <w:p>
            <w:pPr>
              <w:jc w:val="center"/>
              <w:ind w:right="840"/>
              <w:spacing w:after="0" w:line="228" w:lineRule="exact"/>
              <w:rPr>
                <w:sz w:val="20"/>
                <w:szCs w:val="20"/>
                <w:color w:val="auto"/>
              </w:rPr>
            </w:pPr>
            <w:r>
              <w:rPr>
                <w:rFonts w:ascii="Arial" w:cs="Arial" w:eastAsia="Arial" w:hAnsi="Arial"/>
                <w:sz w:val="20"/>
                <w:szCs w:val="20"/>
                <w:color w:val="auto"/>
                <w:w w:val="89"/>
              </w:rPr>
              <w:t>02/22/2019</w:t>
            </w:r>
          </w:p>
        </w:tc>
        <w:tc>
          <w:tcPr>
            <w:tcW w:w="3120" w:type="dxa"/>
            <w:vAlign w:val="bottom"/>
            <w:gridSpan w:val="3"/>
          </w:tcPr>
          <w:p>
            <w:pPr>
              <w:jc w:val="center"/>
              <w:ind w:right="200"/>
              <w:spacing w:after="0" w:line="228" w:lineRule="exact"/>
              <w:rPr>
                <w:sz w:val="20"/>
                <w:szCs w:val="20"/>
                <w:color w:val="auto"/>
              </w:rPr>
            </w:pPr>
            <w:r>
              <w:rPr>
                <w:rFonts w:ascii="Arial" w:cs="Arial" w:eastAsia="Arial" w:hAnsi="Arial"/>
                <w:sz w:val="20"/>
                <w:szCs w:val="20"/>
                <w:color w:val="auto"/>
                <w:w w:val="90"/>
              </w:rPr>
              <w:t>Common Stock</w:t>
            </w:r>
          </w:p>
        </w:tc>
        <w:tc>
          <w:tcPr>
            <w:tcW w:w="2200" w:type="dxa"/>
            <w:vAlign w:val="bottom"/>
            <w:gridSpan w:val="3"/>
          </w:tcPr>
          <w:p>
            <w:pPr>
              <w:jc w:val="center"/>
              <w:ind w:left="984"/>
              <w:spacing w:after="0" w:line="228" w:lineRule="exact"/>
              <w:rPr>
                <w:sz w:val="20"/>
                <w:szCs w:val="20"/>
                <w:color w:val="auto"/>
              </w:rPr>
            </w:pPr>
            <w:r>
              <w:rPr>
                <w:rFonts w:ascii="Arial" w:cs="Arial" w:eastAsia="Arial" w:hAnsi="Arial"/>
                <w:sz w:val="20"/>
                <w:szCs w:val="20"/>
                <w:color w:val="auto"/>
                <w:w w:val="91"/>
              </w:rPr>
              <w:t>(98,156)</w:t>
            </w:r>
          </w:p>
        </w:tc>
        <w:tc>
          <w:tcPr>
            <w:tcW w:w="20" w:type="dxa"/>
            <w:vAlign w:val="bottom"/>
          </w:tcPr>
          <w:p>
            <w:pPr>
              <w:spacing w:after="0"/>
              <w:rPr>
                <w:sz w:val="19"/>
                <w:szCs w:val="19"/>
                <w:color w:val="auto"/>
              </w:rPr>
            </w:pPr>
          </w:p>
        </w:tc>
        <w:tc>
          <w:tcPr>
            <w:tcW w:w="2600" w:type="dxa"/>
            <w:vAlign w:val="bottom"/>
            <w:gridSpan w:val="3"/>
          </w:tcPr>
          <w:p>
            <w:pPr>
              <w:jc w:val="center"/>
              <w:ind w:left="1824"/>
              <w:spacing w:after="0" w:line="228" w:lineRule="exact"/>
              <w:rPr>
                <w:sz w:val="20"/>
                <w:szCs w:val="20"/>
                <w:color w:val="auto"/>
              </w:rPr>
            </w:pPr>
            <w:r>
              <w:rPr>
                <w:rFonts w:ascii="Arial" w:cs="Arial" w:eastAsia="Arial" w:hAnsi="Arial"/>
                <w:sz w:val="20"/>
                <w:szCs w:val="20"/>
                <w:color w:val="auto"/>
                <w:w w:val="88"/>
              </w:rPr>
              <w:t>68.0456</w:t>
            </w:r>
          </w:p>
        </w:tc>
        <w:tc>
          <w:tcPr>
            <w:tcW w:w="320" w:type="dxa"/>
            <w:vAlign w:val="bottom"/>
          </w:tcPr>
          <w:p>
            <w:pPr>
              <w:spacing w:after="0"/>
              <w:rPr>
                <w:sz w:val="19"/>
                <w:szCs w:val="19"/>
                <w:color w:val="auto"/>
              </w:rPr>
            </w:pPr>
          </w:p>
        </w:tc>
      </w:tr>
      <w:tr>
        <w:trPr>
          <w:trHeight w:val="249"/>
        </w:trPr>
        <w:tc>
          <w:tcPr>
            <w:tcW w:w="1740" w:type="dxa"/>
            <w:vAlign w:val="bottom"/>
            <w:gridSpan w:val="3"/>
          </w:tcPr>
          <w:p>
            <w:pPr>
              <w:jc w:val="center"/>
              <w:ind w:right="840"/>
              <w:spacing w:after="0"/>
              <w:rPr>
                <w:sz w:val="20"/>
                <w:szCs w:val="20"/>
                <w:color w:val="auto"/>
              </w:rPr>
            </w:pPr>
            <w:r>
              <w:rPr>
                <w:rFonts w:ascii="Arial" w:cs="Arial" w:eastAsia="Arial" w:hAnsi="Arial"/>
                <w:sz w:val="20"/>
                <w:szCs w:val="20"/>
                <w:color w:val="auto"/>
                <w:w w:val="89"/>
              </w:rPr>
              <w:t>02/22/2019</w:t>
            </w:r>
          </w:p>
        </w:tc>
        <w:tc>
          <w:tcPr>
            <w:tcW w:w="3120" w:type="dxa"/>
            <w:vAlign w:val="bottom"/>
            <w:gridSpan w:val="3"/>
          </w:tcPr>
          <w:p>
            <w:pPr>
              <w:jc w:val="center"/>
              <w:ind w:right="200"/>
              <w:spacing w:after="0"/>
              <w:rPr>
                <w:sz w:val="20"/>
                <w:szCs w:val="20"/>
                <w:color w:val="auto"/>
              </w:rPr>
            </w:pPr>
            <w:r>
              <w:rPr>
                <w:rFonts w:ascii="Arial" w:cs="Arial" w:eastAsia="Arial" w:hAnsi="Arial"/>
                <w:sz w:val="20"/>
                <w:szCs w:val="20"/>
                <w:color w:val="auto"/>
                <w:w w:val="90"/>
              </w:rPr>
              <w:t>Common Stock</w:t>
            </w:r>
          </w:p>
        </w:tc>
        <w:tc>
          <w:tcPr>
            <w:tcW w:w="2200" w:type="dxa"/>
            <w:vAlign w:val="bottom"/>
            <w:gridSpan w:val="3"/>
          </w:tcPr>
          <w:p>
            <w:pPr>
              <w:jc w:val="center"/>
              <w:ind w:left="984"/>
              <w:spacing w:after="0"/>
              <w:rPr>
                <w:sz w:val="20"/>
                <w:szCs w:val="20"/>
                <w:color w:val="auto"/>
              </w:rPr>
            </w:pPr>
            <w:r>
              <w:rPr>
                <w:rFonts w:ascii="Arial" w:cs="Arial" w:eastAsia="Arial" w:hAnsi="Arial"/>
                <w:sz w:val="20"/>
                <w:szCs w:val="20"/>
                <w:color w:val="auto"/>
                <w:w w:val="88"/>
              </w:rPr>
              <w:t>(102,000)</w:t>
            </w:r>
          </w:p>
        </w:tc>
        <w:tc>
          <w:tcPr>
            <w:tcW w:w="20" w:type="dxa"/>
            <w:vAlign w:val="bottom"/>
          </w:tcPr>
          <w:p>
            <w:pPr>
              <w:spacing w:after="0"/>
              <w:rPr>
                <w:sz w:val="21"/>
                <w:szCs w:val="21"/>
                <w:color w:val="auto"/>
              </w:rPr>
            </w:pPr>
          </w:p>
        </w:tc>
        <w:tc>
          <w:tcPr>
            <w:tcW w:w="2600" w:type="dxa"/>
            <w:vAlign w:val="bottom"/>
            <w:gridSpan w:val="3"/>
          </w:tcPr>
          <w:p>
            <w:pPr>
              <w:jc w:val="center"/>
              <w:ind w:left="1824"/>
              <w:spacing w:after="0"/>
              <w:rPr>
                <w:sz w:val="20"/>
                <w:szCs w:val="20"/>
                <w:color w:val="auto"/>
              </w:rPr>
            </w:pPr>
            <w:r>
              <w:rPr>
                <w:rFonts w:ascii="Arial" w:cs="Arial" w:eastAsia="Arial" w:hAnsi="Arial"/>
                <w:sz w:val="20"/>
                <w:szCs w:val="20"/>
                <w:color w:val="auto"/>
                <w:w w:val="88"/>
              </w:rPr>
              <w:t>68.1470</w:t>
            </w:r>
          </w:p>
        </w:tc>
        <w:tc>
          <w:tcPr>
            <w:tcW w:w="320" w:type="dxa"/>
            <w:vAlign w:val="bottom"/>
          </w:tcPr>
          <w:p>
            <w:pPr>
              <w:spacing w:after="0"/>
              <w:rPr>
                <w:sz w:val="21"/>
                <w:szCs w:val="21"/>
                <w:color w:val="auto"/>
              </w:rPr>
            </w:pPr>
          </w:p>
        </w:tc>
      </w:tr>
    </w:tbl>
    <w:p>
      <w:pPr>
        <w:spacing w:after="0" w:line="1" w:lineRule="exact"/>
        <w:rPr>
          <w:sz w:val="20"/>
          <w:szCs w:val="20"/>
          <w:color w:val="auto"/>
        </w:rPr>
      </w:pPr>
    </w:p>
    <w:sectPr>
      <w:pgSz w:w="12240" w:h="15840" w:orient="portrait"/>
      <w:cols w:equalWidth="0" w:num="1">
        <w:col w:w="11160"/>
      </w:cols>
      <w:pgMar w:left="520" w:top="88"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2019-12-15T07:19:40Z</dcterms:created>
  <dcterms:modified xsi:type="dcterms:W3CDTF">2019-12-15T07:19:40Z</dcterms:modified>
</cp:coreProperties>
</file>