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73025</wp:posOffset>
            </wp:positionV>
            <wp:extent cx="1945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242570</wp:posOffset>
            </wp:positionV>
            <wp:extent cx="1945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0"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231775</wp:posOffset>
            </wp:positionV>
            <wp:extent cx="1945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210185</wp:posOffset>
            </wp:positionV>
            <wp:extent cx="1945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tbl>
      <w:tblPr>
        <w:tblLayout w:type="fixed"/>
        <w:tblInd w:w="90" w:type="dxa"/>
        <w:tblCellMar>
          <w:top w:w="0" w:type="dxa"/>
          <w:left w:w="0" w:type="dxa"/>
          <w:bottom w:w="0" w:type="dxa"/>
          <w:right w:w="0" w:type="dxa"/>
        </w:tblCellMar>
      </w:tblPr>
      <w:tr>
        <w:trPr>
          <w:trHeight w:val="210"/>
        </w:trPr>
        <w:tc>
          <w:tcPr>
            <w:tcW w:w="3660" w:type="dxa"/>
            <w:vAlign w:val="bottom"/>
          </w:tcPr>
          <w:p>
            <w:pPr>
              <w:jc w:val="center"/>
              <w:ind w:left="1685"/>
              <w:spacing w:after="0"/>
              <w:rPr>
                <w:sz w:val="20"/>
                <w:szCs w:val="20"/>
                <w:color w:val="auto"/>
              </w:rPr>
            </w:pPr>
            <w:r>
              <w:rPr>
                <w:rFonts w:ascii="Arial" w:cs="Arial" w:eastAsia="Arial" w:hAnsi="Arial"/>
                <w:sz w:val="16"/>
                <w:szCs w:val="16"/>
                <w:b w:val="1"/>
                <w:bCs w:val="1"/>
                <w:color w:val="auto"/>
                <w:w w:val="93"/>
              </w:rPr>
              <w:t>Delaware</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40" w:type="dxa"/>
            <w:vAlign w:val="bottom"/>
          </w:tcPr>
          <w:p>
            <w:pPr>
              <w:jc w:val="center"/>
              <w:ind w:right="1165"/>
              <w:spacing w:after="0"/>
              <w:rPr>
                <w:sz w:val="20"/>
                <w:szCs w:val="20"/>
                <w:color w:val="auto"/>
              </w:rPr>
            </w:pPr>
            <w:r>
              <w:rPr>
                <w:rFonts w:ascii="Arial" w:cs="Arial" w:eastAsia="Arial" w:hAnsi="Arial"/>
                <w:sz w:val="16"/>
                <w:szCs w:val="16"/>
                <w:b w:val="1"/>
                <w:bCs w:val="1"/>
                <w:color w:val="auto"/>
                <w:w w:val="93"/>
              </w:rPr>
              <w:t>22-3447504</w:t>
            </w:r>
          </w:p>
        </w:tc>
      </w:tr>
      <w:tr>
        <w:trPr>
          <w:trHeight w:val="141"/>
        </w:trPr>
        <w:tc>
          <w:tcPr>
            <w:tcW w:w="3660" w:type="dxa"/>
            <w:vAlign w:val="bottom"/>
          </w:tcPr>
          <w:p>
            <w:pPr>
              <w:jc w:val="center"/>
              <w:ind w:left="1685"/>
              <w:spacing w:after="0" w:line="141" w:lineRule="exact"/>
              <w:rPr>
                <w:sz w:val="20"/>
                <w:szCs w:val="20"/>
                <w:color w:val="auto"/>
              </w:rPr>
            </w:pPr>
            <w:r>
              <w:rPr>
                <w:rFonts w:ascii="Arial" w:cs="Arial" w:eastAsia="Arial" w:hAnsi="Arial"/>
                <w:sz w:val="13"/>
                <w:szCs w:val="13"/>
                <w:b w:val="1"/>
                <w:bCs w:val="1"/>
                <w:color w:val="auto"/>
                <w:w w:val="88"/>
              </w:rPr>
              <w:t>(State or other jurisdiction of</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40" w:type="dxa"/>
            <w:vAlign w:val="bottom"/>
          </w:tcPr>
          <w:p>
            <w:pPr>
              <w:jc w:val="center"/>
              <w:ind w:right="1165"/>
              <w:spacing w:after="0" w:line="141"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660" w:type="dxa"/>
            <w:vAlign w:val="bottom"/>
          </w:tcPr>
          <w:p>
            <w:pPr>
              <w:jc w:val="center"/>
              <w:ind w:left="1685"/>
              <w:spacing w:after="0"/>
              <w:rPr>
                <w:sz w:val="20"/>
                <w:szCs w:val="20"/>
                <w:color w:val="auto"/>
              </w:rPr>
            </w:pPr>
            <w:r>
              <w:rPr>
                <w:rFonts w:ascii="Arial" w:cs="Arial" w:eastAsia="Arial" w:hAnsi="Arial"/>
                <w:sz w:val="13"/>
                <w:szCs w:val="13"/>
                <w:b w:val="1"/>
                <w:bCs w:val="1"/>
                <w:color w:val="auto"/>
                <w:w w:val="89"/>
              </w:rPr>
              <w:t>incorporation or organization)</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40" w:type="dxa"/>
            <w:vAlign w:val="bottom"/>
          </w:tcPr>
          <w:p>
            <w:pPr>
              <w:jc w:val="center"/>
              <w:ind w:right="1165"/>
              <w:spacing w:after="0"/>
              <w:rPr>
                <w:sz w:val="20"/>
                <w:szCs w:val="20"/>
                <w:color w:val="auto"/>
              </w:rPr>
            </w:pPr>
            <w:r>
              <w:rPr>
                <w:rFonts w:ascii="Arial" w:cs="Arial" w:eastAsia="Arial" w:hAnsi="Arial"/>
                <w:sz w:val="13"/>
                <w:szCs w:val="13"/>
                <w:b w:val="1"/>
                <w:bCs w:val="1"/>
                <w:color w:val="auto"/>
                <w:w w:val="91"/>
              </w:rPr>
              <w:t>Identification No.)</w:t>
            </w:r>
          </w:p>
        </w:tc>
      </w:tr>
      <w:tr>
        <w:trPr>
          <w:trHeight w:val="277"/>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1 Commvault Way</w:t>
            </w:r>
          </w:p>
        </w:tc>
        <w:tc>
          <w:tcPr>
            <w:tcW w:w="4040" w:type="dxa"/>
            <w:vAlign w:val="bottom"/>
          </w:tcPr>
          <w:p>
            <w:pPr>
              <w:spacing w:after="0"/>
              <w:rPr>
                <w:sz w:val="24"/>
                <w:szCs w:val="24"/>
                <w:color w:val="auto"/>
              </w:rPr>
            </w:pPr>
          </w:p>
        </w:tc>
      </w:tr>
      <w:tr>
        <w:trPr>
          <w:trHeight w:val="193"/>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Tinton Falls, New Jersey</w:t>
            </w:r>
          </w:p>
        </w:tc>
        <w:tc>
          <w:tcPr>
            <w:tcW w:w="40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00" w:type="dxa"/>
            <w:vAlign w:val="bottom"/>
            <w:gridSpan w:val="3"/>
          </w:tcPr>
          <w:p>
            <w:pPr>
              <w:jc w:val="right"/>
              <w:ind w:right="619"/>
              <w:spacing w:after="0"/>
              <w:rPr>
                <w:sz w:val="20"/>
                <w:szCs w:val="20"/>
                <w:color w:val="auto"/>
              </w:rPr>
            </w:pPr>
            <w:r>
              <w:rPr>
                <w:rFonts w:ascii="Arial" w:cs="Arial" w:eastAsia="Arial" w:hAnsi="Arial"/>
                <w:sz w:val="18"/>
                <w:szCs w:val="18"/>
                <w:color w:val="auto"/>
              </w:rPr>
              <w:t>07724</w:t>
            </w:r>
          </w:p>
        </w:tc>
        <w:tc>
          <w:tcPr>
            <w:tcW w:w="6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3"/>
          </w:tcPr>
          <w:p>
            <w:pPr>
              <w:jc w:val="center"/>
              <w:ind w:right="20"/>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spacing w:after="0"/>
              <w:rPr>
                <w:sz w:val="16"/>
                <w:szCs w:val="16"/>
                <w:color w:val="auto"/>
              </w:rPr>
            </w:pPr>
          </w:p>
        </w:tc>
      </w:tr>
      <w:tr>
        <w:trPr>
          <w:trHeight w:val="173"/>
        </w:trPr>
        <w:tc>
          <w:tcPr>
            <w:tcW w:w="3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40" w:type="dxa"/>
            <w:vAlign w:val="bottom"/>
            <w:gridSpan w:val="2"/>
          </w:tcPr>
          <w:p>
            <w:pPr>
              <w:jc w:val="center"/>
              <w:ind w:right="540"/>
              <w:spacing w:after="0" w:line="173" w:lineRule="exact"/>
              <w:rPr>
                <w:sz w:val="20"/>
                <w:szCs w:val="20"/>
                <w:color w:val="auto"/>
              </w:rPr>
            </w:pPr>
            <w:r>
              <w:rPr>
                <w:rFonts w:ascii="Arial" w:cs="Arial" w:eastAsia="Arial" w:hAnsi="Arial"/>
                <w:sz w:val="16"/>
                <w:szCs w:val="16"/>
                <w:color w:val="auto"/>
              </w:rPr>
              <w:t>(Zip Code)</w:t>
            </w:r>
          </w:p>
        </w:tc>
        <w:tc>
          <w:tcPr>
            <w:tcW w:w="4040" w:type="dxa"/>
            <w:vAlign w:val="bottom"/>
          </w:tcPr>
          <w:p>
            <w:pPr>
              <w:spacing w:after="0"/>
              <w:rPr>
                <w:sz w:val="15"/>
                <w:szCs w:val="15"/>
                <w:color w:val="auto"/>
              </w:rPr>
            </w:pPr>
          </w:p>
        </w:tc>
      </w:tr>
      <w:tr>
        <w:trPr>
          <w:trHeight w:val="212"/>
        </w:trPr>
        <w:tc>
          <w:tcPr>
            <w:tcW w:w="3660" w:type="dxa"/>
            <w:vAlign w:val="bottom"/>
          </w:tcPr>
          <w:p>
            <w:pPr>
              <w:spacing w:after="0"/>
              <w:rPr>
                <w:sz w:val="18"/>
                <w:szCs w:val="18"/>
                <w:color w:val="auto"/>
              </w:rPr>
            </w:pPr>
          </w:p>
        </w:tc>
        <w:tc>
          <w:tcPr>
            <w:tcW w:w="2800" w:type="dxa"/>
            <w:vAlign w:val="bottom"/>
            <w:gridSpan w:val="3"/>
          </w:tcPr>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732) 870-4000</w:t>
            </w:r>
          </w:p>
        </w:tc>
        <w:tc>
          <w:tcPr>
            <w:tcW w:w="62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164"/>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4040" w:type="dxa"/>
            <w:vAlign w:val="bottom"/>
          </w:tcPr>
          <w:p>
            <w:pPr>
              <w:spacing w:after="0"/>
              <w:rPr>
                <w:sz w:val="14"/>
                <w:szCs w:val="14"/>
                <w:color w:val="auto"/>
              </w:rPr>
            </w:pPr>
          </w:p>
        </w:tc>
      </w:tr>
      <w:tr>
        <w:trPr>
          <w:trHeight w:val="111"/>
        </w:trPr>
        <w:tc>
          <w:tcPr>
            <w:tcW w:w="3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r>
      <w:tr>
        <w:trPr>
          <w:trHeight w:val="292"/>
        </w:trPr>
        <w:tc>
          <w:tcPr>
            <w:tcW w:w="3660" w:type="dxa"/>
            <w:vAlign w:val="bottom"/>
          </w:tcPr>
          <w:p>
            <w:pPr>
              <w:spacing w:after="0"/>
              <w:rPr>
                <w:sz w:val="24"/>
                <w:szCs w:val="24"/>
                <w:color w:val="auto"/>
              </w:rPr>
            </w:pPr>
          </w:p>
        </w:tc>
        <w:tc>
          <w:tcPr>
            <w:tcW w:w="7460" w:type="dxa"/>
            <w:vAlign w:val="bottom"/>
            <w:gridSpan w:val="5"/>
          </w:tcPr>
          <w:p>
            <w:pPr>
              <w:jc w:val="center"/>
              <w:ind w:right="3625"/>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20"/>
        </w:trPr>
        <w:tc>
          <w:tcPr>
            <w:tcW w:w="3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r>
      <w:tr>
        <w:trPr>
          <w:trHeight w:val="207"/>
        </w:trPr>
        <w:tc>
          <w:tcPr>
            <w:tcW w:w="3660" w:type="dxa"/>
            <w:vAlign w:val="bottom"/>
            <w:tcBorders>
              <w:left w:val="single" w:sz="8" w:color="auto"/>
              <w:bottom w:val="single" w:sz="8" w:color="auto"/>
            </w:tcBorders>
          </w:tcPr>
          <w:p>
            <w:pPr>
              <w:jc w:val="center"/>
              <w:ind w:left="805"/>
              <w:spacing w:after="0"/>
              <w:rPr>
                <w:sz w:val="20"/>
                <w:szCs w:val="20"/>
                <w:color w:val="auto"/>
              </w:rPr>
            </w:pPr>
            <w:r>
              <w:rPr>
                <w:rFonts w:ascii="Arial" w:cs="Arial" w:eastAsia="Arial" w:hAnsi="Arial"/>
                <w:sz w:val="16"/>
                <w:szCs w:val="16"/>
                <w:b w:val="1"/>
                <w:bCs w:val="1"/>
                <w:color w:val="auto"/>
                <w:w w:val="88"/>
              </w:rPr>
              <w:t>Title of each class</w:t>
            </w: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620" w:type="dxa"/>
            <w:vAlign w:val="bottom"/>
            <w:tcBorders>
              <w:bottom w:val="single" w:sz="8" w:color="auto"/>
            </w:tcBorders>
          </w:tcPr>
          <w:p>
            <w:pPr>
              <w:spacing w:after="0"/>
              <w:rPr>
                <w:sz w:val="17"/>
                <w:szCs w:val="17"/>
                <w:color w:val="auto"/>
              </w:rPr>
            </w:pPr>
          </w:p>
        </w:tc>
        <w:tc>
          <w:tcPr>
            <w:tcW w:w="4040" w:type="dxa"/>
            <w:vAlign w:val="bottom"/>
            <w:tcBorders>
              <w:bottom w:val="single" w:sz="8" w:color="auto"/>
              <w:right w:val="single" w:sz="8" w:color="auto"/>
            </w:tcBorders>
          </w:tcPr>
          <w:p>
            <w:pPr>
              <w:jc w:val="center"/>
              <w:ind w:right="605"/>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660" w:type="dxa"/>
            <w:vAlign w:val="bottom"/>
            <w:tcBorders>
              <w:left w:val="single" w:sz="8" w:color="auto"/>
              <w:bottom w:val="single" w:sz="8" w:color="auto"/>
            </w:tcBorders>
          </w:tcPr>
          <w:p>
            <w:pPr>
              <w:jc w:val="center"/>
              <w:ind w:left="805"/>
              <w:spacing w:after="0"/>
              <w:rPr>
                <w:sz w:val="20"/>
                <w:szCs w:val="20"/>
                <w:color w:val="auto"/>
              </w:rPr>
            </w:pPr>
            <w:r>
              <w:rPr>
                <w:rFonts w:ascii="Arial" w:cs="Arial" w:eastAsia="Arial" w:hAnsi="Arial"/>
                <w:sz w:val="16"/>
                <w:szCs w:val="16"/>
                <w:color w:val="auto"/>
                <w:w w:val="93"/>
              </w:rPr>
              <w:t>Common Stock</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62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center"/>
              <w:ind w:right="605"/>
              <w:spacing w:after="0"/>
              <w:rPr>
                <w:sz w:val="20"/>
                <w:szCs w:val="20"/>
                <w:color w:val="auto"/>
              </w:rPr>
            </w:pPr>
            <w:r>
              <w:rPr>
                <w:rFonts w:ascii="Arial" w:cs="Arial" w:eastAsia="Arial" w:hAnsi="Arial"/>
                <w:sz w:val="16"/>
                <w:szCs w:val="16"/>
                <w:color w:val="auto"/>
                <w:w w:val="95"/>
              </w:rPr>
              <w:t>The NASDAQ Stock Market</w:t>
            </w:r>
          </w:p>
        </w:tc>
      </w:tr>
      <w:tr>
        <w:trPr>
          <w:trHeight w:val="210"/>
        </w:trPr>
        <w:tc>
          <w:tcPr>
            <w:tcW w:w="3660" w:type="dxa"/>
            <w:vAlign w:val="bottom"/>
            <w:tcBorders>
              <w:left w:val="single" w:sz="8" w:color="auto"/>
              <w:bottom w:val="single" w:sz="8" w:color="auto"/>
            </w:tcBorders>
          </w:tcPr>
          <w:p>
            <w:pPr>
              <w:jc w:val="center"/>
              <w:ind w:left="805"/>
              <w:spacing w:after="0"/>
              <w:rPr>
                <w:sz w:val="20"/>
                <w:szCs w:val="20"/>
                <w:color w:val="auto"/>
              </w:rPr>
            </w:pPr>
            <w:r>
              <w:rPr>
                <w:rFonts w:ascii="Arial" w:cs="Arial" w:eastAsia="Arial" w:hAnsi="Arial"/>
                <w:sz w:val="16"/>
                <w:szCs w:val="16"/>
                <w:color w:val="auto"/>
                <w:w w:val="90"/>
              </w:rPr>
              <w:t>Preferred Stock Purchase Rights</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jc w:val="center"/>
              <w:ind w:right="605"/>
              <w:spacing w:after="0"/>
              <w:rPr>
                <w:sz w:val="20"/>
                <w:szCs w:val="20"/>
                <w:color w:val="auto"/>
              </w:rPr>
            </w:pPr>
            <w:r>
              <w:rPr>
                <w:rFonts w:ascii="Arial" w:cs="Arial" w:eastAsia="Arial" w:hAnsi="Arial"/>
                <w:sz w:val="16"/>
                <w:szCs w:val="16"/>
                <w:color w:val="auto"/>
                <w:w w:val="95"/>
              </w:rPr>
              <w:t>The NASDAQ Stock Market</w:t>
            </w:r>
          </w:p>
        </w:tc>
      </w:tr>
    </w:tbl>
    <w:p>
      <w:pPr>
        <w:spacing w:after="0" w:line="197"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10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208"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240"/>
          </w:cols>
          <w:pgMar w:left="320" w:top="1071" w:right="339" w:bottom="1440" w:gutter="0" w:footer="0" w:header="0"/>
        </w:sectPr>
      </w:pPr>
    </w:p>
    <w:p>
      <w:pPr>
        <w:spacing w:after="0" w:line="119" w:lineRule="exact"/>
        <w:rPr>
          <w:sz w:val="24"/>
          <w:szCs w:val="24"/>
          <w:color w:val="auto"/>
        </w:rPr>
      </w:pPr>
    </w:p>
    <w:p>
      <w:pPr>
        <w:ind w:left="20"/>
        <w:spacing w:after="0" w:line="161" w:lineRule="exact"/>
        <w:tabs>
          <w:tab w:leader="none" w:pos="2720" w:val="left"/>
          <w:tab w:leader="none" w:pos="3040" w:val="left"/>
          <w:tab w:leader="none" w:pos="5060" w:val="left"/>
          <w:tab w:leader="none" w:pos="5360" w:val="left"/>
          <w:tab w:leader="none" w:pos="7360" w:val="left"/>
          <w:tab w:leader="none" w:pos="77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54" w:lineRule="exact"/>
        <w:rPr>
          <w:sz w:val="24"/>
          <w:szCs w:val="24"/>
          <w:color w:val="auto"/>
        </w:rPr>
      </w:pPr>
    </w:p>
    <w:p>
      <w:pPr>
        <w:ind w:left="20"/>
        <w:spacing w:after="0" w:line="161" w:lineRule="exact"/>
        <w:tabs>
          <w:tab w:leader="none" w:pos="27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8" w:lineRule="exact"/>
        <w:rPr>
          <w:sz w:val="24"/>
          <w:szCs w:val="24"/>
          <w:color w:val="auto"/>
        </w:rPr>
      </w:pPr>
    </w:p>
    <w:p>
      <w:pPr>
        <w:ind w:left="20"/>
        <w:spacing w:after="0" w:line="227"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209" w:lineRule="exact"/>
        <w:rPr>
          <w:sz w:val="24"/>
          <w:szCs w:val="24"/>
          <w:color w:val="auto"/>
        </w:rPr>
      </w:pPr>
    </w:p>
    <w:p>
      <w:pPr>
        <w:spacing w:after="0" w:line="196" w:lineRule="exact"/>
        <w:tabs>
          <w:tab w:leader="none" w:pos="666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79" w:lineRule="exact"/>
        <w:rPr>
          <w:sz w:val="24"/>
          <w:szCs w:val="24"/>
          <w:color w:val="auto"/>
        </w:rPr>
      </w:pPr>
    </w:p>
    <w:p>
      <w:pPr>
        <w:sectPr>
          <w:pgSz w:w="11900" w:h="16838" w:orient="portrait"/>
          <w:cols w:equalWidth="0" w:num="2">
            <w:col w:w="10020" w:space="60"/>
            <w:col w:w="1160"/>
          </w:cols>
          <w:pgMar w:left="320" w:top="1071" w:right="339" w:bottom="1440" w:gutter="0" w:footer="0" w:header="0"/>
          <w:type w:val="continuous"/>
        </w:sectPr>
      </w:pPr>
    </w:p>
    <w:p>
      <w:pPr>
        <w:spacing w:after="0" w:line="65" w:lineRule="exact"/>
        <w:rPr>
          <w:sz w:val="24"/>
          <w:szCs w:val="24"/>
          <w:color w:val="auto"/>
        </w:rPr>
      </w:pPr>
    </w:p>
    <w:p>
      <w:pPr>
        <w:spacing w:after="0"/>
        <w:rPr>
          <w:sz w:val="20"/>
          <w:szCs w:val="20"/>
          <w:color w:val="auto"/>
        </w:rPr>
      </w:pPr>
      <w:r>
        <w:rPr>
          <w:rFonts w:ascii="Arial" w:cs="Arial" w:eastAsia="Arial" w:hAnsi="Arial"/>
          <w:sz w:val="12"/>
          <w:szCs w:val="12"/>
          <w:color w:val="auto"/>
        </w:rPr>
        <w:t>As of October 27, 2020, there were 47,130,331 shares of the registrant’s common stock, $0.01 par value, outstanding.</w:t>
      </w:r>
    </w:p>
    <w:p>
      <w:pPr>
        <w:sectPr>
          <w:pgSz w:w="11900" w:h="16838" w:orient="portrait"/>
          <w:cols w:equalWidth="0" w:num="1">
            <w:col w:w="11240"/>
          </w:cols>
          <w:pgMar w:left="320" w:top="1071" w:right="339" w:bottom="1440" w:gutter="0" w:footer="0" w:header="0"/>
          <w:type w:val="continuous"/>
        </w:sect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3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20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40" w:type="dxa"/>
            <w:vAlign w:val="bottom"/>
            <w:gridSpan w:val="7"/>
            <w:vMerge w:val="restart"/>
          </w:tcPr>
          <w:p>
            <w:pPr>
              <w:spacing w:after="0"/>
              <w:rPr>
                <w:sz w:val="20"/>
                <w:szCs w:val="20"/>
                <w:color w:val="auto"/>
              </w:rPr>
            </w:pPr>
            <w:r>
              <w:rPr>
                <w:rFonts w:ascii="Arial" w:cs="Arial" w:eastAsia="Arial" w:hAnsi="Arial"/>
                <w:sz w:val="18"/>
                <w:szCs w:val="18"/>
                <w:b w:val="1"/>
                <w:bCs w:val="1"/>
                <w:color w:val="00B2A9"/>
              </w:rPr>
              <w:t>Part I – FINANCIAL INFORMATION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10"/>
        </w:trPr>
        <w:tc>
          <w:tcPr>
            <w:tcW w:w="9740" w:type="dxa"/>
            <w:vAlign w:val="bottom"/>
            <w:gridSpan w:val="7"/>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6"/>
          </w:tcPr>
          <w:p>
            <w:pPr>
              <w:spacing w:after="0"/>
              <w:rPr>
                <w:sz w:val="20"/>
                <w:szCs w:val="20"/>
                <w:color w:val="auto"/>
              </w:rPr>
            </w:pPr>
            <w:r>
              <w:rPr>
                <w:rFonts w:ascii="Arial" w:cs="Arial" w:eastAsia="Arial" w:hAnsi="Arial"/>
                <w:sz w:val="18"/>
                <w:szCs w:val="18"/>
                <w:color w:val="auto"/>
              </w:rPr>
              <w:t>Financial Statements and Notes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740" w:type="dxa"/>
            <w:vAlign w:val="bottom"/>
            <w:gridSpan w:val="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Balance Sheets as of September 30, 2020 and March 31, 2020</w:t>
              </w:r>
            </w:hyperlink>
          </w:p>
        </w:tc>
        <w:tc>
          <w:tcPr>
            <w:tcW w:w="6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8740" w:type="dxa"/>
            <w:vAlign w:val="bottom"/>
            <w:gridSpan w:val="6"/>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Statements of Operations for the three and six months ended September 30, 2020</w:t>
              </w:r>
            </w:hyperlink>
          </w:p>
        </w:tc>
        <w:tc>
          <w:tcPr>
            <w:tcW w:w="660" w:type="dxa"/>
            <w:vAlign w:val="bottom"/>
          </w:tcPr>
          <w:p>
            <w:pPr>
              <w:jc w:val="right"/>
              <w:spacing w:after="0" w:line="189"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and 2019</w:t>
              </w:r>
            </w:hyperlink>
          </w:p>
        </w:tc>
        <w:tc>
          <w:tcPr>
            <w:tcW w:w="778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8740" w:type="dxa"/>
            <w:vAlign w:val="bottom"/>
            <w:gridSpan w:val="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Comprehensive Loss for the three and six months ended September</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5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30, 2020 and 2019</w:t>
              </w:r>
            </w:hyperlink>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740" w:type="dxa"/>
            <w:vAlign w:val="bottom"/>
            <w:gridSpan w:val="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Statements of Stockholders’ Equity for the three and six months ended September</w:t>
              </w:r>
            </w:hyperlink>
          </w:p>
        </w:tc>
        <w:tc>
          <w:tcPr>
            <w:tcW w:w="6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852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30, 2020 and 2019</w:t>
              </w:r>
            </w:hyperlink>
          </w:p>
        </w:tc>
        <w:tc>
          <w:tcPr>
            <w:tcW w:w="22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8740" w:type="dxa"/>
            <w:vAlign w:val="bottom"/>
            <w:gridSpan w:val="6"/>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Consolidated Statements of Cash Flows for the six months ended September 30,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8740" w:type="dxa"/>
            <w:vAlign w:val="bottom"/>
            <w:gridSpan w:val="6"/>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 (unaudited)</w:t>
              </w:r>
            </w:hyperlink>
          </w:p>
        </w:tc>
        <w:tc>
          <w:tcPr>
            <w:tcW w:w="6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gridSpan w:val="6"/>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gridSpan w:val="6"/>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gridSpan w:val="6"/>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c>
          <w:tcPr>
            <w:tcW w:w="0" w:type="dxa"/>
            <w:vAlign w:val="bottom"/>
          </w:tcPr>
          <w:p>
            <w:pPr>
              <w:spacing w:after="0"/>
              <w:rPr>
                <w:sz w:val="1"/>
                <w:szCs w:val="1"/>
                <w:color w:val="auto"/>
              </w:rPr>
            </w:pPr>
          </w:p>
        </w:tc>
      </w:tr>
      <w:tr>
        <w:trPr>
          <w:trHeight w:val="500"/>
        </w:trPr>
        <w:tc>
          <w:tcPr>
            <w:tcW w:w="9740" w:type="dxa"/>
            <w:vAlign w:val="bottom"/>
            <w:gridSpan w:val="7"/>
          </w:tcPr>
          <w:p>
            <w:pPr>
              <w:spacing w:after="0"/>
              <w:rPr>
                <w:rFonts w:ascii="Arial" w:cs="Arial" w:eastAsia="Arial" w:hAnsi="Arial"/>
                <w:sz w:val="18"/>
                <w:szCs w:val="18"/>
                <w:b w:val="1"/>
                <w:bCs w:val="1"/>
                <w:u w:val="single" w:color="auto"/>
                <w:color w:val="0000FF"/>
              </w:rPr>
            </w:pPr>
            <w:hyperlink w:anchor="page30">
              <w:r>
                <w:rPr>
                  <w:rFonts w:ascii="Arial" w:cs="Arial" w:eastAsia="Arial" w:hAnsi="Arial"/>
                  <w:sz w:val="18"/>
                  <w:szCs w:val="18"/>
                  <w:b w:val="1"/>
                  <w:bCs w:val="1"/>
                  <w:u w:val="single" w:color="auto"/>
                  <w:color w:val="0000FF"/>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Unregistered Sale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Defaults Upon Senior Securities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740" w:type="dxa"/>
            <w:vAlign w:val="bottom"/>
            <w:gridSpan w:val="6"/>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c>
          <w:tcPr>
            <w:tcW w:w="0" w:type="dxa"/>
            <w:vAlign w:val="bottom"/>
          </w:tcPr>
          <w:p>
            <w:pPr>
              <w:spacing w:after="0"/>
              <w:rPr>
                <w:sz w:val="1"/>
                <w:szCs w:val="1"/>
                <w:color w:val="auto"/>
              </w:rPr>
            </w:pPr>
          </w:p>
        </w:tc>
      </w:tr>
      <w:tr>
        <w:trPr>
          <w:trHeight w:val="499"/>
        </w:trPr>
        <w:tc>
          <w:tcPr>
            <w:tcW w:w="9740" w:type="dxa"/>
            <w:vAlign w:val="bottom"/>
            <w:gridSpan w:val="7"/>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SIGNATURES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40" w:top="1048" w:right="1159" w:bottom="1440" w:gutter="0" w:footer="0" w:header="0"/>
        </w:sectPr>
      </w:pPr>
    </w:p>
    <w:bookmarkStart w:id="2" w:name="page3"/>
    <w:bookmarkEnd w:id="2"/>
    <w:p>
      <w:pPr>
        <w:ind w:left="45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7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196"/>
        </w:trPr>
        <w:tc>
          <w:tcPr>
            <w:tcW w:w="7800" w:type="dxa"/>
            <w:vAlign w:val="bottom"/>
          </w:tcPr>
          <w:p>
            <w:pPr>
              <w:ind w:left="35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80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383,153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288,082</w:t>
            </w:r>
          </w:p>
        </w:tc>
      </w:tr>
      <w:tr>
        <w:trPr>
          <w:trHeight w:val="219"/>
        </w:trPr>
        <w:tc>
          <w:tcPr>
            <w:tcW w:w="7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r>
      <w:tr>
        <w:trPr>
          <w:trHeight w:val="213"/>
        </w:trPr>
        <w:tc>
          <w:tcPr>
            <w:tcW w:w="780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43,645</w:t>
            </w:r>
          </w:p>
        </w:tc>
      </w:tr>
      <w:tr>
        <w:trPr>
          <w:trHeight w:val="219"/>
        </w:trPr>
        <w:tc>
          <w:tcPr>
            <w:tcW w:w="7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accounts receivable,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146,990</w:t>
            </w:r>
          </w:p>
        </w:tc>
      </w:tr>
      <w:tr>
        <w:trPr>
          <w:trHeight w:val="213"/>
        </w:trPr>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26,969</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513,686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114,519</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32,726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31,394</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46,350</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112,435</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11,683</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845,076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6"/>
        </w:trPr>
        <w:tc>
          <w:tcPr>
            <w:tcW w:w="7800" w:type="dxa"/>
            <w:vAlign w:val="bottom"/>
            <w:shd w:val="clear" w:color="auto" w:fill="CCEEFF"/>
          </w:tcPr>
          <w:p>
            <w:pPr>
              <w:ind w:left="21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780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87,051</w:t>
            </w:r>
          </w:p>
        </w:tc>
      </w:tr>
      <w:tr>
        <w:trPr>
          <w:trHeight w:val="219"/>
        </w:trPr>
        <w:tc>
          <w:tcPr>
            <w:tcW w:w="7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7,699</w:t>
            </w:r>
          </w:p>
        </w:tc>
      </w:tr>
      <w:tr>
        <w:trPr>
          <w:trHeight w:val="213"/>
        </w:trPr>
        <w:tc>
          <w:tcPr>
            <w:tcW w:w="78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227,777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233,497</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328,554</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Deferred revenue, less current portion</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97,506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92,723</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12,574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8,808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2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78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Common stock, $0.01 par value: 250,000 shares authorized, 46,685 shares and 46,011 shares issued and</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2020 and March 31, 2020, respectively</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1,023,459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978,659</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(553,790)</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(13,423)</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419,476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411,904</w:t>
            </w: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845,076</w:t>
            </w:r>
          </w:p>
        </w:tc>
      </w:tr>
      <w:tr>
        <w:trPr>
          <w:trHeight w:val="23"/>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9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9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12"/>
        </w:trPr>
        <w:tc>
          <w:tcPr>
            <w:tcW w:w="4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72,309</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68,595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148,863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132,269</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98,830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195,276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197,516</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6"/>
                <w:szCs w:val="16"/>
                <w:color w:val="auto"/>
              </w:rPr>
              <w:t>Total revenues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171,139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344,139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329,785</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7,903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14,861</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45,100</w:t>
            </w:r>
          </w:p>
        </w:tc>
        <w:tc>
          <w:tcPr>
            <w:tcW w:w="0" w:type="dxa"/>
            <w:vAlign w:val="bottom"/>
          </w:tcPr>
          <w:p>
            <w:pPr>
              <w:spacing w:after="0"/>
              <w:rPr>
                <w:sz w:val="1"/>
                <w:szCs w:val="1"/>
                <w:color w:val="auto"/>
              </w:rPr>
            </w:pPr>
          </w:p>
        </w:tc>
      </w:tr>
      <w:tr>
        <w:trPr>
          <w:trHeight w:val="207"/>
        </w:trPr>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cost of revenues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26,799</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31,241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51,350</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59,961</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144,340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269,824</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168,345</w:t>
            </w:r>
          </w:p>
        </w:tc>
        <w:tc>
          <w:tcPr>
            <w:tcW w:w="0" w:type="dxa"/>
            <w:vAlign w:val="bottom"/>
          </w:tcPr>
          <w:p>
            <w:pPr>
              <w:spacing w:after="0"/>
              <w:rPr>
                <w:sz w:val="1"/>
                <w:szCs w:val="1"/>
                <w:color w:val="auto"/>
              </w:rPr>
            </w:pPr>
          </w:p>
        </w:tc>
      </w:tr>
      <w:tr>
        <w:trPr>
          <w:trHeight w:val="213"/>
        </w:trPr>
        <w:tc>
          <w:tcPr>
            <w:tcW w:w="46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30,955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62,097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46,807</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47,260</w:t>
            </w:r>
          </w:p>
        </w:tc>
        <w:tc>
          <w:tcPr>
            <w:tcW w:w="0" w:type="dxa"/>
            <w:vAlign w:val="bottom"/>
          </w:tcPr>
          <w:p>
            <w:pPr>
              <w:spacing w:after="0"/>
              <w:rPr>
                <w:sz w:val="1"/>
                <w:szCs w:val="1"/>
                <w:color w:val="auto"/>
              </w:rPr>
            </w:pPr>
          </w:p>
        </w:tc>
      </w:tr>
      <w:tr>
        <w:trPr>
          <w:trHeight w:val="213"/>
        </w:trPr>
        <w:tc>
          <w:tcPr>
            <w:tcW w:w="4620" w:type="dxa"/>
            <w:vAlign w:val="bottom"/>
          </w:tcPr>
          <w:p>
            <w:pPr>
              <w:ind w:left="320"/>
              <w:spacing w:after="0"/>
              <w:rPr>
                <w:sz w:val="20"/>
                <w:szCs w:val="20"/>
                <w:color w:val="auto"/>
              </w:rPr>
            </w:pPr>
            <w:r>
              <w:rPr>
                <w:rFonts w:ascii="Arial" w:cs="Arial" w:eastAsia="Arial" w:hAnsi="Arial"/>
                <w:sz w:val="16"/>
                <w:szCs w:val="16"/>
                <w:color w:val="auto"/>
              </w:rPr>
              <w:t>Restructuring</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5,767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16,930</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intangible 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10,118</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5,325</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186,292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328,058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284,667</w:t>
            </w:r>
          </w:p>
        </w:tc>
        <w:tc>
          <w:tcPr>
            <w:tcW w:w="0" w:type="dxa"/>
            <w:vAlign w:val="bottom"/>
          </w:tcPr>
          <w:p>
            <w:pPr>
              <w:spacing w:after="0"/>
              <w:rPr>
                <w:sz w:val="1"/>
                <w:szCs w:val="1"/>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(41,952)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(35,269)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(14,843)</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3,484</w:t>
            </w:r>
          </w:p>
        </w:tc>
        <w:tc>
          <w:tcPr>
            <w:tcW w:w="0" w:type="dxa"/>
            <w:vAlign w:val="bottom"/>
          </w:tcPr>
          <w:p>
            <w:pPr>
              <w:spacing w:after="0"/>
              <w:rPr>
                <w:sz w:val="1"/>
                <w:szCs w:val="1"/>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(41,703)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(34,677)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(13,930)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loss per common share:</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32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20" w:type="dxa"/>
            <w:vAlign w:val="bottom"/>
            <w:tcBorders>
              <w:bottom w:val="single" w:sz="8" w:color="CCEEFF"/>
            </w:tcBorders>
            <w:shd w:val="clear" w:color="auto" w:fill="CCEEFF"/>
          </w:tcPr>
          <w:p>
            <w:pPr>
              <w:ind w:left="320"/>
              <w:spacing w:after="0" w:line="180" w:lineRule="exact"/>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46,516</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46,354</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45,363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46,516</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46,354</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45,363</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048" w:right="539" w:bottom="1440" w:gutter="0" w:footer="0" w:header="0"/>
        </w:sectPr>
      </w:pPr>
    </w:p>
    <w:bookmarkStart w:id="4" w:name="page5"/>
    <w:bookmarkEnd w:id="4"/>
    <w:p>
      <w:pPr>
        <w:ind w:left="41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spacing w:after="0"/>
              <w:rPr>
                <w:sz w:val="18"/>
                <w:szCs w:val="18"/>
                <w:color w:val="auto"/>
              </w:rPr>
            </w:pPr>
          </w:p>
        </w:tc>
        <w:tc>
          <w:tcPr>
            <w:tcW w:w="31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4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(13,930)</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(40,383)</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(8,222)</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(37,150)</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(15,095)</w:t>
            </w:r>
          </w:p>
        </w:tc>
      </w:tr>
      <w:tr>
        <w:trPr>
          <w:trHeight w:val="24"/>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700" w:top="1048" w:right="719" w:bottom="1440" w:gutter="0" w:footer="0" w:header="0"/>
        </w:sectPr>
      </w:pPr>
    </w:p>
    <w:bookmarkStart w:id="5" w:name="page6"/>
    <w:bookmarkEnd w:id="5"/>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5" w:lineRule="exact"/>
        <w:rPr>
          <w:sz w:val="20"/>
          <w:szCs w:val="20"/>
          <w:color w:val="auto"/>
        </w:rPr>
      </w:pPr>
    </w:p>
    <w:tbl>
      <w:tblPr>
        <w:tblLayout w:type="fixed"/>
        <w:tblInd w:w="39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4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60" w:type="dxa"/>
            <w:vAlign w:val="bottom"/>
            <w:tcBorders>
              <w:bottom w:val="single" w:sz="8" w:color="auto"/>
            </w:tcBorders>
            <w:gridSpan w:val="2"/>
            <w:vMerge w:val="continue"/>
          </w:tcPr>
          <w:p>
            <w:pPr>
              <w:spacing w:after="0"/>
              <w:rPr>
                <w:sz w:val="8"/>
                <w:szCs w:val="8"/>
                <w:color w:val="auto"/>
              </w:rPr>
            </w:pPr>
          </w:p>
        </w:tc>
        <w:tc>
          <w:tcPr>
            <w:tcW w:w="13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 – In</w:t>
            </w:r>
          </w:p>
        </w:tc>
        <w:tc>
          <w:tcPr>
            <w:tcW w:w="14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16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30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76"/>
        </w:trPr>
        <w:tc>
          <w:tcPr>
            <w:tcW w:w="9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15" w:lineRule="exact"/>
        <w:rPr>
          <w:sz w:val="20"/>
          <w:szCs w:val="20"/>
          <w:color w:val="auto"/>
        </w:rPr>
      </w:pPr>
    </w:p>
    <w:p>
      <w:pPr>
        <w:ind w:left="340" w:right="940" w:hanging="305"/>
        <w:spacing w:after="0" w:line="290" w:lineRule="auto"/>
        <w:rPr>
          <w:sz w:val="20"/>
          <w:szCs w:val="20"/>
          <w:color w:val="auto"/>
        </w:rPr>
      </w:pPr>
      <w:r>
        <w:rPr>
          <w:rFonts w:ascii="Arial" w:cs="Arial" w:eastAsia="Arial" w:hAnsi="Arial"/>
          <w:sz w:val="16"/>
          <w:szCs w:val="16"/>
          <w:color w:val="auto"/>
        </w:rPr>
        <w:t>Balance as of June 30, 2020 Stock-based compensation</w:t>
      </w:r>
    </w:p>
    <w:p>
      <w:pPr>
        <w:spacing w:after="0" w:line="1" w:lineRule="exact"/>
        <w:rPr>
          <w:sz w:val="20"/>
          <w:szCs w:val="20"/>
          <w:color w:val="auto"/>
        </w:rPr>
      </w:pPr>
    </w:p>
    <w:p>
      <w:pPr>
        <w:ind w:left="340" w:right="60"/>
        <w:spacing w:after="0" w:line="232" w:lineRule="auto"/>
        <w:rPr>
          <w:sz w:val="20"/>
          <w:szCs w:val="20"/>
          <w:color w:val="auto"/>
        </w:rPr>
      </w:pPr>
      <w:r>
        <w:rPr>
          <w:rFonts w:ascii="Arial" w:cs="Arial" w:eastAsia="Arial" w:hAnsi="Arial"/>
          <w:sz w:val="16"/>
          <w:szCs w:val="16"/>
          <w:color w:val="auto"/>
        </w:rPr>
        <w:t>Share issuances related to stock-based compensation</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loss</w:t>
      </w:r>
    </w:p>
    <w:p>
      <w:pPr>
        <w:spacing w:after="0" w:line="32" w:lineRule="exact"/>
        <w:rPr>
          <w:sz w:val="20"/>
          <w:szCs w:val="20"/>
          <w:color w:val="auto"/>
        </w:rPr>
      </w:pPr>
    </w:p>
    <w:p>
      <w:pPr>
        <w:ind w:left="20" w:right="700" w:firstLine="306"/>
        <w:spacing w:after="0" w:line="295" w:lineRule="auto"/>
        <w:rPr>
          <w:sz w:val="20"/>
          <w:szCs w:val="20"/>
          <w:color w:val="auto"/>
        </w:rPr>
      </w:pPr>
      <w:r>
        <w:rPr>
          <w:rFonts w:ascii="Arial" w:cs="Arial" w:eastAsia="Arial" w:hAnsi="Arial"/>
          <w:sz w:val="16"/>
          <w:szCs w:val="16"/>
          <w:color w:val="auto"/>
        </w:rPr>
        <w:t>Other comprehensive income Balance as of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46,321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997,838</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(551,591)</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(12,473)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434,235</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20,584</w:t>
            </w:r>
          </w:p>
        </w:tc>
      </w:tr>
      <w:tr>
        <w:trPr>
          <w:trHeight w:val="216"/>
        </w:trPr>
        <w:tc>
          <w:tcPr>
            <w:tcW w:w="84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5,040</w:t>
            </w:r>
          </w:p>
        </w:tc>
      </w:tr>
      <w:tr>
        <w:trPr>
          <w:trHeight w:val="378"/>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(41,171)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(41,171)</w:t>
            </w:r>
          </w:p>
        </w:tc>
      </w:tr>
      <w:tr>
        <w:trPr>
          <w:trHeight w:val="219"/>
        </w:trPr>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r>
      <w:tr>
        <w:trPr>
          <w:trHeight w:val="209"/>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1,023,459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(592,762)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419,476</w:t>
            </w:r>
          </w:p>
        </w:tc>
      </w:tr>
      <w:tr>
        <w:trPr>
          <w:trHeight w:val="23"/>
        </w:trPr>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-693420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-316865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4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vMerge w:val="continue"/>
          </w:tcPr>
          <w:p>
            <w:pPr>
              <w:spacing w:after="0"/>
              <w:rPr>
                <w:sz w:val="11"/>
                <w:szCs w:val="11"/>
                <w:color w:val="auto"/>
              </w:rPr>
            </w:pPr>
          </w:p>
        </w:tc>
        <w:tc>
          <w:tcPr>
            <w:tcW w:w="148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840" w:type="dxa"/>
            <w:vAlign w:val="bottom"/>
            <w:tcBorders>
              <w:bottom w:val="single" w:sz="8" w:color="auto"/>
            </w:tcBorders>
            <w:gridSpan w:val="2"/>
            <w:vMerge w:val="continue"/>
          </w:tcPr>
          <w:p>
            <w:pPr>
              <w:spacing w:after="0"/>
              <w:rPr>
                <w:sz w:val="8"/>
                <w:szCs w:val="8"/>
                <w:color w:val="auto"/>
              </w:rPr>
            </w:pPr>
          </w:p>
        </w:tc>
        <w:tc>
          <w:tcPr>
            <w:tcW w:w="13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 – In</w:t>
            </w:r>
          </w:p>
        </w:tc>
        <w:tc>
          <w:tcPr>
            <w:tcW w:w="14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16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30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75"/>
        </w:trPr>
        <w:tc>
          <w:tcPr>
            <w:tcW w:w="8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220" w:space="720"/>
            <w:col w:w="7300"/>
          </w:cols>
          <w:pgMar w:left="320" w:top="1048"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978,659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(553,790)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411,904</w:t>
            </w:r>
          </w:p>
        </w:tc>
      </w:tr>
      <w:tr>
        <w:trPr>
          <w:trHeight w:val="213"/>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39,535</w:t>
            </w:r>
          </w:p>
        </w:tc>
      </w:tr>
      <w:tr>
        <w:trPr>
          <w:trHeight w:val="180"/>
        </w:trPr>
        <w:tc>
          <w:tcPr>
            <w:tcW w:w="394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Share issuances related to stock-based</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5,265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5,271</w:t>
            </w:r>
          </w:p>
        </w:tc>
      </w:tr>
      <w:tr>
        <w:trPr>
          <w:trHeight w:val="201"/>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77"/>
        </w:trPr>
        <w:tc>
          <w:tcPr>
            <w:tcW w:w="3940" w:type="dxa"/>
            <w:vAlign w:val="bottom"/>
          </w:tcPr>
          <w:p>
            <w:pPr>
              <w:ind w:left="340"/>
              <w:spacing w:after="0" w:line="178" w:lineRule="exact"/>
              <w:rPr>
                <w:sz w:val="20"/>
                <w:szCs w:val="20"/>
                <w:color w:val="auto"/>
              </w:rPr>
            </w:pPr>
            <w:r>
              <w:rPr>
                <w:rFonts w:ascii="Arial" w:cs="Arial" w:eastAsia="Arial" w:hAnsi="Arial"/>
                <w:sz w:val="16"/>
                <w:szCs w:val="16"/>
                <w:color w:val="auto"/>
              </w:rPr>
              <w:t>Cumulative effect change in accounting for ASU</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(84)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(84)</w:t>
            </w:r>
          </w:p>
        </w:tc>
      </w:tr>
      <w:tr>
        <w:trPr>
          <w:trHeight w:val="198"/>
        </w:trPr>
        <w:tc>
          <w:tcPr>
            <w:tcW w:w="3940" w:type="dxa"/>
            <w:vAlign w:val="bottom"/>
          </w:tcPr>
          <w:p>
            <w:pPr>
              <w:ind w:left="340"/>
              <w:spacing w:after="0"/>
              <w:rPr>
                <w:sz w:val="20"/>
                <w:szCs w:val="20"/>
                <w:color w:val="auto"/>
              </w:rPr>
            </w:pPr>
            <w:r>
              <w:rPr>
                <w:rFonts w:ascii="Arial" w:cs="Arial" w:eastAsia="Arial" w:hAnsi="Arial"/>
                <w:sz w:val="16"/>
                <w:szCs w:val="16"/>
                <w:color w:val="auto"/>
              </w:rPr>
              <w:t>2016-13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(38,888)</w:t>
            </w:r>
          </w:p>
        </w:tc>
      </w:tr>
      <w:tr>
        <w:trPr>
          <w:trHeight w:val="213"/>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1,023,459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(592,762)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419,476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4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60" w:type="dxa"/>
            <w:vAlign w:val="bottom"/>
            <w:tcBorders>
              <w:bottom w:val="single" w:sz="8" w:color="auto"/>
            </w:tcBorders>
            <w:gridSpan w:val="2"/>
            <w:vMerge w:val="continue"/>
          </w:tcPr>
          <w:p>
            <w:pPr>
              <w:spacing w:after="0"/>
              <w:rPr>
                <w:sz w:val="8"/>
                <w:szCs w:val="8"/>
                <w:color w:val="auto"/>
              </w:rPr>
            </w:pPr>
          </w:p>
        </w:tc>
        <w:tc>
          <w:tcPr>
            <w:tcW w:w="13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 – In</w:t>
            </w:r>
          </w:p>
        </w:tc>
        <w:tc>
          <w:tcPr>
            <w:tcW w:w="14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16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30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76"/>
        </w:trPr>
        <w:tc>
          <w:tcPr>
            <w:tcW w:w="9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20"/>
          </w:cols>
          <w:pgMar w:left="340" w:top="1048" w:right="339" w:bottom="1440" w:gutter="0" w:footer="0" w:header="0"/>
        </w:sectPr>
      </w:pPr>
    </w:p>
    <w:p>
      <w:pPr>
        <w:spacing w:after="0" w:line="15" w:lineRule="exact"/>
        <w:rPr>
          <w:sz w:val="20"/>
          <w:szCs w:val="20"/>
          <w:color w:val="auto"/>
        </w:rPr>
      </w:pPr>
    </w:p>
    <w:p>
      <w:pPr>
        <w:ind w:left="320" w:right="940" w:hanging="305"/>
        <w:spacing w:after="0" w:line="290" w:lineRule="auto"/>
        <w:rPr>
          <w:sz w:val="20"/>
          <w:szCs w:val="20"/>
          <w:color w:val="auto"/>
        </w:rPr>
      </w:pPr>
      <w:r>
        <w:rPr>
          <w:rFonts w:ascii="Arial" w:cs="Arial" w:eastAsia="Arial" w:hAnsi="Arial"/>
          <w:sz w:val="16"/>
          <w:szCs w:val="16"/>
          <w:color w:val="auto"/>
        </w:rPr>
        <w:t>Balance as of June 30, 2019 Stock-based compensation</w:t>
      </w:r>
    </w:p>
    <w:p>
      <w:pPr>
        <w:spacing w:after="0" w:line="1" w:lineRule="exact"/>
        <w:rPr>
          <w:sz w:val="20"/>
          <w:szCs w:val="20"/>
          <w:color w:val="auto"/>
        </w:rPr>
      </w:pPr>
    </w:p>
    <w:p>
      <w:pPr>
        <w:ind w:left="320" w:right="60"/>
        <w:spacing w:after="0" w:line="232" w:lineRule="auto"/>
        <w:rPr>
          <w:sz w:val="20"/>
          <w:szCs w:val="20"/>
          <w:color w:val="auto"/>
        </w:rPr>
      </w:pPr>
      <w:r>
        <w:rPr>
          <w:rFonts w:ascii="Arial" w:cs="Arial" w:eastAsia="Arial" w:hAnsi="Arial"/>
          <w:sz w:val="16"/>
          <w:szCs w:val="16"/>
          <w:color w:val="auto"/>
        </w:rPr>
        <w:t>Share issuances related to stock-based compensation</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loss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45,077</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896,383</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(525,420)</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359,817</w:t>
            </w: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14,857</w:t>
            </w:r>
          </w:p>
        </w:tc>
      </w:tr>
      <w:tr>
        <w:trPr>
          <w:trHeight w:val="216"/>
        </w:trPr>
        <w:tc>
          <w:tcPr>
            <w:tcW w:w="84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5,662</w:t>
            </w:r>
          </w:p>
        </w:tc>
      </w:tr>
      <w:tr>
        <w:trPr>
          <w:trHeight w:val="378"/>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(7,084)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(7,084)</w:t>
            </w:r>
          </w:p>
        </w:tc>
      </w:tr>
      <w:tr>
        <w:trPr>
          <w:trHeight w:val="219"/>
        </w:trPr>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r>
      <w:tr>
        <w:trPr>
          <w:trHeight w:val="210"/>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916,899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(532,504)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372,114</w:t>
            </w:r>
          </w:p>
        </w:tc>
      </w:tr>
      <w:tr>
        <w:trPr>
          <w:trHeight w:val="23"/>
        </w:trPr>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-693420</wp:posOffset>
            </wp:positionV>
            <wp:extent cx="71323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-316865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13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800" w:type="dxa"/>
            <w:vAlign w:val="bottom"/>
            <w:tcBorders>
              <w:bottom w:val="single" w:sz="8" w:color="auto"/>
            </w:tcBorders>
            <w:gridSpan w:val="2"/>
            <w:vMerge w:val="continue"/>
          </w:tcPr>
          <w:p>
            <w:pPr>
              <w:spacing w:after="0"/>
              <w:rPr>
                <w:sz w:val="8"/>
                <w:szCs w:val="8"/>
                <w:color w:val="auto"/>
              </w:rPr>
            </w:pPr>
          </w:p>
        </w:tc>
        <w:tc>
          <w:tcPr>
            <w:tcW w:w="12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Paid – In</w:t>
            </w:r>
          </w:p>
        </w:tc>
        <w:tc>
          <w:tcPr>
            <w:tcW w:w="13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Accumulated</w:t>
            </w:r>
          </w:p>
        </w:tc>
        <w:tc>
          <w:tcPr>
            <w:tcW w:w="16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20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66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75"/>
        </w:trPr>
        <w:tc>
          <w:tcPr>
            <w:tcW w:w="8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Loss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200" w:space="720"/>
            <w:col w:w="7300"/>
          </w:cols>
          <w:pgMar w:left="340" w:top="1048" w:right="339" w:bottom="1440" w:gutter="0" w:footer="0" w:header="0"/>
          <w:type w:val="continuous"/>
        </w:sectPr>
      </w:pPr>
    </w:p>
    <w:tbl>
      <w:tblPr>
        <w:tblLayout w:type="fixed"/>
        <w:tblInd w:w="140" w:type="dxa"/>
        <w:tblCellMar>
          <w:top w:w="0" w:type="dxa"/>
          <w:left w:w="0" w:type="dxa"/>
          <w:bottom w:w="0" w:type="dxa"/>
          <w:right w:w="0" w:type="dxa"/>
        </w:tblCellMar>
      </w:tblP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45,582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887,907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(485,490)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391,303</w:t>
            </w:r>
          </w:p>
        </w:tc>
      </w:tr>
      <w:tr>
        <w:trPr>
          <w:trHeight w:val="213"/>
        </w:trPr>
        <w:tc>
          <w:tcPr>
            <w:tcW w:w="388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29,607</w:t>
            </w:r>
          </w:p>
        </w:tc>
      </w:tr>
      <w:tr>
        <w:trPr>
          <w:trHeight w:val="180"/>
        </w:trPr>
        <w:tc>
          <w:tcPr>
            <w:tcW w:w="38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6,319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6,325</w:t>
            </w:r>
          </w:p>
        </w:tc>
      </w:tr>
      <w:tr>
        <w:trPr>
          <w:trHeight w:val="201"/>
        </w:trPr>
        <w:tc>
          <w:tcPr>
            <w:tcW w:w="3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388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(33,084)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(40,026)</w:t>
            </w:r>
          </w:p>
        </w:tc>
      </w:tr>
      <w:tr>
        <w:trPr>
          <w:trHeight w:val="219"/>
        </w:trPr>
        <w:tc>
          <w:tcPr>
            <w:tcW w:w="3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(13,930)</w:t>
            </w:r>
          </w:p>
        </w:tc>
      </w:tr>
      <w:tr>
        <w:trPr>
          <w:trHeight w:val="213"/>
        </w:trPr>
        <w:tc>
          <w:tcPr>
            <w:tcW w:w="38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r>
      <w:tr>
        <w:trPr>
          <w:trHeight w:val="235"/>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916,899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(532,504)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048" w:right="339" w:bottom="1440" w:gutter="0" w:footer="0" w:header="0"/>
          <w:type w:val="continuous"/>
        </w:sectPr>
      </w:pPr>
    </w:p>
    <w:bookmarkStart w:id="7" w:name="page8"/>
    <w:bookmarkEnd w:id="7"/>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7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19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(38,888)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(13,930)</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6,054</w:t>
            </w: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stock-based compensation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29,607</w:t>
            </w: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Amortization of deferred commissions cost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8,730</w:t>
            </w: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operating lease assets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r>
      <w:tr>
        <w:trPr>
          <w:trHeight w:val="213"/>
        </w:trPr>
        <w:tc>
          <w:tcPr>
            <w:tcW w:w="7900" w:type="dxa"/>
            <w:vAlign w:val="bottom"/>
          </w:tcPr>
          <w:p>
            <w:pPr>
              <w:ind w:left="340"/>
              <w:spacing w:after="0"/>
              <w:rPr>
                <w:sz w:val="20"/>
                <w:szCs w:val="20"/>
                <w:color w:val="auto"/>
              </w:rPr>
            </w:pPr>
            <w:r>
              <w:rPr>
                <w:rFonts w:ascii="Arial" w:cs="Arial" w:eastAsia="Arial" w:hAnsi="Arial"/>
                <w:sz w:val="16"/>
                <w:szCs w:val="16"/>
                <w:color w:val="auto"/>
              </w:rPr>
              <w:t>Impairment of intangible asset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40,700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900" w:type="dxa"/>
            <w:vAlign w:val="bottom"/>
          </w:tcPr>
          <w:p>
            <w:pPr>
              <w:ind w:left="660"/>
              <w:spacing w:after="0"/>
              <w:rPr>
                <w:sz w:val="20"/>
                <w:szCs w:val="20"/>
                <w:color w:val="auto"/>
              </w:rPr>
            </w:pPr>
            <w:r>
              <w:rPr>
                <w:rFonts w:ascii="Arial" w:cs="Arial" w:eastAsia="Arial" w:hAnsi="Arial"/>
                <w:sz w:val="16"/>
                <w:szCs w:val="16"/>
                <w:color w:val="auto"/>
              </w:rPr>
              <w:t>Trade accounts receivable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45,625</w:t>
            </w:r>
          </w:p>
        </w:tc>
      </w:tr>
      <w:tr>
        <w:trPr>
          <w:trHeight w:val="21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assets and liabilities,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7900" w:type="dxa"/>
            <w:vAlign w:val="bottom"/>
          </w:tcPr>
          <w:p>
            <w:pPr>
              <w:ind w:left="660"/>
              <w:spacing w:after="0"/>
              <w:rPr>
                <w:sz w:val="20"/>
                <w:szCs w:val="20"/>
                <w:color w:val="auto"/>
              </w:rPr>
            </w:pPr>
            <w:r>
              <w:rPr>
                <w:rFonts w:ascii="Arial" w:cs="Arial" w:eastAsia="Arial" w:hAnsi="Arial"/>
                <w:sz w:val="16"/>
                <w:szCs w:val="16"/>
                <w:color w:val="auto"/>
              </w:rPr>
              <w:t>Other current assets and Other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(1,796)</w:t>
            </w:r>
          </w:p>
        </w:tc>
      </w:tr>
      <w:tr>
        <w:trPr>
          <w:trHeight w:val="21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commissions cost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w:t>
            </w:r>
          </w:p>
        </w:tc>
      </w:tr>
      <w:tr>
        <w:trPr>
          <w:trHeight w:val="213"/>
        </w:trPr>
        <w:tc>
          <w:tcPr>
            <w:tcW w:w="790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r>
      <w:tr>
        <w:trPr>
          <w:trHeight w:val="213"/>
        </w:trPr>
        <w:tc>
          <w:tcPr>
            <w:tcW w:w="790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(12,079)</w:t>
            </w:r>
          </w:p>
        </w:tc>
      </w:tr>
      <w:tr>
        <w:trPr>
          <w:trHeight w:val="219"/>
        </w:trPr>
        <w:tc>
          <w:tcPr>
            <w:tcW w:w="7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207"/>
        </w:trPr>
        <w:tc>
          <w:tcPr>
            <w:tcW w:w="79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42,242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55,119</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Purchase of short-term investments</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(32,800)</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65,519</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r>
      <w:tr>
        <w:trPr>
          <w:trHeight w:val="21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31,262</w:t>
            </w:r>
          </w:p>
        </w:tc>
      </w:tr>
      <w:tr>
        <w:trPr>
          <w:trHeight w:val="215"/>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(40,026)</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6,325</w:t>
            </w:r>
          </w:p>
        </w:tc>
      </w:tr>
      <w:tr>
        <w:trPr>
          <w:trHeight w:val="21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(33,701)</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w:t>
            </w:r>
          </w:p>
        </w:tc>
      </w:tr>
      <w:tr>
        <w:trPr>
          <w:trHeight w:val="213"/>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49,633</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327,992</w:t>
            </w: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383,153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377,625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00B2A9"/>
        </w:rPr>
      </w:pPr>
      <w:r>
        <w:rPr>
          <w:rFonts w:ascii="Arial" w:cs="Arial" w:eastAsia="Arial" w:hAnsi="Arial"/>
          <w:sz w:val="18"/>
          <w:szCs w:val="18"/>
          <w:b w:val="1"/>
          <w:bCs w:val="1"/>
          <w:color w:val="00B2A9"/>
        </w:rPr>
        <w:t>Basis of Presentation</w:t>
      </w:r>
    </w:p>
    <w:p>
      <w:pPr>
        <w:spacing w:after="0" w:line="193" w:lineRule="exact"/>
        <w:rPr>
          <w:sz w:val="20"/>
          <w:szCs w:val="20"/>
          <w:color w:val="auto"/>
        </w:rPr>
      </w:pPr>
    </w:p>
    <w:p>
      <w:pPr>
        <w:ind w:right="300" w:firstLine="445"/>
        <w:spacing w:after="0" w:line="254"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of Commvault as of September 30, 2020 and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are unaudited, and in the opinion of management, include all adjustments (consisting only of normal recurring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necessary for a fair presentation of the results for the interim periods. Accordingly, they do not include all of the information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footnotes required by U.S. generally accepted accounting principles (“U.S. GAAP”) for complete financial statements and should be read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conjunction with the financial statements and notes in our Annual Report on Form 10-K for fiscal 2020. The results reported in these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should not necessarily be taken as indicative of results that may be expected for the entire fiscal year.</w:t>
      </w:r>
    </w:p>
    <w:p>
      <w:pPr>
        <w:spacing w:after="0" w:line="17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amounts of assets and liabilities reported in our balance sheets and the amounts of revenues and expenses reported for each of our periods presented are affected by estimates and assumptions, which are used for, but not limited to, the accounting for revenue recognition, income taxes and related reserves, and goodwill and purchased intangible assets. Actual results could differ from those estimates.</w:t>
      </w:r>
    </w:p>
    <w:p>
      <w:pPr>
        <w:spacing w:after="0" w:line="200" w:lineRule="exact"/>
        <w:rPr>
          <w:sz w:val="20"/>
          <w:szCs w:val="20"/>
          <w:color w:val="auto"/>
        </w:rPr>
      </w:pPr>
    </w:p>
    <w:p>
      <w:pPr>
        <w:spacing w:after="0" w:line="32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Recently Adopted Accounting Standards</w:t>
      </w:r>
    </w:p>
    <w:p>
      <w:pPr>
        <w:spacing w:after="0" w:line="199"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220" w:type="dxa"/>
            <w:vAlign w:val="bottom"/>
          </w:tcPr>
          <w:p>
            <w:pPr>
              <w:jc w:val="center"/>
              <w:ind w:left="339"/>
              <w:spacing w:after="0"/>
              <w:rPr>
                <w:sz w:val="20"/>
                <w:szCs w:val="20"/>
                <w:color w:val="auto"/>
              </w:rPr>
            </w:pPr>
            <w:r>
              <w:rPr>
                <w:rFonts w:ascii="Arial" w:cs="Arial" w:eastAsia="Arial" w:hAnsi="Arial"/>
                <w:sz w:val="16"/>
                <w:szCs w:val="16"/>
                <w:b w:val="1"/>
                <w:bCs w:val="1"/>
                <w:color w:val="auto"/>
              </w:rPr>
              <w:t>Effect on the Consolidated Financial</w:t>
            </w:r>
          </w:p>
        </w:tc>
        <w:tc>
          <w:tcPr>
            <w:tcW w:w="0" w:type="dxa"/>
            <w:vAlign w:val="bottom"/>
          </w:tcPr>
          <w:p>
            <w:pPr>
              <w:spacing w:after="0"/>
              <w:rPr>
                <w:sz w:val="1"/>
                <w:szCs w:val="1"/>
                <w:color w:val="auto"/>
              </w:rPr>
            </w:pPr>
          </w:p>
        </w:tc>
      </w:tr>
      <w:tr>
        <w:trPr>
          <w:trHeight w:val="162"/>
        </w:trPr>
        <w:tc>
          <w:tcPr>
            <w:tcW w:w="1720" w:type="dxa"/>
            <w:vAlign w:val="bottom"/>
            <w:vMerge w:val="restart"/>
          </w:tcPr>
          <w:p>
            <w:pPr>
              <w:spacing w:after="0"/>
              <w:rPr>
                <w:sz w:val="20"/>
                <w:szCs w:val="20"/>
                <w:color w:val="auto"/>
              </w:rPr>
            </w:pPr>
            <w:r>
              <w:rPr>
                <w:rFonts w:ascii="Arial" w:cs="Arial" w:eastAsia="Arial" w:hAnsi="Arial"/>
                <w:sz w:val="16"/>
                <w:szCs w:val="16"/>
                <w:b w:val="1"/>
                <w:bCs w:val="1"/>
                <w:color w:val="auto"/>
              </w:rPr>
              <w:t>Standard</w:t>
            </w:r>
          </w:p>
        </w:tc>
        <w:tc>
          <w:tcPr>
            <w:tcW w:w="2880" w:type="dxa"/>
            <w:vAlign w:val="bottom"/>
            <w:vMerge w:val="restart"/>
          </w:tcPr>
          <w:p>
            <w:pPr>
              <w:ind w:left="1020"/>
              <w:spacing w:after="0"/>
              <w:rPr>
                <w:sz w:val="20"/>
                <w:szCs w:val="20"/>
                <w:color w:val="auto"/>
              </w:rPr>
            </w:pPr>
            <w:r>
              <w:rPr>
                <w:rFonts w:ascii="Arial" w:cs="Arial" w:eastAsia="Arial" w:hAnsi="Arial"/>
                <w:sz w:val="16"/>
                <w:szCs w:val="16"/>
                <w:b w:val="1"/>
                <w:bCs w:val="1"/>
                <w:color w:val="auto"/>
              </w:rPr>
              <w:t>Description</w:t>
            </w:r>
          </w:p>
        </w:tc>
        <w:tc>
          <w:tcPr>
            <w:tcW w:w="2460" w:type="dxa"/>
            <w:vAlign w:val="bottom"/>
            <w:vMerge w:val="restart"/>
          </w:tcPr>
          <w:p>
            <w:pPr>
              <w:ind w:left="980"/>
              <w:spacing w:after="0"/>
              <w:rPr>
                <w:sz w:val="20"/>
                <w:szCs w:val="20"/>
                <w:color w:val="auto"/>
              </w:rPr>
            </w:pPr>
            <w:r>
              <w:rPr>
                <w:rFonts w:ascii="Arial" w:cs="Arial" w:eastAsia="Arial" w:hAnsi="Arial"/>
                <w:sz w:val="16"/>
                <w:szCs w:val="16"/>
                <w:b w:val="1"/>
                <w:bCs w:val="1"/>
                <w:color w:val="auto"/>
              </w:rPr>
              <w:t>Effective Date</w:t>
            </w:r>
          </w:p>
        </w:tc>
        <w:tc>
          <w:tcPr>
            <w:tcW w:w="3220" w:type="dxa"/>
            <w:vAlign w:val="bottom"/>
          </w:tcPr>
          <w:p>
            <w:pPr>
              <w:jc w:val="center"/>
              <w:ind w:left="339"/>
              <w:spacing w:after="0" w:line="162" w:lineRule="exact"/>
              <w:rPr>
                <w:sz w:val="20"/>
                <w:szCs w:val="20"/>
                <w:color w:val="auto"/>
              </w:rPr>
            </w:pPr>
            <w:r>
              <w:rPr>
                <w:rFonts w:ascii="Arial" w:cs="Arial" w:eastAsia="Arial" w:hAnsi="Arial"/>
                <w:sz w:val="16"/>
                <w:szCs w:val="16"/>
                <w:b w:val="1"/>
                <w:bCs w:val="1"/>
                <w:color w:val="auto"/>
              </w:rPr>
              <w:t>Statements (or Other Significant</w:t>
            </w:r>
          </w:p>
        </w:tc>
        <w:tc>
          <w:tcPr>
            <w:tcW w:w="0" w:type="dxa"/>
            <w:vAlign w:val="bottom"/>
          </w:tcPr>
          <w:p>
            <w:pPr>
              <w:spacing w:after="0"/>
              <w:rPr>
                <w:sz w:val="1"/>
                <w:szCs w:val="1"/>
                <w:color w:val="auto"/>
              </w:rPr>
            </w:pPr>
          </w:p>
        </w:tc>
      </w:tr>
      <w:tr>
        <w:trPr>
          <w:trHeight w:val="215"/>
        </w:trPr>
        <w:tc>
          <w:tcPr>
            <w:tcW w:w="1720" w:type="dxa"/>
            <w:vAlign w:val="bottom"/>
            <w:vMerge w:val="continue"/>
          </w:tcPr>
          <w:p>
            <w:pPr>
              <w:spacing w:after="0"/>
              <w:rPr>
                <w:sz w:val="18"/>
                <w:szCs w:val="18"/>
                <w:color w:val="auto"/>
              </w:rPr>
            </w:pPr>
          </w:p>
        </w:tc>
        <w:tc>
          <w:tcPr>
            <w:tcW w:w="2880" w:type="dxa"/>
            <w:vAlign w:val="bottom"/>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3220" w:type="dxa"/>
            <w:vAlign w:val="bottom"/>
          </w:tcPr>
          <w:p>
            <w:pPr>
              <w:jc w:val="center"/>
              <w:ind w:left="339"/>
              <w:spacing w:after="0"/>
              <w:rPr>
                <w:sz w:val="20"/>
                <w:szCs w:val="20"/>
                <w:color w:val="auto"/>
              </w:rPr>
            </w:pPr>
            <w:r>
              <w:rPr>
                <w:rFonts w:ascii="Arial" w:cs="Arial" w:eastAsia="Arial" w:hAnsi="Arial"/>
                <w:sz w:val="16"/>
                <w:szCs w:val="16"/>
                <w:b w:val="1"/>
                <w:bCs w:val="1"/>
                <w:color w:val="auto"/>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p>
      <w:pPr>
        <w:ind w:left="20"/>
        <w:spacing w:after="0"/>
        <w:tabs>
          <w:tab w:leader="none" w:pos="22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The standard amends guidance on the</w:t>
      </w:r>
    </w:p>
    <w:p>
      <w:pPr>
        <w:ind w:left="20"/>
        <w:spacing w:after="0" w:line="203" w:lineRule="auto"/>
        <w:rPr>
          <w:sz w:val="20"/>
          <w:szCs w:val="20"/>
          <w:color w:val="auto"/>
        </w:rPr>
      </w:pPr>
      <w:r>
        <w:rPr>
          <w:rFonts w:ascii="Arial" w:cs="Arial" w:eastAsia="Arial" w:hAnsi="Arial"/>
          <w:sz w:val="18"/>
          <w:szCs w:val="18"/>
          <w:color w:val="auto"/>
        </w:rPr>
        <w:t>Update ("ASU") No. 2016-  impairment of financial instruments. The</w:t>
      </w:r>
    </w:p>
    <w:p>
      <w:pPr>
        <w:ind w:left="20"/>
        <w:spacing w:after="0" w:line="215" w:lineRule="auto"/>
        <w:tabs>
          <w:tab w:leader="none" w:pos="2240" w:val="left"/>
        </w:tabs>
        <w:rPr>
          <w:sz w:val="20"/>
          <w:szCs w:val="20"/>
          <w:color w:val="auto"/>
        </w:rPr>
      </w:pPr>
      <w:r>
        <w:rPr>
          <w:rFonts w:ascii="Arial" w:cs="Arial" w:eastAsia="Arial" w:hAnsi="Arial"/>
          <w:sz w:val="18"/>
          <w:szCs w:val="18"/>
          <w:color w:val="auto"/>
        </w:rPr>
        <w:t>13 (Topic 326), Financial</w:t>
      </w:r>
      <w:r>
        <w:rPr>
          <w:sz w:val="20"/>
          <w:szCs w:val="20"/>
          <w:color w:val="auto"/>
        </w:rPr>
        <w:tab/>
      </w:r>
      <w:r>
        <w:rPr>
          <w:rFonts w:ascii="Arial" w:cs="Arial" w:eastAsia="Arial" w:hAnsi="Arial"/>
          <w:sz w:val="17"/>
          <w:szCs w:val="17"/>
          <w:color w:val="auto"/>
        </w:rPr>
        <w:t>ASU estimates credit losses based on</w:t>
      </w:r>
    </w:p>
    <w:p>
      <w:pPr>
        <w:ind w:left="20"/>
        <w:spacing w:after="0" w:line="204" w:lineRule="auto"/>
        <w:rPr>
          <w:sz w:val="20"/>
          <w:szCs w:val="20"/>
          <w:color w:val="auto"/>
        </w:rPr>
      </w:pPr>
      <w:r>
        <w:rPr>
          <w:rFonts w:ascii="Arial" w:cs="Arial" w:eastAsia="Arial" w:hAnsi="Arial"/>
          <w:sz w:val="18"/>
          <w:szCs w:val="18"/>
          <w:color w:val="auto"/>
        </w:rPr>
        <w:t>Instruments-Credit Losses  expected losses and provides for a</w:t>
      </w:r>
    </w:p>
    <w:p>
      <w:pPr>
        <w:jc w:val="right"/>
        <w:spacing w:after="0" w:line="203" w:lineRule="auto"/>
        <w:rPr>
          <w:sz w:val="20"/>
          <w:szCs w:val="20"/>
          <w:color w:val="auto"/>
        </w:rPr>
      </w:pPr>
      <w:r>
        <w:rPr>
          <w:rFonts w:ascii="Arial" w:cs="Arial" w:eastAsia="Arial" w:hAnsi="Arial"/>
          <w:sz w:val="18"/>
          <w:szCs w:val="18"/>
          <w:color w:val="auto"/>
        </w:rPr>
        <w:t>simplified accounting model for purchased</w:t>
      </w:r>
    </w:p>
    <w:p>
      <w:pPr>
        <w:ind w:left="2260"/>
        <w:spacing w:after="0" w:line="204" w:lineRule="auto"/>
        <w:rPr>
          <w:sz w:val="20"/>
          <w:szCs w:val="20"/>
          <w:color w:val="auto"/>
        </w:rPr>
      </w:pPr>
      <w:r>
        <w:rPr>
          <w:rFonts w:ascii="Arial" w:cs="Arial" w:eastAsia="Arial" w:hAnsi="Arial"/>
          <w:sz w:val="18"/>
          <w:szCs w:val="18"/>
          <w:color w:val="auto"/>
        </w:rPr>
        <w:t>financial assets with credit deterioration.</w:t>
      </w:r>
    </w:p>
    <w:p>
      <w:pPr>
        <w:ind w:left="2260"/>
        <w:spacing w:after="0" w:line="203" w:lineRule="auto"/>
        <w:rPr>
          <w:sz w:val="20"/>
          <w:szCs w:val="20"/>
          <w:color w:val="auto"/>
        </w:rPr>
      </w:pPr>
      <w:r>
        <w:rPr>
          <w:rFonts w:ascii="Arial" w:cs="Arial" w:eastAsia="Arial" w:hAnsi="Arial"/>
          <w:sz w:val="18"/>
          <w:szCs w:val="18"/>
          <w:color w:val="auto"/>
        </w:rPr>
        <w:t>The standard requires a modified</w:t>
      </w:r>
    </w:p>
    <w:p>
      <w:pPr>
        <w:ind w:left="2260"/>
        <w:spacing w:after="0" w:line="204" w:lineRule="auto"/>
        <w:rPr>
          <w:sz w:val="20"/>
          <w:szCs w:val="20"/>
          <w:color w:val="auto"/>
        </w:rPr>
      </w:pPr>
      <w:r>
        <w:rPr>
          <w:rFonts w:ascii="Arial" w:cs="Arial" w:eastAsia="Arial" w:hAnsi="Arial"/>
          <w:sz w:val="18"/>
          <w:szCs w:val="18"/>
          <w:color w:val="auto"/>
        </w:rPr>
        <w:t>retrospective basis adoption through a</w:t>
      </w:r>
    </w:p>
    <w:p>
      <w:pPr>
        <w:ind w:left="2260"/>
        <w:spacing w:after="0" w:line="203" w:lineRule="auto"/>
        <w:rPr>
          <w:sz w:val="20"/>
          <w:szCs w:val="20"/>
          <w:color w:val="auto"/>
        </w:rPr>
      </w:pPr>
      <w:r>
        <w:rPr>
          <w:rFonts w:ascii="Arial" w:cs="Arial" w:eastAsia="Arial" w:hAnsi="Arial"/>
          <w:sz w:val="18"/>
          <w:szCs w:val="18"/>
          <w:color w:val="auto"/>
        </w:rPr>
        <w:t>cumulative-effect adjustment to retained</w:t>
      </w:r>
    </w:p>
    <w:p>
      <w:pPr>
        <w:ind w:left="2260"/>
        <w:spacing w:after="0" w:line="204" w:lineRule="auto"/>
        <w:rPr>
          <w:sz w:val="20"/>
          <w:szCs w:val="20"/>
          <w:color w:val="auto"/>
        </w:rPr>
      </w:pPr>
      <w:r>
        <w:rPr>
          <w:rFonts w:ascii="Arial" w:cs="Arial" w:eastAsia="Arial" w:hAnsi="Arial"/>
          <w:sz w:val="18"/>
          <w:szCs w:val="18"/>
          <w:color w:val="auto"/>
        </w:rPr>
        <w:t>earnings as of the beginning of the period</w:t>
      </w:r>
    </w:p>
    <w:p>
      <w:pPr>
        <w:ind w:left="2260"/>
        <w:spacing w:after="0"/>
        <w:rPr>
          <w:sz w:val="20"/>
          <w:szCs w:val="20"/>
          <w:color w:val="auto"/>
        </w:rPr>
      </w:pPr>
      <w:r>
        <w:rPr>
          <w:rFonts w:ascii="Arial" w:cs="Arial" w:eastAsia="Arial" w:hAnsi="Arial"/>
          <w:sz w:val="18"/>
          <w:szCs w:val="18"/>
          <w:color w:val="auto"/>
        </w:rPr>
        <w:t>of adoption.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We adopted this new standard as of April 1, 2020, using the modified retrospective method recognized as of the date of initial application.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380"/>
        <w:spacing w:after="0" w:line="223" w:lineRule="auto"/>
        <w:rPr>
          <w:sz w:val="20"/>
          <w:szCs w:val="20"/>
          <w:color w:val="auto"/>
        </w:rPr>
      </w:pPr>
      <w:r>
        <w:rPr>
          <w:rFonts w:ascii="Arial" w:cs="Arial" w:eastAsia="Arial" w:hAnsi="Arial"/>
          <w:sz w:val="17"/>
          <w:szCs w:val="17"/>
          <w:color w:val="auto"/>
        </w:rPr>
        <w:t>The adoption of this new standard resulted in an $84 thousand cumulative effect on our unaudited consolidated financial statements related to an adjustment to our allowance for doubtful accounts.</w:t>
      </w:r>
    </w:p>
    <w:p>
      <w:pPr>
        <w:spacing w:after="0" w:line="139" w:lineRule="exact"/>
        <w:rPr>
          <w:sz w:val="20"/>
          <w:szCs w:val="20"/>
          <w:color w:val="auto"/>
        </w:rPr>
      </w:pPr>
    </w:p>
    <w:p>
      <w:pPr>
        <w:ind w:right="100"/>
        <w:spacing w:after="0" w:line="221" w:lineRule="auto"/>
        <w:rPr>
          <w:sz w:val="20"/>
          <w:szCs w:val="20"/>
          <w:color w:val="auto"/>
        </w:rPr>
      </w:pPr>
      <w:r>
        <w:rPr>
          <w:rFonts w:ascii="Arial" w:cs="Arial" w:eastAsia="Arial" w:hAnsi="Arial"/>
          <w:sz w:val="17"/>
          <w:szCs w:val="17"/>
          <w:color w:val="auto"/>
        </w:rPr>
        <w:t>Under the new standard, we assess credit losses on accounts receivable by taking into consideration past collection experience, credit quality of the customer, age of the receivable balance, current economic conditions, and forecasts that affect the collectability of the reported amount.</w:t>
      </w:r>
    </w:p>
    <w:p>
      <w:pPr>
        <w:spacing w:after="0" w:line="200" w:lineRule="exact"/>
        <w:rPr>
          <w:sz w:val="20"/>
          <w:szCs w:val="20"/>
          <w:color w:val="auto"/>
        </w:rPr>
      </w:pPr>
    </w:p>
    <w:p>
      <w:pPr>
        <w:sectPr>
          <w:pgSz w:w="11900" w:h="16838" w:orient="portrait"/>
          <w:cols w:equalWidth="0" w:num="3">
            <w:col w:w="5620" w:space="100"/>
            <w:col w:w="2260" w:space="120"/>
            <w:col w:w="3120"/>
          </w:cols>
          <w:pgMar w:left="320" w:top="2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00B2A9"/>
              </w:rPr>
              <w:t>Recently Issued Accounting Standards Not Yet Adopted</w:t>
            </w:r>
          </w:p>
        </w:tc>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608"/>
        </w:trPr>
        <w:tc>
          <w:tcPr>
            <w:tcW w:w="2100" w:type="dxa"/>
            <w:vAlign w:val="bottom"/>
          </w:tcPr>
          <w:p>
            <w:pPr>
              <w:ind w:left="740"/>
              <w:spacing w:after="0"/>
              <w:rPr>
                <w:sz w:val="20"/>
                <w:szCs w:val="20"/>
                <w:color w:val="auto"/>
              </w:rPr>
            </w:pPr>
            <w:r>
              <w:rPr>
                <w:rFonts w:ascii="Arial" w:cs="Arial" w:eastAsia="Arial" w:hAnsi="Arial"/>
                <w:sz w:val="18"/>
                <w:szCs w:val="18"/>
                <w:b w:val="1"/>
                <w:bCs w:val="1"/>
                <w:color w:val="auto"/>
              </w:rPr>
              <w:t>Standard</w:t>
            </w:r>
          </w:p>
        </w:tc>
        <w:tc>
          <w:tcPr>
            <w:tcW w:w="3600" w:type="dxa"/>
            <w:vAlign w:val="bottom"/>
          </w:tcPr>
          <w:p>
            <w:pPr>
              <w:ind w:left="1380"/>
              <w:spacing w:after="0"/>
              <w:rPr>
                <w:sz w:val="20"/>
                <w:szCs w:val="20"/>
                <w:color w:val="auto"/>
              </w:rPr>
            </w:pPr>
            <w:r>
              <w:rPr>
                <w:rFonts w:ascii="Arial" w:cs="Arial" w:eastAsia="Arial" w:hAnsi="Arial"/>
                <w:sz w:val="18"/>
                <w:szCs w:val="18"/>
                <w:b w:val="1"/>
                <w:bCs w:val="1"/>
                <w:color w:val="auto"/>
              </w:rPr>
              <w:t>Description</w:t>
            </w:r>
          </w:p>
        </w:tc>
        <w:tc>
          <w:tcPr>
            <w:tcW w:w="2220" w:type="dxa"/>
            <w:vAlign w:val="bottom"/>
          </w:tcPr>
          <w:p>
            <w:pPr>
              <w:ind w:left="600"/>
              <w:spacing w:after="0"/>
              <w:rPr>
                <w:sz w:val="20"/>
                <w:szCs w:val="20"/>
                <w:color w:val="auto"/>
              </w:rPr>
            </w:pPr>
            <w:r>
              <w:rPr>
                <w:rFonts w:ascii="Arial" w:cs="Arial" w:eastAsia="Arial" w:hAnsi="Arial"/>
                <w:sz w:val="18"/>
                <w:szCs w:val="18"/>
                <w:b w:val="1"/>
                <w:bCs w:val="1"/>
                <w:color w:val="auto"/>
              </w:rPr>
              <w:t>Effective Date</w:t>
            </w:r>
          </w:p>
        </w:tc>
        <w:tc>
          <w:tcPr>
            <w:tcW w:w="3320" w:type="dxa"/>
            <w:vAlign w:val="bottom"/>
          </w:tcPr>
          <w:p>
            <w:pPr>
              <w:ind w:left="180"/>
              <w:spacing w:after="0"/>
              <w:rPr>
                <w:sz w:val="20"/>
                <w:szCs w:val="20"/>
                <w:color w:val="auto"/>
              </w:rPr>
            </w:pPr>
            <w:r>
              <w:rPr>
                <w:rFonts w:ascii="Arial" w:cs="Arial" w:eastAsia="Arial" w:hAnsi="Arial"/>
                <w:sz w:val="18"/>
                <w:szCs w:val="18"/>
                <w:b w:val="1"/>
                <w:bCs w:val="1"/>
                <w:color w:val="auto"/>
              </w:rPr>
              <w:t>Effect on the Consolidated Financial</w:t>
            </w:r>
          </w:p>
        </w:tc>
      </w:tr>
      <w:tr>
        <w:trPr>
          <w:trHeight w:val="176"/>
        </w:trPr>
        <w:tc>
          <w:tcPr>
            <w:tcW w:w="21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320" w:type="dxa"/>
            <w:vAlign w:val="bottom"/>
          </w:tcPr>
          <w:p>
            <w:pPr>
              <w:ind w:left="360"/>
              <w:spacing w:after="0" w:line="176" w:lineRule="exact"/>
              <w:rPr>
                <w:sz w:val="20"/>
                <w:szCs w:val="20"/>
                <w:color w:val="auto"/>
              </w:rPr>
            </w:pPr>
            <w:r>
              <w:rPr>
                <w:rFonts w:ascii="Arial" w:cs="Arial" w:eastAsia="Arial" w:hAnsi="Arial"/>
                <w:sz w:val="18"/>
                <w:szCs w:val="18"/>
                <w:b w:val="1"/>
                <w:bCs w:val="1"/>
                <w:color w:val="auto"/>
              </w:rPr>
              <w:t>Statements (or Other Significant</w:t>
            </w:r>
          </w:p>
        </w:tc>
      </w:tr>
      <w:tr>
        <w:trPr>
          <w:trHeight w:val="229"/>
        </w:trPr>
        <w:tc>
          <w:tcPr>
            <w:tcW w:w="21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Matters)</w:t>
            </w:r>
          </w:p>
        </w:tc>
      </w:tr>
      <w:tr>
        <w:trPr>
          <w:trHeight w:val="182"/>
        </w:trPr>
        <w:tc>
          <w:tcPr>
            <w:tcW w:w="2100" w:type="dxa"/>
            <w:vAlign w:val="bottom"/>
          </w:tcPr>
          <w:p>
            <w:pPr>
              <w:ind w:left="20"/>
              <w:spacing w:after="0" w:line="182" w:lineRule="exact"/>
              <w:rPr>
                <w:sz w:val="20"/>
                <w:szCs w:val="20"/>
                <w:color w:val="auto"/>
              </w:rPr>
            </w:pPr>
            <w:r>
              <w:rPr>
                <w:rFonts w:ascii="Arial" w:cs="Arial" w:eastAsia="Arial" w:hAnsi="Arial"/>
                <w:sz w:val="18"/>
                <w:szCs w:val="18"/>
                <w:color w:val="auto"/>
              </w:rPr>
              <w:t>ASU No. 2019-12 (Topic</w:t>
            </w:r>
          </w:p>
        </w:tc>
        <w:tc>
          <w:tcPr>
            <w:tcW w:w="3600" w:type="dxa"/>
            <w:vAlign w:val="bottom"/>
          </w:tcPr>
          <w:p>
            <w:pPr>
              <w:ind w:left="160"/>
              <w:spacing w:after="0" w:line="182" w:lineRule="exact"/>
              <w:rPr>
                <w:sz w:val="20"/>
                <w:szCs w:val="20"/>
                <w:color w:val="auto"/>
              </w:rPr>
            </w:pPr>
            <w:r>
              <w:rPr>
                <w:rFonts w:ascii="Arial" w:cs="Arial" w:eastAsia="Arial" w:hAnsi="Arial"/>
                <w:sz w:val="18"/>
                <w:szCs w:val="18"/>
                <w:color w:val="auto"/>
              </w:rPr>
              <w:t>In December 2019, the Financial</w:t>
            </w:r>
          </w:p>
        </w:tc>
        <w:tc>
          <w:tcPr>
            <w:tcW w:w="55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The standard will be effective We are currently evaluating the impact</w:t>
            </w: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740), Income Taxes</w:t>
            </w:r>
          </w:p>
        </w:tc>
        <w:tc>
          <w:tcPr>
            <w:tcW w:w="3600" w:type="dxa"/>
            <w:vAlign w:val="bottom"/>
          </w:tcPr>
          <w:p>
            <w:pPr>
              <w:ind w:left="160"/>
              <w:spacing w:after="0" w:line="176" w:lineRule="exact"/>
              <w:rPr>
                <w:sz w:val="20"/>
                <w:szCs w:val="20"/>
                <w:color w:val="auto"/>
              </w:rPr>
            </w:pPr>
            <w:r>
              <w:rPr>
                <w:rFonts w:ascii="Arial" w:cs="Arial" w:eastAsia="Arial" w:hAnsi="Arial"/>
                <w:sz w:val="18"/>
                <w:szCs w:val="18"/>
                <w:color w:val="auto"/>
              </w:rPr>
              <w:t>Accounting Standards Board ("FASB")</w:t>
            </w:r>
          </w:p>
        </w:tc>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for us beginning April 1,</w:t>
            </w: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of this standard in our consolidated</w:t>
            </w:r>
          </w:p>
        </w:tc>
      </w:tr>
      <w:tr>
        <w:trPr>
          <w:trHeight w:val="175"/>
        </w:trPr>
        <w:tc>
          <w:tcPr>
            <w:tcW w:w="2100" w:type="dxa"/>
            <w:vAlign w:val="bottom"/>
          </w:tcPr>
          <w:p>
            <w:pPr>
              <w:spacing w:after="0"/>
              <w:rPr>
                <w:sz w:val="15"/>
                <w:szCs w:val="15"/>
                <w:color w:val="auto"/>
              </w:rPr>
            </w:pPr>
          </w:p>
        </w:tc>
        <w:tc>
          <w:tcPr>
            <w:tcW w:w="3600" w:type="dxa"/>
            <w:vAlign w:val="bottom"/>
          </w:tcPr>
          <w:p>
            <w:pPr>
              <w:ind w:left="160"/>
              <w:spacing w:after="0" w:line="176" w:lineRule="exact"/>
              <w:rPr>
                <w:sz w:val="20"/>
                <w:szCs w:val="20"/>
                <w:color w:val="auto"/>
              </w:rPr>
            </w:pPr>
            <w:r>
              <w:rPr>
                <w:rFonts w:ascii="Arial" w:cs="Arial" w:eastAsia="Arial" w:hAnsi="Arial"/>
                <w:sz w:val="18"/>
                <w:szCs w:val="18"/>
                <w:color w:val="auto"/>
              </w:rPr>
              <w:t>issued a new standard to simplify the</w:t>
            </w:r>
          </w:p>
        </w:tc>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2021, with early adoption</w:t>
            </w: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financial statements, including</w:t>
            </w:r>
          </w:p>
        </w:tc>
      </w:tr>
      <w:tr>
        <w:trPr>
          <w:trHeight w:val="176"/>
        </w:trPr>
        <w:tc>
          <w:tcPr>
            <w:tcW w:w="2100" w:type="dxa"/>
            <w:vAlign w:val="bottom"/>
          </w:tcPr>
          <w:p>
            <w:pPr>
              <w:spacing w:after="0"/>
              <w:rPr>
                <w:sz w:val="15"/>
                <w:szCs w:val="15"/>
                <w:color w:val="auto"/>
              </w:rPr>
            </w:pPr>
          </w:p>
        </w:tc>
        <w:tc>
          <w:tcPr>
            <w:tcW w:w="582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accounting for income taxes. The guidance permitted.</w:t>
            </w: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accounting policies, processes, and</w:t>
            </w:r>
          </w:p>
        </w:tc>
      </w:tr>
      <w:tr>
        <w:trPr>
          <w:trHeight w:val="176"/>
        </w:trPr>
        <w:tc>
          <w:tcPr>
            <w:tcW w:w="2100" w:type="dxa"/>
            <w:vAlign w:val="bottom"/>
          </w:tcPr>
          <w:p>
            <w:pPr>
              <w:spacing w:after="0"/>
              <w:rPr>
                <w:sz w:val="15"/>
                <w:szCs w:val="15"/>
                <w:color w:val="auto"/>
              </w:rPr>
            </w:pPr>
          </w:p>
        </w:tc>
        <w:tc>
          <w:tcPr>
            <w:tcW w:w="3600" w:type="dxa"/>
            <w:vAlign w:val="bottom"/>
          </w:tcPr>
          <w:p>
            <w:pPr>
              <w:ind w:left="160"/>
              <w:spacing w:after="0" w:line="176" w:lineRule="exact"/>
              <w:rPr>
                <w:sz w:val="20"/>
                <w:szCs w:val="20"/>
                <w:color w:val="auto"/>
              </w:rPr>
            </w:pPr>
            <w:r>
              <w:rPr>
                <w:rFonts w:ascii="Arial" w:cs="Arial" w:eastAsia="Arial" w:hAnsi="Arial"/>
                <w:sz w:val="18"/>
                <w:szCs w:val="18"/>
                <w:color w:val="auto"/>
              </w:rPr>
              <w:t>eliminates certain exceptions related to the</w:t>
            </w:r>
          </w:p>
        </w:tc>
        <w:tc>
          <w:tcPr>
            <w:tcW w:w="2220" w:type="dxa"/>
            <w:vAlign w:val="bottom"/>
          </w:tcPr>
          <w:p>
            <w:pPr>
              <w:spacing w:after="0"/>
              <w:rPr>
                <w:sz w:val="15"/>
                <w:szCs w:val="15"/>
                <w:color w:val="auto"/>
              </w:rPr>
            </w:pPr>
          </w:p>
        </w:tc>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systems.</w:t>
            </w:r>
          </w:p>
        </w:tc>
      </w:tr>
    </w:tbl>
    <w:p>
      <w:pPr>
        <w:ind w:left="2260"/>
        <w:spacing w:after="0" w:line="203" w:lineRule="auto"/>
        <w:rPr>
          <w:sz w:val="20"/>
          <w:szCs w:val="20"/>
          <w:color w:val="auto"/>
        </w:rPr>
      </w:pPr>
      <w:r>
        <w:rPr>
          <w:rFonts w:ascii="Arial" w:cs="Arial" w:eastAsia="Arial" w:hAnsi="Arial"/>
          <w:sz w:val="18"/>
          <w:szCs w:val="18"/>
          <w:color w:val="auto"/>
        </w:rPr>
        <w:t>approach for intraperiod tax allocation, the</w:t>
      </w:r>
    </w:p>
    <w:p>
      <w:pPr>
        <w:ind w:left="2260"/>
        <w:spacing w:after="0" w:line="203" w:lineRule="auto"/>
        <w:rPr>
          <w:sz w:val="20"/>
          <w:szCs w:val="20"/>
          <w:color w:val="auto"/>
        </w:rPr>
      </w:pPr>
      <w:r>
        <w:rPr>
          <w:rFonts w:ascii="Arial" w:cs="Arial" w:eastAsia="Arial" w:hAnsi="Arial"/>
          <w:sz w:val="18"/>
          <w:szCs w:val="18"/>
          <w:color w:val="auto"/>
        </w:rPr>
        <w:t>methodology for calculating income taxes</w:t>
      </w:r>
    </w:p>
    <w:p>
      <w:pPr>
        <w:ind w:left="2260"/>
        <w:spacing w:after="0" w:line="204" w:lineRule="auto"/>
        <w:rPr>
          <w:sz w:val="20"/>
          <w:szCs w:val="20"/>
          <w:color w:val="auto"/>
        </w:rPr>
      </w:pPr>
      <w:r>
        <w:rPr>
          <w:rFonts w:ascii="Arial" w:cs="Arial" w:eastAsia="Arial" w:hAnsi="Arial"/>
          <w:sz w:val="18"/>
          <w:szCs w:val="18"/>
          <w:color w:val="auto"/>
        </w:rPr>
        <w:t>in an interim period, and the recognition of</w:t>
      </w:r>
    </w:p>
    <w:p>
      <w:pPr>
        <w:ind w:left="2260"/>
        <w:spacing w:after="0" w:line="203" w:lineRule="auto"/>
        <w:rPr>
          <w:sz w:val="20"/>
          <w:szCs w:val="20"/>
          <w:color w:val="auto"/>
        </w:rPr>
      </w:pPr>
      <w:r>
        <w:rPr>
          <w:rFonts w:ascii="Arial" w:cs="Arial" w:eastAsia="Arial" w:hAnsi="Arial"/>
          <w:sz w:val="18"/>
          <w:szCs w:val="18"/>
          <w:color w:val="auto"/>
        </w:rPr>
        <w:t>deferred tax liabilities for outside basis</w:t>
      </w:r>
    </w:p>
    <w:p>
      <w:pPr>
        <w:ind w:left="2260"/>
        <w:spacing w:after="0" w:line="204" w:lineRule="auto"/>
        <w:rPr>
          <w:sz w:val="20"/>
          <w:szCs w:val="20"/>
          <w:color w:val="auto"/>
        </w:rPr>
      </w:pPr>
      <w:r>
        <w:rPr>
          <w:rFonts w:ascii="Arial" w:cs="Arial" w:eastAsia="Arial" w:hAnsi="Arial"/>
          <w:sz w:val="18"/>
          <w:szCs w:val="18"/>
          <w:color w:val="auto"/>
        </w:rPr>
        <w:t>differences related to changes in</w:t>
      </w:r>
    </w:p>
    <w:p>
      <w:pPr>
        <w:ind w:left="2260"/>
        <w:spacing w:after="0" w:line="203" w:lineRule="auto"/>
        <w:rPr>
          <w:sz w:val="20"/>
          <w:szCs w:val="20"/>
          <w:color w:val="auto"/>
        </w:rPr>
      </w:pPr>
      <w:r>
        <w:rPr>
          <w:rFonts w:ascii="Arial" w:cs="Arial" w:eastAsia="Arial" w:hAnsi="Arial"/>
          <w:sz w:val="18"/>
          <w:szCs w:val="18"/>
          <w:color w:val="auto"/>
        </w:rPr>
        <w:t>ownership of equity method investments</w:t>
      </w:r>
    </w:p>
    <w:p>
      <w:pPr>
        <w:ind w:left="2260"/>
        <w:spacing w:after="0" w:line="204" w:lineRule="auto"/>
        <w:rPr>
          <w:sz w:val="20"/>
          <w:szCs w:val="20"/>
          <w:color w:val="auto"/>
        </w:rPr>
      </w:pPr>
      <w:r>
        <w:rPr>
          <w:rFonts w:ascii="Arial" w:cs="Arial" w:eastAsia="Arial" w:hAnsi="Arial"/>
          <w:sz w:val="18"/>
          <w:szCs w:val="18"/>
          <w:color w:val="auto"/>
        </w:rPr>
        <w:t>and foreign subsidiaries. The guidance</w:t>
      </w:r>
    </w:p>
    <w:p>
      <w:pPr>
        <w:ind w:left="2260"/>
        <w:spacing w:after="0" w:line="203" w:lineRule="auto"/>
        <w:rPr>
          <w:sz w:val="20"/>
          <w:szCs w:val="20"/>
          <w:color w:val="auto"/>
        </w:rPr>
      </w:pPr>
      <w:r>
        <w:rPr>
          <w:rFonts w:ascii="Arial" w:cs="Arial" w:eastAsia="Arial" w:hAnsi="Arial"/>
          <w:sz w:val="18"/>
          <w:szCs w:val="18"/>
          <w:color w:val="auto"/>
        </w:rPr>
        <w:t>also simplifies aspects of accounting for</w:t>
      </w:r>
    </w:p>
    <w:p>
      <w:pPr>
        <w:ind w:left="2260"/>
        <w:spacing w:after="0" w:line="204" w:lineRule="auto"/>
        <w:rPr>
          <w:sz w:val="20"/>
          <w:szCs w:val="20"/>
          <w:color w:val="auto"/>
        </w:rPr>
      </w:pPr>
      <w:r>
        <w:rPr>
          <w:rFonts w:ascii="Arial" w:cs="Arial" w:eastAsia="Arial" w:hAnsi="Arial"/>
          <w:sz w:val="18"/>
          <w:szCs w:val="18"/>
          <w:color w:val="auto"/>
        </w:rPr>
        <w:t>franchise taxes and enacted changes in</w:t>
      </w:r>
    </w:p>
    <w:p>
      <w:pPr>
        <w:ind w:left="2260"/>
        <w:spacing w:after="0" w:line="203" w:lineRule="auto"/>
        <w:rPr>
          <w:sz w:val="20"/>
          <w:szCs w:val="20"/>
          <w:color w:val="auto"/>
        </w:rPr>
      </w:pPr>
      <w:r>
        <w:rPr>
          <w:rFonts w:ascii="Arial" w:cs="Arial" w:eastAsia="Arial" w:hAnsi="Arial"/>
          <w:sz w:val="18"/>
          <w:szCs w:val="18"/>
          <w:color w:val="auto"/>
        </w:rPr>
        <w:t>tax laws or rates, and clarifies the</w:t>
      </w:r>
    </w:p>
    <w:p>
      <w:pPr>
        <w:ind w:left="2260"/>
        <w:spacing w:after="0" w:line="204" w:lineRule="auto"/>
        <w:rPr>
          <w:sz w:val="20"/>
          <w:szCs w:val="20"/>
          <w:color w:val="auto"/>
        </w:rPr>
      </w:pPr>
      <w:r>
        <w:rPr>
          <w:rFonts w:ascii="Arial" w:cs="Arial" w:eastAsia="Arial" w:hAnsi="Arial"/>
          <w:sz w:val="18"/>
          <w:szCs w:val="18"/>
          <w:color w:val="auto"/>
        </w:rPr>
        <w:t>accounting for transactions that result in a</w:t>
      </w:r>
    </w:p>
    <w:p>
      <w:pPr>
        <w:ind w:left="2260"/>
        <w:spacing w:after="0"/>
        <w:rPr>
          <w:sz w:val="20"/>
          <w:szCs w:val="20"/>
          <w:color w:val="auto"/>
        </w:rPr>
      </w:pPr>
      <w:r>
        <w:rPr>
          <w:rFonts w:ascii="Arial" w:cs="Arial" w:eastAsia="Arial" w:hAnsi="Arial"/>
          <w:sz w:val="18"/>
          <w:szCs w:val="18"/>
          <w:color w:val="auto"/>
        </w:rPr>
        <w:t>step-up in the tax basis of goodwill.</w:t>
      </w: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26"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144"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36% and 37% of total revenues for the six months ended September 30, 2020 and 2019, respectively. Arrow accounted for approximately 26% and 31% of total accounts receivable as of September 30, 2020 and March 31, 2020, respectively.</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 Data Corporation ("Tech Data") accounted for approximately 11% of total accounts receivable as of September 30, 2020.</w:t>
      </w: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Fair Value of Financial Instruments</w:t>
      </w:r>
    </w:p>
    <w:p>
      <w:pPr>
        <w:spacing w:after="0" w:line="112"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The carrying amounts of our cash and cash equivalents, accounts receivable, accounts payable and accrued expenses approximate their fair values due to the short-term maturity of these instruments. Our short-term investments balance consists of U.S. Treasury Bills with maturities of one year or less. We account for our short-term investments as held to maturity.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composition of our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March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080" w:type="dxa"/>
            <w:vAlign w:val="bottom"/>
          </w:tcPr>
          <w:p>
            <w:pPr>
              <w:jc w:val="right"/>
              <w:ind w:right="44"/>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6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100"/>
              <w:spacing w:after="0" w:line="177" w:lineRule="exact"/>
              <w:rPr>
                <w:sz w:val="20"/>
                <w:szCs w:val="20"/>
                <w:color w:val="auto"/>
              </w:rPr>
            </w:pPr>
            <w:r>
              <w:rPr>
                <w:rFonts w:ascii="Arial" w:cs="Arial" w:eastAsia="Arial" w:hAnsi="Arial"/>
                <w:sz w:val="16"/>
                <w:szCs w:val="16"/>
                <w:color w:val="auto"/>
              </w:rPr>
              <w:t>Short-term investments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10,996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10,996</w:t>
            </w:r>
          </w:p>
        </w:tc>
      </w:tr>
      <w:tr>
        <w:trPr>
          <w:trHeight w:val="837"/>
        </w:trPr>
        <w:tc>
          <w:tcPr>
            <w:tcW w:w="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1080" w:type="dxa"/>
            <w:vAlign w:val="bottom"/>
          </w:tcPr>
          <w:p>
            <w:pPr>
              <w:jc w:val="right"/>
              <w:ind w:right="44"/>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8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6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100"/>
              <w:spacing w:after="0" w:line="177" w:lineRule="exact"/>
              <w:rPr>
                <w:sz w:val="20"/>
                <w:szCs w:val="20"/>
                <w:color w:val="auto"/>
              </w:rPr>
            </w:pPr>
            <w:r>
              <w:rPr>
                <w:rFonts w:ascii="Arial" w:cs="Arial" w:eastAsia="Arial" w:hAnsi="Arial"/>
                <w:sz w:val="16"/>
                <w:szCs w:val="16"/>
                <w:color w:val="auto"/>
              </w:rPr>
              <w:t>Short-term investments</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44,484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44,484</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93"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5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1"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w:t>
      </w:r>
    </w:p>
    <w:p>
      <w:pPr>
        <w:spacing w:after="0" w:line="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23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 In fiscal 2020 Commvault launched Metallic, which is a Commvault software-as-a-service offering. Revenue from Metallic is recognized ratably as services revenue. Revenue to date from Metallic has not been material.</w:t>
      </w:r>
    </w:p>
    <w:p>
      <w:pPr>
        <w:spacing w:after="0" w:line="23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86" w:lineRule="exact"/>
        <w:rPr>
          <w:sz w:val="20"/>
          <w:szCs w:val="20"/>
          <w:color w:val="auto"/>
        </w:rPr>
      </w:pPr>
    </w:p>
    <w:p>
      <w:pPr>
        <w:ind w:left="260"/>
        <w:spacing w:after="0"/>
        <w:tabs>
          <w:tab w:leader="none" w:pos="2980" w:val="left"/>
          <w:tab w:leader="none" w:pos="6540" w:val="left"/>
          <w:tab w:leader="none" w:pos="87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ind w:left="3320"/>
        <w:spacing w:after="0"/>
        <w:tabs>
          <w:tab w:leader="none" w:pos="670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ectPr>
          <w:pgSz w:w="11900" w:h="16838" w:orient="portrait"/>
          <w:cols w:equalWidth="0" w:num="1">
            <w:col w:w="11220"/>
          </w:cols>
          <w:pgMar w:left="320" w:top="140" w:right="359" w:bottom="1440" w:gutter="0" w:footer="0" w:header="0"/>
        </w:sectPr>
      </w:pPr>
    </w:p>
    <w:p>
      <w:pPr>
        <w:spacing w:after="0" w:line="26" w:lineRule="exact"/>
        <w:rPr>
          <w:sz w:val="20"/>
          <w:szCs w:val="20"/>
          <w:color w:val="auto"/>
        </w:rPr>
      </w:pPr>
    </w:p>
    <w:p>
      <w:pPr>
        <w:ind w:left="140"/>
        <w:spacing w:after="0"/>
        <w:tabs>
          <w:tab w:leader="none" w:pos="212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ind w:left="214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11" w:lineRule="auto"/>
        <w:rPr>
          <w:sz w:val="20"/>
          <w:szCs w:val="20"/>
          <w:color w:val="auto"/>
        </w:rPr>
      </w:pPr>
      <w:r>
        <w:rPr>
          <w:rFonts w:ascii="Arial" w:cs="Arial" w:eastAsia="Arial" w:hAnsi="Arial"/>
          <w:sz w:val="16"/>
          <w:szCs w:val="16"/>
          <w:color w:val="auto"/>
        </w:rPr>
        <w:t>except for certain subscription</w:t>
      </w:r>
    </w:p>
    <w:p>
      <w:pPr>
        <w:spacing w:after="0" w:line="211" w:lineRule="auto"/>
        <w:rPr>
          <w:sz w:val="20"/>
          <w:szCs w:val="20"/>
          <w:color w:val="auto"/>
        </w:rPr>
      </w:pPr>
      <w:r>
        <w:rPr>
          <w:rFonts w:ascii="Arial" w:cs="Arial" w:eastAsia="Arial" w:hAnsi="Arial"/>
          <w:sz w:val="16"/>
          <w:szCs w:val="16"/>
          <w:color w:val="auto"/>
        </w:rPr>
        <w:t>licenses which are paid for over</w:t>
      </w:r>
    </w:p>
    <w:p>
      <w:pPr>
        <w:spacing w:after="0"/>
        <w:rPr>
          <w:sz w:val="20"/>
          <w:szCs w:val="20"/>
          <w:color w:val="auto"/>
        </w:rPr>
      </w:pPr>
      <w:r>
        <w:rPr>
          <w:rFonts w:ascii="Arial" w:cs="Arial" w:eastAsia="Arial" w:hAnsi="Arial"/>
          <w:sz w:val="16"/>
          <w:szCs w:val="16"/>
          <w:color w:val="auto"/>
        </w:rPr>
        <w:t>time</w:t>
      </w:r>
    </w:p>
    <w:p>
      <w:pPr>
        <w:spacing w:after="0" w:line="10" w:lineRule="exact"/>
        <w:rPr>
          <w:sz w:val="20"/>
          <w:szCs w:val="20"/>
          <w:color w:val="auto"/>
        </w:rPr>
      </w:pPr>
    </w:p>
    <w:p>
      <w:pPr>
        <w:sectPr>
          <w:pgSz w:w="11900" w:h="16838" w:orient="portrait"/>
          <w:cols w:equalWidth="0" w:num="2">
            <w:col w:w="5540" w:space="400"/>
            <w:col w:w="5280"/>
          </w:cols>
          <w:pgMar w:left="320" w:top="140" w:right="35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Appliances</w:t>
            </w: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When control of the appliances passes to the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Within 90 days of delivery</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Residual approach</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typically upon delivery</w:t>
            </w:r>
          </w:p>
        </w:tc>
        <w:tc>
          <w:tcPr>
            <w:tcW w:w="25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7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80"/>
        </w:trPr>
        <w:tc>
          <w:tcPr>
            <w:tcW w:w="20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Software Updates</w:t>
            </w:r>
          </w:p>
        </w:tc>
        <w:tc>
          <w:tcPr>
            <w:tcW w:w="3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Observable in renewal transactions</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7"/>
                <w:szCs w:val="17"/>
                <w:color w:val="auto"/>
              </w:rPr>
            </w:pPr>
          </w:p>
        </w:tc>
      </w:tr>
      <w:tr>
        <w:trPr>
          <w:trHeight w:val="177"/>
        </w:trPr>
        <w:tc>
          <w:tcPr>
            <w:tcW w:w="2080" w:type="dxa"/>
            <w:vAlign w:val="bottom"/>
          </w:tcPr>
          <w:p>
            <w:pPr>
              <w:ind w:left="120"/>
              <w:spacing w:after="0" w:line="178" w:lineRule="exact"/>
              <w:rPr>
                <w:sz w:val="20"/>
                <w:szCs w:val="20"/>
                <w:color w:val="auto"/>
              </w:rPr>
            </w:pPr>
            <w:r>
              <w:rPr>
                <w:rFonts w:ascii="Arial" w:cs="Arial" w:eastAsia="Arial" w:hAnsi="Arial"/>
                <w:sz w:val="16"/>
                <w:szCs w:val="16"/>
                <w:color w:val="auto"/>
              </w:rPr>
              <w:t>Customer Support</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Ratably over the course of the support contract</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renewal transactions</w:t>
            </w:r>
          </w:p>
        </w:tc>
      </w:tr>
      <w:tr>
        <w:trPr>
          <w:trHeight w:val="198"/>
        </w:trPr>
        <w:tc>
          <w:tcPr>
            <w:tcW w:w="2080" w:type="dxa"/>
            <w:vAlign w:val="bottom"/>
          </w:tcPr>
          <w:p>
            <w:pPr>
              <w:spacing w:after="0"/>
              <w:rPr>
                <w:sz w:val="17"/>
                <w:szCs w:val="17"/>
                <w:color w:val="auto"/>
              </w:rPr>
            </w:pPr>
          </w:p>
        </w:tc>
        <w:tc>
          <w:tcPr>
            <w:tcW w:w="3740" w:type="dxa"/>
            <w:vAlign w:val="bottom"/>
          </w:tcPr>
          <w:p>
            <w:pPr>
              <w:ind w:left="40"/>
              <w:spacing w:after="0"/>
              <w:rPr>
                <w:sz w:val="20"/>
                <w:szCs w:val="20"/>
                <w:color w:val="auto"/>
              </w:rPr>
            </w:pPr>
            <w:r>
              <w:rPr>
                <w:rFonts w:ascii="Arial" w:cs="Arial" w:eastAsia="Arial" w:hAnsi="Arial"/>
                <w:sz w:val="16"/>
                <w:szCs w:val="16"/>
                <w:color w:val="auto"/>
              </w:rPr>
              <w:t>(over time)</w:t>
            </w:r>
          </w:p>
        </w:tc>
        <w:tc>
          <w:tcPr>
            <w:tcW w:w="2500" w:type="dxa"/>
            <w:vAlign w:val="bottom"/>
          </w:tcPr>
          <w:p>
            <w:pPr>
              <w:ind w:left="10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7"/>
                <w:szCs w:val="17"/>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7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r>
      <w:tr>
        <w:trPr>
          <w:trHeight w:val="177"/>
        </w:trPr>
        <w:tc>
          <w:tcPr>
            <w:tcW w:w="2080" w:type="dxa"/>
            <w:vAlign w:val="bottom"/>
          </w:tcPr>
          <w:p>
            <w:pPr>
              <w:ind w:left="120"/>
              <w:spacing w:after="0" w:line="178" w:lineRule="exact"/>
              <w:rPr>
                <w:sz w:val="20"/>
                <w:szCs w:val="20"/>
                <w:color w:val="auto"/>
              </w:rPr>
            </w:pPr>
            <w:r>
              <w:rPr>
                <w:rFonts w:ascii="Arial" w:cs="Arial" w:eastAsia="Arial" w:hAnsi="Arial"/>
                <w:sz w:val="16"/>
                <w:szCs w:val="16"/>
                <w:color w:val="auto"/>
              </w:rPr>
              <w:t>Other Professional</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As work is performed (over time)</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transactions without</w:t>
            </w:r>
          </w:p>
        </w:tc>
      </w:tr>
      <w:tr>
        <w:trPr>
          <w:trHeight w:val="162"/>
        </w:trPr>
        <w:tc>
          <w:tcPr>
            <w:tcW w:w="2080" w:type="dxa"/>
            <w:vAlign w:val="bottom"/>
          </w:tcPr>
          <w:p>
            <w:pPr>
              <w:ind w:left="120"/>
              <w:spacing w:after="0" w:line="162" w:lineRule="exact"/>
              <w:rPr>
                <w:sz w:val="20"/>
                <w:szCs w:val="20"/>
                <w:color w:val="auto"/>
              </w:rPr>
            </w:pPr>
            <w:r>
              <w:rPr>
                <w:rFonts w:ascii="Arial" w:cs="Arial" w:eastAsia="Arial" w:hAnsi="Arial"/>
                <w:sz w:val="16"/>
                <w:szCs w:val="16"/>
                <w:color w:val="auto"/>
              </w:rPr>
              <w:t>Services (except for</w:t>
            </w:r>
          </w:p>
        </w:tc>
        <w:tc>
          <w:tcPr>
            <w:tcW w:w="3740" w:type="dxa"/>
            <w:vAlign w:val="bottom"/>
          </w:tcPr>
          <w:p>
            <w:pPr>
              <w:spacing w:after="0"/>
              <w:rPr>
                <w:sz w:val="14"/>
                <w:szCs w:val="14"/>
                <w:color w:val="auto"/>
              </w:rPr>
            </w:pPr>
          </w:p>
        </w:tc>
        <w:tc>
          <w:tcPr>
            <w:tcW w:w="2500" w:type="dxa"/>
            <w:vAlign w:val="bottom"/>
          </w:tcPr>
          <w:p>
            <w:pPr>
              <w:ind w:left="100"/>
              <w:spacing w:after="0" w:line="162" w:lineRule="exact"/>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line="162" w:lineRule="exact"/>
              <w:rPr>
                <w:sz w:val="20"/>
                <w:szCs w:val="20"/>
                <w:color w:val="auto"/>
              </w:rPr>
            </w:pPr>
            <w:r>
              <w:rPr>
                <w:rFonts w:ascii="Arial" w:cs="Arial" w:eastAsia="Arial" w:hAnsi="Arial"/>
                <w:sz w:val="16"/>
                <w:szCs w:val="16"/>
                <w:color w:val="auto"/>
              </w:rPr>
              <w:t>multiple performance obligations</w:t>
            </w:r>
          </w:p>
        </w:tc>
      </w:tr>
      <w:tr>
        <w:trPr>
          <w:trHeight w:val="198"/>
        </w:trPr>
        <w:tc>
          <w:tcPr>
            <w:tcW w:w="2080" w:type="dxa"/>
            <w:vAlign w:val="bottom"/>
          </w:tcPr>
          <w:p>
            <w:pPr>
              <w:ind w:left="120"/>
              <w:spacing w:after="0"/>
              <w:rPr>
                <w:sz w:val="20"/>
                <w:szCs w:val="20"/>
                <w:color w:val="auto"/>
              </w:rPr>
            </w:pPr>
            <w:r>
              <w:rPr>
                <w:rFonts w:ascii="Arial" w:cs="Arial" w:eastAsia="Arial" w:hAnsi="Arial"/>
                <w:sz w:val="16"/>
                <w:szCs w:val="16"/>
                <w:color w:val="auto"/>
              </w:rPr>
              <w:t>education services)</w:t>
            </w:r>
          </w:p>
        </w:tc>
        <w:tc>
          <w:tcPr>
            <w:tcW w:w="37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80"/>
        </w:trPr>
        <w:tc>
          <w:tcPr>
            <w:tcW w:w="208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Education Services</w:t>
            </w:r>
          </w:p>
        </w:tc>
        <w:tc>
          <w:tcPr>
            <w:tcW w:w="374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When the class is taught (point in time)</w:t>
            </w:r>
          </w:p>
        </w:tc>
        <w:tc>
          <w:tcPr>
            <w:tcW w:w="25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Observable in transactions without</w:t>
            </w:r>
          </w:p>
        </w:tc>
      </w:tr>
      <w:tr>
        <w:trPr>
          <w:trHeight w:val="201"/>
        </w:trPr>
        <w:tc>
          <w:tcPr>
            <w:tcW w:w="208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77"/>
        </w:trPr>
        <w:tc>
          <w:tcPr>
            <w:tcW w:w="2080" w:type="dxa"/>
            <w:vAlign w:val="bottom"/>
          </w:tcPr>
          <w:p>
            <w:pPr>
              <w:ind w:left="120"/>
              <w:spacing w:after="0" w:line="178" w:lineRule="exact"/>
              <w:rPr>
                <w:sz w:val="20"/>
                <w:szCs w:val="20"/>
                <w:color w:val="auto"/>
              </w:rPr>
            </w:pPr>
            <w:r>
              <w:rPr>
                <w:rFonts w:ascii="Arial" w:cs="Arial" w:eastAsia="Arial" w:hAnsi="Arial"/>
                <w:sz w:val="16"/>
                <w:szCs w:val="16"/>
                <w:color w:val="auto"/>
              </w:rPr>
              <w:t>Software-as-a-service</w:t>
            </w:r>
          </w:p>
        </w:tc>
        <w:tc>
          <w:tcPr>
            <w:tcW w:w="3740" w:type="dxa"/>
            <w:vAlign w:val="bottom"/>
          </w:tcPr>
          <w:p>
            <w:pPr>
              <w:ind w:left="40"/>
              <w:spacing w:after="0" w:line="178" w:lineRule="exact"/>
              <w:rPr>
                <w:sz w:val="20"/>
                <w:szCs w:val="20"/>
                <w:color w:val="auto"/>
              </w:rPr>
            </w:pPr>
            <w:r>
              <w:rPr>
                <w:rFonts w:ascii="Arial" w:cs="Arial" w:eastAsia="Arial" w:hAnsi="Arial"/>
                <w:sz w:val="16"/>
                <w:szCs w:val="16"/>
                <w:color w:val="auto"/>
              </w:rPr>
              <w:t>Ratably over the course of the contract (over time)</w:t>
            </w:r>
          </w:p>
        </w:tc>
        <w:tc>
          <w:tcPr>
            <w:tcW w:w="2500" w:type="dxa"/>
            <w:vAlign w:val="bottom"/>
          </w:tcPr>
          <w:p>
            <w:pPr>
              <w:ind w:left="100"/>
              <w:spacing w:after="0" w:line="178" w:lineRule="exact"/>
              <w:rPr>
                <w:sz w:val="20"/>
                <w:szCs w:val="20"/>
                <w:color w:val="auto"/>
              </w:rPr>
            </w:pPr>
            <w:r>
              <w:rPr>
                <w:rFonts w:ascii="Arial" w:cs="Arial" w:eastAsia="Arial" w:hAnsi="Arial"/>
                <w:sz w:val="16"/>
                <w:szCs w:val="16"/>
                <w:color w:val="auto"/>
              </w:rPr>
              <w:t>Annual or monthly payments</w:t>
            </w:r>
          </w:p>
        </w:tc>
        <w:tc>
          <w:tcPr>
            <w:tcW w:w="2880" w:type="dxa"/>
            <w:vAlign w:val="bottom"/>
          </w:tcPr>
          <w:p>
            <w:pPr>
              <w:ind w:left="100"/>
              <w:spacing w:after="0" w:line="178" w:lineRule="exact"/>
              <w:rPr>
                <w:sz w:val="20"/>
                <w:szCs w:val="20"/>
                <w:color w:val="auto"/>
              </w:rPr>
            </w:pPr>
            <w:r>
              <w:rPr>
                <w:rFonts w:ascii="Arial" w:cs="Arial" w:eastAsia="Arial" w:hAnsi="Arial"/>
                <w:sz w:val="16"/>
                <w:szCs w:val="16"/>
                <w:color w:val="auto"/>
              </w:rPr>
              <w:t>Observable in transactions without</w:t>
            </w:r>
          </w:p>
        </w:tc>
      </w:tr>
      <w:tr>
        <w:trPr>
          <w:trHeight w:val="195"/>
        </w:trPr>
        <w:tc>
          <w:tcPr>
            <w:tcW w:w="2080" w:type="dxa"/>
            <w:vAlign w:val="bottom"/>
          </w:tcPr>
          <w:p>
            <w:pPr>
              <w:ind w:left="120"/>
              <w:spacing w:after="0"/>
              <w:rPr>
                <w:sz w:val="20"/>
                <w:szCs w:val="20"/>
                <w:color w:val="auto"/>
              </w:rPr>
            </w:pPr>
            <w:r>
              <w:rPr>
                <w:rFonts w:ascii="Arial" w:cs="Arial" w:eastAsia="Arial" w:hAnsi="Arial"/>
                <w:sz w:val="16"/>
                <w:szCs w:val="16"/>
                <w:color w:val="auto"/>
              </w:rPr>
              <w:t>(Metallic)</w:t>
            </w:r>
          </w:p>
        </w:tc>
        <w:tc>
          <w:tcPr>
            <w:tcW w:w="37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70"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 2020</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3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Americas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EMEA</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39,241</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22,063</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72,309</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54,177</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24,911</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10,359</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89,447</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1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4,794</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9,383</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98,212</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50,058</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22,869</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171,139</w:t>
            </w:r>
          </w:p>
        </w:tc>
      </w:tr>
      <w:tr>
        <w:trPr>
          <w:trHeight w:val="20"/>
        </w:trPr>
        <w:tc>
          <w:tcPr>
            <w:tcW w:w="3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 2019</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3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Americas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EMEA</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35,863</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21,440</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11,292</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68,595</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57,864</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21,906</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10,233</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90,003</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1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8,984</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98,157</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46,026</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23,399</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167,582</w:t>
            </w:r>
          </w:p>
        </w:tc>
      </w:tr>
      <w:tr>
        <w:trPr>
          <w:trHeight w:val="20"/>
        </w:trPr>
        <w:tc>
          <w:tcPr>
            <w:tcW w:w="3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59"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Six Months Ended September 30, 2020</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Americas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EMEA</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89,886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40,858</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148,863</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109,415</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48,221</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20,454</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178,090</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8,907</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17,186</w:t>
            </w:r>
          </w:p>
        </w:tc>
      </w:tr>
      <w:tr>
        <w:trPr>
          <w:trHeight w:val="212"/>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208,208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94,718</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41,213</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344,139</w:t>
            </w:r>
          </w:p>
        </w:tc>
      </w:tr>
      <w:tr>
        <w:trPr>
          <w:trHeight w:val="21"/>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3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Six Months Ended September 30, 2019</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212"/>
        </w:trPr>
        <w:tc>
          <w:tcPr>
            <w:tcW w:w="3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Americas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EMEA</w:t>
            </w: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67,084</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42,815</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22,370</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132,269</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115,594</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43,573</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20,318</w:t>
            </w: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179,485</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9,296</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4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18,031</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191,974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91,750</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46,061</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329,785</w:t>
            </w:r>
          </w:p>
        </w:tc>
      </w:tr>
      <w:tr>
        <w:trPr>
          <w:trHeight w:val="21"/>
        </w:trPr>
        <w:tc>
          <w:tcPr>
            <w:tcW w:w="3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70" w:lineRule="exact"/>
        <w:rPr>
          <w:sz w:val="20"/>
          <w:szCs w:val="20"/>
          <w:color w:val="auto"/>
        </w:rPr>
      </w:pPr>
    </w:p>
    <w:p>
      <w:pPr>
        <w:jc w:val="both"/>
        <w:ind w:right="320" w:firstLine="486"/>
        <w:spacing w:after="0" w:line="26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Unbilled</w:t>
            </w:r>
          </w:p>
        </w:tc>
        <w:tc>
          <w:tcPr>
            <w:tcW w:w="220" w:type="dxa"/>
            <w:vAlign w:val="bottom"/>
          </w:tcPr>
          <w:p>
            <w:pPr>
              <w:spacing w:after="0"/>
              <w:rPr>
                <w:sz w:val="16"/>
                <w:szCs w:val="16"/>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Unbilled</w:t>
            </w:r>
          </w:p>
        </w:tc>
        <w:tc>
          <w:tcPr>
            <w:tcW w:w="20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Arial" w:cs="Arial" w:eastAsia="Arial" w:hAnsi="Arial"/>
                <w:sz w:val="16"/>
                <w:szCs w:val="16"/>
                <w:b w:val="1"/>
                <w:bCs w:val="1"/>
                <w:color w:val="auto"/>
              </w:rPr>
              <w:t>Deferred</w:t>
            </w:r>
          </w:p>
        </w:tc>
        <w:tc>
          <w:tcPr>
            <w:tcW w:w="20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45"/>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Accounts</w:t>
            </w: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3"/>
                <w:szCs w:val="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Receivable</w:t>
            </w:r>
          </w:p>
        </w:tc>
        <w:tc>
          <w:tcPr>
            <w:tcW w:w="220" w:type="dxa"/>
            <w:vAlign w:val="bottom"/>
          </w:tcPr>
          <w:p>
            <w:pPr>
              <w:spacing w:after="0"/>
              <w:rPr>
                <w:sz w:val="14"/>
                <w:szCs w:val="14"/>
                <w:color w:val="auto"/>
              </w:rPr>
            </w:pPr>
          </w:p>
        </w:tc>
        <w:tc>
          <w:tcPr>
            <w:tcW w:w="1200" w:type="dxa"/>
            <w:vAlign w:val="bottom"/>
          </w:tcPr>
          <w:p>
            <w:pPr>
              <w:jc w:val="right"/>
              <w:ind w:right="179"/>
              <w:spacing w:after="0" w:line="162" w:lineRule="exact"/>
              <w:rPr>
                <w:sz w:val="20"/>
                <w:szCs w:val="20"/>
                <w:color w:val="auto"/>
              </w:rPr>
            </w:pPr>
            <w:r>
              <w:rPr>
                <w:rFonts w:ascii="Arial" w:cs="Arial" w:eastAsia="Arial" w:hAnsi="Arial"/>
                <w:sz w:val="16"/>
                <w:szCs w:val="16"/>
                <w:b w:val="1"/>
                <w:bCs w:val="1"/>
                <w:color w:val="auto"/>
              </w:rPr>
              <w:t>Receivable</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Receivable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(current)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(long-term)</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(current)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92,723</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Increase/(decrease), net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(12,135)</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3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97,506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decrease in accounts receivable (inclusive of unbilled receivables) is a result of a concentration of customer support renewals in the second half of the prior fiscal year. The decrease in deferred revenue is primarily due to the decrease in deferred customer support revenue related to software and products revenue transactions and customer support renewals relative to the fourth quarter of fiscal 2020.</w:t>
      </w:r>
    </w:p>
    <w:p>
      <w:pPr>
        <w:spacing w:after="0" w:line="229"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amount of revenue recognized in the period that was included in the March 31, 2020 balance of deferred revenue was $69,025 and $155,728 for the three and six months ended September 30, 2020. The vast majority of this revenue consists of customer support arrangements. The amount of software and products revenue recognized in the three and six months ended September 30, 2020 related to performance obligations from prior periods was not significant.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70"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In addition to the amounts included in deferred revenue as of September 30, 2020, $ 32,238 of revenue may be recognized from remaining performance obligations, of which approximately $3,000 was related to software and products. We expect the majority of this software and products revenue to be recognized during the three months ended December 31, 2020. The vast majority of the services revenue is related to other professional services which may be recognized over the next twelve months but is contingent upon a number of factors, including customers’ needs and schedules.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00B2A9"/>
        </w:rPr>
      </w:pPr>
      <w:r>
        <w:rPr>
          <w:rFonts w:ascii="Arial" w:cs="Arial" w:eastAsia="Arial" w:hAnsi="Arial"/>
          <w:sz w:val="18"/>
          <w:szCs w:val="18"/>
          <w:b w:val="1"/>
          <w:bCs w:val="1"/>
          <w:color w:val="00B2A9"/>
        </w:rPr>
        <w:t>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Goodwill</w:t>
      </w:r>
    </w:p>
    <w:p>
      <w:pPr>
        <w:spacing w:after="0" w:line="193" w:lineRule="exact"/>
        <w:rPr>
          <w:sz w:val="20"/>
          <w:szCs w:val="20"/>
          <w:color w:val="auto"/>
        </w:rPr>
      </w:pPr>
    </w:p>
    <w:p>
      <w:pPr>
        <w:ind w:right="400" w:firstLine="197"/>
        <w:spacing w:after="0" w:line="261" w:lineRule="auto"/>
        <w:rPr>
          <w:sz w:val="20"/>
          <w:szCs w:val="20"/>
          <w:color w:val="auto"/>
        </w:rPr>
      </w:pPr>
      <w:r>
        <w:rPr>
          <w:rFonts w:ascii="Arial" w:cs="Arial" w:eastAsia="Arial" w:hAnsi="Arial"/>
          <w:sz w:val="18"/>
          <w:szCs w:val="18"/>
          <w:color w:val="auto"/>
        </w:rPr>
        <w:t>There were no additions, impairments or any other changes to the carrying amount of goodwill during the three and six months ended September 30,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Intangible assets, net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subject to amortization as of September 30, 2020 are as follows:</w:t>
      </w: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Gross Carrying</w:t>
            </w:r>
          </w:p>
        </w:tc>
        <w:tc>
          <w:tcPr>
            <w:tcW w:w="24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Impairment Charge</w:t>
            </w:r>
          </w:p>
        </w:tc>
        <w:tc>
          <w:tcPr>
            <w:tcW w:w="140" w:type="dxa"/>
            <w:vAlign w:val="bottom"/>
          </w:tcPr>
          <w:p>
            <w:pPr>
              <w:spacing w:after="0"/>
              <w:rPr>
                <w:sz w:val="16"/>
                <w:szCs w:val="16"/>
                <w:color w:val="auto"/>
              </w:rPr>
            </w:pPr>
          </w:p>
        </w:tc>
        <w:tc>
          <w:tcPr>
            <w:tcW w:w="16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Carrying Value</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intangible assets,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52,000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Amortization expense from acquired intangible assets was $2,825 and $5,650 for the three and six months ended September 30, 2020, respectively. There were no intangible assets subject to amortization for the three and six months ended September 30, 2019.</w:t>
      </w:r>
    </w:p>
    <w:p>
      <w:pPr>
        <w:spacing w:after="0" w:line="22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intangible assets (developed technology and customer relationships) were acquired in connection with the Hedvig, Inc. ("Hedvig") transaction. The most material of these assets was the developed technology. The value of this asset was attributable to forecasted incremental revenues directly attributable to this technology. While we have successfully integrated this technology into our existing Hyperscale technology, we have not met our forecasts for standalone sales of this acquired technology. During the second quarter of fiscal year 2021 we identified an indicator of impairment and concluded that the carrying values of the developed technology and customer relationships acquired in connection with the Hedvig transaction were not recoverable on an undiscounted basis. As a result, we remeasured the fair value of these assets and concluded their value was de minimis. We recorded a $ 40,700 impairment charge in the accompanying Consolidated Statements of Operations for the three months ended September 30, 2020. These non-recurring fair value measurements were categorized as Level 3, as significant unobservable inputs were used in the valuation analysis. Key assumptions used in the valuation include forecasts of revenue and expenses over an extended period, the useful life of the asset, tax rates, and estimated costs of debt and equity capital to discount the projected cash flows. Certain of these assumptions involve significant judgment and are based on management’s estimate of current and forecasted market conditions.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00B2A9"/>
        </w:rPr>
      </w:pPr>
      <w:r>
        <w:rPr>
          <w:rFonts w:ascii="Arial" w:cs="Arial" w:eastAsia="Arial" w:hAnsi="Arial"/>
          <w:sz w:val="18"/>
          <w:szCs w:val="18"/>
          <w:b w:val="1"/>
          <w:bCs w:val="1"/>
          <w:color w:val="00B2A9"/>
        </w:rPr>
        <w:t>Net Income per Common Share</w:t>
      </w:r>
    </w:p>
    <w:p>
      <w:pPr>
        <w:spacing w:after="0" w:line="200" w:lineRule="exact"/>
        <w:rPr>
          <w:sz w:val="20"/>
          <w:szCs w:val="20"/>
          <w:color w:val="auto"/>
        </w:rPr>
      </w:pPr>
    </w:p>
    <w:p>
      <w:pPr>
        <w:spacing w:after="0" w:line="236" w:lineRule="exact"/>
        <w:rPr>
          <w:sz w:val="20"/>
          <w:szCs w:val="20"/>
          <w:color w:val="auto"/>
        </w:rPr>
      </w:pPr>
    </w:p>
    <w:p>
      <w:pPr>
        <w:ind w:right="440" w:firstLine="445"/>
        <w:spacing w:after="0" w:line="254" w:lineRule="auto"/>
        <w:rPr>
          <w:sz w:val="20"/>
          <w:szCs w:val="20"/>
          <w:color w:val="auto"/>
        </w:rPr>
      </w:pPr>
      <w:r>
        <w:rPr>
          <w:rFonts w:ascii="Arial" w:cs="Arial" w:eastAsia="Arial" w:hAnsi="Arial"/>
          <w:sz w:val="18"/>
          <w:szCs w:val="18"/>
          <w:color w:val="auto"/>
        </w:rPr>
        <w:t>The diluted weighted-average shares outstanding exclude outstanding stock options, restricted stock units, performance restricted stock units and shares to be purchased under the employee stock purchase plan totaling 5,040 and 4,780 for the three months ended September 30, 2020 and 2019, respectively, and 5,031 and 4,810 for the six months ended September 30, 2020 and 2019 because the effect would have been anti-dilutive.</w:t>
      </w:r>
    </w:p>
    <w:p>
      <w:pPr>
        <w:spacing w:after="0" w:line="37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247" w:lineRule="exact"/>
        <w:rPr>
          <w:sz w:val="20"/>
          <w:szCs w:val="20"/>
          <w:color w:val="auto"/>
        </w:rPr>
      </w:pPr>
    </w:p>
    <w:p>
      <w:pPr>
        <w:jc w:val="both"/>
        <w:ind w:right="40" w:firstLine="405"/>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193" w:lineRule="exact"/>
        <w:rPr>
          <w:sz w:val="20"/>
          <w:szCs w:val="20"/>
          <w:color w:val="auto"/>
        </w:rPr>
      </w:pPr>
    </w:p>
    <w:p>
      <w:pPr>
        <w:ind w:left="420" w:right="520"/>
        <w:spacing w:after="0" w:line="438" w:lineRule="auto"/>
        <w:rPr>
          <w:sz w:val="20"/>
          <w:szCs w:val="20"/>
          <w:color w:val="auto"/>
        </w:rPr>
      </w:pPr>
      <w:r>
        <w:rPr>
          <w:rFonts w:ascii="Arial" w:cs="Arial" w:eastAsia="Arial" w:hAnsi="Arial"/>
          <w:sz w:val="18"/>
          <w:szCs w:val="18"/>
          <w:color w:val="auto"/>
        </w:rPr>
        <w:t xml:space="preserve">As of September 30, 2020, $162,829 remained in our current stock repurchase authorization which expires on March 31, 2021. </w:t>
      </w:r>
      <w:r>
        <w:rPr>
          <w:rFonts w:ascii="Arial" w:cs="Arial" w:eastAsia="Arial" w:hAnsi="Arial"/>
          <w:sz w:val="18"/>
          <w:szCs w:val="18"/>
          <w:i w:val="1"/>
          <w:iCs w:val="1"/>
          <w:color w:val="auto"/>
        </w:rPr>
        <w:t>Subsequent Event</w:t>
      </w:r>
    </w:p>
    <w:p>
      <w:pPr>
        <w:spacing w:after="0" w:line="1"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On October 22, 2020, the Board of Directors authorized an increase to the existing share repurchase program so that $200,000 was available. The authorization will expire on March 31, 2022.</w:t>
      </w:r>
    </w:p>
    <w:p>
      <w:pPr>
        <w:spacing w:after="0" w:line="36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expenses and Restructuring expenses for the three and six months ended September 30, 2020 and 2019. Stock-based compensation is attributable to stock options, restricted stock units, performance based awards and the employee stock purchase plan.</w:t>
      </w:r>
    </w:p>
    <w:p>
      <w:pPr>
        <w:spacing w:after="0" w:line="250"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6"/>
                <w:szCs w:val="16"/>
                <w:color w:val="auto"/>
              </w:rPr>
            </w:pPr>
          </w:p>
        </w:tc>
        <w:tc>
          <w:tcPr>
            <w:tcW w:w="2520" w:type="dxa"/>
            <w:vAlign w:val="bottom"/>
            <w:gridSpan w:val="7"/>
          </w:tcPr>
          <w:p>
            <w:pPr>
              <w:ind w:left="60"/>
              <w:spacing w:after="0"/>
              <w:rPr>
                <w:sz w:val="20"/>
                <w:szCs w:val="20"/>
                <w:color w:val="auto"/>
              </w:rPr>
            </w:pPr>
            <w:r>
              <w:rPr>
                <w:rFonts w:ascii="Arial" w:cs="Arial" w:eastAsia="Arial" w:hAnsi="Arial"/>
                <w:sz w:val="16"/>
                <w:szCs w:val="16"/>
                <w:b w:val="1"/>
                <w:bCs w:val="1"/>
                <w:color w:val="auto"/>
              </w:rPr>
              <w:t>Six Months Ended September</w:t>
            </w:r>
          </w:p>
        </w:tc>
      </w:tr>
      <w:tr>
        <w:trPr>
          <w:trHeight w:val="223"/>
        </w:trPr>
        <w:tc>
          <w:tcPr>
            <w:tcW w:w="4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60" w:type="dxa"/>
            <w:vAlign w:val="bottom"/>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8"/>
                <w:szCs w:val="18"/>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7,359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tcPr>
          <w:p>
            <w:pPr>
              <w:spacing w:after="0"/>
              <w:rPr>
                <w:sz w:val="18"/>
                <w:szCs w:val="18"/>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w:t>
            </w:r>
          </w:p>
        </w:tc>
        <w:tc>
          <w:tcPr>
            <w:tcW w:w="100" w:type="dxa"/>
            <w:vAlign w:val="bottom"/>
            <w:shd w:val="clear" w:color="auto" w:fill="CCEEFF"/>
          </w:tcPr>
          <w:p>
            <w:pPr>
              <w:spacing w:after="0"/>
              <w:rPr>
                <w:sz w:val="19"/>
                <w:szCs w:val="19"/>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8,237</w:t>
            </w:r>
          </w:p>
        </w:tc>
        <w:tc>
          <w:tcPr>
            <w:tcW w:w="100" w:type="dxa"/>
            <w:vAlign w:val="bottom"/>
          </w:tcPr>
          <w:p>
            <w:pPr>
              <w:spacing w:after="0"/>
              <w:rPr>
                <w:sz w:val="18"/>
                <w:szCs w:val="18"/>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auto"/>
            </w:tcBorders>
            <w:shd w:val="clear" w:color="auto" w:fill="CCEEFF"/>
          </w:tcPr>
          <w:p>
            <w:pPr>
              <w:spacing w:after="0"/>
              <w:rPr>
                <w:sz w:val="19"/>
                <w:szCs w:val="19"/>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20,584</w:t>
            </w:r>
          </w:p>
        </w:tc>
        <w:tc>
          <w:tcPr>
            <w:tcW w:w="1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14,857</w:t>
            </w:r>
          </w:p>
        </w:tc>
        <w:tc>
          <w:tcPr>
            <w:tcW w:w="4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39,535</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29,607</w:t>
            </w:r>
          </w:p>
        </w:tc>
        <w:tc>
          <w:tcPr>
            <w:tcW w:w="100" w:type="dxa"/>
            <w:vAlign w:val="bottom"/>
          </w:tcPr>
          <w:p>
            <w:pPr>
              <w:spacing w:after="0"/>
              <w:rPr>
                <w:sz w:val="17"/>
                <w:szCs w:val="17"/>
                <w:color w:val="auto"/>
              </w:rPr>
            </w:pPr>
          </w:p>
        </w:tc>
      </w:tr>
      <w:tr>
        <w:trPr>
          <w:trHeight w:val="23"/>
        </w:trPr>
        <w:tc>
          <w:tcPr>
            <w:tcW w:w="40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r>
    </w:tbl>
    <w:p>
      <w:pPr>
        <w:spacing w:after="0" w:line="161"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As of September 30, 2020, there was $110,911 of unrecognized stock-based compensation expense related to restricted stock unit awards that is expected to be recognized over a weighted-average period of 1.90 years. We account for forfeitures as they occur. To the extent that awards are forfeited, stock-based compensation will be different from our current estimate.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was not significant in the three and six months ended September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for the six months ended September 30, 2020 is as follows:</w:t>
      </w:r>
    </w:p>
    <w:p>
      <w:pPr>
        <w:spacing w:after="0" w:line="258" w:lineRule="exact"/>
        <w:rPr>
          <w:sz w:val="20"/>
          <w:szCs w:val="20"/>
          <w:color w:val="auto"/>
        </w:rPr>
      </w:pPr>
    </w:p>
    <w:tbl>
      <w:tblPr>
        <w:tblLayout w:type="fixed"/>
        <w:tblInd w:w="12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89"/>
        </w:trPr>
        <w:tc>
          <w:tcPr>
            <w:tcW w:w="5700" w:type="dxa"/>
            <w:vAlign w:val="bottom"/>
            <w:gridSpan w:val="3"/>
          </w:tcPr>
          <w:p>
            <w:pPr>
              <w:ind w:left="20"/>
              <w:spacing w:after="0"/>
              <w:rPr>
                <w:sz w:val="20"/>
                <w:szCs w:val="20"/>
                <w:color w:val="auto"/>
              </w:rPr>
            </w:pPr>
            <w:r>
              <w:rPr>
                <w:rFonts w:ascii="Arial" w:cs="Arial" w:eastAsia="Arial" w:hAnsi="Arial"/>
                <w:sz w:val="16"/>
                <w:szCs w:val="16"/>
                <w:b w:val="1"/>
                <w:bCs w:val="1"/>
                <w:color w:val="auto"/>
              </w:rPr>
              <w:t>Non-vested Restricted Stock Units</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6"/>
                <w:szCs w:val="16"/>
                <w:color w:val="auto"/>
              </w:rPr>
            </w:pPr>
          </w:p>
        </w:tc>
        <w:tc>
          <w:tcPr>
            <w:tcW w:w="1500" w:type="dxa"/>
            <w:vAlign w:val="bottom"/>
          </w:tcPr>
          <w:p>
            <w:pPr>
              <w:jc w:val="center"/>
              <w:ind w:right="99"/>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Non-vested as of March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gridSpan w:val="2"/>
          </w:tcPr>
          <w:p>
            <w:pPr>
              <w:ind w:left="320"/>
              <w:spacing w:after="0"/>
              <w:rPr>
                <w:sz w:val="20"/>
                <w:szCs w:val="20"/>
                <w:color w:val="auto"/>
              </w:rPr>
            </w:pPr>
            <w:r>
              <w:rPr>
                <w:rFonts w:ascii="Arial" w:cs="Arial" w:eastAsia="Arial" w:hAnsi="Arial"/>
                <w:sz w:val="16"/>
                <w:szCs w:val="16"/>
                <w:color w:val="auto"/>
              </w:rPr>
              <w:t>Awarded</w:t>
            </w:r>
          </w:p>
        </w:tc>
        <w:tc>
          <w:tcPr>
            <w:tcW w:w="1240" w:type="dxa"/>
            <w:vAlign w:val="bottom"/>
          </w:tcPr>
          <w:p>
            <w:pPr>
              <w:jc w:val="right"/>
              <w:spacing w:after="0"/>
              <w:rPr>
                <w:sz w:val="20"/>
                <w:szCs w:val="20"/>
                <w:color w:val="auto"/>
              </w:rPr>
            </w:pPr>
            <w:r>
              <w:rPr>
                <w:rFonts w:ascii="Arial" w:cs="Arial" w:eastAsia="Arial" w:hAnsi="Arial"/>
                <w:sz w:val="16"/>
                <w:szCs w:val="16"/>
                <w:color w:val="auto"/>
              </w:rPr>
              <w:t>857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w:t>
            </w:r>
          </w:p>
        </w:tc>
        <w:tc>
          <w:tcPr>
            <w:tcW w:w="0" w:type="dxa"/>
            <w:vAlign w:val="bottom"/>
          </w:tcPr>
          <w:p>
            <w:pPr>
              <w:spacing w:after="0"/>
              <w:rPr>
                <w:sz w:val="1"/>
                <w:szCs w:val="1"/>
                <w:color w:val="auto"/>
              </w:rPr>
            </w:pPr>
          </w:p>
        </w:tc>
      </w:tr>
      <w:tr>
        <w:trPr>
          <w:trHeight w:val="235"/>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Non-vested as of September 30,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80" w:firstLine="445"/>
        <w:spacing w:after="0" w:line="256" w:lineRule="auto"/>
        <w:rPr>
          <w:sz w:val="20"/>
          <w:szCs w:val="20"/>
          <w:color w:val="auto"/>
        </w:rPr>
      </w:pPr>
      <w:r>
        <w:rPr>
          <w:rFonts w:ascii="Arial" w:cs="Arial" w:eastAsia="Arial" w:hAnsi="Arial"/>
          <w:sz w:val="18"/>
          <w:szCs w:val="18"/>
          <w:color w:val="auto"/>
        </w:rPr>
        <w:t>The weighted-average fair value of restricted stock units awarded was $42.02 and $37.42 per unit during the three and six months ended September 30, 2020, and $43.39 and $48.17 per unit during the three and six months ended September 30, 2019. The weighted-average fair value of awards includes the awards with a market condition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93" w:lineRule="exact"/>
        <w:rPr>
          <w:sz w:val="20"/>
          <w:szCs w:val="20"/>
          <w:color w:val="auto"/>
        </w:rPr>
      </w:pPr>
    </w:p>
    <w:p>
      <w:pPr>
        <w:ind w:right="80" w:firstLine="200"/>
        <w:spacing w:after="0" w:line="252" w:lineRule="auto"/>
        <w:rPr>
          <w:sz w:val="20"/>
          <w:szCs w:val="20"/>
          <w:color w:val="auto"/>
        </w:rPr>
      </w:pPr>
      <w:r>
        <w:rPr>
          <w:rFonts w:ascii="Arial" w:cs="Arial" w:eastAsia="Arial" w:hAnsi="Arial"/>
          <w:sz w:val="18"/>
          <w:szCs w:val="18"/>
          <w:color w:val="auto"/>
        </w:rPr>
        <w:t>In the six months ended September 30, 2020, we granted 299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(598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six months ended September 30, 2020 was $36.76 per unit. The awards are included in the restricted stock unit table above.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Employee Stock Purchase Plan (the "Purchase Plan") is a shareholder approved plan under which substantially all employees may purchase Commvault’s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Employees purchased 129 shares in exchange for $4,652 of proceeds in the six months ended September 30, 2020 and 136 shares in exchange for $4,833 in the six months ended September 30, 2019. The total expense associated with the Purchase Plan was $1,511 for the six months ended September 30, 2020 and $1,521 for the six months ended September 30, 2019.</w:t>
      </w:r>
    </w:p>
    <w:p>
      <w:pPr>
        <w:spacing w:after="0" w:line="374"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19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Income tax expense was $4,211 in the six months ended September 30, 2020 compared to expense of $2,571 in the six months ended September 30, 2019. In the fourth quarter of fiscal 2020, we recorded a current tax benefit of approximately $10,000 which represented our estimate of the net operating loss carryback resulting from the CARES Act. In the first quarter of fiscal 2021, we recorded an adjustment of $3,200 to reduce the current benefit of the net operating loss carryback benefit we will realize from the CARES Act. In fiscal 2018, we determined that it was more likely than not that we will not realize the benefits of our gross deferred tax assets and therefore recorded a valuation allowance to reduce the carrying value of these gross deferred tax assets, net of the impact of the reversal of taxable temporary differences, to zero. Our position remains unchanged with respect to the realizability of our deferred tax assets as of September 30, 2020.</w:t>
      </w:r>
    </w:p>
    <w:p>
      <w:pPr>
        <w:spacing w:after="0" w:line="37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93"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These restructuring charges relate primarily to severance and related costs associated with headcount reductions and lease abandonment charges.</w:t>
      </w:r>
    </w:p>
    <w:p>
      <w:pPr>
        <w:spacing w:after="0" w:line="14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During the three months ended September 30, 2020 and 2019, we incurred total restructuring charges of $5,767 and $12,851, respectively. These restructuring charges include $647 and $605 of stock-based compensation related to modifications of existing unvested awards granted to certain employees impacted by the restructuring plan for the three months ended September 30, 2020 and 2019, respectively.</w:t>
      </w:r>
    </w:p>
    <w:p>
      <w:pPr>
        <w:spacing w:after="0" w:line="150" w:lineRule="exact"/>
        <w:rPr>
          <w:sz w:val="20"/>
          <w:szCs w:val="20"/>
          <w:color w:val="auto"/>
        </w:rPr>
      </w:pPr>
    </w:p>
    <w:p>
      <w:pPr>
        <w:jc w:val="center"/>
        <w:ind w:right="560"/>
        <w:spacing w:after="0" w:line="278" w:lineRule="auto"/>
        <w:rPr>
          <w:sz w:val="20"/>
          <w:szCs w:val="20"/>
          <w:color w:val="auto"/>
        </w:rPr>
      </w:pPr>
      <w:r>
        <w:rPr>
          <w:rFonts w:ascii="Arial" w:cs="Arial" w:eastAsia="Arial" w:hAnsi="Arial"/>
          <w:sz w:val="17"/>
          <w:szCs w:val="17"/>
          <w:color w:val="auto"/>
        </w:rPr>
        <w:t>During the six months ended September 30, 2020 and 2019, we incurred total restructuring charges of $8,091 and $16,930, respectively. These charges include $704 and $973 of stock-based compensation related to modifications of existing unvested awards granted to certain employees impacted by the restructuring plan for the six months ended September 30, 2020 and 2019, respectively.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activity in our restructuring accruals for the three and six months ended September 30, 2020 and 2019 is summarized as follows:</w:t>
      </w:r>
    </w:p>
    <w:p>
      <w:pPr>
        <w:spacing w:after="0" w:line="287" w:lineRule="exact"/>
        <w:rPr>
          <w:sz w:val="20"/>
          <w:szCs w:val="20"/>
          <w:color w:val="auto"/>
        </w:rPr>
      </w:pPr>
    </w:p>
    <w:p>
      <w:pPr>
        <w:jc w:val="center"/>
        <w:ind w:left="4180"/>
        <w:spacing w:after="0"/>
        <w:rPr>
          <w:sz w:val="20"/>
          <w:szCs w:val="20"/>
          <w:color w:val="auto"/>
        </w:rPr>
      </w:pPr>
      <w:r>
        <w:rPr>
          <w:rFonts w:ascii="Arial" w:cs="Arial" w:eastAsia="Arial" w:hAnsi="Arial"/>
          <w:sz w:val="16"/>
          <w:szCs w:val="16"/>
          <w:b w:val="1"/>
          <w:bCs w:val="1"/>
          <w:color w:val="auto"/>
        </w:rPr>
        <w:t>Three Months Ended</w:t>
      </w:r>
    </w:p>
    <w:p>
      <w:pPr>
        <w:jc w:val="center"/>
        <w:ind w:left="4180"/>
        <w:spacing w:after="0"/>
        <w:rPr>
          <w:sz w:val="20"/>
          <w:szCs w:val="20"/>
          <w:color w:val="auto"/>
        </w:rPr>
      </w:pPr>
      <w:r>
        <w:rPr>
          <w:rFonts w:ascii="Arial" w:cs="Arial" w:eastAsia="Arial" w:hAnsi="Arial"/>
          <w:sz w:val="16"/>
          <w:szCs w:val="16"/>
          <w:b w:val="1"/>
          <w:bCs w:val="1"/>
          <w:color w:val="auto"/>
        </w:rPr>
        <w:t>Septe</w:t>
      </w:r>
      <w:r>
        <w:rPr>
          <w:rFonts w:ascii="Arial" w:cs="Arial" w:eastAsia="Arial" w:hAnsi="Arial"/>
          <w:sz w:val="16"/>
          <w:szCs w:val="16"/>
          <w:b w:val="1"/>
          <w:bCs w:val="1"/>
          <w:u w:val="single" w:color="auto"/>
          <w:color w:val="auto"/>
        </w:rPr>
        <w:t>m</w:t>
      </w:r>
      <w:r>
        <w:rPr>
          <w:rFonts w:ascii="Arial" w:cs="Arial" w:eastAsia="Arial" w:hAnsi="Arial"/>
          <w:sz w:val="16"/>
          <w:szCs w:val="16"/>
          <w:b w:val="1"/>
          <w:bCs w:val="1"/>
          <w:color w:val="auto"/>
        </w:rPr>
        <w:t>ber 30,</w:t>
      </w:r>
    </w:p>
    <w:p>
      <w:pPr>
        <w:spacing w:after="0" w:line="11" w:lineRule="exact"/>
        <w:rPr>
          <w:sz w:val="20"/>
          <w:szCs w:val="20"/>
          <w:color w:val="auto"/>
        </w:rPr>
      </w:pPr>
    </w:p>
    <w:tbl>
      <w:tblPr>
        <w:tblLayout w:type="fixed"/>
        <w:tblInd w:w="2320" w:type="dxa"/>
        <w:tblCellMar>
          <w:top w:w="0" w:type="dxa"/>
          <w:left w:w="0" w:type="dxa"/>
          <w:bottom w:w="0" w:type="dxa"/>
          <w:right w:w="0" w:type="dxa"/>
        </w:tblCellMar>
      </w:tblPr>
      <w:tr>
        <w:trPr>
          <w:trHeight w:val="215"/>
        </w:trPr>
        <w:tc>
          <w:tcPr>
            <w:tcW w:w="4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June 30,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9"/>
              </w:rPr>
              <w:t>3,228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w:t>
            </w:r>
          </w:p>
        </w:tc>
      </w:tr>
      <w:tr>
        <w:trPr>
          <w:trHeight w:val="216"/>
        </w:trPr>
        <w:tc>
          <w:tcPr>
            <w:tcW w:w="4200" w:type="dxa"/>
            <w:vAlign w:val="bottom"/>
          </w:tcPr>
          <w:p>
            <w:pPr>
              <w:spacing w:after="0" w:line="216" w:lineRule="exact"/>
              <w:rPr>
                <w:sz w:val="20"/>
                <w:szCs w:val="20"/>
                <w:color w:val="auto"/>
              </w:rPr>
            </w:pPr>
            <w:r>
              <w:rPr>
                <w:rFonts w:ascii="Arial" w:cs="Arial" w:eastAsia="Arial" w:hAnsi="Arial"/>
                <w:sz w:val="16"/>
                <w:szCs w:val="16"/>
                <w:color w:val="auto"/>
              </w:rPr>
              <w:t xml:space="preserve">Restructuring charges, net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900" w:type="dxa"/>
            <w:vAlign w:val="bottom"/>
          </w:tcPr>
          <w:p>
            <w:pPr>
              <w:jc w:val="center"/>
              <w:ind w:left="259"/>
              <w:spacing w:after="0"/>
              <w:rPr>
                <w:sz w:val="20"/>
                <w:szCs w:val="20"/>
                <w:color w:val="auto"/>
              </w:rPr>
            </w:pPr>
            <w:r>
              <w:rPr>
                <w:rFonts w:ascii="Arial" w:cs="Arial" w:eastAsia="Arial" w:hAnsi="Arial"/>
                <w:sz w:val="16"/>
                <w:szCs w:val="16"/>
                <w:color w:val="auto"/>
                <w:w w:val="99"/>
              </w:rPr>
              <w:t>4,895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11,132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w w:val="98"/>
              </w:rPr>
              <w:t>(3,085)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(2,992)</w:t>
            </w: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Balance as of September 30,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9"/>
              </w:rPr>
              <w:t>5,038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10,358</w:t>
            </w:r>
          </w:p>
        </w:tc>
      </w:tr>
      <w:tr>
        <w:trPr>
          <w:trHeight w:val="24"/>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ind w:left="4580"/>
        <w:spacing w:after="0"/>
        <w:rPr>
          <w:sz w:val="20"/>
          <w:szCs w:val="20"/>
          <w:color w:val="auto"/>
        </w:rPr>
      </w:pPr>
      <w:r>
        <w:rPr>
          <w:rFonts w:ascii="Arial" w:cs="Arial" w:eastAsia="Arial" w:hAnsi="Arial"/>
          <w:sz w:val="16"/>
          <w:szCs w:val="16"/>
          <w:b w:val="1"/>
          <w:bCs w:val="1"/>
          <w:color w:val="auto"/>
        </w:rPr>
        <w:t>Six Months Ended</w:t>
      </w:r>
    </w:p>
    <w:p>
      <w:pPr>
        <w:jc w:val="center"/>
        <w:ind w:left="4580"/>
        <w:spacing w:after="0"/>
        <w:rPr>
          <w:sz w:val="20"/>
          <w:szCs w:val="20"/>
          <w:color w:val="auto"/>
        </w:rPr>
      </w:pPr>
      <w:r>
        <w:rPr>
          <w:rFonts w:ascii="Arial" w:cs="Arial" w:eastAsia="Arial" w:hAnsi="Arial"/>
          <w:sz w:val="16"/>
          <w:szCs w:val="16"/>
          <w:b w:val="1"/>
          <w:bCs w:val="1"/>
          <w:color w:val="auto"/>
        </w:rPr>
        <w:t>Septe</w:t>
      </w:r>
      <w:r>
        <w:rPr>
          <w:rFonts w:ascii="Arial" w:cs="Arial" w:eastAsia="Arial" w:hAnsi="Arial"/>
          <w:sz w:val="16"/>
          <w:szCs w:val="16"/>
          <w:b w:val="1"/>
          <w:bCs w:val="1"/>
          <w:u w:val="single" w:color="auto"/>
          <w:color w:val="auto"/>
        </w:rPr>
        <w:t>m</w:t>
      </w:r>
      <w:r>
        <w:rPr>
          <w:rFonts w:ascii="Arial" w:cs="Arial" w:eastAsia="Arial" w:hAnsi="Arial"/>
          <w:sz w:val="16"/>
          <w:szCs w:val="16"/>
          <w:b w:val="1"/>
          <w:bCs w:val="1"/>
          <w:color w:val="auto"/>
        </w:rPr>
        <w:t>ber 30,</w:t>
      </w:r>
    </w:p>
    <w:p>
      <w:pPr>
        <w:spacing w:after="0" w:line="11" w:lineRule="exact"/>
        <w:rPr>
          <w:sz w:val="20"/>
          <w:szCs w:val="20"/>
          <w:color w:val="auto"/>
        </w:rPr>
      </w:pPr>
    </w:p>
    <w:tbl>
      <w:tblPr>
        <w:tblLayout w:type="fixed"/>
        <w:tblInd w:w="2820" w:type="dxa"/>
        <w:tblCellMar>
          <w:top w:w="0" w:type="dxa"/>
          <w:left w:w="0" w:type="dxa"/>
          <w:bottom w:w="0" w:type="dxa"/>
          <w:right w:w="0" w:type="dxa"/>
        </w:tblCellMar>
      </w:tblPr>
      <w:tr>
        <w:trPr>
          <w:trHeight w:val="215"/>
        </w:trPr>
        <w:tc>
          <w:tcPr>
            <w:tcW w:w="39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9"/>
              </w:rPr>
              <w:t>2,531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r>
      <w:tr>
        <w:trPr>
          <w:trHeight w:val="216"/>
        </w:trPr>
        <w:tc>
          <w:tcPr>
            <w:tcW w:w="3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 charges, net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860" w:type="dxa"/>
            <w:vAlign w:val="bottom"/>
          </w:tcPr>
          <w:p>
            <w:pPr>
              <w:jc w:val="center"/>
              <w:ind w:left="219"/>
              <w:spacing w:after="0"/>
              <w:rPr>
                <w:sz w:val="20"/>
                <w:szCs w:val="20"/>
                <w:color w:val="auto"/>
              </w:rPr>
            </w:pPr>
            <w:r>
              <w:rPr>
                <w:rFonts w:ascii="Arial" w:cs="Arial" w:eastAsia="Arial" w:hAnsi="Arial"/>
                <w:sz w:val="16"/>
                <w:szCs w:val="16"/>
                <w:color w:val="auto"/>
                <w:w w:val="99"/>
              </w:rPr>
              <w:t>6,695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13,907</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8"/>
              </w:rPr>
              <w:t>(4,188)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(4,638)</w:t>
            </w:r>
          </w:p>
        </w:tc>
      </w:tr>
      <w:tr>
        <w:trPr>
          <w:trHeight w:val="207"/>
        </w:trPr>
        <w:tc>
          <w:tcPr>
            <w:tcW w:w="3960" w:type="dxa"/>
            <w:vAlign w:val="bottom"/>
          </w:tcPr>
          <w:p>
            <w:pPr>
              <w:ind w:left="20"/>
              <w:spacing w:after="0"/>
              <w:rPr>
                <w:sz w:val="20"/>
                <w:szCs w:val="20"/>
                <w:color w:val="auto"/>
              </w:rPr>
            </w:pPr>
            <w:r>
              <w:rPr>
                <w:rFonts w:ascii="Arial" w:cs="Arial" w:eastAsia="Arial" w:hAnsi="Arial"/>
                <w:sz w:val="16"/>
                <w:szCs w:val="16"/>
                <w:color w:val="auto"/>
              </w:rPr>
              <w:t>Balance as of September 30,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color w:val="auto"/>
                <w:w w:val="99"/>
              </w:rPr>
              <w:t>5,038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10,358</w:t>
            </w:r>
          </w:p>
        </w:tc>
      </w:tr>
      <w:tr>
        <w:trPr>
          <w:trHeight w:val="23"/>
        </w:trPr>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300" w:firstLine="4"/>
        <w:spacing w:after="0" w:line="252" w:lineRule="auto"/>
        <w:tabs>
          <w:tab w:leader="none" w:pos="1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restructuring charges of $4,895 and $6,695 in the tables above excludes restructuring charges for three of our leases in the amount of $225 and five in the amount of $692 for the three and six months ended September 30, 2020, respectively. It also excludes stock-based compensation related to modifications for the three and six months ended September 30, 2020 of $647 and $704, respectively. Net restructuring charges of $11,132 and $13,907 in the tables above excludes restructuring charges for one of our leases in the amount of $1,114 and three in the amount of $2,050 for the three and six months ended September 30, 2019, respectively. It also excludes stock-based compensation related to modifications for the three and six months ended September 30, 2019 of $605 and $973, respectively.</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the outstanding restructuring accruals primarily relate to future severance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B2A9"/>
        </w:rPr>
        <w:t>Item 2 - Management’s Discussion and Analysis of Financial Condition and Results of Operations</w:t>
      </w:r>
    </w:p>
    <w:p>
      <w:pPr>
        <w:spacing w:after="0" w:line="12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2020. Our actual results may differ materially from those contained in or implied by any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274" w:lineRule="exact"/>
        <w:rPr>
          <w:sz w:val="20"/>
          <w:szCs w:val="20"/>
          <w:color w:val="auto"/>
        </w:rPr>
      </w:pPr>
    </w:p>
    <w:p>
      <w:pPr>
        <w:ind w:right="40" w:firstLine="200"/>
        <w:spacing w:after="0" w:line="252"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We also sell appliances that integrate the Commvault software with hardware and address a wide-range of business needs and use cases, ranging from support for remote or branch offices with limited IT staff up to large corporate data centers. Commvault also provides customers with a broad range of professional services that are delivered by our worldwide support and field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26"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43% and 40% of our total revenues for the six months ended September 30, 2020 and 2019, respectively.</w:t>
      </w:r>
    </w:p>
    <w:p>
      <w:pPr>
        <w:spacing w:after="0" w:line="15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Our total software and products revenue in any particular period is, to a certain extent, dependent upon our ability to generate revenues from large customer software and products deals. Larger deals (transactions greater than $0.1 million) represented 69% and 63% of our total software and products revenue in the six months ended September 30, 2020 and 2019, respectively.</w:t>
      </w:r>
    </w:p>
    <w:p>
      <w:pPr>
        <w:spacing w:after="0" w:line="148"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Software and products revenue generated through indirect distribution channels was 95% of total software and products revenue in both the six months ended September 30, 2020 and September 30, 2019. Software and products revenue generated through direct distribution channels was 5% of total software and products revenue in both the six months ended September 30, 2020 and September 30, 2019. The dollar value of software and products revenue generated through indirect distribution channels increased $15.0 million in the six months ended September 30, 2020 compared to the six months ended September 30, 2019. The dollar value of software and products revenue generated through direct distribution channels increased $1.6 million in the six months ended September 30, 2020 compared to the six months ended September 30, 2019.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55"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We also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36% and 37% of our total revenues through Arrow in the six months ended September 30, 2020 and 2019, respectively. If Arrow were to discontinue or reduce the sales of our products, or if</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18" w:name="page19"/>
    <w:bookmarkEnd w:id="18"/>
    <w:p>
      <w:pPr>
        <w:ind w:right="80"/>
        <w:spacing w:after="0" w:line="261" w:lineRule="auto"/>
        <w:rPr>
          <w:sz w:val="20"/>
          <w:szCs w:val="20"/>
          <w:color w:val="auto"/>
        </w:rPr>
      </w:pPr>
      <w:r>
        <w:rPr>
          <w:rFonts w:ascii="Arial" w:cs="Arial" w:eastAsia="Arial" w:hAnsi="Arial"/>
          <w:sz w:val="18"/>
          <w:szCs w:val="18"/>
          <w:color w:val="auto"/>
        </w:rPr>
        <w:t>our agreement with Arrow was terminated, and if we were unable to take back the management of our reseller channel or find another North American distributor to replace Arrow, then it would have a material adverse effect on our future business.</w:t>
      </w:r>
    </w:p>
    <w:p>
      <w:pPr>
        <w:spacing w:after="0" w:line="14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Our services revenue was 57% of our total revenues for the six months ended September 30, 2020 and 60% of our total revenues for the six months ended September 30, 2019.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newly launched software-as-a-service solution, branded Metallic, is also included in services revenue. Revenue from Metallic, which has not been material to date, is recognized ratably over the contract period.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9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Sales outside the United States were 45% of our total revenue for the six months ended September 30, 2020 and 49% of our total revenue for the six months ended September 30, 2019.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Using the average foreign currency exchange rates from the three months ended September 30, 2019, our software and products revenue would have been lower by $1.1 million, our services revenue would have been lower by $1.6 million, our cost of sales would have been lower by $0.4 million and our operating expenses would have been lower by $ 1.2 million from non-U.S. operations for the three months ended September 30, 2020. Using the average foreign currency exchange rates for the six months ended September 30, 2019, our software and products revenue would have been lower by $0.7 million, our services revenue would have been lower by $0.4 million, our cost of sales would have been lower by $0.2 million and our operating expenses would have been higher by $0.2 million from non-U.S. operations for the six months ended September 30, 2020.</w:t>
      </w:r>
    </w:p>
    <w:p>
      <w:pPr>
        <w:spacing w:after="0" w:line="153"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$1.2 million and $0.4 million for the three and six months ended September 30, 2020, respectively. We recognized net foreign currency transaction gain of $0.1 million in the three months ended September 30, 2019, and a loss of less than $0.1 million in the six months ended September 30, 2019</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9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5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50" w:lineRule="exact"/>
        <w:rPr>
          <w:sz w:val="20"/>
          <w:szCs w:val="20"/>
          <w:color w:val="auto"/>
        </w:rPr>
      </w:pPr>
    </w:p>
    <w:p>
      <w:pPr>
        <w:ind w:left="1940" w:hanging="23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1940" w:hanging="23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71" w:lineRule="exact"/>
        <w:rPr>
          <w:rFonts w:ascii="Arial" w:cs="Arial" w:eastAsia="Arial" w:hAnsi="Arial"/>
          <w:sz w:val="18"/>
          <w:szCs w:val="18"/>
          <w:color w:val="auto"/>
        </w:rPr>
      </w:pPr>
    </w:p>
    <w:p>
      <w:pPr>
        <w:ind w:left="1940" w:hanging="231"/>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and Purchased Intangible Assets</w:t>
      </w:r>
    </w:p>
    <w:p>
      <w:pPr>
        <w:spacing w:after="0" w:line="171"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during the six months ended September 30, 2020 as compared to the critical accounting policies and estimates disclosed in “Management’s Discussion and Analysis of Financial Condition and Results of Operations - Critical Accounting Policies” included in our Annual Report on Form 10-K for the year ended March 31, 2020.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B2A9"/>
        </w:rPr>
        <w:t>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69215</wp:posOffset>
            </wp:positionV>
            <wp:extent cx="3771900" cy="1499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7190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revenues increased $3.6 million, or 2%.</w:t>
      </w:r>
    </w:p>
    <w:p>
      <w:pPr>
        <w:spacing w:after="0" w:line="104" w:lineRule="exact"/>
        <w:rPr>
          <w:sz w:val="20"/>
          <w:szCs w:val="20"/>
          <w:color w:val="auto"/>
        </w:rPr>
      </w:pPr>
    </w:p>
    <w:p>
      <w:pPr>
        <w:ind w:left="1300" w:right="200" w:hanging="118"/>
        <w:spacing w:after="0" w:line="261" w:lineRule="auto"/>
        <w:tabs>
          <w:tab w:leader="none" w:pos="1295"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42% of our total revenue in the three months ended September 30, 2020 and 41% of our total revenue in the three months ended September 30, 2019.</w:t>
      </w:r>
    </w:p>
    <w:p>
      <w:pPr>
        <w:spacing w:after="0" w:line="62" w:lineRule="exact"/>
        <w:rPr>
          <w:rFonts w:ascii="Arial" w:cs="Arial" w:eastAsia="Arial" w:hAnsi="Arial"/>
          <w:sz w:val="18"/>
          <w:szCs w:val="18"/>
          <w:i w:val="1"/>
          <w:iCs w:val="1"/>
          <w:color w:val="auto"/>
        </w:rPr>
      </w:pPr>
    </w:p>
    <w:p>
      <w:pPr>
        <w:ind w:left="1300" w:right="300" w:hanging="118"/>
        <w:spacing w:after="0" w:line="256" w:lineRule="auto"/>
        <w:tabs>
          <w:tab w:leader="none" w:pos="1295"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66% of our software and products revenue in the three months ended September 30, 2020 and 64% of our software and products revenue in the three months ended September 30, 2019.</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–Software and products revenue increased $3.7 million, or 5%, as a result of the following:</w:t>
      </w:r>
    </w:p>
    <w:p>
      <w:pPr>
        <w:spacing w:after="0" w:line="104" w:lineRule="exact"/>
        <w:rPr>
          <w:sz w:val="20"/>
          <w:szCs w:val="20"/>
          <w:color w:val="auto"/>
        </w:rPr>
      </w:pPr>
    </w:p>
    <w:p>
      <w:pPr>
        <w:ind w:left="1300" w:hanging="118"/>
        <w:spacing w:after="0"/>
        <w:tabs>
          <w:tab w:leader="none" w:pos="1300" w:val="left"/>
        </w:tabs>
        <w:numPr>
          <w:ilvl w:val="2"/>
          <w:numId w:val="16"/>
        </w:numPr>
        <w:rPr>
          <w:rFonts w:ascii="Arial" w:cs="Arial" w:eastAsia="Arial" w:hAnsi="Arial"/>
          <w:sz w:val="18"/>
          <w:szCs w:val="18"/>
          <w:i w:val="1"/>
          <w:iCs w:val="1"/>
          <w:color w:val="auto"/>
        </w:rPr>
      </w:pPr>
      <w:r>
        <w:rPr>
          <w:rFonts w:ascii="Arial" w:cs="Arial" w:eastAsia="Arial" w:hAnsi="Arial"/>
          <w:sz w:val="18"/>
          <w:szCs w:val="18"/>
          <w:color w:val="auto"/>
        </w:rPr>
        <w:t>An increase of $3.5 million, or 8%, in larger deal revenue.</w:t>
      </w:r>
    </w:p>
    <w:p>
      <w:pPr>
        <w:spacing w:after="0" w:line="90" w:lineRule="exact"/>
        <w:rPr>
          <w:rFonts w:ascii="Arial" w:cs="Arial" w:eastAsia="Arial" w:hAnsi="Arial"/>
          <w:sz w:val="18"/>
          <w:szCs w:val="18"/>
          <w:i w:val="1"/>
          <w:iCs w:val="1"/>
          <w:color w:val="auto"/>
        </w:rPr>
      </w:pPr>
    </w:p>
    <w:p>
      <w:pPr>
        <w:ind w:left="1300" w:right="500" w:hanging="118"/>
        <w:spacing w:after="0" w:line="261" w:lineRule="auto"/>
        <w:tabs>
          <w:tab w:leader="none" w:pos="1295"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 increase of 11% in the volume of larger deal revenue transactions, offset by a decrease of 3% in the average dollar amount of such transactions.</w:t>
      </w:r>
    </w:p>
    <w:p>
      <w:pPr>
        <w:spacing w:after="0" w:line="76" w:lineRule="exact"/>
        <w:rPr>
          <w:rFonts w:ascii="Arial" w:cs="Arial" w:eastAsia="Arial" w:hAnsi="Arial"/>
          <w:sz w:val="18"/>
          <w:szCs w:val="18"/>
          <w:color w:val="auto"/>
        </w:rPr>
      </w:pPr>
    </w:p>
    <w:p>
      <w:pPr>
        <w:ind w:left="1300" w:hanging="118"/>
        <w:spacing w:after="0" w:line="261" w:lineRule="auto"/>
        <w:tabs>
          <w:tab w:leader="none" w:pos="1295" w:val="left"/>
        </w:tabs>
        <w:numPr>
          <w:ilvl w:val="2"/>
          <w:numId w:val="16"/>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$319 thousand and $328 thousand for the three months ended September 30, 2020 and 2019, respectively.</w:t>
      </w:r>
    </w:p>
    <w:p>
      <w:pPr>
        <w:spacing w:after="0" w:line="76" w:lineRule="exact"/>
        <w:rPr>
          <w:rFonts w:ascii="Arial" w:cs="Arial" w:eastAsia="Arial" w:hAnsi="Arial"/>
          <w:sz w:val="18"/>
          <w:szCs w:val="18"/>
          <w:i w:val="1"/>
          <w:iCs w:val="1"/>
          <w:color w:val="auto"/>
        </w:rPr>
      </w:pPr>
    </w:p>
    <w:p>
      <w:pPr>
        <w:ind w:left="1300" w:hanging="118"/>
        <w:spacing w:after="0"/>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 increase of $0.2 million in transactions less than $0.1 million.</w:t>
      </w:r>
    </w:p>
    <w:p>
      <w:pPr>
        <w:spacing w:after="0" w:line="72" w:lineRule="exact"/>
        <w:rPr>
          <w:rFonts w:ascii="Arial" w:cs="Arial" w:eastAsia="Arial" w:hAnsi="Arial"/>
          <w:sz w:val="18"/>
          <w:szCs w:val="18"/>
          <w:color w:val="auto"/>
        </w:rPr>
      </w:pPr>
    </w:p>
    <w:p>
      <w:pPr>
        <w:ind w:left="660" w:right="360" w:hanging="162"/>
        <w:spacing w:after="0" w:line="313" w:lineRule="auto"/>
        <w:rPr>
          <w:rFonts w:ascii="Arial" w:cs="Arial" w:eastAsia="Arial" w:hAnsi="Arial"/>
          <w:sz w:val="18"/>
          <w:szCs w:val="18"/>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represented 58% of our total revenue in the three months ended September 30, 2020 and 59% of our total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in the three months ended September 30, 2019. Services revenue decreased $0.2 million primarily due to the following:</w:t>
      </w:r>
    </w:p>
    <w:p>
      <w:pPr>
        <w:spacing w:after="0" w:line="34" w:lineRule="exact"/>
        <w:rPr>
          <w:rFonts w:ascii="Arial" w:cs="Arial" w:eastAsia="Arial" w:hAnsi="Arial"/>
          <w:sz w:val="18"/>
          <w:szCs w:val="18"/>
          <w:color w:val="auto"/>
        </w:rPr>
      </w:pPr>
    </w:p>
    <w:p>
      <w:pPr>
        <w:ind w:left="1300" w:hanging="158"/>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 increase of $0.4 million in training and consulting services.</w:t>
      </w:r>
    </w:p>
    <w:p>
      <w:pPr>
        <w:spacing w:after="0" w:line="103" w:lineRule="exact"/>
        <w:rPr>
          <w:rFonts w:ascii="Arial" w:cs="Arial" w:eastAsia="Arial" w:hAnsi="Arial"/>
          <w:sz w:val="18"/>
          <w:szCs w:val="18"/>
          <w:color w:val="auto"/>
        </w:rPr>
      </w:pPr>
    </w:p>
    <w:p>
      <w:pPr>
        <w:ind w:left="1300" w:hanging="158"/>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Offset by a decrease of $0.6 million in revenue from customer support agreements.</w:t>
      </w:r>
    </w:p>
    <w:p>
      <w:pPr>
        <w:spacing w:after="0" w:line="33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54%, 31% and 15% of total software and products revenue, respectively, for the three months ended September 30, 2020. Software and products revenue increased 9% year over year in the Americas and 3% in EMEA; whereas APJ declined 3%.</w:t>
      </w:r>
    </w:p>
    <w:p>
      <w:pPr>
        <w:spacing w:after="0" w:line="151" w:lineRule="exact"/>
        <w:rPr>
          <w:sz w:val="20"/>
          <w:szCs w:val="20"/>
          <w:color w:val="auto"/>
        </w:rPr>
      </w:pPr>
    </w:p>
    <w:p>
      <w:pPr>
        <w:ind w:left="660" w:right="100" w:hanging="328"/>
        <w:spacing w:after="0" w:line="261"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the result of a 9% increase in larger deal transactions revenue driven by an an increase in the volume of larger deal transactions.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4% increase in revenue on deals under $0.1 million.</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decrease in APJ was the result of a 19% decrease in revenue from deals under $0.1 million partially offset by a 13% increase in larger deal transactions.</w:t>
      </w:r>
    </w:p>
    <w:p>
      <w:pPr>
        <w:spacing w:after="0" w:line="225"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ectPr>
          <w:pgSz w:w="11900" w:h="16838" w:orient="portrait"/>
          <w:cols w:equalWidth="0" w:num="1">
            <w:col w:w="11200"/>
          </w:cols>
          <w:pgMar w:left="320" w:top="10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231775</wp:posOffset>
            </wp:positionV>
            <wp:extent cx="5726430" cy="3000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264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right="60" w:hanging="324"/>
        <w:spacing w:after="0" w:line="256" w:lineRule="auto"/>
        <w:rPr>
          <w:sz w:val="20"/>
          <w:szCs w:val="20"/>
          <w:color w:val="auto"/>
        </w:rPr>
      </w:pPr>
      <w:r>
        <w:rPr>
          <w:rFonts w:ascii="Arial" w:cs="Arial" w:eastAsia="Arial" w:hAnsi="Arial"/>
          <w:sz w:val="18"/>
          <w:szCs w:val="18"/>
          <w:color w:val="auto"/>
        </w:rPr>
        <w:t>– Total cost of revenues decreased $4.4 million, representing 16% of our total revenues for the three months ended September 30, 2020 compared to 19% for the three months ended September 30, 2019. Temporary salary cuts during the second quarter of fiscal year 2021 related to COVID-19 resulted in savings in cost of revenues.</w:t>
      </w:r>
    </w:p>
    <w:p>
      <w:pPr>
        <w:spacing w:after="0" w:line="80" w:lineRule="exact"/>
        <w:rPr>
          <w:sz w:val="20"/>
          <w:szCs w:val="20"/>
          <w:color w:val="auto"/>
        </w:rPr>
      </w:pPr>
    </w:p>
    <w:p>
      <w:pPr>
        <w:ind w:left="660" w:hanging="324"/>
        <w:spacing w:after="0" w:line="256" w:lineRule="auto"/>
        <w:rPr>
          <w:sz w:val="20"/>
          <w:szCs w:val="20"/>
          <w:color w:val="auto"/>
        </w:rPr>
      </w:pPr>
      <w:r>
        <w:rPr>
          <w:rFonts w:ascii="Arial" w:cs="Arial" w:eastAsia="Arial" w:hAnsi="Arial"/>
          <w:sz w:val="18"/>
          <w:szCs w:val="18"/>
          <w:color w:val="auto"/>
        </w:rPr>
        <w:t>– Cost of software and products revenue decreased $0.9 million, representing 11% of our total software and products revenue for the three months ended September 30, 2020 compared to 13% for the three months ended September 30, 2019. The decrease is the result of lower cost of sales associated with our appliance.</w:t>
      </w:r>
    </w:p>
    <w:p>
      <w:pPr>
        <w:spacing w:after="0" w:line="80" w:lineRule="exact"/>
        <w:rPr>
          <w:sz w:val="20"/>
          <w:szCs w:val="20"/>
          <w:color w:val="auto"/>
        </w:rPr>
      </w:pPr>
    </w:p>
    <w:p>
      <w:pPr>
        <w:ind w:left="660" w:right="60" w:hanging="324"/>
        <w:spacing w:after="0" w:line="256" w:lineRule="auto"/>
        <w:rPr>
          <w:sz w:val="20"/>
          <w:szCs w:val="20"/>
          <w:color w:val="auto"/>
        </w:rPr>
      </w:pPr>
      <w:r>
        <w:rPr>
          <w:rFonts w:ascii="Arial" w:cs="Arial" w:eastAsia="Arial" w:hAnsi="Arial"/>
          <w:sz w:val="18"/>
          <w:szCs w:val="18"/>
          <w:color w:val="auto"/>
        </w:rPr>
        <w:t>– Cost of services revenue decreased $3.5 million, representing 19% of our total services revenue for the three months ended September 30, 2020 compared to 23% for the three months ended September 30, 2019. The decline in cost of services revenue is primarily related to the temporary salary cuts during the second quarter of fiscal year 2021 related to COVID-19.</w:t>
      </w:r>
    </w:p>
    <w:p>
      <w:pPr>
        <w:sectPr>
          <w:pgSz w:w="11900" w:h="16838" w:orient="portrait"/>
          <w:cols w:equalWidth="0" w:num="1">
            <w:col w:w="11080"/>
          </w:cols>
          <w:pgMar w:left="320" w:top="89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90" w:right="4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69215</wp:posOffset>
            </wp:positionV>
            <wp:extent cx="5657850" cy="3215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Sales and marketing expenses decreased $1.9 million, or 2%, primarily due to the following:</w:t>
      </w:r>
    </w:p>
    <w:p>
      <w:pPr>
        <w:spacing w:after="0" w:line="90" w:lineRule="exact"/>
        <w:rPr>
          <w:sz w:val="20"/>
          <w:szCs w:val="20"/>
          <w:color w:val="auto"/>
        </w:rPr>
      </w:pPr>
    </w:p>
    <w:p>
      <w:pPr>
        <w:ind w:left="1080" w:hanging="118"/>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Decreases related to the decline of travel expenses as a result of COVID-19.</w:t>
      </w:r>
    </w:p>
    <w:p>
      <w:pPr>
        <w:spacing w:after="0" w:line="103" w:lineRule="exact"/>
        <w:rPr>
          <w:rFonts w:ascii="Arial" w:cs="Arial" w:eastAsia="Arial" w:hAnsi="Arial"/>
          <w:sz w:val="18"/>
          <w:szCs w:val="18"/>
          <w:color w:val="auto"/>
        </w:rPr>
      </w:pPr>
    </w:p>
    <w:p>
      <w:pPr>
        <w:ind w:left="1080" w:hanging="118"/>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Temporary salary cuts during the second quarter of fiscal year 2021 related to COVID-19.</w:t>
      </w:r>
    </w:p>
    <w:p>
      <w:pPr>
        <w:spacing w:after="0" w:line="103" w:lineRule="exact"/>
        <w:rPr>
          <w:rFonts w:ascii="Arial" w:cs="Arial" w:eastAsia="Arial" w:hAnsi="Arial"/>
          <w:sz w:val="18"/>
          <w:szCs w:val="18"/>
          <w:color w:val="auto"/>
        </w:rPr>
      </w:pPr>
    </w:p>
    <w:p>
      <w:pPr>
        <w:ind w:left="440" w:right="260" w:hanging="122"/>
        <w:spacing w:after="0" w:line="261" w:lineRule="auto"/>
        <w:rPr>
          <w:rFonts w:ascii="Arial" w:cs="Arial" w:eastAsia="Arial" w:hAnsi="Arial"/>
          <w:sz w:val="18"/>
          <w:szCs w:val="18"/>
          <w:color w:val="auto"/>
        </w:rPr>
      </w:pPr>
      <w:r>
        <w:rPr>
          <w:rFonts w:ascii="Arial" w:cs="Arial" w:eastAsia="Arial" w:hAnsi="Arial"/>
          <w:sz w:val="18"/>
          <w:szCs w:val="18"/>
          <w:color w:val="auto"/>
        </w:rPr>
        <w:t>– Research and development expenses increased $7.7 million, or 33%, as a result of an increase in employee compensation and related expenses attributable to the expansion of our engineering group.</w:t>
      </w:r>
    </w:p>
    <w:p>
      <w:pPr>
        <w:spacing w:after="0" w:line="62" w:lineRule="exact"/>
        <w:rPr>
          <w:rFonts w:ascii="Arial" w:cs="Arial" w:eastAsia="Arial" w:hAnsi="Arial"/>
          <w:sz w:val="18"/>
          <w:szCs w:val="18"/>
          <w:color w:val="auto"/>
        </w:rPr>
      </w:pPr>
    </w:p>
    <w:p>
      <w:pPr>
        <w:ind w:left="1080" w:right="980" w:hanging="118"/>
        <w:spacing w:after="0" w:line="261"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increase is the result of additional headcount related to the acquisition of Hedvig including the stock-based compensation issued in connection with the transaction.</w:t>
      </w:r>
    </w:p>
    <w:p>
      <w:pPr>
        <w:spacing w:after="0" w:line="76" w:lineRule="exact"/>
        <w:rPr>
          <w:rFonts w:ascii="Arial" w:cs="Arial" w:eastAsia="Arial" w:hAnsi="Arial"/>
          <w:sz w:val="18"/>
          <w:szCs w:val="18"/>
          <w:color w:val="auto"/>
        </w:rPr>
      </w:pPr>
    </w:p>
    <w:p>
      <w:pPr>
        <w:ind w:left="1080" w:hanging="118"/>
        <w:spacing w:after="0" w:line="253"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Additionally, certain Hedvig shareholders will receive cash payments totaling $14.1 million over the course of the 30 months following the date of acquisition, subject to their continued employment with the Company. While these payments are proportionate to these shareholders' ownership of Hedvig, under GAAP they are accounted for as compensation expense over the course of the 30 month service period. Research and development expenses in the three months ended September 30, 2020 includes $1.4 million of expense related to this arrangement.</w:t>
      </w:r>
    </w:p>
    <w:p>
      <w:pPr>
        <w:spacing w:after="0" w:line="83" w:lineRule="exact"/>
        <w:rPr>
          <w:rFonts w:ascii="Arial" w:cs="Arial" w:eastAsia="Arial" w:hAnsi="Arial"/>
          <w:sz w:val="18"/>
          <w:szCs w:val="18"/>
          <w:color w:val="auto"/>
        </w:rPr>
      </w:pPr>
    </w:p>
    <w:p>
      <w:pPr>
        <w:ind w:left="1080" w:right="160" w:hanging="118"/>
        <w:spacing w:after="0" w:line="261"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These increases were partially offset by $0.6 million in savings related to temporary pay cuts during the second quarter of fiscal year 2021.</w:t>
      </w:r>
    </w:p>
    <w:p>
      <w:pPr>
        <w:spacing w:after="0" w:line="62" w:lineRule="exact"/>
        <w:rPr>
          <w:rFonts w:ascii="Arial" w:cs="Arial" w:eastAsia="Arial" w:hAnsi="Arial"/>
          <w:sz w:val="18"/>
          <w:szCs w:val="18"/>
          <w:color w:val="auto"/>
        </w:rPr>
      </w:pPr>
    </w:p>
    <w:p>
      <w:pPr>
        <w:ind w:left="1080" w:right="40" w:hanging="118"/>
        <w:spacing w:after="0" w:line="261"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5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remained flat primarily due to the following:</w:t>
      </w:r>
    </w:p>
    <w:p>
      <w:pPr>
        <w:spacing w:after="0" w:line="121" w:lineRule="exact"/>
        <w:rPr>
          <w:rFonts w:ascii="Arial" w:cs="Arial" w:eastAsia="Arial" w:hAnsi="Arial"/>
          <w:sz w:val="18"/>
          <w:szCs w:val="18"/>
          <w:color w:val="auto"/>
        </w:rPr>
      </w:pPr>
    </w:p>
    <w:p>
      <w:pPr>
        <w:ind w:left="1080" w:right="480" w:hanging="118"/>
        <w:spacing w:after="0" w:line="261"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Reduction of $3.6 million related to prior year expenses associated with a non-routine shareholder matter and Hedvig acquisition costs.</w:t>
      </w:r>
    </w:p>
    <w:p>
      <w:pPr>
        <w:spacing w:after="0" w:line="62" w:lineRule="exact"/>
        <w:rPr>
          <w:rFonts w:ascii="Arial" w:cs="Arial" w:eastAsia="Arial" w:hAnsi="Arial"/>
          <w:sz w:val="18"/>
          <w:szCs w:val="18"/>
          <w:color w:val="auto"/>
        </w:rPr>
      </w:pPr>
    </w:p>
    <w:p>
      <w:pPr>
        <w:ind w:left="1080" w:right="20" w:hanging="118"/>
        <w:spacing w:after="0" w:line="261"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Offset by increases in legal expenses for intellectual property associated with ongoing litigation and foreign currency losses due to the weakening of the US dollar.</w:t>
      </w: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40" w:top="985" w:right="479" w:bottom="1440" w:gutter="0" w:footer="0" w:header="0"/>
        </w:sectPr>
      </w:pPr>
    </w:p>
    <w:bookmarkStart w:id="23" w:name="page24"/>
    <w:bookmarkEnd w:id="23"/>
    <w:p>
      <w:pPr>
        <w:ind w:left="660" w:right="40" w:hanging="122"/>
        <w:spacing w:after="0" w:line="254"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Our restructuring plan is intended to increase efficiency in our sales, marketing and distribution functions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 costs across all functional areas. Restructuring expenses were $5.8 million and $12.9 million in the three months ended September 30, 2020 and 2019, respectively. These restructuring charges relate primarily to severance and related costs associated with headcount reductions as well as lease abandonment charges related to the closure of three offices in the second quarter of fiscal year 2021. These charges include $0.6 million in both the three months ended September 30, 2020 and 2019, respectively,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68" w:lineRule="exact"/>
        <w:rPr>
          <w:sz w:val="20"/>
          <w:szCs w:val="20"/>
          <w:color w:val="auto"/>
        </w:rPr>
      </w:pPr>
    </w:p>
    <w:p>
      <w:pPr>
        <w:ind w:left="660" w:hanging="121"/>
        <w:spacing w:after="0" w:line="256" w:lineRule="auto"/>
        <w:rPr>
          <w:sz w:val="20"/>
          <w:szCs w:val="20"/>
          <w:color w:val="auto"/>
        </w:rPr>
      </w:pPr>
      <w:r>
        <w:rPr>
          <w:rFonts w:ascii="Arial" w:cs="Arial" w:eastAsia="Arial" w:hAnsi="Arial"/>
          <w:sz w:val="18"/>
          <w:szCs w:val="18"/>
          <w:color w:val="auto"/>
        </w:rPr>
        <w:t>–Impairment of intangible assets: In the second quarter of fiscal year 2021, we recorded non-cash impairment charges of $40.7 million on the intangible assets (developed technology and customer relationships) acquired in connection with Hedvig, Inc. The charges were the result of a moderated view of acquisition assumptions.</w:t>
      </w:r>
    </w:p>
    <w:p>
      <w:pPr>
        <w:spacing w:after="0" w:line="80" w:lineRule="exact"/>
        <w:rPr>
          <w:sz w:val="20"/>
          <w:szCs w:val="20"/>
          <w:color w:val="auto"/>
        </w:rPr>
      </w:pPr>
    </w:p>
    <w:p>
      <w:pPr>
        <w:jc w:val="both"/>
        <w:ind w:left="660" w:right="220" w:hanging="121"/>
        <w:spacing w:after="0" w:line="256" w:lineRule="auto"/>
        <w:rPr>
          <w:sz w:val="20"/>
          <w:szCs w:val="20"/>
          <w:color w:val="auto"/>
        </w:rPr>
      </w:pPr>
      <w:r>
        <w:rPr>
          <w:rFonts w:ascii="Arial" w:cs="Arial" w:eastAsia="Arial" w:hAnsi="Arial"/>
          <w:sz w:val="18"/>
          <w:szCs w:val="18"/>
          <w:color w:val="auto"/>
        </w:rPr>
        <w:t>–Depreciation and amortization expense increased $2.3 million, from $2.7 million in the three months ended September 30, 2019 to $5.1 million in the three months ended September 30, 2020, driven by the amortization of intangible assets acquired as a result of the Hedvig business combination in October 2019.</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08"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Income tax benefit was $ 0.5 million in the three months ended September 30, 2020 compared to expense of $0.5 million in the three months ended September 30, 2019. The income tax benefit for the three months ended September 30, 2020 relates primarily to current federal and foreign benefits.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2020 compared to six months ended September 30, 2019</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77470</wp:posOffset>
            </wp:positionV>
            <wp:extent cx="5657850" cy="1499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revenues increased $14.4 million, or 4%.</w:t>
      </w:r>
    </w:p>
    <w:p>
      <w:pPr>
        <w:spacing w:after="0" w:line="90" w:lineRule="exact"/>
        <w:rPr>
          <w:sz w:val="20"/>
          <w:szCs w:val="20"/>
          <w:color w:val="auto"/>
        </w:rPr>
      </w:pPr>
    </w:p>
    <w:p>
      <w:pPr>
        <w:ind w:left="1300" w:hanging="118"/>
        <w:spacing w:after="0" w:line="261" w:lineRule="auto"/>
        <w:tabs>
          <w:tab w:leader="none" w:pos="129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43% of our total revenue in the six months ended September 30, 2020 and 40% of our total revenue in the six months ended September 30, 2019.</w:t>
      </w:r>
    </w:p>
    <w:p>
      <w:pPr>
        <w:spacing w:after="0" w:line="76" w:lineRule="exact"/>
        <w:rPr>
          <w:rFonts w:ascii="Arial" w:cs="Arial" w:eastAsia="Arial" w:hAnsi="Arial"/>
          <w:sz w:val="18"/>
          <w:szCs w:val="18"/>
          <w:i w:val="1"/>
          <w:iCs w:val="1"/>
          <w:color w:val="auto"/>
        </w:rPr>
      </w:pPr>
    </w:p>
    <w:p>
      <w:pPr>
        <w:ind w:left="1300" w:right="100" w:hanging="118"/>
        <w:spacing w:after="0" w:line="256" w:lineRule="auto"/>
        <w:tabs>
          <w:tab w:leader="none" w:pos="129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approximately 69% of our software and products revenue in the six months ended September 30, 2020 and 63% of our software and products revenue in the six months ended September 30, 2019.</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–Software and products revenue increased $16.6 million, or 13%, as a result of the following:</w:t>
      </w:r>
    </w:p>
    <w:p>
      <w:pPr>
        <w:spacing w:after="0" w:line="90" w:lineRule="exact"/>
        <w:rPr>
          <w:sz w:val="20"/>
          <w:szCs w:val="20"/>
          <w:color w:val="auto"/>
        </w:rPr>
      </w:pPr>
    </w:p>
    <w:p>
      <w:pPr>
        <w:ind w:left="1300" w:hanging="118"/>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$19.8 million, or 24%, in larger deal revenue.</w:t>
      </w:r>
    </w:p>
    <w:p>
      <w:pPr>
        <w:spacing w:after="0" w:line="103" w:lineRule="exact"/>
        <w:rPr>
          <w:rFonts w:ascii="Arial" w:cs="Arial" w:eastAsia="Arial" w:hAnsi="Arial"/>
          <w:sz w:val="18"/>
          <w:szCs w:val="18"/>
          <w:color w:val="auto"/>
        </w:rPr>
      </w:pPr>
    </w:p>
    <w:p>
      <w:pPr>
        <w:ind w:left="1300" w:right="20" w:hanging="118"/>
        <w:spacing w:after="0" w:line="261"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of 8% in the number of larger deal revenue transactions and an increase of 15% in the average dollar amount of such transactions.</w:t>
      </w:r>
    </w:p>
    <w:p>
      <w:pPr>
        <w:spacing w:after="0" w:line="76" w:lineRule="exact"/>
        <w:rPr>
          <w:rFonts w:ascii="Arial" w:cs="Arial" w:eastAsia="Arial" w:hAnsi="Arial"/>
          <w:sz w:val="18"/>
          <w:szCs w:val="18"/>
          <w:color w:val="auto"/>
        </w:rPr>
      </w:pPr>
    </w:p>
    <w:p>
      <w:pPr>
        <w:ind w:left="1300" w:right="20" w:hanging="118"/>
        <w:spacing w:after="0" w:line="261" w:lineRule="auto"/>
        <w:tabs>
          <w:tab w:leader="none" w:pos="129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$359 thousand and $313 thousand for the six months ended September 30, 2020 and 2019, respectively.</w:t>
      </w:r>
    </w:p>
    <w:p>
      <w:pPr>
        <w:spacing w:after="0" w:line="62" w:lineRule="exact"/>
        <w:rPr>
          <w:rFonts w:ascii="Arial" w:cs="Arial" w:eastAsia="Arial" w:hAnsi="Arial"/>
          <w:sz w:val="18"/>
          <w:szCs w:val="18"/>
          <w:i w:val="1"/>
          <w:iCs w:val="1"/>
          <w:color w:val="auto"/>
        </w:rPr>
      </w:pPr>
    </w:p>
    <w:p>
      <w:pPr>
        <w:ind w:left="1300" w:hanging="118"/>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increases were partially offset by a decrease of $3.2 million in transactions less than $0.1 million.</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24" w:name="page25"/>
    <w:bookmarkEnd w:id="24"/>
    <w:p>
      <w:pPr>
        <w:ind w:left="660" w:right="140" w:hanging="162"/>
        <w:spacing w:after="0" w:line="282"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57% of our total revenue in the six months ended September 30, 2020 and 60% of our total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September 30, 2019. Services revenue decreased $2.2 million, or 1%, primarily due to the following:</w:t>
      </w:r>
    </w:p>
    <w:p>
      <w:pPr>
        <w:spacing w:after="0" w:line="44" w:lineRule="exact"/>
        <w:rPr>
          <w:sz w:val="20"/>
          <w:szCs w:val="20"/>
          <w:color w:val="auto"/>
        </w:rPr>
      </w:pPr>
    </w:p>
    <w:p>
      <w:pPr>
        <w:ind w:left="1300" w:right="220" w:hanging="158"/>
        <w:spacing w:after="0" w:line="261" w:lineRule="auto"/>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decrease of $0.8 million in training and consulting services. In certain cases, the COVID-19 pandemic has impacted our ability to perform on-site professional services during the first half of the year.</w:t>
      </w:r>
    </w:p>
    <w:p>
      <w:pPr>
        <w:spacing w:after="0" w:line="76" w:lineRule="exact"/>
        <w:rPr>
          <w:rFonts w:ascii="Arial" w:cs="Arial" w:eastAsia="Arial" w:hAnsi="Arial"/>
          <w:sz w:val="18"/>
          <w:szCs w:val="18"/>
          <w:color w:val="auto"/>
        </w:rPr>
      </w:pPr>
    </w:p>
    <w:p>
      <w:pPr>
        <w:ind w:left="1300" w:hanging="158"/>
        <w:spacing w:after="0"/>
        <w:tabs>
          <w:tab w:leader="none" w:pos="1300" w:val="left"/>
        </w:tabs>
        <w:numPr>
          <w:ilvl w:val="1"/>
          <w:numId w:val="23"/>
        </w:numPr>
        <w:rPr>
          <w:rFonts w:ascii="Arial" w:cs="Arial" w:eastAsia="Arial" w:hAnsi="Arial"/>
          <w:sz w:val="18"/>
          <w:szCs w:val="18"/>
          <w:i w:val="1"/>
          <w:iCs w:val="1"/>
          <w:color w:val="auto"/>
        </w:rPr>
      </w:pPr>
      <w:r>
        <w:rPr>
          <w:rFonts w:ascii="Arial" w:cs="Arial" w:eastAsia="Arial" w:hAnsi="Arial"/>
          <w:sz w:val="18"/>
          <w:szCs w:val="18"/>
          <w:color w:val="auto"/>
        </w:rPr>
        <w:t>A decrease of $1.4 million in revenue from customer support agreements.</w:t>
      </w:r>
    </w:p>
    <w:p>
      <w:pPr>
        <w:spacing w:after="0" w:line="34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61%, 27% and 12% of total software and products revenue, respectively, for the six months ended September 30, 2020. Software and products revenue increased 34% year over year in the Americas; whereas EMEA and APJ declined 5% and 19%, respectively.</w:t>
      </w:r>
    </w:p>
    <w:p>
      <w:pPr>
        <w:spacing w:after="0" w:line="151" w:lineRule="exact"/>
        <w:rPr>
          <w:sz w:val="20"/>
          <w:szCs w:val="20"/>
          <w:color w:val="auto"/>
        </w:rPr>
      </w:pPr>
    </w:p>
    <w:p>
      <w:pPr>
        <w:ind w:left="660" w:right="420" w:hanging="328"/>
        <w:spacing w:after="0" w:line="261" w:lineRule="auto"/>
        <w:tabs>
          <w:tab w:leader="none" w:pos="6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primarily the result of a 46% increase in revenue from larger deal transactions compared to the first half of prior year.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 5% decrease in larger deal transactions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decrease in APJ was primarily the result of a decrease in the volume of revenue from larger deal transactions.</w:t>
      </w:r>
    </w:p>
    <w:p>
      <w:pPr>
        <w:spacing w:after="0" w:line="252"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223520</wp:posOffset>
            </wp:positionV>
            <wp:extent cx="5726430" cy="3000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264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right="40" w:hanging="324"/>
        <w:spacing w:after="0" w:line="256" w:lineRule="auto"/>
        <w:rPr>
          <w:sz w:val="20"/>
          <w:szCs w:val="20"/>
          <w:color w:val="auto"/>
        </w:rPr>
      </w:pPr>
      <w:r>
        <w:rPr>
          <w:rFonts w:ascii="Arial" w:cs="Arial" w:eastAsia="Arial" w:hAnsi="Arial"/>
          <w:sz w:val="18"/>
          <w:szCs w:val="18"/>
          <w:color w:val="auto"/>
        </w:rPr>
        <w:t>– Total cost of revenues decreased $8.6 million, representing 15% of our total revenues for the six months ended September 30, 2020 compared to 18% for the six months ended September 30, 2019. Temporary salary cuts during fiscal year 2021 related to COVID-19 resulted in savings of $1.1 million in cost of revenues.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5" w:name="page26"/>
    <w:bookmarkEnd w:id="25"/>
    <w:p>
      <w:pPr>
        <w:ind w:left="440" w:right="20" w:hanging="324"/>
        <w:spacing w:after="0" w:line="256" w:lineRule="auto"/>
        <w:rPr>
          <w:sz w:val="20"/>
          <w:szCs w:val="20"/>
          <w:color w:val="auto"/>
        </w:rPr>
      </w:pPr>
      <w:r>
        <w:rPr>
          <w:rFonts w:ascii="Arial" w:cs="Arial" w:eastAsia="Arial" w:hAnsi="Arial"/>
          <w:sz w:val="18"/>
          <w:szCs w:val="18"/>
          <w:color w:val="auto"/>
        </w:rPr>
        <w:t>– Cost of software and products revenue decreased $1.1 million, representing 9% of our total software and products revenue for the six months ended September 30, 2020 compared to 11% for the six months ended September 30, 2019. The decrease is the result of lower cost of sales associated with our appliance.</w:t>
      </w:r>
    </w:p>
    <w:p>
      <w:pPr>
        <w:spacing w:after="0" w:line="66" w:lineRule="exact"/>
        <w:rPr>
          <w:sz w:val="20"/>
          <w:szCs w:val="20"/>
          <w:color w:val="auto"/>
        </w:rPr>
      </w:pPr>
    </w:p>
    <w:p>
      <w:pPr>
        <w:jc w:val="both"/>
        <w:ind w:left="440" w:right="260" w:hanging="324"/>
        <w:spacing w:after="0" w:line="254" w:lineRule="auto"/>
        <w:rPr>
          <w:sz w:val="20"/>
          <w:szCs w:val="20"/>
          <w:color w:val="auto"/>
        </w:rPr>
      </w:pPr>
      <w:r>
        <w:rPr>
          <w:rFonts w:ascii="Arial" w:cs="Arial" w:eastAsia="Arial" w:hAnsi="Arial"/>
          <w:sz w:val="18"/>
          <w:szCs w:val="18"/>
          <w:color w:val="auto"/>
        </w:rPr>
        <w:t>– Cost of services revenue decreased $7.5 million, representing 19% of our total services revenue for the six months ended September 30, 2020 compared to 23% for the six months ended September 30, 2019. The decline in cost of services revenue is primarily related to the decrease in expenses associated with the delivery of professional services revenue as well as temporary salary cuts during fiscal year 2021 related to COVID-19.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69215</wp:posOffset>
            </wp:positionV>
            <wp:extent cx="5657850" cy="3215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Sales and marketing expenses decreased $7.6 million, or 5%, primarily due to the following:</w:t>
      </w:r>
    </w:p>
    <w:p>
      <w:pPr>
        <w:spacing w:after="0" w:line="90" w:lineRule="exact"/>
        <w:rPr>
          <w:sz w:val="20"/>
          <w:szCs w:val="20"/>
          <w:color w:val="auto"/>
        </w:rPr>
      </w:pPr>
    </w:p>
    <w:p>
      <w:pPr>
        <w:ind w:left="1080" w:hanging="118"/>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Decreases related to the decline of travel expenses as a result of COVID-19.</w:t>
      </w:r>
    </w:p>
    <w:p>
      <w:pPr>
        <w:spacing w:after="0" w:line="103" w:lineRule="exact"/>
        <w:rPr>
          <w:rFonts w:ascii="Arial" w:cs="Arial" w:eastAsia="Arial" w:hAnsi="Arial"/>
          <w:sz w:val="18"/>
          <w:szCs w:val="18"/>
          <w:color w:val="auto"/>
        </w:rPr>
      </w:pPr>
    </w:p>
    <w:p>
      <w:pPr>
        <w:ind w:left="1080" w:hanging="118"/>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Temporary salary cuts during fiscal year 2021 related to COVID-19.</w:t>
      </w:r>
    </w:p>
    <w:p>
      <w:pPr>
        <w:spacing w:after="0" w:line="103" w:lineRule="exact"/>
        <w:rPr>
          <w:rFonts w:ascii="Arial" w:cs="Arial" w:eastAsia="Arial" w:hAnsi="Arial"/>
          <w:sz w:val="18"/>
          <w:szCs w:val="18"/>
          <w:color w:val="auto"/>
        </w:rPr>
      </w:pPr>
    </w:p>
    <w:p>
      <w:pPr>
        <w:ind w:left="440" w:right="160" w:hanging="122"/>
        <w:spacing w:after="0" w:line="261" w:lineRule="auto"/>
        <w:rPr>
          <w:rFonts w:ascii="Arial" w:cs="Arial" w:eastAsia="Arial" w:hAnsi="Arial"/>
          <w:sz w:val="18"/>
          <w:szCs w:val="18"/>
          <w:color w:val="auto"/>
        </w:rPr>
      </w:pPr>
      <w:r>
        <w:rPr>
          <w:rFonts w:ascii="Arial" w:cs="Arial" w:eastAsia="Arial" w:hAnsi="Arial"/>
          <w:sz w:val="18"/>
          <w:szCs w:val="18"/>
          <w:color w:val="auto"/>
        </w:rPr>
        <w:t>– Research and development expenses increased $15.3 million, or 33%, as a result of an increase in employee compensation and related expenses attributable to the expansion of our engineering group.</w:t>
      </w:r>
    </w:p>
    <w:p>
      <w:pPr>
        <w:spacing w:after="0" w:line="62" w:lineRule="exact"/>
        <w:rPr>
          <w:rFonts w:ascii="Arial" w:cs="Arial" w:eastAsia="Arial" w:hAnsi="Arial"/>
          <w:sz w:val="18"/>
          <w:szCs w:val="18"/>
          <w:color w:val="auto"/>
        </w:rPr>
      </w:pPr>
    </w:p>
    <w:p>
      <w:pPr>
        <w:ind w:left="1080" w:right="980" w:hanging="118"/>
        <w:spacing w:after="0" w:line="261" w:lineRule="auto"/>
        <w:tabs>
          <w:tab w:leader="none" w:pos="10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increase is the result of additional headcount related to the acquisition of Hedvig including the stock-based compensation issued in connection with the transaction.</w:t>
      </w:r>
    </w:p>
    <w:p>
      <w:pPr>
        <w:spacing w:after="0" w:line="76" w:lineRule="exact"/>
        <w:rPr>
          <w:rFonts w:ascii="Arial" w:cs="Arial" w:eastAsia="Arial" w:hAnsi="Arial"/>
          <w:sz w:val="18"/>
          <w:szCs w:val="18"/>
          <w:color w:val="auto"/>
        </w:rPr>
      </w:pPr>
    </w:p>
    <w:p>
      <w:pPr>
        <w:ind w:left="1080" w:hanging="118"/>
        <w:spacing w:after="0" w:line="253" w:lineRule="auto"/>
        <w:tabs>
          <w:tab w:leader="none" w:pos="10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Additionally, certain Hedvig shareholders will receive cash payments totaling $14.1 million over the course of the 30 months following the date of acquisition, subject to their continued employment with the Company. While these payments are proportionate to these shareholders' ownership of Hedvig, under GAAP they are accounted for as compensation expense over the course of the 30 month service period. Research and development expenses in the six months ended September 30, 2020 includes $2.8 million of expense related to this arrangement.</w:t>
      </w:r>
    </w:p>
    <w:p>
      <w:pPr>
        <w:spacing w:after="0" w:line="83" w:lineRule="exact"/>
        <w:rPr>
          <w:rFonts w:ascii="Arial" w:cs="Arial" w:eastAsia="Arial" w:hAnsi="Arial"/>
          <w:sz w:val="18"/>
          <w:szCs w:val="18"/>
          <w:color w:val="auto"/>
        </w:rPr>
      </w:pPr>
    </w:p>
    <w:p>
      <w:pPr>
        <w:ind w:left="1080" w:right="220" w:hanging="118"/>
        <w:spacing w:after="0" w:line="261" w:lineRule="auto"/>
        <w:tabs>
          <w:tab w:leader="none" w:pos="10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These increases were partially offset by $1.7 million in savings related to temporary pay cuts in the first half of fiscal year 2021.</w:t>
      </w:r>
    </w:p>
    <w:p>
      <w:pPr>
        <w:spacing w:after="0" w:line="62" w:lineRule="exact"/>
        <w:rPr>
          <w:rFonts w:ascii="Arial" w:cs="Arial" w:eastAsia="Arial" w:hAnsi="Arial"/>
          <w:sz w:val="18"/>
          <w:szCs w:val="18"/>
          <w:color w:val="auto"/>
        </w:rPr>
      </w:pPr>
    </w:p>
    <w:p>
      <w:pPr>
        <w:ind w:left="1080" w:right="40" w:hanging="118"/>
        <w:spacing w:after="0" w:line="261" w:lineRule="auto"/>
        <w:tabs>
          <w:tab w:leader="none" w:pos="10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5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$1.0 million, or 2%, primarily due to the following:</w:t>
      </w:r>
    </w:p>
    <w:p>
      <w:pPr>
        <w:sectPr>
          <w:pgSz w:w="11900" w:h="16838" w:orient="portrait"/>
          <w:cols w:equalWidth="0" w:num="1">
            <w:col w:w="10880"/>
          </w:cols>
          <w:pgMar w:left="540" w:top="1003" w:right="47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81915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40" w:top="1003" w:right="479" w:bottom="1440" w:gutter="0" w:footer="0" w:header="0"/>
          <w:type w:val="continuous"/>
        </w:sectPr>
      </w:pPr>
    </w:p>
    <w:bookmarkStart w:id="26" w:name="page27"/>
    <w:bookmarkEnd w:id="26"/>
    <w:p>
      <w:pPr>
        <w:ind w:left="1300" w:right="620" w:hanging="118"/>
        <w:spacing w:after="0" w:line="261"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Reduction of $5.5 million related to prior year expenses associated with a non-routine shareholder matter and Hedvig acquisition costs.</w:t>
      </w:r>
    </w:p>
    <w:p>
      <w:pPr>
        <w:spacing w:after="0" w:line="62" w:lineRule="exact"/>
        <w:rPr>
          <w:rFonts w:ascii="Arial" w:cs="Arial" w:eastAsia="Arial" w:hAnsi="Arial"/>
          <w:sz w:val="18"/>
          <w:szCs w:val="18"/>
          <w:color w:val="auto"/>
        </w:rPr>
      </w:pPr>
    </w:p>
    <w:p>
      <w:pPr>
        <w:ind w:left="1300" w:right="80" w:hanging="118"/>
        <w:spacing w:after="0" w:line="261" w:lineRule="auto"/>
        <w:tabs>
          <w:tab w:leader="none" w:pos="1295"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Partially offset by increases in legal expenses for intellectual property associated with ongoing litigation and foreign currency losses due to the weakening of the US dollar.</w:t>
      </w:r>
    </w:p>
    <w:p>
      <w:pPr>
        <w:spacing w:after="0" w:line="76" w:lineRule="exact"/>
        <w:rPr>
          <w:rFonts w:ascii="Arial" w:cs="Arial" w:eastAsia="Arial" w:hAnsi="Arial"/>
          <w:sz w:val="18"/>
          <w:szCs w:val="18"/>
          <w:color w:val="auto"/>
        </w:rPr>
      </w:pPr>
    </w:p>
    <w:p>
      <w:pPr>
        <w:ind w:left="660" w:hanging="122"/>
        <w:spacing w:after="0" w:line="251" w:lineRule="auto"/>
        <w:rPr>
          <w:rFonts w:ascii="Arial" w:cs="Arial" w:eastAsia="Arial" w:hAnsi="Arial"/>
          <w:sz w:val="18"/>
          <w:szCs w:val="18"/>
          <w:color w:val="auto"/>
        </w:rPr>
      </w:pPr>
      <w:r>
        <w:rPr>
          <w:rFonts w:ascii="Arial" w:cs="Arial" w:eastAsia="Arial" w:hAnsi="Arial"/>
          <w:sz w:val="18"/>
          <w:szCs w:val="18"/>
          <w:color w:val="auto"/>
        </w:rPr>
        <w:t>– Restructuring: Our restructuring plan is intended to increase efficiency in our sales, marketing and distribution functions as well as reduce costs across all functional areas. Restructuring expenses were $8.1 million and $16.9 million in the six months ended September 30, 2020 and 2019, respectively. These restructuring charges relate primarily to severance and related costs associated with headcount reductions as well as lease abandonment charges related to the closure of five offices in the first half of fiscal year 2021 and three offices in the first half of fiscal year 2020. These charges include $0.7 million for the six months ended September 30, 2020 and $1.0 million for the six months ended September 30, 2019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90" w:lineRule="exact"/>
        <w:rPr>
          <w:sz w:val="20"/>
          <w:szCs w:val="20"/>
          <w:color w:val="auto"/>
        </w:rPr>
      </w:pPr>
    </w:p>
    <w:p>
      <w:pPr>
        <w:ind w:left="660" w:right="20" w:hanging="121"/>
        <w:spacing w:after="0" w:line="256" w:lineRule="auto"/>
        <w:rPr>
          <w:sz w:val="20"/>
          <w:szCs w:val="20"/>
          <w:color w:val="auto"/>
        </w:rPr>
      </w:pPr>
      <w:r>
        <w:rPr>
          <w:rFonts w:ascii="Arial" w:cs="Arial" w:eastAsia="Arial" w:hAnsi="Arial"/>
          <w:sz w:val="18"/>
          <w:szCs w:val="18"/>
          <w:color w:val="auto"/>
        </w:rPr>
        <w:t>–Impairment of intangible assets: In the second quarter of fiscal year 2021, we recorded non-cash impairment charges of $40.7 million on the intangible assets (developed technology and customer relationships) acquired in connection with Hedvig, Inc. The charges were the result of a moderated view of acquisition assumptions.</w:t>
      </w:r>
    </w:p>
    <w:p>
      <w:pPr>
        <w:spacing w:after="0" w:line="49" w:lineRule="exact"/>
        <w:rPr>
          <w:sz w:val="20"/>
          <w:szCs w:val="20"/>
          <w:color w:val="auto"/>
        </w:rPr>
      </w:pPr>
    </w:p>
    <w:p>
      <w:pPr>
        <w:ind w:left="660" w:right="80" w:hanging="122"/>
        <w:spacing w:after="0" w:line="266"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Depreciation and amortization expense increased $4.8 million, from $5.3 million in the six months ended September 30,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$10.1 million in the six months ended September 30, 2020, driven by the amortization of intangible assets acquired as a result of the Hedvig business combination in October 2019.</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22" w:lineRule="exact"/>
        <w:rPr>
          <w:sz w:val="20"/>
          <w:szCs w:val="20"/>
          <w:color w:val="auto"/>
        </w:rPr>
      </w:pPr>
    </w:p>
    <w:p>
      <w:pPr>
        <w:ind w:right="460" w:firstLine="405"/>
        <w:spacing w:after="0" w:line="253" w:lineRule="auto"/>
        <w:rPr>
          <w:sz w:val="20"/>
          <w:szCs w:val="20"/>
          <w:color w:val="auto"/>
        </w:rPr>
      </w:pPr>
      <w:r>
        <w:rPr>
          <w:rFonts w:ascii="Arial" w:cs="Arial" w:eastAsia="Arial" w:hAnsi="Arial"/>
          <w:sz w:val="18"/>
          <w:szCs w:val="18"/>
          <w:color w:val="auto"/>
        </w:rPr>
        <w:t>Income tax expense was $4.2 million in the six months ended September 30, 2020 compared to expense of $2.6 million in the six months ended September 30, 2019. In the fourth quarter of fiscal 2020, we recorded a current tax benefit of approximately $10.0 million which represented our estimate of the net operating loss carryback resulting from the CARES Act. In the first quarter of fiscal 2021, we recorded an adjustment of $3.2 million to reduce the current benefit of the net operating loss carryback benefit we will realize from the CARES Act.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26"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As of September 30, 2020, our cash and cash equivalents balance of $383.2 million primarily consisted of cash. In addition, we have approximately $10.8 million of short-term investments invested in U.S. Treasury Bills. In recent fiscal years, our principal source of liquidity has been cash provided by operations.</w:t>
      </w:r>
    </w:p>
    <w:p>
      <w:pPr>
        <w:spacing w:after="0" w:line="148"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As of September 30, 2020, the amount of cash and cash equivalents held outside of the United States by our foreign legal entities was approximately $162.7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5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We did not repurchase any shares of our common stock under our share repurchase program during the three and six months ended September 30, 2020. Under our stock repurchase program, repurchased shares are constructively retired and returned to unissued status. Our stock repurchase program has been funded by our existing cash and cash equivalent balances as well as cash flows provided by our operations. As of October 27, 2020, $200.0 million remained in our current stock repurchase authorization which expires on March 31, 2022.</w:t>
      </w:r>
    </w:p>
    <w:p>
      <w:pPr>
        <w:spacing w:after="0" w:line="15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289" w:lineRule="exact"/>
        <w:rPr>
          <w:sz w:val="20"/>
          <w:szCs w:val="20"/>
          <w:color w:val="auto"/>
        </w:rPr>
      </w:pPr>
    </w:p>
    <w:tbl>
      <w:tblPr>
        <w:tblLayout w:type="fixed"/>
        <w:tblInd w:w="720" w:type="dxa"/>
        <w:tblCellMar>
          <w:top w:w="0" w:type="dxa"/>
          <w:left w:w="0" w:type="dxa"/>
          <w:bottom w:w="0" w:type="dxa"/>
          <w:right w:w="0" w:type="dxa"/>
        </w:tblCellMar>
      </w:tblPr>
      <w:tr>
        <w:trPr>
          <w:trHeight w:val="218"/>
        </w:trPr>
        <w:tc>
          <w:tcPr>
            <w:tcW w:w="6260" w:type="dxa"/>
            <w:vAlign w:val="bottom"/>
          </w:tcPr>
          <w:p>
            <w:pPr>
              <w:spacing w:after="0"/>
              <w:rPr>
                <w:sz w:val="18"/>
                <w:szCs w:val="18"/>
                <w:color w:val="auto"/>
              </w:rPr>
            </w:pPr>
          </w:p>
        </w:tc>
        <w:tc>
          <w:tcPr>
            <w:tcW w:w="356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6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55,119</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29,138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31,262</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(33,701)</w:t>
            </w:r>
          </w:p>
        </w:tc>
      </w:tr>
      <w:tr>
        <w:trPr>
          <w:trHeight w:val="21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rate-changes in cash</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10,420</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w:t>
            </w: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87,071</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49,633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265430</wp:posOffset>
            </wp:positionV>
            <wp:extent cx="5657850" cy="1714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160" w:hanging="122"/>
        <w:spacing w:after="0" w:line="261" w:lineRule="auto"/>
        <w:rPr>
          <w:sz w:val="20"/>
          <w:szCs w:val="20"/>
          <w:color w:val="auto"/>
        </w:rPr>
      </w:pPr>
      <w:r>
        <w:rPr>
          <w:rFonts w:ascii="Arial" w:cs="Arial" w:eastAsia="Arial" w:hAnsi="Arial"/>
          <w:sz w:val="18"/>
          <w:szCs w:val="18"/>
          <w:color w:val="auto"/>
        </w:rPr>
        <w:t>– Net cash provided by operating activities was impacted by net loss adjusted for the impact of non-cash charges partially offset by a decrease in accrued expenses.</w:t>
      </w:r>
    </w:p>
    <w:p>
      <w:pPr>
        <w:spacing w:after="0" w:line="76" w:lineRule="exact"/>
        <w:rPr>
          <w:sz w:val="20"/>
          <w:szCs w:val="20"/>
          <w:color w:val="auto"/>
        </w:rPr>
      </w:pPr>
    </w:p>
    <w:p>
      <w:pPr>
        <w:ind w:left="660" w:right="360" w:hanging="122"/>
        <w:spacing w:after="0" w:line="261" w:lineRule="auto"/>
        <w:rPr>
          <w:sz w:val="20"/>
          <w:szCs w:val="20"/>
          <w:color w:val="auto"/>
        </w:rPr>
      </w:pPr>
      <w:r>
        <w:rPr>
          <w:rFonts w:ascii="Arial" w:cs="Arial" w:eastAsia="Arial" w:hAnsi="Arial"/>
          <w:sz w:val="18"/>
          <w:szCs w:val="18"/>
          <w:color w:val="auto"/>
        </w:rPr>
        <w:t>– Net cash provided by investing activities was related to net proceeds from the maturity of short-term investments of $32.8 million partially offset by $3.7 million of capital expenditures.</w:t>
      </w:r>
    </w:p>
    <w:p>
      <w:pPr>
        <w:spacing w:after="0" w:line="76" w:lineRule="exact"/>
        <w:rPr>
          <w:sz w:val="20"/>
          <w:szCs w:val="20"/>
          <w:color w:val="auto"/>
        </w:rPr>
      </w:pPr>
    </w:p>
    <w:p>
      <w:pPr>
        <w:ind w:left="660" w:right="80" w:hanging="122"/>
        <w:spacing w:after="0" w:line="261" w:lineRule="auto"/>
        <w:rPr>
          <w:sz w:val="20"/>
          <w:szCs w:val="20"/>
          <w:color w:val="auto"/>
        </w:rPr>
      </w:pPr>
      <w:r>
        <w:rPr>
          <w:rFonts w:ascii="Arial" w:cs="Arial" w:eastAsia="Arial" w:hAnsi="Arial"/>
          <w:sz w:val="18"/>
          <w:szCs w:val="18"/>
          <w:color w:val="auto"/>
        </w:rPr>
        <w:t>– Net cash provided by financing activities was the result of $5.3 million of proceeds from the exercise of stock options and purchases of our stock under the Employee Stock Purchase Plan.</w:t>
      </w:r>
    </w:p>
    <w:p>
      <w:pPr>
        <w:spacing w:after="0" w:line="171"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Working capital increased $59.2 million from $185.1 million as of March 31, 2020 to $244.3 million as of September 30, 2020. The net increase in working capital is primarily the result of cash flow from operations.</w:t>
      </w:r>
    </w:p>
    <w:p>
      <w:pPr>
        <w:spacing w:after="0" w:line="14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26"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As of September 30, 2020, we did not have off-balance sheet financing arrangements, including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B2A9"/>
        </w:rPr>
        <w:t>Indemnifications</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 Quantitative and Qualitative Disclosures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39"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As of September 30, 2020, our cash and cash equivalents and short-term investments consisted primarily of cash and U.S. Treasury Bills. Due to the short-term nature of these investments, we are not subject to any material interest rate risk on these balances.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Economic Exposure</w:t>
      </w:r>
    </w:p>
    <w:p>
      <w:pPr>
        <w:spacing w:after="0" w:line="10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45% of our sales were outside the United States for the six months ended September 30, 2020.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Exposure</w:t>
      </w:r>
    </w:p>
    <w:p>
      <w:pPr>
        <w:spacing w:after="0" w:line="122" w:lineRule="exact"/>
        <w:rPr>
          <w:sz w:val="20"/>
          <w:szCs w:val="20"/>
          <w:color w:val="auto"/>
        </w:rPr>
      </w:pPr>
    </w:p>
    <w:p>
      <w:pPr>
        <w:jc w:val="both"/>
        <w:ind w:right="320" w:firstLine="445"/>
        <w:spacing w:after="0" w:line="278" w:lineRule="auto"/>
        <w:rPr>
          <w:sz w:val="20"/>
          <w:szCs w:val="20"/>
          <w:color w:val="auto"/>
        </w:rPr>
      </w:pPr>
      <w:r>
        <w:rPr>
          <w:rFonts w:ascii="Arial" w:cs="Arial" w:eastAsia="Arial" w:hAnsi="Arial"/>
          <w:sz w:val="17"/>
          <w:szCs w:val="17"/>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31"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losses of $1.2 million and $0.4 million for the three and six months ended September 30, 2020, respectively. We recognized net foreign transaction gain of $ 0.1 million and a loss of less than $0.1 million for the three and six months ended September 30, 2019, respectively. The net foreign currency transaction gains and losses recorded in General and administrative expenses include settlement gains and losses on forward contracts disclosed below.</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 Controls and Procedures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September 30, 2020. Based on that evaluation, the Chief Executive Officer and Chief Financial Officer concluded that our disclosure controls and procedures were effective as of September 30, 2020.</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fiscal 2021 that has materially affected, or is reasonably likely to materially affect, our internal control over financial reporting.</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2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00B2A9"/>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 Legal Proceedings</w:t>
      </w:r>
    </w:p>
    <w:p>
      <w:pPr>
        <w:spacing w:after="0" w:line="126"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1A. Risk Factors</w:t>
      </w:r>
    </w:p>
    <w:p>
      <w:pPr>
        <w:spacing w:after="0" w:line="112"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March 31, 2020,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2. Unregistered Sale of Equity Securities and Use of Proceeds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purchases of our common stock during the three months ended September 30, 2020.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Defaults upon Senior Securities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Mine Safety Disclosures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5. Other Information</w:t>
      </w:r>
    </w:p>
    <w:p>
      <w:pPr>
        <w:spacing w:after="0" w:line="126"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As reported in our 8-K filed on August 28, 2020, at our fiscal 2020 Annual Meeting of Stockholders held on August 27, 2020, the stockholders approved the Commvault Systems, Inc. Omnibus Incentive Plan as amended by the Fourth Amendment (the “Incentive Plan”), pursuant to which we may grant awards to its officers, employees, directors, consultants, independent contractors and agents and those of its affiliates. Awards that may be granted under the Incentive Plan include stock options, stock appreciation rights, full value awards (including restricted stock, restricted stock units, performance shares or units and other stock-based awards) and cash-based awards. The Fourth Amendment increased the number of shares available for issuance under the Incentive Plan by 1,000,000 shares for a total of 8,050,000 shares of Common Stock.</w:t>
      </w:r>
    </w:p>
    <w:p>
      <w:pPr>
        <w:spacing w:after="0" w:line="234" w:lineRule="exact"/>
        <w:rPr>
          <w:sz w:val="20"/>
          <w:szCs w:val="20"/>
          <w:color w:val="auto"/>
        </w:rPr>
      </w:pPr>
    </w:p>
    <w:p>
      <w:pPr>
        <w:ind w:firstLine="190"/>
        <w:spacing w:after="0" w:line="253" w:lineRule="auto"/>
        <w:rPr>
          <w:rFonts w:ascii="Arial" w:cs="Arial" w:eastAsia="Arial" w:hAnsi="Arial"/>
          <w:sz w:val="18"/>
          <w:szCs w:val="18"/>
          <w:color w:val="000000"/>
        </w:rPr>
      </w:pPr>
      <w:r>
        <w:rPr>
          <w:rFonts w:ascii="Arial" w:cs="Arial" w:eastAsia="Arial" w:hAnsi="Arial"/>
          <w:sz w:val="18"/>
          <w:szCs w:val="18"/>
          <w:color w:val="auto"/>
        </w:rPr>
        <w:t xml:space="preserve">A more complete description of the Incentive Plan is contained in our </w:t>
      </w:r>
      <w:hyperlink r:id="rId57">
        <w:r>
          <w:rPr>
            <w:rFonts w:ascii="Arial" w:cs="Arial" w:eastAsia="Arial" w:hAnsi="Arial"/>
            <w:sz w:val="18"/>
            <w:szCs w:val="18"/>
            <w:u w:val="single" w:color="auto"/>
            <w:color w:val="0000FF"/>
          </w:rPr>
          <w:t>proxy statement</w:t>
        </w:r>
      </w:hyperlink>
      <w:r>
        <w:rPr>
          <w:rFonts w:ascii="Arial" w:cs="Arial" w:eastAsia="Arial" w:hAnsi="Arial"/>
          <w:sz w:val="18"/>
          <w:szCs w:val="18"/>
          <w:color w:val="auto"/>
        </w:rPr>
        <w:t xml:space="preserve">, dated July 7, 2020, as filed with the Securities and </w:t>
      </w:r>
      <w:hyperlink r:id="rId57">
        <w:r>
          <w:rPr>
            <w:rFonts w:ascii="Arial" w:cs="Arial" w:eastAsia="Arial" w:hAnsi="Arial"/>
            <w:sz w:val="18"/>
            <w:szCs w:val="18"/>
            <w:color w:val="auto"/>
          </w:rPr>
          <w:t xml:space="preserve">Exchange Commission (“Proxy Statement”), under the heading </w:t>
        </w:r>
        <w:r>
          <w:rPr>
            <w:rFonts w:ascii="Arial" w:cs="Arial" w:eastAsia="Arial" w:hAnsi="Arial"/>
            <w:sz w:val="18"/>
            <w:szCs w:val="18"/>
            <w:u w:val="single" w:color="auto"/>
            <w:color w:val="0000FF"/>
          </w:rPr>
          <w:t>“Proposal 4</w:t>
        </w:r>
        <w:r>
          <w:rPr>
            <w:rFonts w:ascii="Arial" w:cs="Arial" w:eastAsia="Arial" w:hAnsi="Arial"/>
            <w:sz w:val="18"/>
            <w:szCs w:val="18"/>
            <w:color w:val="auto"/>
          </w:rPr>
          <w:t xml:space="preserve"> </w:t>
        </w:r>
        <w:r>
          <w:rPr>
            <w:rFonts w:ascii="Arial" w:cs="Arial" w:eastAsia="Arial" w:hAnsi="Arial"/>
            <w:sz w:val="18"/>
            <w:szCs w:val="18"/>
            <w:color w:val="0000FF"/>
          </w:rPr>
          <w:t>- Approval of Commvault Systems, Inc. Omnibus Incentive Plan,</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as amended by the Fourth Amendment”</w:t>
        </w:r>
        <w:r>
          <w:rPr>
            <w:rFonts w:ascii="Arial" w:cs="Arial" w:eastAsia="Arial" w:hAnsi="Arial"/>
            <w:sz w:val="18"/>
            <w:szCs w:val="18"/>
            <w:color w:val="0000FF"/>
          </w:rPr>
          <w:t xml:space="preserve"> </w:t>
        </w:r>
        <w:r>
          <w:rPr>
            <w:rFonts w:ascii="Arial" w:cs="Arial" w:eastAsia="Arial" w:hAnsi="Arial"/>
            <w:sz w:val="18"/>
            <w:szCs w:val="18"/>
            <w:color w:val="000000"/>
          </w:rPr>
          <w:t>which is incorporated herein by reference. The descriptions of the Incentive Plan set forth herein and</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in the Proxy Statement are qualified in their entirety by reference to the complete text of the Commvault Systems, Inc. Omnibus Incentive Plan (as amended by the Fourth Amendment Thereof), which is incorporated by reference to </w:t>
      </w:r>
      <w:hyperlink w:anchor="page34">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hereof.</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3802380</wp:posOffset>
            </wp:positionH>
            <wp:positionV relativeFrom="paragraph">
              <wp:posOffset>-443230</wp:posOffset>
            </wp:positionV>
            <wp:extent cx="3276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00B2A9"/>
        </w:rPr>
        <w:t>Item 6. Exhibits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98"/>
        </w:trPr>
        <w:tc>
          <w:tcPr>
            <w:tcW w:w="1000" w:type="dxa"/>
            <w:vAlign w:val="bottom"/>
            <w:gridSpan w:val="2"/>
          </w:tcPr>
          <w:p>
            <w:pPr>
              <w:spacing w:after="0"/>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3.1</w:t>
              </w:r>
            </w:hyperlink>
          </w:p>
        </w:tc>
        <w:tc>
          <w:tcPr>
            <w:tcW w:w="80" w:type="dxa"/>
            <w:vAlign w:val="bottom"/>
          </w:tcPr>
          <w:p>
            <w:pPr>
              <w:spacing w:after="0"/>
              <w:rPr>
                <w:sz w:val="17"/>
                <w:szCs w:val="17"/>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Amended and Restated Certificate of Incorporation of Commvault Systems, Inc., as amended (incorporated by reference to Exhibit 3.1 to</w:t>
            </w:r>
          </w:p>
        </w:tc>
      </w:tr>
      <w:tr>
        <w:trPr>
          <w:trHeight w:val="19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the Registrant's Form 8-K filed August 28, 2020)</w:t>
            </w:r>
          </w:p>
        </w:tc>
      </w:tr>
      <w:tr>
        <w:trPr>
          <w:trHeight w:val="183"/>
        </w:trPr>
        <w:tc>
          <w:tcPr>
            <w:tcW w:w="1000" w:type="dxa"/>
            <w:vAlign w:val="bottom"/>
            <w:gridSpan w:val="2"/>
          </w:tcPr>
          <w:p>
            <w:pPr>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3.2</w:t>
              </w:r>
            </w:hyperlink>
          </w:p>
        </w:tc>
        <w:tc>
          <w:tcPr>
            <w:tcW w:w="80" w:type="dxa"/>
            <w:vAlign w:val="bottom"/>
          </w:tcPr>
          <w:p>
            <w:pPr>
              <w:spacing w:after="0"/>
              <w:rPr>
                <w:sz w:val="15"/>
                <w:szCs w:val="15"/>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Third Amended and Restated Bylaws of Commvault Systems, Inc. (incorporated by reference to Exhibit 3.2 to the Registrant's Form 8-K</w:t>
            </w:r>
          </w:p>
        </w:tc>
      </w:tr>
      <w:tr>
        <w:trPr>
          <w:trHeight w:val="19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filed August 28, 2020)</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10.1</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Commvault Systems, Inc. Omnibus Incentive Plan (as amended by the Fourth Amendment Thereof)</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31.1</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31.2</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32.1</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216"/>
        </w:trPr>
        <w:tc>
          <w:tcPr>
            <w:tcW w:w="1000" w:type="dxa"/>
            <w:vAlign w:val="bottom"/>
            <w:gridSpan w:val="2"/>
          </w:tcPr>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32.2</w:t>
              </w:r>
            </w:hyperlink>
          </w:p>
        </w:tc>
        <w:tc>
          <w:tcPr>
            <w:tcW w:w="80" w:type="dxa"/>
            <w:vAlign w:val="bottom"/>
          </w:tcPr>
          <w:p>
            <w:pPr>
              <w:spacing w:after="0"/>
              <w:rPr>
                <w:sz w:val="18"/>
                <w:szCs w:val="18"/>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83"/>
        </w:trPr>
        <w:tc>
          <w:tcPr>
            <w:tcW w:w="1080" w:type="dxa"/>
            <w:vAlign w:val="bottom"/>
            <w:gridSpan w:val="3"/>
          </w:tcPr>
          <w:p>
            <w:pPr>
              <w:spacing w:after="0"/>
              <w:rPr>
                <w:sz w:val="20"/>
                <w:szCs w:val="20"/>
                <w:color w:val="auto"/>
              </w:rPr>
            </w:pPr>
            <w:r>
              <w:rPr>
                <w:rFonts w:ascii="Arial" w:cs="Arial" w:eastAsia="Arial" w:hAnsi="Arial"/>
                <w:sz w:val="16"/>
                <w:szCs w:val="16"/>
                <w:color w:val="auto"/>
              </w:rPr>
              <w:t>101.INS</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19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the Inline XBRL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101.SCH</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101.CAL</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101.DEF</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101.LAB</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1080" w:type="dxa"/>
            <w:vAlign w:val="bottom"/>
            <w:gridSpan w:val="3"/>
          </w:tcPr>
          <w:p>
            <w:pPr>
              <w:spacing w:after="0"/>
              <w:rPr>
                <w:sz w:val="20"/>
                <w:szCs w:val="20"/>
                <w:color w:val="auto"/>
              </w:rPr>
            </w:pPr>
            <w:r>
              <w:rPr>
                <w:rFonts w:ascii="Arial" w:cs="Arial" w:eastAsia="Arial" w:hAnsi="Arial"/>
                <w:sz w:val="16"/>
                <w:szCs w:val="16"/>
                <w:color w:val="auto"/>
              </w:rPr>
              <w:t>101.PRE</w:t>
            </w:r>
          </w:p>
        </w:tc>
        <w:tc>
          <w:tcPr>
            <w:tcW w:w="1010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1" w:lineRule="exact"/>
        <w:rPr>
          <w:sz w:val="20"/>
          <w:szCs w:val="20"/>
          <w:color w:val="auto"/>
        </w:rPr>
      </w:pPr>
    </w:p>
    <w:p>
      <w:pPr>
        <w:ind w:left="1180" w:hanging="115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8"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00" w:type="dxa"/>
            <w:vAlign w:val="bottom"/>
          </w:tcPr>
          <w:p>
            <w:pPr>
              <w:ind w:left="680"/>
              <w:spacing w:after="0"/>
              <w:rPr>
                <w:sz w:val="20"/>
                <w:szCs w:val="20"/>
                <w:color w:val="auto"/>
              </w:rPr>
            </w:pPr>
            <w:r>
              <w:rPr>
                <w:rFonts w:ascii="Arial" w:cs="Arial" w:eastAsia="Arial" w:hAnsi="Arial"/>
                <w:sz w:val="18"/>
                <w:szCs w:val="18"/>
                <w:color w:val="auto"/>
              </w:rPr>
              <w:t>Commvault Systems, Inc.</w:t>
            </w:r>
          </w:p>
        </w:tc>
      </w:tr>
      <w:tr>
        <w:trPr>
          <w:trHeight w:val="499"/>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180"/>
              <w:spacing w:after="0"/>
              <w:rPr>
                <w:sz w:val="20"/>
                <w:szCs w:val="20"/>
                <w:color w:val="auto"/>
              </w:rPr>
            </w:pPr>
            <w:r>
              <w:rPr>
                <w:rFonts w:ascii="Arial" w:cs="Arial" w:eastAsia="Arial" w:hAnsi="Arial"/>
                <w:sz w:val="18"/>
                <w:szCs w:val="18"/>
                <w:color w:val="auto"/>
              </w:rPr>
              <w:t>October 28, 2020</w:t>
            </w:r>
          </w:p>
        </w:tc>
        <w:tc>
          <w:tcPr>
            <w:tcW w:w="3300" w:type="dxa"/>
            <w:vAlign w:val="bottom"/>
          </w:tcPr>
          <w:p>
            <w:pPr>
              <w:ind w:left="2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10"/>
        </w:trPr>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00" w:type="dxa"/>
            <w:vAlign w:val="bottom"/>
          </w:tcPr>
          <w:p>
            <w:pPr>
              <w:ind w:left="2720"/>
              <w:spacing w:after="0"/>
              <w:rPr>
                <w:sz w:val="20"/>
                <w:szCs w:val="20"/>
                <w:color w:val="auto"/>
              </w:rPr>
            </w:pPr>
            <w:r>
              <w:rPr>
                <w:rFonts w:ascii="Arial" w:cs="Arial" w:eastAsia="Arial" w:hAnsi="Arial"/>
                <w:sz w:val="18"/>
                <w:szCs w:val="18"/>
                <w:color w:val="auto"/>
              </w:rPr>
              <w:t>Sanjay</w:t>
            </w:r>
          </w:p>
        </w:tc>
        <w:tc>
          <w:tcPr>
            <w:tcW w:w="4000" w:type="dxa"/>
            <w:vAlign w:val="bottom"/>
          </w:tcPr>
          <w:p>
            <w:pPr>
              <w:ind w:left="20"/>
              <w:spacing w:after="0"/>
              <w:rPr>
                <w:sz w:val="20"/>
                <w:szCs w:val="20"/>
                <w:color w:val="auto"/>
              </w:rPr>
            </w:pPr>
            <w:r>
              <w:rPr>
                <w:rFonts w:ascii="Arial" w:cs="Arial" w:eastAsia="Arial" w:hAnsi="Arial"/>
                <w:sz w:val="18"/>
                <w:szCs w:val="18"/>
                <w:color w:val="auto"/>
              </w:rPr>
              <w:t>Mirchandani</w:t>
            </w:r>
          </w:p>
        </w:tc>
      </w:tr>
      <w:tr>
        <w:trPr>
          <w:trHeight w:val="229"/>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300" w:type="dxa"/>
            <w:vAlign w:val="bottom"/>
            <w:gridSpan w:val="2"/>
          </w:tcPr>
          <w:p>
            <w:pPr>
              <w:ind w:left="2720"/>
              <w:spacing w:after="0"/>
              <w:rPr>
                <w:sz w:val="20"/>
                <w:szCs w:val="20"/>
                <w:color w:val="auto"/>
              </w:rPr>
            </w:pPr>
            <w:r>
              <w:rPr>
                <w:rFonts w:ascii="Arial" w:cs="Arial" w:eastAsia="Arial" w:hAnsi="Arial"/>
                <w:sz w:val="18"/>
                <w:szCs w:val="18"/>
                <w:color w:val="auto"/>
              </w:rPr>
              <w:t>Director, President and Chief Executive Officer</w:t>
            </w:r>
          </w:p>
        </w:tc>
      </w:tr>
      <w:tr>
        <w:trPr>
          <w:trHeight w:val="500"/>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80" w:type="dxa"/>
            <w:vAlign w:val="bottom"/>
          </w:tcPr>
          <w:p>
            <w:pPr>
              <w:ind w:left="180"/>
              <w:spacing w:after="0"/>
              <w:rPr>
                <w:sz w:val="20"/>
                <w:szCs w:val="20"/>
                <w:color w:val="auto"/>
              </w:rPr>
            </w:pPr>
            <w:r>
              <w:rPr>
                <w:rFonts w:ascii="Arial" w:cs="Arial" w:eastAsia="Arial" w:hAnsi="Arial"/>
                <w:sz w:val="18"/>
                <w:szCs w:val="18"/>
                <w:color w:val="auto"/>
              </w:rPr>
              <w:t>October 28, 2020</w:t>
            </w:r>
          </w:p>
        </w:tc>
        <w:tc>
          <w:tcPr>
            <w:tcW w:w="3300" w:type="dxa"/>
            <w:vAlign w:val="bottom"/>
          </w:tcPr>
          <w:p>
            <w:pPr>
              <w:ind w:left="27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Carolan</w:t>
            </w:r>
          </w:p>
        </w:tc>
      </w:tr>
      <w:tr>
        <w:trPr>
          <w:trHeight w:val="210"/>
        </w:trPr>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00" w:type="dxa"/>
            <w:vAlign w:val="bottom"/>
          </w:tcPr>
          <w:p>
            <w:pPr>
              <w:ind w:left="2720"/>
              <w:spacing w:after="0"/>
              <w:rPr>
                <w:sz w:val="20"/>
                <w:szCs w:val="20"/>
                <w:color w:val="auto"/>
              </w:rPr>
            </w:pPr>
            <w:r>
              <w:rPr>
                <w:rFonts w:ascii="Arial" w:cs="Arial" w:eastAsia="Arial" w:hAnsi="Arial"/>
                <w:sz w:val="18"/>
                <w:szCs w:val="18"/>
                <w:color w:val="auto"/>
              </w:rPr>
              <w:t>Brian</w:t>
            </w:r>
          </w:p>
        </w:tc>
        <w:tc>
          <w:tcPr>
            <w:tcW w:w="4000" w:type="dxa"/>
            <w:vAlign w:val="bottom"/>
          </w:tcPr>
          <w:p>
            <w:pPr>
              <w:spacing w:after="0"/>
              <w:rPr>
                <w:sz w:val="20"/>
                <w:szCs w:val="20"/>
                <w:color w:val="auto"/>
              </w:rPr>
            </w:pPr>
            <w:r>
              <w:rPr>
                <w:rFonts w:ascii="Arial" w:cs="Arial" w:eastAsia="Arial" w:hAnsi="Arial"/>
                <w:sz w:val="18"/>
                <w:szCs w:val="18"/>
                <w:color w:val="auto"/>
              </w:rPr>
              <w:t>Carolan</w:t>
            </w:r>
          </w:p>
        </w:tc>
      </w:tr>
      <w:tr>
        <w:trPr>
          <w:trHeight w:val="229"/>
        </w:trPr>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300" w:type="dxa"/>
            <w:vAlign w:val="bottom"/>
            <w:gridSpan w:val="2"/>
          </w:tcPr>
          <w:p>
            <w:pPr>
              <w:ind w:left="2720"/>
              <w:spacing w:after="0"/>
              <w:rPr>
                <w:sz w:val="20"/>
                <w:szCs w:val="20"/>
                <w:color w:val="auto"/>
              </w:rPr>
            </w:pPr>
            <w:r>
              <w:rPr>
                <w:rFonts w:ascii="Arial" w:cs="Arial" w:eastAsia="Arial" w:hAnsi="Arial"/>
                <w:sz w:val="18"/>
                <w:szCs w:val="18"/>
                <w:color w:val="auto"/>
              </w:rPr>
              <w:t>Vice President and Chief Financial Officer</w:t>
            </w:r>
          </w:p>
        </w:tc>
      </w:tr>
      <w:tr>
        <w:trPr>
          <w:trHeight w:val="864"/>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00" w:type="dxa"/>
            <w:vAlign w:val="bottom"/>
          </w:tcPr>
          <w:p>
            <w:pPr>
              <w:ind w:left="1620"/>
              <w:spacing w:after="0"/>
              <w:rPr>
                <w:sz w:val="20"/>
                <w:szCs w:val="20"/>
                <w:color w:val="auto"/>
              </w:rPr>
            </w:pPr>
            <w:r>
              <w:rPr>
                <w:rFonts w:ascii="Arial" w:cs="Arial" w:eastAsia="Arial" w:hAnsi="Arial"/>
                <w:sz w:val="18"/>
                <w:szCs w:val="18"/>
                <w:color w:val="auto"/>
              </w:rPr>
              <w:t>31</w:t>
            </w:r>
          </w:p>
        </w:tc>
        <w:tc>
          <w:tcPr>
            <w:tcW w:w="4000" w:type="dxa"/>
            <w:vAlign w:val="bottom"/>
          </w:tcPr>
          <w:p>
            <w:pPr>
              <w:spacing w:after="0"/>
              <w:rPr>
                <w:sz w:val="24"/>
                <w:szCs w:val="24"/>
                <w:color w:val="auto"/>
              </w:rPr>
            </w:pPr>
          </w:p>
        </w:tc>
      </w:tr>
    </w:tbl>
    <w:p>
      <w:pPr>
        <w:sectPr>
          <w:pgSz w:w="11900" w:h="16838" w:orient="portrait"/>
          <w:cols w:equalWidth="0" w:num="1">
            <w:col w:w="11200"/>
          </w:cols>
          <w:pgMar w:left="320" w:top="1048" w:right="379" w:bottom="1440" w:gutter="0" w:footer="0" w:header="0"/>
        </w:sectPr>
      </w:pPr>
    </w:p>
    <w:bookmarkStart w:id="33" w:name="page34"/>
    <w:bookmarkEnd w:id="33"/>
    <w:p>
      <w:pPr>
        <w:spacing w:after="0" w:line="1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COMMVAULT SYSTEMS, INC.</w:t>
      </w:r>
    </w:p>
    <w:p>
      <w:pPr>
        <w:spacing w:after="0" w:line="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OMNIBUS INCENTIVE PLAN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Through the Fourth Amendment Thereof)</w:t>
      </w:r>
    </w:p>
    <w:p>
      <w:pPr>
        <w:spacing w:after="0" w:line="200" w:lineRule="exact"/>
        <w:rPr>
          <w:sz w:val="20"/>
          <w:szCs w:val="20"/>
          <w:color w:val="auto"/>
        </w:rPr>
      </w:pPr>
    </w:p>
    <w:p>
      <w:pPr>
        <w:spacing w:after="0" w:line="326" w:lineRule="exact"/>
        <w:rPr>
          <w:sz w:val="20"/>
          <w:szCs w:val="20"/>
          <w:color w:val="auto"/>
        </w:rPr>
      </w:pPr>
    </w:p>
    <w:p>
      <w:pPr>
        <w:ind w:left="980" w:hanging="324"/>
        <w:spacing w:after="0"/>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Commvault Systems, Inc. (the “Company”) has established the Commvault Systems, Inc. Omnibus Incentive Plan (the “Plan”) to</w:t>
      </w:r>
    </w:p>
    <w:p>
      <w:pPr>
        <w:spacing w:after="0" w:line="59" w:lineRule="exact"/>
        <w:rPr>
          <w:rFonts w:ascii="Arial" w:cs="Arial" w:eastAsia="Arial" w:hAnsi="Arial"/>
          <w:sz w:val="16"/>
          <w:szCs w:val="16"/>
          <w:color w:val="auto"/>
        </w:rPr>
      </w:pPr>
    </w:p>
    <w:p>
      <w:pPr>
        <w:ind w:firstLine="8"/>
        <w:spacing w:after="0" w:line="329" w:lineRule="auto"/>
        <w:tabs>
          <w:tab w:leader="none" w:pos="24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attract and retain employees, directors and other persons providing services to the Company and its Related Companies (as defined herein); (b) advance the interests of the Company and its stockholders by providing employees, directors and other persons providing services to the Company and its Related Companies, upon whose judgment, initiative and efforts the Company largely depend, with appropriate incentives to perform in a superior manner and achieve long-range goals, (c) to provide incentive compensation opportunities that are competitive with other similar companies, and (d) to further align the interests of Participants’ (as defined herein) with those of the Company’s stockholders, and to thereby promote the long-term financial interests of the Company and the Related Companies, including the growth in value of the Company’s equity and long-term stockholder return.</w:t>
      </w:r>
    </w:p>
    <w:p>
      <w:pPr>
        <w:spacing w:after="0" w:line="160" w:lineRule="exact"/>
        <w:rPr>
          <w:rFonts w:ascii="Arial" w:cs="Arial" w:eastAsia="Arial" w:hAnsi="Arial"/>
          <w:sz w:val="16"/>
          <w:szCs w:val="16"/>
          <w:color w:val="auto"/>
        </w:rPr>
      </w:pPr>
    </w:p>
    <w:p>
      <w:pPr>
        <w:ind w:left="980" w:hanging="324"/>
        <w:spacing w:after="0"/>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 Plan, the following defined terms have the meanings indicated below:</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subsection 9.8.</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any award permitted to be granted pursuant to the provisions of the Plan.</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Cash Incentive Award</w:t>
      </w:r>
      <w:r>
        <w:rPr>
          <w:rFonts w:ascii="Arial" w:cs="Arial" w:eastAsia="Arial" w:hAnsi="Arial"/>
          <w:sz w:val="16"/>
          <w:szCs w:val="16"/>
          <w:color w:val="auto"/>
        </w:rPr>
        <w:t>” has the meaning set forth in subsection 7.1(b).</w:t>
      </w:r>
    </w:p>
    <w:p>
      <w:pPr>
        <w:spacing w:after="0" w:line="252" w:lineRule="exact"/>
        <w:rPr>
          <w:sz w:val="20"/>
          <w:szCs w:val="20"/>
          <w:color w:val="auto"/>
        </w:rPr>
      </w:pPr>
    </w:p>
    <w:p>
      <w:pPr>
        <w:ind w:right="180" w:firstLine="648"/>
        <w:spacing w:after="0" w:line="290"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Cause</w:t>
      </w:r>
      <w:r>
        <w:rPr>
          <w:rFonts w:ascii="Arial" w:cs="Arial" w:eastAsia="Arial" w:hAnsi="Arial"/>
          <w:sz w:val="18"/>
          <w:szCs w:val="18"/>
          <w:color w:val="auto"/>
        </w:rPr>
        <w:t>” means, unless otherwise provided by the Committee or as set forth in a separate agreement between the Company and the Participant, a Participant’s termination of employment or other services for gross negligence, personal dishonesty, incompetence, willful misconduct, any breach of fiduciary duty involving personal profit, intentional failure to perform stated duties, or the willful violation of any law, rule or regulation (other than traffic violations or similar offenses).</w:t>
      </w:r>
    </w:p>
    <w:p>
      <w:pPr>
        <w:spacing w:after="0" w:line="18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specific provision of the Code includes the successor provision(s) and the regulations promulgated.</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has the meaning specified in subsection 3.1.</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Section 1.</w:t>
      </w:r>
    </w:p>
    <w:p>
      <w:pPr>
        <w:spacing w:after="0" w:line="25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color w:val="auto"/>
        </w:rPr>
        <w:t>2.10 “</w:t>
      </w:r>
      <w:r>
        <w:rPr>
          <w:rFonts w:ascii="Arial" w:cs="Arial" w:eastAsia="Arial" w:hAnsi="Arial"/>
          <w:sz w:val="17"/>
          <w:szCs w:val="17"/>
          <w:u w:val="single" w:color="auto"/>
          <w:color w:val="auto"/>
        </w:rPr>
        <w:t>Disability</w:t>
      </w:r>
      <w:r>
        <w:rPr>
          <w:rFonts w:ascii="Arial" w:cs="Arial" w:eastAsia="Arial" w:hAnsi="Arial"/>
          <w:sz w:val="17"/>
          <w:szCs w:val="17"/>
          <w:color w:val="auto"/>
        </w:rPr>
        <w:t>” shall mean, unless otherwise provided by the Committee, that an individual is unable to engage in any substantial gainful activity by reason of any medically determinable physical or mental impairment which can be expected to result in death or which has lasted or can be expected to last for a continuous period of not less than twelve (12) months. Whether an individual has a “Disability” shall be determined in a manner that is consistent with Code Section 22(e)(3). Notwithstanding the foregoing, if a Participant has an employment</w:t>
      </w:r>
    </w:p>
    <w:p>
      <w:pPr>
        <w:sectPr>
          <w:pgSz w:w="11900" w:h="16838" w:orient="portrait"/>
          <w:cols w:equalWidth="0" w:num="1">
            <w:col w:w="11220"/>
          </w:cols>
          <w:pgMar w:left="320" w:top="1440" w:right="359" w:bottom="1440" w:gutter="0" w:footer="0" w:header="0"/>
        </w:sectPr>
      </w:pPr>
    </w:p>
    <w:bookmarkStart w:id="34" w:name="page35"/>
    <w:bookmarkEnd w:id="34"/>
    <w:p>
      <w:pPr>
        <w:ind w:right="580"/>
        <w:spacing w:after="0" w:line="308" w:lineRule="auto"/>
        <w:rPr>
          <w:sz w:val="20"/>
          <w:szCs w:val="20"/>
          <w:color w:val="auto"/>
        </w:rPr>
      </w:pPr>
      <w:r>
        <w:rPr>
          <w:rFonts w:ascii="Arial" w:cs="Arial" w:eastAsia="Arial" w:hAnsi="Arial"/>
          <w:sz w:val="18"/>
          <w:szCs w:val="18"/>
          <w:color w:val="auto"/>
        </w:rPr>
        <w:t>agreement with the Company or Related Company and such employment agreement defines “disability”, then “Disability used herein shall have the meaning as set forth in such employment agreement.</w:t>
      </w:r>
    </w:p>
    <w:p>
      <w:pPr>
        <w:spacing w:after="0" w:line="1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set forth in subsection 9.1.</w:t>
      </w:r>
    </w:p>
    <w:p>
      <w:pPr>
        <w:spacing w:after="0" w:line="252" w:lineRule="exact"/>
        <w:rPr>
          <w:sz w:val="20"/>
          <w:szCs w:val="20"/>
          <w:color w:val="auto"/>
        </w:rPr>
      </w:pPr>
    </w:p>
    <w:p>
      <w:pPr>
        <w:ind w:right="340" w:firstLine="648"/>
        <w:spacing w:after="0" w:line="312"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u w:val="single" w:color="auto"/>
          <w:color w:val="auto"/>
        </w:rPr>
        <w:t>Eligible Individual</w:t>
      </w:r>
      <w:r>
        <w:rPr>
          <w:rFonts w:ascii="Arial" w:cs="Arial" w:eastAsia="Arial" w:hAnsi="Arial"/>
          <w:sz w:val="17"/>
          <w:szCs w:val="17"/>
          <w:color w:val="auto"/>
        </w:rPr>
        <w:t>” means any officer, director or other employee of the Company or a Related Company, consultants, independent contractors or agents of the Company or a Related Company, and persons who are expected to become officers, employees, directors, consultants, independent contractors or agents of the Company or a Related Company (but effective no earlier than the date on which such Person begins to provide services to the Company or a Related Company), including, in each case, Outside Directors.</w:t>
      </w:r>
    </w:p>
    <w:p>
      <w:pPr>
        <w:spacing w:after="0" w:line="17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Any reference to a specific provision of the Exchange Act includes the successor provision(s) and the regulations promulgated thereunder.</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Expiration Date</w:t>
      </w:r>
      <w:r>
        <w:rPr>
          <w:rFonts w:ascii="Arial" w:cs="Arial" w:eastAsia="Arial" w:hAnsi="Arial"/>
          <w:sz w:val="16"/>
          <w:szCs w:val="16"/>
          <w:color w:val="auto"/>
        </w:rPr>
        <w:t>” has the meaning set forth in subsection 6.10 of the Plan.</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of Common Stock means, as of any date, the value determined in accordance with the following rules:</w:t>
      </w:r>
    </w:p>
    <w:p>
      <w:pPr>
        <w:spacing w:after="0" w:line="252" w:lineRule="exact"/>
        <w:rPr>
          <w:sz w:val="20"/>
          <w:szCs w:val="20"/>
          <w:color w:val="auto"/>
        </w:rPr>
      </w:pPr>
    </w:p>
    <w:p>
      <w:pPr>
        <w:ind w:left="1300" w:right="100" w:hanging="644"/>
        <w:spacing w:after="0" w:line="319" w:lineRule="auto"/>
        <w:tabs>
          <w:tab w:leader="none" w:pos="1032"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that date, on the last preceding date on which a sale was so reported.</w:t>
      </w:r>
    </w:p>
    <w:p>
      <w:pPr>
        <w:spacing w:after="0" w:line="165" w:lineRule="exact"/>
        <w:rPr>
          <w:rFonts w:ascii="Arial" w:cs="Arial" w:eastAsia="Arial" w:hAnsi="Arial"/>
          <w:sz w:val="17"/>
          <w:szCs w:val="17"/>
          <w:color w:val="auto"/>
        </w:rPr>
      </w:pPr>
    </w:p>
    <w:p>
      <w:pPr>
        <w:ind w:left="1300" w:right="160" w:hanging="644"/>
        <w:spacing w:after="0" w:line="290" w:lineRule="auto"/>
        <w:tabs>
          <w:tab w:leader="none" w:pos="10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Stock is not at the time listed or admitted to trading on a stock exchange, the Fair Market Value shall be the closing average of the closing bid and asked price of a share of Common Stock on the date in question in the over-the-counter market, as such price is reported in a publication of general circulation selected by the Committee and regularly reporting the market price of Common Stock in such market.</w:t>
      </w:r>
    </w:p>
    <w:p>
      <w:pPr>
        <w:spacing w:after="0" w:line="187" w:lineRule="exact"/>
        <w:rPr>
          <w:rFonts w:ascii="Arial" w:cs="Arial" w:eastAsia="Arial" w:hAnsi="Arial"/>
          <w:sz w:val="18"/>
          <w:szCs w:val="18"/>
          <w:color w:val="auto"/>
        </w:rPr>
      </w:pPr>
    </w:p>
    <w:p>
      <w:pPr>
        <w:ind w:left="1300" w:right="360" w:hanging="644"/>
        <w:spacing w:after="0" w:line="308" w:lineRule="auto"/>
        <w:tabs>
          <w:tab w:leader="none" w:pos="10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Stock is not listed or admitted to trading on any stock exchange or traded in the over-the-counter market, the Fair Market Value shall be as determined by the Committee in good faith.</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Full Value Award</w:t>
      </w:r>
      <w:r>
        <w:rPr>
          <w:rFonts w:ascii="Arial" w:cs="Arial" w:eastAsia="Arial" w:hAnsi="Arial"/>
          <w:sz w:val="16"/>
          <w:szCs w:val="16"/>
          <w:color w:val="auto"/>
        </w:rPr>
        <w:t>” has the meaning set forth in subsection 7.1(a).</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satisfy the requirements applicable to an “incentive stock option” described in Code Section 422.</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is not intended to be an Incentive Stock Option.</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has the meaning set forth in subsection 6.1(a) of the Plan.</w:t>
      </w:r>
    </w:p>
    <w:p>
      <w:pPr>
        <w:spacing w:after="0" w:line="252"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Outside Director</w:t>
      </w:r>
      <w:r>
        <w:rPr>
          <w:rFonts w:ascii="Arial" w:cs="Arial" w:eastAsia="Arial" w:hAnsi="Arial"/>
          <w:sz w:val="16"/>
          <w:szCs w:val="16"/>
          <w:color w:val="auto"/>
        </w:rPr>
        <w:t>” means a director of the Company who is not an officer or employee of the Company or the Related Companies.</w:t>
      </w:r>
    </w:p>
    <w:p>
      <w:pPr>
        <w:sectPr>
          <w:pgSz w:w="11900" w:h="16838" w:orient="portrait"/>
          <w:cols w:equalWidth="0" w:num="1">
            <w:col w:w="11240"/>
          </w:cols>
          <w:pgMar w:left="320" w:top="1435" w:right="339" w:bottom="1440" w:gutter="0" w:footer="0" w:header="0"/>
        </w:sectPr>
      </w:pPr>
    </w:p>
    <w:bookmarkStart w:id="35" w:name="page36"/>
    <w:bookmarkEnd w:id="35"/>
    <w:p>
      <w:pPr>
        <w:ind w:left="66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Individual who receives an Award under the Plan as described in Section 5.</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has the meaning set forth in subsection 7.3.</w:t>
      </w:r>
    </w:p>
    <w:p>
      <w:pPr>
        <w:spacing w:after="0" w:line="252" w:lineRule="exact"/>
        <w:rPr>
          <w:sz w:val="20"/>
          <w:szCs w:val="20"/>
          <w:color w:val="auto"/>
        </w:rPr>
      </w:pPr>
    </w:p>
    <w:p>
      <w:pPr>
        <w:ind w:right="20" w:firstLine="648"/>
        <w:spacing w:after="0" w:line="316" w:lineRule="auto"/>
        <w:rPr>
          <w:sz w:val="20"/>
          <w:szCs w:val="20"/>
          <w:color w:val="auto"/>
        </w:rPr>
      </w:pPr>
      <w:r>
        <w:rPr>
          <w:rFonts w:ascii="Arial" w:cs="Arial" w:eastAsia="Arial" w:hAnsi="Arial"/>
          <w:sz w:val="16"/>
          <w:szCs w:val="16"/>
          <w:color w:val="auto"/>
        </w:rPr>
        <w:t>2.23 “</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means one or more of the following criteria (i) earnings including operating income, net operating income, earnings before or after taxes, earnings before or after interest, depreciation, amortization, or extraordinary or special items or book value per share (which may exclude nonrecurring items) or net earnings; (ii) pre-tax income or after-tax income; (iii) earnings per share (basic or diluted); (iv) operating profit; (v) revenue, revenue growth or rate of revenue growth; (vi) return on assets (gross or net), return on investment (including cash flow return on investment), return on capital (including return on total capital or return on invested capital), or return on equity; (vii) returns on sales or revenues; (viii) operating expenses; (ix) stock price appreciation; (x) cash flow (before or after dividends), free cash flow, cash flow return on investment (discounted or otherwise), net cash provided by operations, cash flow in excess of cost of capital or cash flow per share (before or after dividends); (xi) implementation or completion of critical projects or processes; (xii) economic value created; (xiii) cumulative earnings per share growth; (xiv) operating margin or profit margin; (xv) stock price or total stockholder return;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and other legal matters, information technology, and goals relating to contributions, dispositions, acquisitions, development and development related activity, capital markets activity and credit ratings, joint ventures and other private capital activity including generating incentive and other fees and raising equity commitments, and other transactions, and budget comparisons; (xviii) personal professional objectives, including any of the foregoing performance targets, the implementation of policies and plans, the negotiation of transactions, the development of long term business goals, formation and reorganization of joint ventures and other private capital activity including generating incentive and other fees and raising equity commitments, research or development collaborations, and the completion of other corporate transactions; (xix) economic value added (or an equivalent metric); (xx) stock price performance; (xxi) improvement in or attainment of expense levels or working capital levels; (xxii) operating metrics including projects added, construction value added, active projects and number of organizations, (xxiii) contract value or bookings, or</w:t>
      </w:r>
    </w:p>
    <w:p>
      <w:pPr>
        <w:spacing w:after="0" w:line="14" w:lineRule="exact"/>
        <w:rPr>
          <w:sz w:val="20"/>
          <w:szCs w:val="20"/>
          <w:color w:val="auto"/>
        </w:rPr>
      </w:pPr>
    </w:p>
    <w:p>
      <w:pPr>
        <w:ind w:firstLine="8"/>
        <w:spacing w:after="0" w:line="286" w:lineRule="auto"/>
        <w:tabs>
          <w:tab w:leader="none" w:pos="4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combination of, or a specified increase in, any of the foregoing. Where applicable, the performance targets may be expressed in terms of attaining a specified level of the particular criteria or the attainment of a percentage increase or decrease in the particular criteria, and may be applied to one or more of the Company, a Related Company, or a division or strategic business unit of the Company, or may be applied to the performance of the Company relative to a market index, a group of other companies or a combination thereof, all as determined by the Committee. The performance targets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19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has the meaning set forth in Section 1.</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Prior Plan</w:t>
      </w:r>
      <w:r>
        <w:rPr>
          <w:rFonts w:ascii="Arial" w:cs="Arial" w:eastAsia="Arial" w:hAnsi="Arial"/>
          <w:sz w:val="16"/>
          <w:szCs w:val="16"/>
          <w:color w:val="auto"/>
        </w:rPr>
        <w:t>” means the Commvault Systems, Inc. Long-Term Stock Incentive Plan.</w:t>
      </w:r>
    </w:p>
    <w:p>
      <w:pPr>
        <w:spacing w:after="0" w:line="252" w:lineRule="exact"/>
        <w:rPr>
          <w:sz w:val="20"/>
          <w:szCs w:val="20"/>
          <w:color w:val="auto"/>
        </w:rPr>
      </w:pPr>
    </w:p>
    <w:p>
      <w:pPr>
        <w:jc w:val="both"/>
        <w:ind w:right="320" w:firstLine="648"/>
        <w:spacing w:after="0" w:line="347"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Related Company</w:t>
      </w:r>
      <w:r>
        <w:rPr>
          <w:rFonts w:ascii="Arial" w:cs="Arial" w:eastAsia="Arial" w:hAnsi="Arial"/>
          <w:sz w:val="16"/>
          <w:szCs w:val="16"/>
          <w:color w:val="auto"/>
        </w:rPr>
        <w:t>” shall mean any corporation, partnership, joint venture or other entity during any period in which (i) the Company, directly or indirectly, owns at least 50% of the combined voting power of all classes of stock of such entity or at least 50% of the ownership interests in such entity or (ii) such entity, directly or indirectly, owns at least 50% of the combined voting power of all classes of stock of the Company.</w:t>
      </w:r>
    </w:p>
    <w:p>
      <w:pPr>
        <w:sectPr>
          <w:pgSz w:w="11900" w:h="16838" w:orient="portrait"/>
          <w:cols w:equalWidth="0" w:num="1">
            <w:col w:w="11220"/>
          </w:cols>
          <w:pgMar w:left="320" w:top="1435" w:right="359" w:bottom="1440" w:gutter="0" w:footer="0" w:header="0"/>
        </w:sectPr>
      </w:pPr>
    </w:p>
    <w:bookmarkStart w:id="36" w:name="page37"/>
    <w:bookmarkEnd w:id="36"/>
    <w:p>
      <w:pPr>
        <w:jc w:val="both"/>
        <w:ind w:right="60" w:firstLine="648"/>
        <w:spacing w:after="0" w:line="319" w:lineRule="auto"/>
        <w:rPr>
          <w:sz w:val="20"/>
          <w:szCs w:val="20"/>
          <w:color w:val="auto"/>
        </w:rPr>
      </w:pPr>
      <w:r>
        <w:rPr>
          <w:rFonts w:ascii="Arial" w:cs="Arial" w:eastAsia="Arial" w:hAnsi="Arial"/>
          <w:sz w:val="17"/>
          <w:szCs w:val="17"/>
          <w:color w:val="auto"/>
        </w:rPr>
        <w:t>2.27 “</w:t>
      </w:r>
      <w:r>
        <w:rPr>
          <w:rFonts w:ascii="Arial" w:cs="Arial" w:eastAsia="Arial" w:hAnsi="Arial"/>
          <w:sz w:val="17"/>
          <w:szCs w:val="17"/>
          <w:u w:val="single" w:color="auto"/>
          <w:color w:val="auto"/>
        </w:rPr>
        <w:t>SAR</w:t>
      </w:r>
      <w:r>
        <w:rPr>
          <w:rFonts w:ascii="Arial" w:cs="Arial" w:eastAsia="Arial" w:hAnsi="Arial"/>
          <w:sz w:val="17"/>
          <w:szCs w:val="17"/>
          <w:color w:val="auto"/>
        </w:rPr>
        <w:t>” or “</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means the grant of an Award under the Plan that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Stockholders’ Meeting</w:t>
      </w:r>
      <w:r>
        <w:rPr>
          <w:rFonts w:ascii="Arial" w:cs="Arial" w:eastAsia="Arial" w:hAnsi="Arial"/>
          <w:sz w:val="16"/>
          <w:szCs w:val="16"/>
          <w:color w:val="auto"/>
        </w:rPr>
        <w:t>” means the first regular annual meeting of the Company’s stockholders that occurs after the Effective Date.</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that is a subsidiary of the Company within the meaning of Code Section 424(f).</w:t>
      </w:r>
    </w:p>
    <w:p>
      <w:pPr>
        <w:spacing w:after="0" w:line="252" w:lineRule="exact"/>
        <w:rPr>
          <w:sz w:val="20"/>
          <w:szCs w:val="20"/>
          <w:color w:val="auto"/>
        </w:rPr>
      </w:pPr>
    </w:p>
    <w:p>
      <w:pPr>
        <w:ind w:right="80" w:firstLine="648"/>
        <w:spacing w:after="0" w:line="312"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u w:val="single" w:color="auto"/>
          <w:color w:val="auto"/>
        </w:rPr>
        <w:t>Substitute Award</w:t>
      </w:r>
      <w:r>
        <w:rPr>
          <w:rFonts w:ascii="Arial" w:cs="Arial" w:eastAsia="Arial" w:hAnsi="Arial"/>
          <w:sz w:val="17"/>
          <w:szCs w:val="17"/>
          <w:color w:val="auto"/>
        </w:rPr>
        <w:t>” means an Award granted or shares of Common Stock issued by the Company in assumption of, or in substitution or exchange for, an award previously granted, or the right or obligation to make a future award, in all cases by a company acquired by the Company or any Related Company or with which the Company or any Related Company combines. In no event shall the issuance of Substitute Awards change the terms of such previously granted awards such that the change, if applied to a current Award, would be prohibited under subsection 6.8.</w:t>
      </w:r>
    </w:p>
    <w:p>
      <w:pPr>
        <w:spacing w:after="0" w:line="172" w:lineRule="exact"/>
        <w:rPr>
          <w:sz w:val="20"/>
          <w:szCs w:val="20"/>
          <w:color w:val="auto"/>
        </w:rPr>
      </w:pPr>
    </w:p>
    <w:p>
      <w:pPr>
        <w:ind w:right="20" w:firstLine="648"/>
        <w:spacing w:after="0" w:line="332"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 Participant both ceases to be an employee of the Company and the Related Companies and ceases to perform material services for the Company and the Related Companies (whether as a director or otherwise), regardless of the reason for the cessation; provided that a “Termination Date” shall not be considered to have occurred during the period in which the reason for the cessation of services is a leave of absence approved by the Company or the Related Company which was the recipient of the Participant’s services; and provided further that, with respect to an Outside Director, “Termination Date” means date on which the Outside Director’s service as an Outside Director terminates for any reason.</w:t>
      </w:r>
    </w:p>
    <w:p>
      <w:pPr>
        <w:spacing w:after="0" w:line="158"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52" w:lineRule="exact"/>
        <w:rPr>
          <w:sz w:val="20"/>
          <w:szCs w:val="20"/>
          <w:color w:val="auto"/>
        </w:rPr>
      </w:pPr>
    </w:p>
    <w:p>
      <w:pPr>
        <w:ind w:right="140" w:firstLine="648"/>
        <w:spacing w:after="0" w:line="29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The authority to control and manage the operation and administration of the Plan shall be vested in the committee described in subsection 3.2 (the “Committee”) in accordance with this Section 3. If the Committee does not exist, or for any other reason determined by the Board, the Board may take any action under the Plan that would otherwise be the responsibility of the Committee.</w:t>
      </w:r>
    </w:p>
    <w:p>
      <w:pPr>
        <w:spacing w:after="0" w:line="182" w:lineRule="exact"/>
        <w:rPr>
          <w:sz w:val="20"/>
          <w:szCs w:val="20"/>
          <w:color w:val="auto"/>
        </w:rPr>
      </w:pPr>
    </w:p>
    <w:p>
      <w:pPr>
        <w:ind w:firstLine="648"/>
        <w:spacing w:after="0" w:line="32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Selection of Committee</w:t>
      </w:r>
      <w:r>
        <w:rPr>
          <w:rFonts w:ascii="Arial" w:cs="Arial" w:eastAsia="Arial" w:hAnsi="Arial"/>
          <w:sz w:val="16"/>
          <w:szCs w:val="16"/>
          <w:color w:val="auto"/>
        </w:rPr>
        <w:t>. So long as the Company is subject to Section 16 of the Exchange Act, the Committee shall be selected by the Board and shall consist of not fewer than two members of the Board or such greater number as may be required for compliance with Rule 16b-3 issued under the Exchange Act and shall be comprised of persons who are independent for purposes of applicable stock exchange listing requirements. Any Award granted under the Plan which is intended to constitute Performance-Based Compensation (including Options and SARs) shall be granted by a Committee consisting solely of two or more “outside directors” within the meaning of Code Section 162(m) and applicable regulations. Notwithstanding any other provision of the Plan to the contrary, with respect to any Awards to Outside Directors, the Committee shall be the Board.</w:t>
      </w:r>
    </w:p>
    <w:p>
      <w:pPr>
        <w:spacing w:after="0" w:line="16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The authority to manage and control the operation and administration of the Plan shall be vested in the Committee, subject to the following:</w:t>
      </w:r>
    </w:p>
    <w:p>
      <w:pPr>
        <w:sectPr>
          <w:pgSz w:w="11900" w:h="16838" w:orient="portrait"/>
          <w:cols w:equalWidth="0" w:num="1">
            <w:col w:w="11220"/>
          </w:cols>
          <w:pgMar w:left="320" w:top="1435" w:right="359" w:bottom="1440" w:gutter="0" w:footer="0" w:header="0"/>
        </w:sectPr>
      </w:pPr>
    </w:p>
    <w:bookmarkStart w:id="37" w:name="page38"/>
    <w:bookmarkEnd w:id="37"/>
    <w:p>
      <w:pPr>
        <w:ind w:left="1300" w:hanging="644"/>
        <w:spacing w:after="0" w:line="305" w:lineRule="auto"/>
        <w:tabs>
          <w:tab w:leader="none" w:pos="1032"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will have the authority and discretion to (i) select Eligible Individuals who will receive Awards under the Plan, (ii) determine the time or times of receipt of Awards, (iii) determine the types of Awards and the number of shares of Common Stock covered by the Awards, (iv) establish the terms, conditions, performance targets, restrictions, and other provisions of Awards, (v) modify the terms of, cancel or suspend Awards, (vi) reissue or repurchase Awards, and (vii) accelerate the exercisability or vesting of any Award. In making such Award determinations, the Committee may take into account the nature of services rendered by the respective employee, the individual’s present and potential contribution to the Company’s or a Related Company’s success and such other factors as the Committee deems relevant.</w:t>
      </w:r>
    </w:p>
    <w:p>
      <w:pPr>
        <w:spacing w:after="0" w:line="178" w:lineRule="exact"/>
        <w:rPr>
          <w:rFonts w:ascii="Arial" w:cs="Arial" w:eastAsia="Arial" w:hAnsi="Arial"/>
          <w:sz w:val="17"/>
          <w:szCs w:val="17"/>
          <w:color w:val="auto"/>
        </w:rPr>
      </w:pPr>
    </w:p>
    <w:p>
      <w:pPr>
        <w:ind w:left="1300" w:hanging="644"/>
        <w:spacing w:after="0" w:line="290" w:lineRule="auto"/>
        <w:tabs>
          <w:tab w:leader="none" w:pos="10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will have the authority and discretion to determine the extent to which Awards under the Plan will be structured to conform to the requirements applicable to Performance-Based Compensation, and to take such action, establish such procedures, and impose such restrictions at the time such Awards are granted as the Committee determines to be necessary or appropriate to conform to such requirements.</w:t>
      </w:r>
    </w:p>
    <w:p>
      <w:pPr>
        <w:spacing w:after="0" w:line="187" w:lineRule="exact"/>
        <w:rPr>
          <w:rFonts w:ascii="Arial" w:cs="Arial" w:eastAsia="Arial" w:hAnsi="Arial"/>
          <w:sz w:val="18"/>
          <w:szCs w:val="18"/>
          <w:color w:val="auto"/>
        </w:rPr>
      </w:pPr>
    </w:p>
    <w:p>
      <w:pPr>
        <w:ind w:left="1300" w:right="40" w:hanging="644"/>
        <w:spacing w:after="0" w:line="347" w:lineRule="auto"/>
        <w:tabs>
          <w:tab w:leader="none" w:pos="1032"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will have the authority and discretion to conclusively interpret the Plan, to establish, amend and rescind any rules and regulations relating to the Plan, to determine the terms and provisions of any agreements made pursuant to the Plan and to make all other determinations that may be necessary or advisable for the administration of the Plan.</w:t>
      </w:r>
    </w:p>
    <w:p>
      <w:pPr>
        <w:spacing w:after="0" w:line="146" w:lineRule="exact"/>
        <w:rPr>
          <w:rFonts w:ascii="Arial" w:cs="Arial" w:eastAsia="Arial" w:hAnsi="Arial"/>
          <w:sz w:val="16"/>
          <w:szCs w:val="16"/>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interpretation of the Plan by the Committee and any decision made by it under the Plan is final and binding on all persons.</w:t>
      </w:r>
    </w:p>
    <w:p>
      <w:pPr>
        <w:spacing w:after="0" w:line="252" w:lineRule="exact"/>
        <w:rPr>
          <w:rFonts w:ascii="Arial" w:cs="Arial" w:eastAsia="Arial" w:hAnsi="Arial"/>
          <w:sz w:val="18"/>
          <w:szCs w:val="18"/>
          <w:color w:val="auto"/>
        </w:rPr>
      </w:pPr>
    </w:p>
    <w:p>
      <w:pPr>
        <w:ind w:left="1300" w:right="160" w:hanging="644"/>
        <w:spacing w:after="0" w:line="295" w:lineRule="auto"/>
        <w:tabs>
          <w:tab w:leader="none" w:pos="10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otherwise expressly provided in the Plan, where the Committee is authorized to make a determination with respect to any Award, such determination shall be made at the time the Award is made, except that the Committee may reserve the authority to have such determination made by the Committee in the future.</w:t>
      </w:r>
    </w:p>
    <w:p>
      <w:pPr>
        <w:spacing w:after="0" w:line="182" w:lineRule="exact"/>
        <w:rPr>
          <w:sz w:val="20"/>
          <w:szCs w:val="20"/>
          <w:color w:val="auto"/>
        </w:rPr>
      </w:pPr>
    </w:p>
    <w:p>
      <w:pPr>
        <w:ind w:right="40" w:firstLine="648"/>
        <w:spacing w:after="0" w:line="290"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Delegation by Committee</w:t>
      </w:r>
      <w:r>
        <w:rPr>
          <w:rFonts w:ascii="Arial" w:cs="Arial" w:eastAsia="Arial" w:hAnsi="Arial"/>
          <w:sz w:val="18"/>
          <w:szCs w:val="18"/>
          <w:color w:val="auto"/>
        </w:rPr>
        <w:t>. Except to the extent prohibited by applicable law or the rules of any stock exchange on which the Common Stock is listed,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88"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Information to be Furnished to Committee</w:t>
      </w:r>
      <w:r>
        <w:rPr>
          <w:rFonts w:ascii="Arial" w:cs="Arial" w:eastAsia="Arial" w:hAnsi="Arial"/>
          <w:sz w:val="16"/>
          <w:szCs w:val="16"/>
          <w:color w:val="auto"/>
        </w:rPr>
        <w:t>. The Company and the Related Companies shall furnish the Committee such data and information as may be required for it to discharge its duties. The records of the Company and the Related Companies as to an employee’s or Participant’s employment or provision of services, termination of employment or cessation of the provision of services, leave of absence, reemployment and compensation shall be conclusive on all persons unless determined to be incorrect. Participants and other persons entitled to benefits under the Plan must furnish the Committee such evidence, data or information as the Committee consider desirable to carry out the terms of the Plan.</w:t>
      </w:r>
    </w:p>
    <w:p>
      <w:pPr>
        <w:spacing w:after="0" w:line="158" w:lineRule="exact"/>
        <w:rPr>
          <w:sz w:val="20"/>
          <w:szCs w:val="20"/>
          <w:color w:val="auto"/>
        </w:rPr>
      </w:pPr>
    </w:p>
    <w:p>
      <w:pPr>
        <w:ind w:right="20" w:firstLine="648"/>
        <w:spacing w:after="0" w:line="30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Limitation on Liability and Indemnification of Committee</w:t>
      </w:r>
      <w:r>
        <w:rPr>
          <w:rFonts w:ascii="Arial" w:cs="Arial" w:eastAsia="Arial" w:hAnsi="Arial"/>
          <w:sz w:val="18"/>
          <w:szCs w:val="18"/>
          <w:color w:val="auto"/>
        </w:rPr>
        <w:t>. No member or authorized delegate of the Committee shall be liable to any person for any action taken or omitted in connection with the administration of</w:t>
      </w:r>
    </w:p>
    <w:p>
      <w:pPr>
        <w:sectPr>
          <w:pgSz w:w="11900" w:h="16838" w:orient="portrait"/>
          <w:cols w:equalWidth="0" w:num="1">
            <w:col w:w="11220"/>
          </w:cols>
          <w:pgMar w:left="320" w:top="1435" w:right="359" w:bottom="1440" w:gutter="0" w:footer="0" w:header="0"/>
        </w:sectPr>
      </w:pPr>
    </w:p>
    <w:bookmarkStart w:id="38" w:name="page39"/>
    <w:bookmarkEnd w:id="38"/>
    <w:p>
      <w:pPr>
        <w:ind w:right="40"/>
        <w:spacing w:after="0" w:line="327" w:lineRule="auto"/>
        <w:rPr>
          <w:sz w:val="20"/>
          <w:szCs w:val="20"/>
          <w:color w:val="auto"/>
        </w:rPr>
      </w:pPr>
      <w:r>
        <w:rPr>
          <w:rFonts w:ascii="Arial" w:cs="Arial" w:eastAsia="Arial" w:hAnsi="Arial"/>
          <w:sz w:val="16"/>
          <w:szCs w:val="16"/>
          <w:color w:val="auto"/>
        </w:rPr>
        <w:t>the Plan unless attributable to his own fraud or willful misconduct; nor shall the Company or any Related Company be liable to any person for any such action unless attributable to fraud or willful misconduct on the part of a director or employee of the Company or Related Company. The Committee, the individual members thereof, and persons acting as the authorized delegates of the Committee under the Plan, shall be indemnified by the Company against any and all liabilities, losses, costs and expenses (including legal fees and expenses) of whatsoever kind and nature which may be imposed on, incurred by or asserted against the Committee or its members or authorized delegates by reason of the performance of a Committee function if the Committee or its members or authorized delegates did not act dishonestly or in willful violation of the law or regulation under which such liability, loss, cost or expense arises. This indemnification shall not duplicate but may supplement any coverage available under any applicable insurance.</w:t>
      </w:r>
    </w:p>
    <w:p>
      <w:pPr>
        <w:spacing w:after="0" w:line="16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STOCK RESERVED AND LIMITATIONS.</w:t>
      </w:r>
    </w:p>
    <w:p>
      <w:pPr>
        <w:spacing w:after="0" w:line="252" w:lineRule="exact"/>
        <w:rPr>
          <w:sz w:val="20"/>
          <w:szCs w:val="20"/>
          <w:color w:val="auto"/>
        </w:rPr>
      </w:pPr>
    </w:p>
    <w:p>
      <w:pPr>
        <w:ind w:right="380" w:firstLine="648"/>
        <w:spacing w:after="0" w:line="30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Shares and Other Amounts Subject to the Plan</w:t>
      </w:r>
      <w:r>
        <w:rPr>
          <w:rFonts w:ascii="Arial" w:cs="Arial" w:eastAsia="Arial" w:hAnsi="Arial"/>
          <w:sz w:val="18"/>
          <w:szCs w:val="18"/>
          <w:color w:val="auto"/>
        </w:rPr>
        <w:t>. The shares of Common Stock for which Awards may be granted under the Plan shall be subject to the following:</w:t>
      </w:r>
    </w:p>
    <w:p>
      <w:pPr>
        <w:spacing w:after="0" w:line="171" w:lineRule="exact"/>
        <w:rPr>
          <w:sz w:val="20"/>
          <w:szCs w:val="20"/>
          <w:color w:val="auto"/>
        </w:rPr>
      </w:pPr>
    </w:p>
    <w:p>
      <w:pPr>
        <w:ind w:left="1300" w:hanging="644"/>
        <w:spacing w:after="0" w:line="295" w:lineRule="auto"/>
        <w:tabs>
          <w:tab w:leader="none" w:pos="10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shares of Common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81" w:lineRule="exact"/>
        <w:rPr>
          <w:rFonts w:ascii="Arial" w:cs="Arial" w:eastAsia="Arial" w:hAnsi="Arial"/>
          <w:sz w:val="18"/>
          <w:szCs w:val="18"/>
          <w:color w:val="auto"/>
        </w:rPr>
      </w:pPr>
    </w:p>
    <w:p>
      <w:pPr>
        <w:ind w:left="1300" w:right="20" w:hanging="644"/>
        <w:spacing w:after="0" w:line="327" w:lineRule="auto"/>
        <w:tabs>
          <w:tab w:leader="none" w:pos="10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the provisions of subsection 4.2, the number of shares of Common Stock which may be issued with respect to Awards under the Plan shall be equal to 8,050,000. Except as otherwise provided herein, any shares of Common Stock subject to an Award under the Plan which for any reason is forfeited, expires or is terminated without issuance of shares of Common Stock (including shares that are attributable to Awards that are settled in cash) and shares of Stock that are withheld in payment of taxes payable with respect to the vesting or settlement of a Full Value Award shall thereafter be available for further grants under the Plan. Shares of Stock that are tendered or withheld in payment of the Exercise Price of an Option or shares of Stock that are withheld in payment of taxes payable with respect to the exercise of an Option or SAR shall not be available for further grants under the Plan.</w:t>
      </w:r>
    </w:p>
    <w:p>
      <w:pPr>
        <w:spacing w:after="0" w:line="162" w:lineRule="exact"/>
        <w:rPr>
          <w:rFonts w:ascii="Arial" w:cs="Arial" w:eastAsia="Arial" w:hAnsi="Arial"/>
          <w:sz w:val="16"/>
          <w:szCs w:val="16"/>
          <w:color w:val="auto"/>
        </w:rPr>
      </w:pPr>
    </w:p>
    <w:p>
      <w:pPr>
        <w:ind w:left="1300" w:right="360" w:hanging="644"/>
        <w:spacing w:after="0" w:line="308" w:lineRule="auto"/>
        <w:tabs>
          <w:tab w:leader="none" w:pos="10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Substitute Awards shall not reduce the number of shares of Common Stock that may be issued under the Plan or that may be covered by Awards granted to any one Participant during any period pursuant to subsections 4.1(g) and 4.1(h).</w:t>
      </w:r>
    </w:p>
    <w:p>
      <w:pPr>
        <w:spacing w:after="0" w:line="170" w:lineRule="exact"/>
        <w:rPr>
          <w:rFonts w:ascii="Arial" w:cs="Arial" w:eastAsia="Arial" w:hAnsi="Arial"/>
          <w:sz w:val="18"/>
          <w:szCs w:val="18"/>
          <w:color w:val="auto"/>
        </w:rPr>
      </w:pPr>
    </w:p>
    <w:p>
      <w:pPr>
        <w:ind w:left="1300" w:right="140" w:hanging="644"/>
        <w:spacing w:after="0" w:line="337" w:lineRule="auto"/>
        <w:tabs>
          <w:tab w:leader="none" w:pos="10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Except as expressly provided by the terms of this Plan, the issue by the Company of stock of any class, or securities convertible into shares of stock of any class, for cash or property or for labor or services, either upon direct sale, upon the exercise of rights or warrants to subscribe therefor or upon conversion of stock or obligations of the Company convertible into such stock or other securities, shall not affect, and no adjustment by reason thereof, shall be made with respect to Awards then outstanding hereunder.</w:t>
      </w:r>
    </w:p>
    <w:p>
      <w:pPr>
        <w:spacing w:after="0" w:line="154" w:lineRule="exact"/>
        <w:rPr>
          <w:rFonts w:ascii="Arial" w:cs="Arial" w:eastAsia="Arial" w:hAnsi="Arial"/>
          <w:sz w:val="16"/>
          <w:szCs w:val="16"/>
          <w:color w:val="auto"/>
        </w:rPr>
      </w:pPr>
    </w:p>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provided by the Committee, any Award may be settled in cash rather than in Common Stock.</w:t>
      </w:r>
    </w:p>
    <w:p>
      <w:pPr>
        <w:sectPr>
          <w:pgSz w:w="11900" w:h="16838" w:orient="portrait"/>
          <w:cols w:equalWidth="0" w:num="1">
            <w:col w:w="11180"/>
          </w:cols>
          <w:pgMar w:left="320" w:top="1435" w:right="399" w:bottom="1440" w:gutter="0" w:footer="0" w:header="0"/>
        </w:sectPr>
      </w:pPr>
    </w:p>
    <w:bookmarkStart w:id="39" w:name="page40"/>
    <w:bookmarkEnd w:id="39"/>
    <w:p>
      <w:pPr>
        <w:ind w:left="644" w:right="140" w:hanging="644"/>
        <w:spacing w:after="0" w:line="290" w:lineRule="auto"/>
        <w:tabs>
          <w:tab w:leader="none" w:pos="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terms and conditions of the Plan, the maximum number of shares of Common Stock that may be delivered to Participants and their beneficiaries with respect to Incentive Stock Options under the Plan shall be 3,550,000; provided, however, that to the extent that shares not delivered must be counted against this limit as a condition of satisfying the rules applicable to Incentive Stock Options, such rules shall apply to the limit on Incentive Stock Options granted under the Plan.</w:t>
      </w:r>
    </w:p>
    <w:p>
      <w:pPr>
        <w:spacing w:after="0" w:line="187" w:lineRule="exact"/>
        <w:rPr>
          <w:rFonts w:ascii="Arial" w:cs="Arial" w:eastAsia="Arial" w:hAnsi="Arial"/>
          <w:sz w:val="18"/>
          <w:szCs w:val="18"/>
          <w:color w:val="auto"/>
        </w:rPr>
      </w:pPr>
    </w:p>
    <w:p>
      <w:pPr>
        <w:ind w:left="644" w:right="100" w:hanging="644"/>
        <w:spacing w:after="0" w:line="327" w:lineRule="auto"/>
        <w:tabs>
          <w:tab w:leader="none" w:pos="3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covered by Awards granted to any one Participant during any one calendar-year period pursuant to Section 6 (relating to Options and SARs) shall be 500,000 shares if such awards are intended to constitute Performance-Based Compensation. For purposes of this subsection 4.1(g), if an Option is in tandem with an SAR, such that the exercise of the Option or SAR with respect to a share of Common Stock cancels the tandem SAR or Option right, respectively, with respect to such share, the tandem Option and SAR rights with respect to each share of Common Stock shall be counted as covering only one share of Common Stock for purposes of applying the limitations of this subsection 4.1(g). For purposes of the Plan, it will be assumed that the grant of any Option or SAR is intended to constitute Performance-Based Compensation unless the Committee specified otherwise.</w:t>
      </w:r>
    </w:p>
    <w:p>
      <w:pPr>
        <w:spacing w:after="0" w:line="162" w:lineRule="exact"/>
        <w:rPr>
          <w:rFonts w:ascii="Arial" w:cs="Arial" w:eastAsia="Arial" w:hAnsi="Arial"/>
          <w:sz w:val="16"/>
          <w:szCs w:val="16"/>
          <w:color w:val="auto"/>
        </w:rPr>
      </w:pPr>
    </w:p>
    <w:p>
      <w:pPr>
        <w:ind w:left="644" w:hanging="644"/>
        <w:spacing w:after="0" w:line="290" w:lineRule="auto"/>
        <w:tabs>
          <w:tab w:leader="none" w:pos="3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Full Value Awards that are intended to be Performance-Based Compensation, no more than 250,000 shares of Common Stock may be delivered pursuant to such Awards granted to any one Participant during any one calendar year period (regardless of whether settlement of the Award is to occur prior to, at the time of, or after the time of vesting); provided that Awards described in this 4.1(h) shall be subject to the following:</w:t>
      </w:r>
    </w:p>
    <w:p>
      <w:pPr>
        <w:spacing w:after="0" w:line="187" w:lineRule="exact"/>
        <w:rPr>
          <w:rFonts w:ascii="Arial" w:cs="Arial" w:eastAsia="Arial" w:hAnsi="Arial"/>
          <w:sz w:val="18"/>
          <w:szCs w:val="18"/>
          <w:color w:val="auto"/>
        </w:rPr>
      </w:pPr>
    </w:p>
    <w:p>
      <w:pPr>
        <w:ind w:left="1304" w:right="60" w:hanging="656"/>
        <w:spacing w:after="0" w:line="295" w:lineRule="auto"/>
        <w:tabs>
          <w:tab w:leader="none" w:pos="10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Awards are denominated in Common Stock but an equivalent amount of cash is delivered in lieu of delivery of shares of Common Stock, the foregoing limit shall be applied based on the methodology used by the Committee to convert the number of shares of Common Stock into cash.</w:t>
      </w:r>
    </w:p>
    <w:p>
      <w:pPr>
        <w:spacing w:after="0" w:line="181" w:lineRule="exact"/>
        <w:rPr>
          <w:rFonts w:ascii="Arial" w:cs="Arial" w:eastAsia="Arial" w:hAnsi="Arial"/>
          <w:sz w:val="18"/>
          <w:szCs w:val="18"/>
          <w:color w:val="auto"/>
        </w:rPr>
      </w:pPr>
    </w:p>
    <w:p>
      <w:pPr>
        <w:ind w:left="1304" w:right="340" w:hanging="656"/>
        <w:spacing w:after="0" w:line="377" w:lineRule="auto"/>
        <w:tabs>
          <w:tab w:leader="none" w:pos="1056"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delivery of Common Stock or cash is deferred until after the Common Stock has been earned, any adjustment in the amount delivered to reflect actual or deemed investment experience after the date the Common Stock is earned shall be disregarded.</w:t>
      </w:r>
    </w:p>
    <w:p>
      <w:pPr>
        <w:spacing w:after="0" w:line="123" w:lineRule="exact"/>
        <w:rPr>
          <w:rFonts w:ascii="Arial" w:cs="Arial" w:eastAsia="Arial" w:hAnsi="Arial"/>
          <w:sz w:val="16"/>
          <w:szCs w:val="16"/>
          <w:color w:val="auto"/>
        </w:rPr>
      </w:pPr>
    </w:p>
    <w:p>
      <w:pPr>
        <w:ind w:left="644" w:right="100" w:hanging="644"/>
        <w:spacing w:after="0" w:line="347" w:lineRule="auto"/>
        <w:tabs>
          <w:tab w:leader="none" w:pos="3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Cash Incentive Awards that are intended to be Performance-Based Compensation, the maximum amount payable to any Participant with respect to any twelve (12) month performance period shall equal $2,500,000 (pro rated for performance periods that are greater or lesser than twelve (12) months); provided that Awards described in this subsection 4.1(i), shall be subject to the following:</w:t>
      </w:r>
    </w:p>
    <w:p>
      <w:pPr>
        <w:spacing w:after="0" w:line="146" w:lineRule="exact"/>
        <w:rPr>
          <w:rFonts w:ascii="Arial" w:cs="Arial" w:eastAsia="Arial" w:hAnsi="Arial"/>
          <w:sz w:val="16"/>
          <w:szCs w:val="16"/>
          <w:color w:val="auto"/>
        </w:rPr>
      </w:pPr>
    </w:p>
    <w:p>
      <w:pPr>
        <w:ind w:left="1304" w:right="100" w:hanging="656"/>
        <w:spacing w:after="0" w:line="295" w:lineRule="auto"/>
        <w:tabs>
          <w:tab w:leader="none" w:pos="10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Awards are denominated in cash but an equivalent amount of Common Stock is delivered in lieu of delivery of cash, the foregoing limit shall be applied to the cash based on the methodology used by the Committee to convert the cash into Common Stock.</w:t>
      </w:r>
    </w:p>
    <w:p>
      <w:pPr>
        <w:spacing w:after="0" w:line="181" w:lineRule="exact"/>
        <w:rPr>
          <w:rFonts w:ascii="Arial" w:cs="Arial" w:eastAsia="Arial" w:hAnsi="Arial"/>
          <w:sz w:val="18"/>
          <w:szCs w:val="18"/>
          <w:color w:val="auto"/>
        </w:rPr>
      </w:pPr>
    </w:p>
    <w:p>
      <w:pPr>
        <w:ind w:left="1304" w:right="100" w:hanging="656"/>
        <w:spacing w:after="0" w:line="308" w:lineRule="auto"/>
        <w:tabs>
          <w:tab w:leader="none" w:pos="10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delivery of Common Stock or cash is deferred until after cash has been earned, any adjustment in the amount delivered to reflect actual or deemed investment experience after the date the cash is earned shall be disregarded.</w:t>
      </w:r>
    </w:p>
    <w:p>
      <w:pPr>
        <w:sectPr>
          <w:pgSz w:w="11900" w:h="16838" w:orient="portrait"/>
          <w:cols w:equalWidth="0" w:num="1">
            <w:col w:w="10564"/>
          </w:cols>
          <w:pgMar w:left="976" w:top="1435" w:right="359" w:bottom="1440" w:gutter="0" w:footer="0" w:header="0"/>
        </w:sectPr>
      </w:pPr>
    </w:p>
    <w:bookmarkStart w:id="40" w:name="page41"/>
    <w:bookmarkEnd w:id="40"/>
    <w:p>
      <w:pPr>
        <w:ind w:left="1300" w:right="260" w:hanging="644"/>
        <w:spacing w:after="0" w:line="295" w:lineRule="auto"/>
        <w:tabs>
          <w:tab w:leader="none" w:pos="10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Award to an Outside Director, in no event shall the dollar value of the Award granted to any Outside Director for any calendar year (determined as of the date of grant) exceed $500,000, except for the initial year of directorship in which the dollar value shall not exceed $1,000,000.</w:t>
      </w:r>
    </w:p>
    <w:p>
      <w:pPr>
        <w:spacing w:after="0" w:line="182" w:lineRule="exact"/>
        <w:rPr>
          <w:sz w:val="20"/>
          <w:szCs w:val="20"/>
          <w:color w:val="auto"/>
        </w:rPr>
      </w:pPr>
    </w:p>
    <w:p>
      <w:pPr>
        <w:ind w:right="40" w:firstLine="648"/>
        <w:spacing w:after="0" w:line="32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Adjustments to Shares of Common Stock</w:t>
      </w:r>
      <w:r>
        <w:rPr>
          <w:rFonts w:ascii="Arial" w:cs="Arial" w:eastAsia="Arial" w:hAnsi="Arial"/>
          <w:sz w:val="16"/>
          <w:szCs w:val="16"/>
          <w:color w:val="auto"/>
        </w:rPr>
        <w:t>. In the event of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in its sole discretion, that an adjustment is warranted in order to preserve the benefits or prevent the enlargement of benefits of Awards under the Plan, the Committee shall, in the manner it determines equitable in its sole discretion, (a) adjust the number and kind of shares which may be delivered under the Plan (including adjustments to the number and kind of shares that may be granted to an individual during any specified time as described in subsection 4.1); (b) adjust the number and kind of shares subject to outstanding Awards; (c) adjust the Exercise Price of outstanding Options and SARs; and (d) make any other adjustments that the Committee determines to be equitable (which may include, without limitation, (i) replacement of Awards with other awards which the Committee determines have comparable value and which are based on stock of a company resulting from the transaction, and (ii) cancellation of the Award in return for cash payment of the current value of the Award, determined as though the Award is fully vested at the time of payment, provided that in the case of an Option or SAR, the amount of such payment may be the excess of value of the shares of Common Stock subject to the Option or SAR at the time of the transaction over the exercise price).</w:t>
      </w:r>
    </w:p>
    <w:p>
      <w:pPr>
        <w:spacing w:after="0" w:line="165" w:lineRule="exact"/>
        <w:rPr>
          <w:sz w:val="20"/>
          <w:szCs w:val="20"/>
          <w:color w:val="auto"/>
        </w:rPr>
      </w:pPr>
    </w:p>
    <w:p>
      <w:pPr>
        <w:ind w:firstLine="656"/>
        <w:spacing w:after="0" w:line="287" w:lineRule="auto"/>
        <w:tabs>
          <w:tab w:leader="none" w:pos="9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PARTICIPATION. For purposes of the Plan, a “Participant” is any person to whom an Award is granted under the Plan. Subject to the terms and conditions of the Plan, the Committee shall determine and designate, from time 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by the Company and the Participant, or except as otherwise provided in the Plan, an Award under the Plan shall not affect any previous Award under the Plan or an award under any other plan maintained by the Company or the Related Companies.</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OPTIONS AND STOCK APPRECIATION RIGHTS</w:t>
      </w:r>
    </w:p>
    <w:p>
      <w:pPr>
        <w:spacing w:after="0" w:line="25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52" w:lineRule="exact"/>
        <w:rPr>
          <w:sz w:val="20"/>
          <w:szCs w:val="20"/>
          <w:color w:val="auto"/>
        </w:rPr>
      </w:pPr>
    </w:p>
    <w:p>
      <w:pPr>
        <w:ind w:left="1300" w:right="20" w:hanging="644"/>
        <w:spacing w:after="0" w:line="309" w:lineRule="auto"/>
        <w:tabs>
          <w:tab w:leader="none" w:pos="10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grant of an “Option” under the Plan entitles the Participant to purchase shares of Common Stock at an Exercise Price established by the Committee at the time the Option is granted. Options granted under this Section 6 may be either Incentive Stock Options or Non-Qualified Stock Options, as determined in the discretion of the Committee; provided, however, that Incentive Stock Options may only be granted to employees of the Company or a Subsidiary. An Option will be deemed to be a Non-Qualified Stock Option unless it is specifically designated by the Committee as an Incentive Stock Option.</w:t>
      </w:r>
    </w:p>
    <w:p>
      <w:pPr>
        <w:spacing w:after="0" w:line="172" w:lineRule="exact"/>
        <w:rPr>
          <w:rFonts w:ascii="Arial" w:cs="Arial" w:eastAsia="Arial" w:hAnsi="Arial"/>
          <w:sz w:val="17"/>
          <w:szCs w:val="17"/>
          <w:color w:val="auto"/>
        </w:rPr>
      </w:pPr>
    </w:p>
    <w:p>
      <w:pPr>
        <w:ind w:left="1300" w:hanging="644"/>
        <w:spacing w:after="0" w:line="319" w:lineRule="auto"/>
        <w:tabs>
          <w:tab w:leader="none" w:pos="103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grant of a “Stock Appreciation Right” or “SAR”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ectPr>
          <w:pgSz w:w="11900" w:h="16838" w:orient="portrait"/>
          <w:cols w:equalWidth="0" w:num="1">
            <w:col w:w="11200"/>
          </w:cols>
          <w:pgMar w:left="320" w:top="1435" w:right="379" w:bottom="1440" w:gutter="0" w:footer="0" w:header="0"/>
        </w:sectPr>
      </w:pPr>
    </w:p>
    <w:bookmarkStart w:id="41" w:name="page42"/>
    <w:bookmarkEnd w:id="41"/>
    <w:p>
      <w:pPr>
        <w:ind w:right="20" w:firstLine="648"/>
        <w:spacing w:after="0" w:line="290"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shall designate the Participants to whom Options or SARs are to be granted under this Section 6 and shall determine the number of shares of Common Stock subject to each such Option or SAR and the other terms and conditions thereof, not inconsistent with the Plan. Without limiting the generality of the foregoing, the Committee may not grant dividend equivalents (current or deferred) with respect to any Option or SAR granted under the Plan.</w:t>
      </w:r>
    </w:p>
    <w:p>
      <w:pPr>
        <w:spacing w:after="0" w:line="188" w:lineRule="exact"/>
        <w:rPr>
          <w:sz w:val="20"/>
          <w:szCs w:val="20"/>
          <w:color w:val="auto"/>
        </w:rPr>
      </w:pPr>
    </w:p>
    <w:p>
      <w:pPr>
        <w:ind w:firstLine="648"/>
        <w:spacing w:after="0" w:line="30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Limits on Incentive Stock Options</w:t>
      </w:r>
      <w:r>
        <w:rPr>
          <w:rFonts w:ascii="Arial" w:cs="Arial" w:eastAsia="Arial" w:hAnsi="Arial"/>
          <w:sz w:val="17"/>
          <w:szCs w:val="17"/>
          <w:color w:val="auto"/>
        </w:rPr>
        <w:t>. If the Committee grants Incentive Stock Options, then to the extent that the aggregate fair market value of shares of Common Stock with respect to which Incentive Stock Options are exercisable for the first time by any individual during any calendar year (under all plans of the Company and all Subsidiaries) exceeds $100,000, such Options shall be treated as Non-Qualified Stock Options to the extent required by Code Section 422. Any Option that is intended to constitute an Incentive Stock Option shall satisfy any other requirements of Code Section 422 and, to the extent such Option does not satisfy such requirements, the Option shall be treated as a Non-Qualified Stock Option.</w:t>
      </w:r>
    </w:p>
    <w:p>
      <w:pPr>
        <w:spacing w:after="0" w:line="173" w:lineRule="exact"/>
        <w:rPr>
          <w:sz w:val="20"/>
          <w:szCs w:val="20"/>
          <w:color w:val="auto"/>
        </w:rPr>
      </w:pPr>
    </w:p>
    <w:p>
      <w:pPr>
        <w:ind w:firstLine="648"/>
        <w:spacing w:after="0" w:line="29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or SAR shall be established by the Committee at the time the Option or SAR is granted; provided, however, that in no event shall such price be less than 100% of the Fair Market Value of a share of Common Stock on such date (or, if greater, the par value of a share of Common Stock on such date).</w:t>
      </w:r>
    </w:p>
    <w:p>
      <w:pPr>
        <w:spacing w:after="0" w:line="182" w:lineRule="exact"/>
        <w:rPr>
          <w:sz w:val="20"/>
          <w:szCs w:val="20"/>
          <w:color w:val="auto"/>
        </w:rPr>
      </w:pPr>
    </w:p>
    <w:p>
      <w:pPr>
        <w:ind w:right="500" w:firstLine="648"/>
        <w:spacing w:after="0" w:line="30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Exercise/Vesting</w:t>
      </w:r>
      <w:r>
        <w:rPr>
          <w:rFonts w:ascii="Arial" w:cs="Arial" w:eastAsia="Arial" w:hAnsi="Arial"/>
          <w:sz w:val="18"/>
          <w:szCs w:val="18"/>
          <w:color w:val="auto"/>
        </w:rPr>
        <w:t>. Except as otherwise expressly provided in the Plan, an Option or SAR granted under the Plan shall be exercisable in accordance with the following:</w:t>
      </w:r>
    </w:p>
    <w:p>
      <w:pPr>
        <w:spacing w:after="0" w:line="171" w:lineRule="exact"/>
        <w:rPr>
          <w:sz w:val="20"/>
          <w:szCs w:val="20"/>
          <w:color w:val="auto"/>
        </w:rPr>
      </w:pPr>
    </w:p>
    <w:p>
      <w:pPr>
        <w:ind w:left="1300" w:right="540" w:hanging="644"/>
        <w:spacing w:after="0" w:line="347" w:lineRule="auto"/>
        <w:tabs>
          <w:tab w:leader="none" w:pos="10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terms and conditions relating to exercise and vesting of an Option or SAR shall be established by the Committee to the extent not inconsistent with the Plan, and may include, without limitation, conditions relating to completion of a specified period of service, achievement of performance standards prior to exercise or the achievement of stock ownership guidelines by the Participant.</w:t>
      </w:r>
    </w:p>
    <w:p>
      <w:pPr>
        <w:spacing w:after="0" w:line="146" w:lineRule="exact"/>
        <w:rPr>
          <w:rFonts w:ascii="Arial" w:cs="Arial" w:eastAsia="Arial" w:hAnsi="Arial"/>
          <w:sz w:val="16"/>
          <w:szCs w:val="16"/>
          <w:color w:val="auto"/>
        </w:rPr>
      </w:pPr>
    </w:p>
    <w:p>
      <w:pPr>
        <w:ind w:left="1300" w:right="440" w:hanging="644"/>
        <w:spacing w:after="0" w:line="308" w:lineRule="auto"/>
        <w:tabs>
          <w:tab w:leader="none" w:pos="10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Option or SAR may be exercised by a Participant prior to the date on which it is exercisable (or vested) or after the Expiration Date applicable thereto.</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payment of the Exercise Price of an Option granted under this Section 6 shall be subject to the following:</w:t>
      </w:r>
    </w:p>
    <w:p>
      <w:pPr>
        <w:spacing w:after="0" w:line="252" w:lineRule="exact"/>
        <w:rPr>
          <w:sz w:val="20"/>
          <w:szCs w:val="20"/>
          <w:color w:val="auto"/>
        </w:rPr>
      </w:pPr>
    </w:p>
    <w:p>
      <w:pPr>
        <w:ind w:left="1300" w:right="120" w:hanging="644"/>
        <w:spacing w:after="0" w:line="287" w:lineRule="auto"/>
        <w:tabs>
          <w:tab w:leader="none" w:pos="10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following provisions of this subsection 6.6, the full Exercise Price of each share of Common Stock purchased upon the exercise of any Option shall be paid at the time of such exercise (except that, in the case of an exercise through the use of cash equivalents, payment may be made as soon as practicable after the exercise) and, as soon as practicable thereafter, a certificate representing the shares of Common Stock so purchased shall be delivered to the person entitled thereto or shares of Common Stock so purchased shall otherwise be registered in the name of the Participant on the records of the Company’s transfer agent and credited to the Participant’s account.</w:t>
      </w:r>
    </w:p>
    <w:p>
      <w:pPr>
        <w:spacing w:after="0" w:line="188" w:lineRule="exact"/>
        <w:rPr>
          <w:rFonts w:ascii="Arial" w:cs="Arial" w:eastAsia="Arial" w:hAnsi="Arial"/>
          <w:sz w:val="18"/>
          <w:szCs w:val="18"/>
          <w:color w:val="auto"/>
        </w:rPr>
      </w:pPr>
    </w:p>
    <w:p>
      <w:pPr>
        <w:ind w:left="1300" w:right="80" w:hanging="644"/>
        <w:spacing w:after="0" w:line="290" w:lineRule="auto"/>
        <w:tabs>
          <w:tab w:leader="none" w:pos="10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applicable law, the Exercise Price shall be payable in cash or cash equivalents, by tendering, by actual delivery or by attestation, shares of Common Stock valued at Fair Market Value as of the day of exercise or by a combination thereof; provided, however, that shares of Common Stock may not be used to pay any portion of the Exercise Price unless the holder thereof has good title, free and clear of all liens and encumbrances.</w:t>
      </w:r>
    </w:p>
    <w:p>
      <w:pPr>
        <w:sectPr>
          <w:pgSz w:w="11900" w:h="16838" w:orient="portrait"/>
          <w:cols w:equalWidth="0" w:num="1">
            <w:col w:w="11220"/>
          </w:cols>
          <w:pgMar w:left="320" w:top="1435" w:right="359" w:bottom="1440" w:gutter="0" w:footer="0" w:header="0"/>
        </w:sectPr>
      </w:pPr>
    </w:p>
    <w:bookmarkStart w:id="42" w:name="page43"/>
    <w:bookmarkEnd w:id="42"/>
    <w:p>
      <w:pPr>
        <w:ind w:right="60" w:firstLine="648"/>
        <w:spacing w:after="0" w:line="290"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Post-Exercise Limitations</w:t>
      </w:r>
      <w:r>
        <w:rPr>
          <w:rFonts w:ascii="Arial" w:cs="Arial" w:eastAsia="Arial" w:hAnsi="Arial"/>
          <w:sz w:val="18"/>
          <w:szCs w:val="18"/>
          <w:color w:val="auto"/>
        </w:rPr>
        <w:t>. The Committee, in its discretion, may impose such restrictions on shares of Common Stock acquired pursuant to the exercise of an Option as it determines to be desirable, including, without limitation, restrictions relating to disposition of the shares and forfeiture restrictions based on service, performance, Common Stock ownership by the Participant, conformity with the Company’s recoupment or clawback policies and such other factors as the Committee determines to be appropriate.</w:t>
      </w:r>
    </w:p>
    <w:p>
      <w:pPr>
        <w:spacing w:after="0" w:line="188" w:lineRule="exact"/>
        <w:rPr>
          <w:sz w:val="20"/>
          <w:szCs w:val="20"/>
          <w:color w:val="auto"/>
        </w:rPr>
      </w:pPr>
    </w:p>
    <w:p>
      <w:pPr>
        <w:ind w:firstLine="648"/>
        <w:spacing w:after="0" w:line="30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No Repricing</w:t>
      </w:r>
      <w:r>
        <w:rPr>
          <w:rFonts w:ascii="Arial" w:cs="Arial" w:eastAsia="Arial" w:hAnsi="Arial"/>
          <w:sz w:val="17"/>
          <w:szCs w:val="17"/>
          <w:color w:val="auto"/>
        </w:rPr>
        <w:t>. Except for either adjustments pursuant to subsection 4.2 (relating to the adjustment of shares), or reductions of the Exercise Price approved by the Company’s stockholders, the Exercise Price for any outstanding Option or SAR may not be decreased after the date of grant nor may an outstanding Option or SAR granted under the Plan be surrendered to the Company as consideration for the grant of a replacement Option or SAR with a lower exercise price or a Full Value Award. Except as approved by the Company’s stockholders, in no event shall any Option or SAR granted under the Plan be surrendered to the Company in consideration for a cash payment if, at the time of such surrender, the Exercise Price of the Option or SAR is greater than the then current Fair Market Value of a share of Common Stock.</w:t>
      </w:r>
    </w:p>
    <w:p>
      <w:pPr>
        <w:spacing w:after="0" w:line="179" w:lineRule="exact"/>
        <w:rPr>
          <w:sz w:val="20"/>
          <w:szCs w:val="20"/>
          <w:color w:val="auto"/>
        </w:rPr>
      </w:pPr>
    </w:p>
    <w:p>
      <w:pPr>
        <w:ind w:right="140" w:firstLine="648"/>
        <w:spacing w:after="0" w:line="329"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Tandem Grants of Options and SARs</w:t>
      </w:r>
      <w:r>
        <w:rPr>
          <w:rFonts w:ascii="Arial" w:cs="Arial" w:eastAsia="Arial" w:hAnsi="Arial"/>
          <w:sz w:val="16"/>
          <w:szCs w:val="16"/>
          <w:color w:val="auto"/>
        </w:rPr>
        <w:t>. An Option may but need not be in tandem with an SAR, and an SAR may but need not be in tandem with an Option (in either case, regardless of whether the original award was granted under this Plan or another plan or arrangement). If an Option is in tandem with an SAR, the exercise price of both the Option and SAR shall be the same, and the exercise of the corresponding tandem SAR or Option shall cancel the corresponding tandem SAR or Option with respect to such share. If an SAR is in tandem with an Option but is granted after the grant of the Option, or if an Option is in tandem with an SAR but is granted after the grant of the SAR, the later granted tandem Award shall have the same exercise price as the earlier granted Award, but in no event less than the Fair Market Value of a share of Common Stock at the time of such grant.</w:t>
      </w:r>
    </w:p>
    <w:p>
      <w:pPr>
        <w:spacing w:after="0" w:line="161" w:lineRule="exact"/>
        <w:rPr>
          <w:sz w:val="20"/>
          <w:szCs w:val="20"/>
          <w:color w:val="auto"/>
        </w:rPr>
      </w:pPr>
    </w:p>
    <w:p>
      <w:pPr>
        <w:ind w:right="20" w:firstLine="648"/>
        <w:spacing w:after="0" w:line="290"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“Expiration Date” with respect to an Option or SAR means the date established as the Expiration Date by the Committee at the time of the grant (as the same may be modified in accordance with the terms of the Plan); provided, however, that the Expiration Date with respect to any Option or SAR shall not be later than the earliest to occur of the ten-year anniversary of the date on which the Option or SAR is granted or the following dates, unless the following dates are determined otherwise by the Committee:</w:t>
      </w:r>
    </w:p>
    <w:p>
      <w:pPr>
        <w:spacing w:after="0" w:line="188" w:lineRule="exact"/>
        <w:rPr>
          <w:sz w:val="20"/>
          <w:szCs w:val="20"/>
          <w:color w:val="auto"/>
        </w:rPr>
      </w:pPr>
    </w:p>
    <w:p>
      <w:pPr>
        <w:ind w:left="1300" w:right="400" w:hanging="644"/>
        <w:spacing w:after="0" w:line="242" w:lineRule="auto"/>
        <w:tabs>
          <w:tab w:leader="none" w:pos="10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Participant’s Termination Date occurs by any reason other than termination for Cause,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day after the Termination Date; or</w:t>
      </w:r>
    </w:p>
    <w:p>
      <w:pPr>
        <w:spacing w:after="0" w:line="226" w:lineRule="exact"/>
        <w:rPr>
          <w:rFonts w:ascii="Arial" w:cs="Arial" w:eastAsia="Arial" w:hAnsi="Arial"/>
          <w:sz w:val="18"/>
          <w:szCs w:val="18"/>
          <w:color w:val="auto"/>
        </w:rPr>
      </w:pPr>
    </w:p>
    <w:p>
      <w:pPr>
        <w:ind w:left="1040" w:hanging="384"/>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of Cause, the Termination Date.</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In no event shall the Expiration Date of an Option or SAR be later than the ten-year anniversary of the date on which the Option or SAR is granted (or such shorter period required by law or the rules of any stock exchange on which the Common Stock is listed).</w:t>
      </w:r>
    </w:p>
    <w:p>
      <w:pPr>
        <w:spacing w:after="0" w:line="171" w:lineRule="exact"/>
        <w:rPr>
          <w:sz w:val="20"/>
          <w:szCs w:val="20"/>
          <w:color w:val="auto"/>
        </w:rPr>
      </w:pPr>
    </w:p>
    <w:p>
      <w:pPr>
        <w:ind w:left="660" w:right="5580" w:hanging="4"/>
        <w:spacing w:after="0" w:line="532"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FULL VALUE AWARDS AND CASH INCENTIVE AWARDS. 7.1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ind w:left="1300" w:hanging="644"/>
        <w:spacing w:after="0" w:line="290" w:lineRule="auto"/>
        <w:tabs>
          <w:tab w:leader="none" w:pos="102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“Full Value Award” is a grant of one or more shares of Common Stock or a right to receive one or more shares of Common Stock in the future (including 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w:t>
      </w:r>
    </w:p>
    <w:p>
      <w:pPr>
        <w:sectPr>
          <w:pgSz w:w="11900" w:h="16838" w:orient="portrait"/>
          <w:cols w:equalWidth="0" w:num="1">
            <w:col w:w="11220"/>
          </w:cols>
          <w:pgMar w:left="320" w:top="1435" w:right="359" w:bottom="1440" w:gutter="0" w:footer="0" w:header="0"/>
        </w:sectPr>
      </w:pPr>
    </w:p>
    <w:bookmarkStart w:id="43" w:name="page44"/>
    <w:bookmarkEnd w:id="43"/>
    <w:p>
      <w:pPr>
        <w:ind w:left="1300" w:right="60"/>
        <w:spacing w:after="0" w:line="308" w:lineRule="auto"/>
        <w:rPr>
          <w:sz w:val="20"/>
          <w:szCs w:val="20"/>
          <w:color w:val="auto"/>
        </w:rPr>
      </w:pPr>
      <w:r>
        <w:rPr>
          <w:rFonts w:ascii="Arial" w:cs="Arial" w:eastAsia="Arial" w:hAnsi="Arial"/>
          <w:sz w:val="18"/>
          <w:szCs w:val="18"/>
          <w:color w:val="auto"/>
        </w:rPr>
        <w:t>Notwithstanding the foregoing, no dividends or dividend equivalent rights will be paid or settled on performance-based awards that have not been earned based on the performance criteria established.</w:t>
      </w:r>
    </w:p>
    <w:p>
      <w:pPr>
        <w:spacing w:after="0" w:line="171" w:lineRule="exact"/>
        <w:rPr>
          <w:sz w:val="20"/>
          <w:szCs w:val="20"/>
          <w:color w:val="auto"/>
        </w:rPr>
      </w:pPr>
    </w:p>
    <w:p>
      <w:pPr>
        <w:ind w:left="1300" w:right="400" w:hanging="644"/>
        <w:spacing w:after="0" w:line="337" w:lineRule="auto"/>
        <w:tabs>
          <w:tab w:leader="none" w:pos="10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“Cash Incentive Award” is the grant of a right to receive a payment of cash (or in the discretion of the Committee, shares of Common Stock having 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5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Special Vesting Rules</w:t>
      </w:r>
      <w:r>
        <w:rPr>
          <w:rFonts w:ascii="Arial" w:cs="Arial" w:eastAsia="Arial" w:hAnsi="Arial"/>
          <w:sz w:val="18"/>
          <w:szCs w:val="18"/>
          <w:color w:val="auto"/>
        </w:rPr>
        <w:t>. Except for awards granted under the Plan with respect to, shares of Stock which do not exceed, in the aggregate, five percent of the total number of shares of Stock reserved for issuance pursuant to subsection 4.1(b), a Participant’s right to become vested in a Full Value Award, an Option or SAR is conditioned on the completion of a specified period of service with the Company or the Related Companies of at least one year, except if accelerated in the event of the Participant’s death or Disability.</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The Committee may designate a Full Value Award or Cash Incentive Award granted to any Participant as “Performance-Based Compensation” within the meaning of Code Section 162(m) and regulations thereunder. To the extent required by Code Section 162(m), any Full Value Award or Cash Incentive Award so designated shall be conditioned on the achievement of one or more performance targets as determined by the Committee and the following additional requirements shall apply:</w:t>
      </w:r>
    </w:p>
    <w:p>
      <w:pPr>
        <w:spacing w:after="0" w:line="188" w:lineRule="exact"/>
        <w:rPr>
          <w:sz w:val="20"/>
          <w:szCs w:val="20"/>
          <w:color w:val="auto"/>
        </w:rPr>
      </w:pPr>
    </w:p>
    <w:p>
      <w:pPr>
        <w:ind w:left="1300" w:right="100" w:hanging="644"/>
        <w:spacing w:after="0" w:line="306" w:lineRule="auto"/>
        <w:tabs>
          <w:tab w:leader="none" w:pos="102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performance targets established for the performance period established by the Committee shall be objective (as that term is described in regulations under Code Section 162(m)), and shall be established in writing by the Committee not later than ninety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company performance, other group or individual performance, or division performance, and shall be based on one or more of the Performance Criteria.</w:t>
      </w:r>
    </w:p>
    <w:p>
      <w:pPr>
        <w:spacing w:after="0" w:line="178" w:lineRule="exact"/>
        <w:rPr>
          <w:rFonts w:ascii="Arial" w:cs="Arial" w:eastAsia="Arial" w:hAnsi="Arial"/>
          <w:sz w:val="17"/>
          <w:szCs w:val="17"/>
          <w:color w:val="auto"/>
        </w:rPr>
      </w:pPr>
    </w:p>
    <w:p>
      <w:pPr>
        <w:ind w:left="1300" w:right="100" w:hanging="644"/>
        <w:spacing w:after="0" w:line="290" w:lineRule="auto"/>
        <w:tabs>
          <w:tab w:leader="none" w:pos="10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Participant otherwise entitled to receive a Full Value Award or Cash Incentive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subsection 7.3(b), such exercise of discretion may not result in an increase in the amount of the payment.</w:t>
      </w:r>
    </w:p>
    <w:p>
      <w:pPr>
        <w:spacing w:after="0" w:line="187" w:lineRule="exact"/>
        <w:rPr>
          <w:rFonts w:ascii="Arial" w:cs="Arial" w:eastAsia="Arial" w:hAnsi="Arial"/>
          <w:sz w:val="18"/>
          <w:szCs w:val="18"/>
          <w:color w:val="auto"/>
        </w:rPr>
      </w:pPr>
    </w:p>
    <w:p>
      <w:pPr>
        <w:ind w:left="1300" w:right="20" w:hanging="644"/>
        <w:spacing w:after="0" w:line="295" w:lineRule="auto"/>
        <w:tabs>
          <w:tab w:leader="none" w:pos="10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Participant’s employment terminates because of death or Disability, or if a change in control occurs prior to the Participant’s Termination Date, the Participant’s Cash Incentive Award may, to the extent provided by the Committee, become vested without regard to whether the Cash Incentive Award would be Performance-Based Compensation.</w:t>
      </w:r>
    </w:p>
    <w:p>
      <w:pPr>
        <w:spacing w:after="0" w:line="181" w:lineRule="exact"/>
        <w:rPr>
          <w:rFonts w:ascii="Arial" w:cs="Arial" w:eastAsia="Arial" w:hAnsi="Arial"/>
          <w:sz w:val="18"/>
          <w:szCs w:val="18"/>
          <w:color w:val="auto"/>
        </w:rPr>
      </w:pPr>
    </w:p>
    <w:p>
      <w:pPr>
        <w:ind w:left="1300" w:right="300" w:hanging="644"/>
        <w:spacing w:after="0" w:line="308" w:lineRule="auto"/>
        <w:tabs>
          <w:tab w:leader="none" w:pos="10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Full Value Award designated as Performance-Based Compensation shall not vest prior to the first anniversary of the date on which it is granted (subject to acceleration of vesting, to the extent</w:t>
      </w:r>
    </w:p>
    <w:p>
      <w:pPr>
        <w:sectPr>
          <w:pgSz w:w="11900" w:h="16838" w:orient="portrait"/>
          <w:cols w:equalWidth="0" w:num="1">
            <w:col w:w="11220"/>
          </w:cols>
          <w:pgMar w:left="320" w:top="1435" w:right="359" w:bottom="1440" w:gutter="0" w:footer="0" w:header="0"/>
        </w:sectPr>
      </w:pPr>
    </w:p>
    <w:bookmarkStart w:id="44" w:name="page45"/>
    <w:bookmarkEnd w:id="44"/>
    <w:p>
      <w:pPr>
        <w:ind w:left="1300"/>
        <w:spacing w:after="0"/>
        <w:rPr>
          <w:sz w:val="20"/>
          <w:szCs w:val="20"/>
          <w:color w:val="auto"/>
        </w:rPr>
      </w:pPr>
      <w:r>
        <w:rPr>
          <w:rFonts w:ascii="Arial" w:cs="Arial" w:eastAsia="Arial" w:hAnsi="Arial"/>
          <w:sz w:val="18"/>
          <w:szCs w:val="18"/>
          <w:color w:val="auto"/>
        </w:rPr>
        <w:t>provided by the Committee, in the event of the Participant’s death, Disability or change in control).</w:t>
      </w:r>
    </w:p>
    <w:p>
      <w:pPr>
        <w:spacing w:after="0" w:line="252" w:lineRule="exact"/>
        <w:rPr>
          <w:sz w:val="20"/>
          <w:szCs w:val="20"/>
          <w:color w:val="auto"/>
        </w:rPr>
      </w:pPr>
    </w:p>
    <w:p>
      <w:pPr>
        <w:ind w:right="80"/>
        <w:spacing w:after="0" w:line="304" w:lineRule="auto"/>
        <w:rPr>
          <w:sz w:val="20"/>
          <w:szCs w:val="20"/>
          <w:color w:val="auto"/>
        </w:rPr>
      </w:pPr>
      <w:r>
        <w:rPr>
          <w:rFonts w:ascii="Arial" w:cs="Arial" w:eastAsia="Arial" w:hAnsi="Arial"/>
          <w:sz w:val="17"/>
          <w:szCs w:val="17"/>
          <w:color w:val="auto"/>
        </w:rPr>
        <w:t>Nothing in this Section 7 shall preclude the Committee from granting Full Value Awards or Cash Incentive Awards under the Plan or the Committee, the Company or any Related Company from granting any Cash Incentive Awards outside of the Plan that are not intended to be Performance-Based Compensation; provided, however, that, at the time of grant of Full Value Awards or Cash Incentive Awards by the Committee, the Committee shall designate whether such Awards are intended to constitute Performance-Based Compensation. To the extent that the provisions of this Section 7 reflect the requirements applicable to Performance-Based Compensation, such provisions shall not apply to the portion of the Award, if any, that is not intended to constitute Performance-Based Compensation. Without limiting the generality of the foregoing, Options and SARs granted under the Plan shall be assumed to constitute Performance-Based Compensation provided that the requirements of section 162(m) of the Code are met with respect thereto and provided that the Committee does not make a determination to the contrary.</w:t>
      </w:r>
    </w:p>
    <w:p>
      <w:pPr>
        <w:spacing w:after="0" w:line="179"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CHANGE IN CONTROL.</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8, the term “Change in Control” means (a) the acquisition by any person, entity or group of persons or entities, directly or indirectly, acting in concert of securities representing fifty percent (50%) or more of the combined voting power of the Company’s then outstanding securities, whether acquired in one transaction or a series of transactions, (b) a merger, consolidation or similar transaction which results in the Company’s shareholders immediately prior to such transaction not holding securities representing fifty percent (50%) or more of the total voting power of the outstanding securities of the surviving corporation, or (c) a sale of all or substantially all of the Company’s assets (other than to an entity owned by the Company or under common ownership with the Company).</w:t>
      </w:r>
    </w:p>
    <w:p>
      <w:pPr>
        <w:spacing w:after="0" w:line="189" w:lineRule="exact"/>
        <w:rPr>
          <w:sz w:val="20"/>
          <w:szCs w:val="20"/>
          <w:color w:val="auto"/>
        </w:rPr>
      </w:pPr>
    </w:p>
    <w:p>
      <w:pPr>
        <w:ind w:right="80" w:firstLine="648"/>
        <w:spacing w:after="0" w:line="33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Vesting of Awards Upon Change in Control</w:t>
      </w:r>
      <w:r>
        <w:rPr>
          <w:rFonts w:ascii="Arial" w:cs="Arial" w:eastAsia="Arial" w:hAnsi="Arial"/>
          <w:sz w:val="16"/>
          <w:szCs w:val="16"/>
          <w:color w:val="auto"/>
        </w:rPr>
        <w:t>. Subject to the provisions of subsection 4.2 (relating to the adjustment of shares), if a Change in Control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155" w:lineRule="exact"/>
        <w:rPr>
          <w:sz w:val="20"/>
          <w:szCs w:val="20"/>
          <w:color w:val="auto"/>
        </w:rPr>
      </w:pPr>
    </w:p>
    <w:p>
      <w:pPr>
        <w:ind w:left="1020" w:hanging="36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outstanding Options (regardless of whether in tandem with SARs) shall become fully exercisable.</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outstanding SARs (regardless of whether in tandem with Options) shall become fully exercisable.</w:t>
      </w:r>
    </w:p>
    <w:p>
      <w:pPr>
        <w:spacing w:after="0" w:line="252" w:lineRule="exact"/>
        <w:rPr>
          <w:rFonts w:ascii="Arial" w:cs="Arial" w:eastAsia="Arial" w:hAnsi="Arial"/>
          <w:sz w:val="18"/>
          <w:szCs w:val="18"/>
          <w:color w:val="auto"/>
        </w:rPr>
      </w:pPr>
    </w:p>
    <w:p>
      <w:pPr>
        <w:ind w:right="400" w:firstLine="656"/>
        <w:spacing w:after="0" w:line="377" w:lineRule="auto"/>
        <w:tabs>
          <w:tab w:leader="none" w:pos="10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Full Value Awards shall become fully vested and the Committee shall determine the extent to which performance conditions are met taking into account actual performance and/or the passage of time, in accordance with the terms of the Plan and the applicable Award Agreement.</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8"/>
          <w:szCs w:val="18"/>
          <w:color w:val="auto"/>
        </w:rPr>
        <w:t>Notwithstanding anything in this Plan or any Award Agreement to the contrary, to the extent any provision of this Plan or an Award Agreement would cause a payment of deferred compensation that is subject to Code Section 409A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Code Section 409A. In addition, if an Award does not remain outstanding following a Change in Control, the Committee shall determine the vesting and other</w:t>
      </w:r>
    </w:p>
    <w:p>
      <w:pPr>
        <w:sectPr>
          <w:pgSz w:w="11900" w:h="16838" w:orient="portrait"/>
          <w:cols w:equalWidth="0" w:num="1">
            <w:col w:w="11220"/>
          </w:cols>
          <w:pgMar w:left="320" w:top="143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terms and conditions of the Award in connection with the Change in Control in accordance with the terms of the Plan.</w:t>
      </w:r>
    </w:p>
    <w:p>
      <w:pPr>
        <w:spacing w:after="0" w:line="25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MISCELLANEOUS.</w:t>
      </w:r>
    </w:p>
    <w:p>
      <w:pPr>
        <w:spacing w:after="0" w:line="252" w:lineRule="exact"/>
        <w:rPr>
          <w:sz w:val="20"/>
          <w:szCs w:val="20"/>
          <w:color w:val="auto"/>
        </w:rPr>
      </w:pPr>
    </w:p>
    <w:p>
      <w:pPr>
        <w:ind w:right="40" w:firstLine="648"/>
        <w:spacing w:after="0" w:line="30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Effective Date and Effect on Prior Plan</w:t>
      </w:r>
      <w:r>
        <w:rPr>
          <w:rFonts w:ascii="Arial" w:cs="Arial" w:eastAsia="Arial" w:hAnsi="Arial"/>
          <w:sz w:val="17"/>
          <w:szCs w:val="17"/>
          <w:color w:val="auto"/>
        </w:rPr>
        <w:t>. This Plan shall be effective as of the date that it is approved by the Board (the date on which such approval is completed being referred to herein as the “Effective Date”); provided, however, that no Awards granted under the Plan after the Effective Date prior to the Stockholders’ Meeting will vest or become exercisable prior to the date of the Stockholders’ Meeting (and only if the Plan is approved by the stockholders at the Stockholders’ Meeting) and all such Awards shall be forfeited as of the date of the Stockholders’ Meeting if the Plan is not approved by the Company’s stockholders at the Stockholders Meeting.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 Any awards made under the Prior Plan prior to the Effective Date shall continue to be subject to the terms and conditions of the Prior Plan. Following the Effective Date and if the Plan is approved at the Stockholders’ Meeting, no further awards will be made under the Prior Plan.</w:t>
      </w:r>
    </w:p>
    <w:p>
      <w:pPr>
        <w:spacing w:after="0" w:line="18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Limit on Distribution</w:t>
      </w:r>
      <w:r>
        <w:rPr>
          <w:rFonts w:ascii="Arial" w:cs="Arial" w:eastAsia="Arial" w:hAnsi="Arial"/>
          <w:sz w:val="16"/>
          <w:szCs w:val="16"/>
          <w:color w:val="auto"/>
        </w:rPr>
        <w:t>. Distribution of Common Stock or other amounts under the Plan shall be subject to the following:</w:t>
      </w:r>
    </w:p>
    <w:p>
      <w:pPr>
        <w:spacing w:after="0" w:line="252" w:lineRule="exact"/>
        <w:rPr>
          <w:sz w:val="20"/>
          <w:szCs w:val="20"/>
          <w:color w:val="auto"/>
        </w:rPr>
      </w:pPr>
    </w:p>
    <w:p>
      <w:pPr>
        <w:ind w:left="1300" w:right="160" w:hanging="644"/>
        <w:spacing w:after="0" w:line="295" w:lineRule="auto"/>
        <w:tabs>
          <w:tab w:leader="none" w:pos="10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have no liability to deliver any Common Stock under the Plan or make any other distribution of benefits under the Plan unless such delivery or distribution would comply with all applicable laws and the applicable requirements of any securities exchange or similar entity.</w:t>
      </w:r>
    </w:p>
    <w:p>
      <w:pPr>
        <w:spacing w:after="0" w:line="181" w:lineRule="exact"/>
        <w:rPr>
          <w:rFonts w:ascii="Arial" w:cs="Arial" w:eastAsia="Arial" w:hAnsi="Arial"/>
          <w:sz w:val="18"/>
          <w:szCs w:val="18"/>
          <w:color w:val="auto"/>
        </w:rPr>
      </w:pPr>
    </w:p>
    <w:p>
      <w:pPr>
        <w:ind w:left="1300" w:right="160" w:hanging="644"/>
        <w:spacing w:after="0" w:line="290" w:lineRule="auto"/>
        <w:tabs>
          <w:tab w:leader="none" w:pos="10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Participant who is subject to Section 16(a) and 16(b) of the Exchange Act, the Committee may, at any time, add such conditions and limitations to any Award to such Participant, or any feature of any such Award, as the Committee, in its sole discretion, deems necessary or desirable to comply with Section 16(a) or 16(b) and the rules and regulations thereunder or to obtain any exemption therefrom.</w:t>
      </w:r>
    </w:p>
    <w:p>
      <w:pPr>
        <w:spacing w:after="0" w:line="187" w:lineRule="exact"/>
        <w:rPr>
          <w:rFonts w:ascii="Arial" w:cs="Arial" w:eastAsia="Arial" w:hAnsi="Arial"/>
          <w:sz w:val="18"/>
          <w:szCs w:val="18"/>
          <w:color w:val="auto"/>
        </w:rPr>
      </w:pPr>
    </w:p>
    <w:p>
      <w:pPr>
        <w:ind w:left="1300" w:right="20" w:hanging="644"/>
        <w:spacing w:after="0" w:line="295" w:lineRule="auto"/>
        <w:tabs>
          <w:tab w:leader="none" w:pos="10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the extent that the Plan provides for issuance of certificates to reflect the transfer of Common Stock, the transfer of such Common Stock may be effected on a non-certificated basis, to the extent not prohibited by applicable law or the rules of any stock exchange on which the Common Stock is listed.</w:t>
      </w:r>
    </w:p>
    <w:p>
      <w:pPr>
        <w:spacing w:after="0" w:line="182" w:lineRule="exact"/>
        <w:rPr>
          <w:sz w:val="20"/>
          <w:szCs w:val="20"/>
          <w:color w:val="auto"/>
        </w:rPr>
      </w:pPr>
    </w:p>
    <w:p>
      <w:pPr>
        <w:jc w:val="both"/>
        <w:ind w:right="20" w:firstLine="648"/>
        <w:spacing w:after="0" w:line="31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Liability for Cash Payments</w:t>
      </w:r>
      <w:r>
        <w:rPr>
          <w:rFonts w:ascii="Arial" w:cs="Arial" w:eastAsia="Arial" w:hAnsi="Arial"/>
          <w:sz w:val="17"/>
          <w:szCs w:val="17"/>
          <w:color w:val="auto"/>
        </w:rPr>
        <w:t>. Subject to the provisions of this Section 8, each Related Company shall be liable for payment of cash due under the Plan with respect to any Participant to the extent that such payment is attributable to the services rendered for that Related Company by the Participant. Any disputes relating to liability of a Related Company for cash payments shall be resolved by the Committee.</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Withholding</w:t>
      </w:r>
      <w:r>
        <w:rPr>
          <w:rFonts w:ascii="Arial" w:cs="Arial" w:eastAsia="Arial" w:hAnsi="Arial"/>
          <w:sz w:val="18"/>
          <w:szCs w:val="18"/>
          <w:color w:val="auto"/>
        </w:rPr>
        <w:t>. All Awards and other payments under the Plan are subject to withholding of all applicable taxes, which withholding obligations may be satisfied, with the consent of the Committee, through the surrender of Common Stock which the Participant already owns or to which a Participant is otherwise entitled under the Plan; provided, however, previously-owned Common Stock that has been held by the Participant or Common Stock to which the Participant is entitled under the Plan may only be used to satisfy the minimum tax withholding required by applicable law (or other rates that will not have a negative accounting impact).</w:t>
      </w:r>
    </w:p>
    <w:p>
      <w:pPr>
        <w:sectPr>
          <w:pgSz w:w="11900" w:h="16838" w:orient="portrait"/>
          <w:cols w:equalWidth="0" w:num="1">
            <w:col w:w="11240"/>
          </w:cols>
          <w:pgMar w:left="320" w:top="1435" w:right="339" w:bottom="1440" w:gutter="0" w:footer="0" w:header="0"/>
        </w:sectPr>
      </w:pPr>
    </w:p>
    <w:bookmarkStart w:id="46" w:name="page47"/>
    <w:bookmarkEnd w:id="46"/>
    <w:p>
      <w:pPr>
        <w:ind w:right="140" w:firstLine="648"/>
        <w:spacing w:after="0" w:line="30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Transferability</w:t>
      </w:r>
      <w:r>
        <w:rPr>
          <w:rFonts w:ascii="Arial" w:cs="Arial" w:eastAsia="Arial" w:hAnsi="Arial"/>
          <w:sz w:val="17"/>
          <w:szCs w:val="17"/>
          <w:color w:val="auto"/>
        </w:rPr>
        <w:t>. Awards under the Plan are not transferable except as designated by the Participant by will or by the laws of descent and distribution or, if provided by the Committee, pursuant to a qualified domestic relations order (within the meaning of the Code and applicable rules thereunder). To the extent that Participant who receives an Award under the Plan has the right to exercise such Award, the Award may be exercised during the lifetime of the Participant only by the Participant. Notwithstanding the foregoing provisions of this subsection 9.5, if provided by the Committee, Awards may be transferred to or for the benefit of the Participant’s family (including, without limitation, to a trust or partnership for the benefit of a Participant’s family), subject to such procedures as the Committee may establish. In no event shall an Incentive Stock Option be transferable to the extent that such transferability would violate the requirements applicable to such option under Code Section 422.</w:t>
      </w:r>
    </w:p>
    <w:p>
      <w:pPr>
        <w:spacing w:after="0" w:line="178" w:lineRule="exact"/>
        <w:rPr>
          <w:sz w:val="20"/>
          <w:szCs w:val="20"/>
          <w:color w:val="auto"/>
        </w:rPr>
      </w:pPr>
    </w:p>
    <w:p>
      <w:pPr>
        <w:ind w:right="200" w:firstLine="648"/>
        <w:spacing w:after="0" w:line="290"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document required to be filed with the Committee under the Plan will be properly filed if delivered or mailed by registered mail, postage prepaid, to the Committee, in care of the Company or the Related Company, as applicable, at its principal executive offices. The Committee may, by advance written notice to affected persons, revise such notice procedure from time to time. Any notice required under the Plan (other than a notice of election) may be waived by the person entitled to notice.</w:t>
      </w:r>
    </w:p>
    <w:p>
      <w:pPr>
        <w:spacing w:after="0" w:line="188" w:lineRule="exact"/>
        <w:rPr>
          <w:sz w:val="20"/>
          <w:szCs w:val="20"/>
          <w:color w:val="auto"/>
        </w:rPr>
      </w:pPr>
    </w:p>
    <w:p>
      <w:pPr>
        <w:jc w:val="both"/>
        <w:ind w:right="180" w:firstLine="648"/>
        <w:spacing w:after="0" w:line="34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Form and Time of Elections</w:t>
      </w:r>
      <w:r>
        <w:rPr>
          <w:rFonts w:ascii="Arial" w:cs="Arial" w:eastAsia="Arial" w:hAnsi="Arial"/>
          <w:sz w:val="16"/>
          <w:szCs w:val="16"/>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47" w:lineRule="exact"/>
        <w:rPr>
          <w:sz w:val="20"/>
          <w:szCs w:val="20"/>
          <w:color w:val="auto"/>
        </w:rPr>
      </w:pPr>
    </w:p>
    <w:p>
      <w:pPr>
        <w:ind w:firstLine="648"/>
        <w:spacing w:after="0" w:line="31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Agreement With the Company</w:t>
      </w:r>
      <w:r>
        <w:rPr>
          <w:rFonts w:ascii="Arial" w:cs="Arial" w:eastAsia="Arial" w:hAnsi="Arial"/>
          <w:sz w:val="17"/>
          <w:szCs w:val="17"/>
          <w:color w:val="auto"/>
        </w:rPr>
        <w:t>. At the time of an Award to a Participant under the Plan, the Committee may require a Participant to enter into an agreement with the Company (the “Agreement”), in a form specified by the Committee, agreeing to the terms and conditions of the Plan and to such additional terms and conditions, not inconsistent with the Plan, as the Committee may, in its sole discretion, prescribe.</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u w:val="single" w:color="auto"/>
          <w:color w:val="auto"/>
        </w:rPr>
        <w:t>Limitation of Implied Rights</w:t>
      </w:r>
      <w:r>
        <w:rPr>
          <w:rFonts w:ascii="Arial" w:cs="Arial" w:eastAsia="Arial" w:hAnsi="Arial"/>
          <w:sz w:val="17"/>
          <w:szCs w:val="17"/>
          <w:color w:val="auto"/>
        </w:rPr>
        <w:t>.</w:t>
      </w:r>
    </w:p>
    <w:p>
      <w:pPr>
        <w:spacing w:after="0" w:line="252" w:lineRule="exact"/>
        <w:rPr>
          <w:sz w:val="20"/>
          <w:szCs w:val="20"/>
          <w:color w:val="auto"/>
        </w:rPr>
      </w:pPr>
    </w:p>
    <w:p>
      <w:pPr>
        <w:ind w:left="1300" w:right="300" w:hanging="644"/>
        <w:spacing w:after="0" w:line="306" w:lineRule="auto"/>
        <w:tabs>
          <w:tab w:leader="none" w:pos="10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Neither a Participant nor any other person shall, by reason of the Plan, acquire any right in or title to any assets, funds or property of the Company or any Related Company whatsoever, including, without limitation, any specific funds, assets, or other property which the Company or any Related Company, in its sole discretion, may set aside in anticipation of a liability under the Plan. A Participant shall have only a contractual right to the amounts, if any, payable under the Plan, unsecured by any assets of the Company and any Related Company. Nothing contained in the Plan shall constitute a guarantee by the Company or any Related Company that the assets of such companies shall be sufficient to pay any benefits to any person.</w:t>
      </w:r>
    </w:p>
    <w:p>
      <w:pPr>
        <w:spacing w:after="0" w:line="178" w:lineRule="exact"/>
        <w:rPr>
          <w:rFonts w:ascii="Arial" w:cs="Arial" w:eastAsia="Arial" w:hAnsi="Arial"/>
          <w:sz w:val="17"/>
          <w:szCs w:val="17"/>
          <w:color w:val="auto"/>
        </w:rPr>
      </w:pPr>
    </w:p>
    <w:p>
      <w:pPr>
        <w:ind w:left="1300" w:right="100" w:hanging="644"/>
        <w:spacing w:after="0" w:line="332" w:lineRule="auto"/>
        <w:tabs>
          <w:tab w:leader="none" w:pos="103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Plan does not constitute a contract of employment or continued service, and selection as a Participant will not give any employee the right to be retained in the employ or service of the Company or any Related Company, nor any right or claim to any benefit under the Plan, unless such right or claim has specifically accrued under the terms of the Plan. Except as otherwise provided in the Plan, no Award under the Plan shall confer upon the holder thereof any right as a stockholder of the Company prior to the date on which he fulfills all service requirements and other conditions for receipt of such rights and shares of Common Stock are registered in his name.</w:t>
      </w:r>
    </w:p>
    <w:p>
      <w:pPr>
        <w:sectPr>
          <w:pgSz w:w="11900" w:h="16838" w:orient="portrait"/>
          <w:cols w:equalWidth="0" w:num="1">
            <w:col w:w="11240"/>
          </w:cols>
          <w:pgMar w:left="320" w:top="1435" w:right="339" w:bottom="1440" w:gutter="0" w:footer="0" w:header="0"/>
        </w:sectPr>
      </w:pPr>
    </w:p>
    <w:bookmarkStart w:id="47" w:name="page48"/>
    <w:bookmarkEnd w:id="47"/>
    <w:p>
      <w:pPr>
        <w:ind w:right="340" w:firstLine="648"/>
        <w:spacing w:after="0" w:line="30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71" w:lineRule="exact"/>
        <w:rPr>
          <w:sz w:val="20"/>
          <w:szCs w:val="20"/>
          <w:color w:val="auto"/>
        </w:rPr>
      </w:pPr>
    </w:p>
    <w:p>
      <w:pPr>
        <w:ind w:right="40" w:firstLine="648"/>
        <w:spacing w:after="0" w:line="309"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Action by the Company or Related Company</w:t>
      </w:r>
      <w:r>
        <w:rPr>
          <w:rFonts w:ascii="Arial" w:cs="Arial" w:eastAsia="Arial" w:hAnsi="Arial"/>
          <w:sz w:val="17"/>
          <w:szCs w:val="17"/>
          <w:color w:val="auto"/>
        </w:rPr>
        <w:t>. Any action required or permitted to be taken by the Company or any Related Company shall be by resolution of its board of directors or governing body or by action of one or more members of the board or governing body (including a committee of the board or governing body) who are duly authorized to act for the board or, in the case of any Related Company which is a partnership, by action of its general partner or a person or persons authorized by the general partner, or (except to the extent prohibited by applicable law or the rules of any stock exchange on which the Common Stock is listed) by a duly authorized officer of the Company.</w:t>
      </w:r>
    </w:p>
    <w:p>
      <w:pPr>
        <w:spacing w:after="0" w:line="17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7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provisions of the Plan shall be construed in accordance with the laws of the State of Delaware, without giving effect to choice of law principles.</w:t>
      </w:r>
    </w:p>
    <w:p>
      <w:pPr>
        <w:spacing w:after="0" w:line="171" w:lineRule="exact"/>
        <w:rPr>
          <w:sz w:val="20"/>
          <w:szCs w:val="20"/>
          <w:color w:val="auto"/>
        </w:rPr>
      </w:pPr>
    </w:p>
    <w:p>
      <w:pPr>
        <w:ind w:firstLine="648"/>
        <w:spacing w:after="0" w:line="329"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Foreign Employees</w:t>
      </w:r>
      <w:r>
        <w:rPr>
          <w:rFonts w:ascii="Arial" w:cs="Arial" w:eastAsia="Arial" w:hAnsi="Arial"/>
          <w:sz w:val="16"/>
          <w:szCs w:val="16"/>
          <w:color w:val="auto"/>
        </w:rPr>
        <w:t>. Notwithstanding any other provision of the Plan to the contrary, the Committee may grant Awards to eligible 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the Company or a Related Company operates or has employees. The foregoing provisions of this subsection 9.14 shall not be applied to increase the share limitations of Section 4 or to otherwise change any provision of the Plan that would otherwise require the approval of the Company’s stockholders.</w:t>
      </w:r>
    </w:p>
    <w:p>
      <w:pPr>
        <w:spacing w:after="0" w:line="16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TERMINATION AND AMENDMENT OF THE PLAN</w:t>
      </w:r>
    </w:p>
    <w:p>
      <w:pPr>
        <w:spacing w:after="0" w:line="252" w:lineRule="exact"/>
        <w:rPr>
          <w:sz w:val="20"/>
          <w:szCs w:val="20"/>
          <w:color w:val="auto"/>
        </w:rPr>
      </w:pPr>
    </w:p>
    <w:p>
      <w:pPr>
        <w:ind w:firstLine="648"/>
        <w:spacing w:after="0" w:line="322" w:lineRule="auto"/>
        <w:rPr>
          <w:sz w:val="20"/>
          <w:szCs w:val="20"/>
          <w:color w:val="auto"/>
        </w:rPr>
      </w:pPr>
      <w:r>
        <w:rPr>
          <w:rFonts w:ascii="Arial" w:cs="Arial" w:eastAsia="Arial" w:hAnsi="Arial"/>
          <w:sz w:val="16"/>
          <w:szCs w:val="16"/>
          <w:color w:val="auto"/>
        </w:rPr>
        <w:t>The Board may, at any time, amend or terminate the Plan, and the Board or the Committee may amend any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(or the Committee, if applicable); and further provided that adjustments pursuant to subsection 4.2 shall not be subject to the foregoing limitations of this Section 9; and further provided that the provisions of subsection 6.8 (relating to Option and SAR repricing) cannot be amended unless the amendment is approved by the Company’s stockholders; and provided further that, no other amendment shall be made to the Plan without the approval of the Company’s stockholders if such approval is required by law or the rules of any stock exchange on which the Common Stock is listed. It is the intention of the Company that, to the extent that any provisions of this Plan or any Awards granted hereunder are subject to Code Section 409A, the Plan and the Awards comply with the requirements of Code Section 409A and that the Board shall have the authority to amend the Plan or any Award as it deems necessary or desirable to conform to Code Section 409A without regard to the foregoing provisions (other than the provisions requiring stockholder approval). Notwithstanding the foregoing, the Company does not guarantee that Awards under the Plan will comply with Code Section 409A and the Committee is under no obligation to make any changes to any Award to cause such compliance.</w:t>
      </w:r>
    </w:p>
    <w:p>
      <w:pPr>
        <w:sectPr>
          <w:pgSz w:w="11900" w:h="16838" w:orient="portrait"/>
          <w:cols w:equalWidth="0" w:num="1">
            <w:col w:w="11240"/>
          </w:cols>
          <w:pgMar w:left="320" w:top="143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25"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300" w:right="20" w:hanging="320"/>
        <w:spacing w:after="0" w:line="250"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540" w:hanging="320"/>
        <w:spacing w:after="0" w:line="265" w:lineRule="auto"/>
        <w:tabs>
          <w:tab w:leader="none" w:pos="129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250" w:lineRule="auto"/>
        <w:tabs>
          <w:tab w:leader="none" w:pos="12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120" w:hanging="652"/>
        <w:spacing w:after="0" w:line="256"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07" w:lineRule="exact"/>
        <w:rPr>
          <w:rFonts w:ascii="Arial" w:cs="Arial" w:eastAsia="Arial" w:hAnsi="Arial"/>
          <w:sz w:val="18"/>
          <w:szCs w:val="18"/>
          <w:color w:val="auto"/>
        </w:rPr>
      </w:pPr>
    </w:p>
    <w:p>
      <w:pPr>
        <w:jc w:val="both"/>
        <w:ind w:left="1300" w:right="440" w:hanging="320"/>
        <w:spacing w:after="0" w:line="250"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2020</w:t>
      </w:r>
    </w:p>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300" w:right="20" w:hanging="320"/>
        <w:spacing w:after="0" w:line="250" w:lineRule="auto"/>
        <w:tabs>
          <w:tab w:leader="none" w:pos="12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540" w:hanging="320"/>
        <w:spacing w:after="0" w:line="265" w:lineRule="auto"/>
        <w:tabs>
          <w:tab w:leader="none" w:pos="129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250"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20" w:hanging="652"/>
        <w:spacing w:after="0" w:line="256"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07" w:lineRule="exact"/>
        <w:rPr>
          <w:rFonts w:ascii="Arial" w:cs="Arial" w:eastAsia="Arial" w:hAnsi="Arial"/>
          <w:sz w:val="18"/>
          <w:szCs w:val="18"/>
          <w:color w:val="auto"/>
        </w:rPr>
      </w:pPr>
    </w:p>
    <w:p>
      <w:pPr>
        <w:jc w:val="both"/>
        <w:ind w:left="1300" w:right="440" w:hanging="320"/>
        <w:spacing w:after="0" w:line="250" w:lineRule="auto"/>
        <w:tabs>
          <w:tab w:leader="none" w:pos="12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2020</w:t>
      </w:r>
    </w:p>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320" w:firstLine="445"/>
        <w:spacing w:after="0" w:line="25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2020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109" w:lineRule="exact"/>
        <w:rPr>
          <w:sz w:val="20"/>
          <w:szCs w:val="20"/>
          <w:color w:val="auto"/>
        </w:rPr>
      </w:pPr>
    </w:p>
    <w:p>
      <w:pPr>
        <w:ind w:left="560" w:hanging="309"/>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80" w:right="100" w:hanging="329"/>
        <w:spacing w:after="0" w:line="261" w:lineRule="auto"/>
        <w:tabs>
          <w:tab w:leader="none" w:pos="5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340" w:firstLine="445"/>
        <w:spacing w:after="0" w:line="25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September 30, 2020 as filed with the Securities and Exchange Commission (the “Report”), I, Brian Carolan, Vice President and Chief Financial Officer of the Company, certify, pursuant to 18 U.S.C. § 1350, as adopted pursuant to § 906 of the Sarbanes-Oxley Act of 2002, that:</w:t>
      </w:r>
    </w:p>
    <w:p>
      <w:pPr>
        <w:spacing w:after="0" w:line="109" w:lineRule="exact"/>
        <w:rPr>
          <w:sz w:val="20"/>
          <w:szCs w:val="20"/>
          <w:color w:val="auto"/>
        </w:rPr>
      </w:pPr>
    </w:p>
    <w:p>
      <w:pPr>
        <w:ind w:left="560" w:hanging="309"/>
        <w:spacing w:after="0"/>
        <w:tabs>
          <w:tab w:leader="none" w:pos="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80" w:right="100" w:hanging="329"/>
        <w:spacing w:after="0" w:line="261" w:lineRule="auto"/>
        <w:tabs>
          <w:tab w:leader="none" w:pos="5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1."/>
      <w:numFmt w:val="decimal"/>
      <w:start w:val="6"/>
    </w:lvl>
  </w:abstractNum>
  <w:abstractNum w:abstractNumId="8">
    <w:nsid w:val="22221A70"/>
    <w:multiLevelType w:val="hybridMultilevel"/>
    <w:lvl w:ilvl="0">
      <w:lvlJc w:val="left"/>
      <w:lvlText w:val="%1."/>
      <w:numFmt w:val="decimal"/>
      <w:start w:val="7"/>
    </w:lvl>
  </w:abstractNum>
  <w:abstractNum w:abstractNumId="9">
    <w:nsid w:val="4516DDE9"/>
    <w:multiLevelType w:val="hybridMultilevel"/>
    <w:lvl w:ilvl="0">
      <w:lvlJc w:val="left"/>
      <w:lvlText w:val="%1."/>
      <w:numFmt w:val="decimal"/>
      <w:start w:val="8"/>
    </w:lvl>
  </w:abstractNum>
  <w:abstractNum w:abstractNumId="10">
    <w:nsid w:val="3006C83E"/>
    <w:multiLevelType w:val="hybridMultilevel"/>
    <w:lvl w:ilvl="0">
      <w:lvlJc w:val="left"/>
      <w:lvlText w:val="%1."/>
      <w:numFmt w:val="decimal"/>
      <w:start w:val="9"/>
    </w:lvl>
  </w:abstractNum>
  <w:abstractNum w:abstractNumId="11">
    <w:nsid w:val="614FD4A1"/>
    <w:multiLevelType w:val="hybridMultilevel"/>
    <w:lvl w:ilvl="0">
      <w:lvlJc w:val="left"/>
      <w:lvlText w:val="%1."/>
      <w:numFmt w:val="decimal"/>
      <w:start w:val="10"/>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endash "/>
      <w:numFmt w:val="bullet"/>
      <w:start w:val="1"/>
    </w:lvl>
  </w:abstractNum>
  <w:abstractNum w:abstractNumId="18">
    <w:nsid w:val="7724C67E"/>
    <w:multiLevelType w:val="hybridMultilevel"/>
    <w:lvl w:ilvl="0">
      <w:lvlJc w:val="left"/>
      <w:lvlText w:val="\endash "/>
      <w:numFmt w:val="bullet"/>
      <w:start w:val="1"/>
    </w:lvl>
    <w:lvl w:ilvl="1">
      <w:lvlJc w:val="left"/>
      <w:lvlText w:val="•"/>
      <w:numFmt w:val="bullet"/>
      <w:start w:val="1"/>
    </w:lvl>
  </w:abstractNum>
  <w:abstractNum w:abstractNumId="19">
    <w:nsid w:val="5C482A97"/>
    <w:multiLevelType w:val="hybridMultilevel"/>
    <w:lvl w:ilvl="0">
      <w:lvlJc w:val="left"/>
      <w:lvlText w:val="\endash "/>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endash "/>
      <w:numFmt w:val="bullet"/>
      <w:start w:val="1"/>
    </w:lvl>
    <w:lvl w:ilvl="1">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endash "/>
      <w:numFmt w:val="bullet"/>
      <w:start w:val="1"/>
    </w:lvl>
  </w:abstractNum>
  <w:abstractNum w:abstractNumId="25">
    <w:nsid w:val="153EA438"/>
    <w:multiLevelType w:val="hybridMultilevel"/>
    <w:lvl w:ilvl="0">
      <w:lvlJc w:val="left"/>
      <w:lvlText w:val="\endash "/>
      <w:numFmt w:val="bullet"/>
      <w:start w:val="1"/>
    </w:lvl>
  </w:abstractNum>
  <w:abstractNum w:abstractNumId="26">
    <w:nsid w:val="3855585C"/>
    <w:multiLevelType w:val="hybridMultilevel"/>
    <w:lvl w:ilvl="0">
      <w:lvlJc w:val="left"/>
      <w:lvlText w:val="\endash "/>
      <w:numFmt w:val="bullet"/>
      <w:start w:val="1"/>
    </w:lvl>
    <w:lvl w:ilvl="1">
      <w:lvlJc w:val="left"/>
      <w:lvlText w:val="•"/>
      <w:numFmt w:val="bullet"/>
      <w:start w:val="1"/>
    </w:lvl>
  </w:abstractNum>
  <w:abstractNum w:abstractNumId="27">
    <w:nsid w:val="70A64E2A"/>
    <w:multiLevelType w:val="hybridMultilevel"/>
    <w:lvl w:ilvl="0">
      <w:lvlJc w:val="left"/>
      <w:lvlText w:val="\endash "/>
      <w:numFmt w:val="bullet"/>
      <w:start w:val="1"/>
    </w:lvl>
    <w:lvl w:ilvl="1">
      <w:lvlJc w:val="left"/>
      <w:lvlText w:val="•"/>
      <w:numFmt w:val="bullet"/>
      <w:start w:val="1"/>
    </w:lvl>
  </w:abstractNum>
  <w:abstractNum w:abstractNumId="28">
    <w:nsid w:val="6A2342EC"/>
    <w:multiLevelType w:val="hybridMultilevel"/>
    <w:lvl w:ilvl="0">
      <w:lvlJc w:val="left"/>
      <w:lvlText w:val="\endash "/>
      <w:numFmt w:val="bullet"/>
      <w:start w:val="1"/>
    </w:lvl>
  </w:abstractNum>
  <w:abstractNum w:abstractNumId="29">
    <w:nsid w:val="2A487CB0"/>
    <w:multiLevelType w:val="hybridMultilevel"/>
    <w:lvl w:ilvl="0">
      <w:lvlJc w:val="left"/>
      <w:lvlText w:val="\endash "/>
      <w:numFmt w:val="bullet"/>
      <w:start w:val="1"/>
    </w:lvl>
  </w:abstractNum>
  <w:abstractNum w:abstractNumId="30">
    <w:nsid w:val="1D4ED43B"/>
    <w:multiLevelType w:val="hybridMultilevel"/>
    <w:lvl w:ilvl="0">
      <w:lvlJc w:val="left"/>
      <w:lvlText w:val="%1"/>
      <w:numFmt w:val="decimal"/>
      <w:start w:val="104"/>
    </w:lvl>
  </w:abstractNum>
  <w:abstractNum w:abstractNumId="31">
    <w:nsid w:val="725A06FB"/>
    <w:multiLevelType w:val="hybridMultilevel"/>
    <w:lvl w:ilvl="0">
      <w:lvlJc w:val="left"/>
      <w:lvlText w:val="%1"/>
      <w:numFmt w:val="lowerLetter"/>
      <w:start w:val="1"/>
    </w:lvl>
    <w:lvl w:ilvl="1">
      <w:lvlJc w:val="left"/>
      <w:lvlText w:val="%2."/>
      <w:numFmt w:val="decimal"/>
      <w:start w:val="1"/>
    </w:lvl>
  </w:abstractNum>
  <w:abstractNum w:abstractNumId="32">
    <w:nsid w:val="2CD89A32"/>
    <w:multiLevelType w:val="hybridMultilevel"/>
    <w:lvl w:ilvl="0">
      <w:lvlJc w:val="left"/>
      <w:lvlText w:val="(%1)"/>
      <w:numFmt w:val="lowerLetter"/>
      <w:start w:val="1"/>
    </w:lvl>
    <w:lvl w:ilvl="1">
      <w:lvlJc w:val="left"/>
      <w:lvlText w:val="%2."/>
      <w:numFmt w:val="decimal"/>
      <w:start w:val="2"/>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lowerRoman"/>
      <w:start w:val="24"/>
    </w:lvl>
  </w:abstractNum>
  <w:abstractNum w:abstractNumId="35">
    <w:nsid w:val="4B588F54"/>
    <w:multiLevelType w:val="hybridMultilevel"/>
    <w:lvl w:ilvl="0">
      <w:lvlJc w:val="left"/>
      <w:lvlText w:val="%1."/>
      <w:numFmt w:val="decimal"/>
      <w:start w:val="3"/>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6"/>
    </w:lvl>
    <w:lvl w:ilvl="1">
      <w:lvlJc w:val="left"/>
      <w:lvlText w:val="(%2)"/>
      <w:numFmt w:val="lowerRoman"/>
      <w:start w:val="1"/>
    </w:lvl>
  </w:abstractNum>
  <w:abstractNum w:abstractNumId="39">
    <w:nsid w:val="7644A45C"/>
    <w:multiLevelType w:val="hybridMultilevel"/>
    <w:lvl w:ilvl="0">
      <w:lvlJc w:val="left"/>
      <w:lvlText w:val="(%1)"/>
      <w:numFmt w:val="lowerLetter"/>
      <w:start w:val="10"/>
    </w:lvl>
  </w:abstractNum>
  <w:abstractNum w:abstractNumId="40">
    <w:nsid w:val="32FFF902"/>
    <w:multiLevelType w:val="hybridMultilevel"/>
    <w:lvl w:ilvl="0">
      <w:lvlJc w:val="left"/>
      <w:lvlText w:val="%1."/>
      <w:numFmt w:val="decimal"/>
      <w:start w:val="5"/>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decimal"/>
      <w:start w:val="7"/>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2"/>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7" Type="http://schemas.openxmlformats.org/officeDocument/2006/relationships/hyperlink" Target="http://www.sec.gov/Archives/edgar/data/1169561/000116956120000024/a2020proxydef14a.htm" TargetMode="External"/><Relationship Id="rId60" Type="http://schemas.openxmlformats.org/officeDocument/2006/relationships/hyperlink" Target="http://www.sec.gov/Archives/edgar/data/1169561/000116956120000043/certificateofincamendm.htm" TargetMode="External"/><Relationship Id="rId61" Type="http://schemas.openxmlformats.org/officeDocument/2006/relationships/hyperlink" Target="http://www.sec.gov/Archives/edgar/data/1169561/000116956120000043/ex32by-lawscommvault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2020-10-28T15:56:46Z</dcterms:created>
  <dcterms:modified xsi:type="dcterms:W3CDTF">2020-10-28T15:56:46Z</dcterms:modified>
</cp:coreProperties>
</file>