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76200</wp:posOffset>
            </wp:positionV>
            <wp:extent cx="19437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242570</wp:posOffset>
            </wp:positionV>
            <wp:extent cx="1943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61" w:lineRule="exact"/>
        <w:rPr>
          <w:sz w:val="24"/>
          <w:szCs w:val="24"/>
          <w:color w:val="auto"/>
        </w:rPr>
      </w:pPr>
    </w:p>
    <w:p>
      <w:pPr>
        <w:ind w:left="220" w:hanging="214"/>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225425</wp:posOffset>
            </wp:positionV>
            <wp:extent cx="1943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Commvault Systems,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1943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90" w:type="dxa"/>
        <w:tblCellMar>
          <w:top w:w="0" w:type="dxa"/>
          <w:left w:w="0" w:type="dxa"/>
          <w:bottom w:w="0" w:type="dxa"/>
          <w:right w:w="0" w:type="dxa"/>
        </w:tblCellMar>
      </w:tblPr>
      <w:tr>
        <w:trPr>
          <w:trHeight w:val="208"/>
        </w:trPr>
        <w:tc>
          <w:tcPr>
            <w:tcW w:w="3580" w:type="dxa"/>
            <w:vAlign w:val="bottom"/>
          </w:tcPr>
          <w:p>
            <w:pPr>
              <w:jc w:val="center"/>
              <w:ind w:left="1748"/>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jc w:val="center"/>
              <w:ind w:right="1348"/>
              <w:spacing w:after="0"/>
              <w:rPr>
                <w:sz w:val="20"/>
                <w:szCs w:val="20"/>
                <w:color w:val="auto"/>
              </w:rPr>
            </w:pPr>
            <w:r>
              <w:rPr>
                <w:rFonts w:ascii="Arial" w:cs="Arial" w:eastAsia="Arial" w:hAnsi="Arial"/>
                <w:sz w:val="16"/>
                <w:szCs w:val="16"/>
                <w:b w:val="1"/>
                <w:bCs w:val="1"/>
                <w:color w:val="auto"/>
                <w:w w:val="88"/>
              </w:rPr>
              <w:t>22-3447504</w:t>
            </w:r>
          </w:p>
        </w:tc>
      </w:tr>
      <w:tr>
        <w:trPr>
          <w:trHeight w:val="138"/>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3"/>
              </w:rPr>
              <w:t>(State or other jurisdiction of</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5"/>
              </w:rPr>
              <w:t>(I.R.S. Employer</w:t>
            </w:r>
          </w:p>
        </w:tc>
      </w:tr>
      <w:tr>
        <w:trPr>
          <w:trHeight w:val="160"/>
        </w:trPr>
        <w:tc>
          <w:tcPr>
            <w:tcW w:w="3580" w:type="dxa"/>
            <w:vAlign w:val="bottom"/>
          </w:tcPr>
          <w:p>
            <w:pPr>
              <w:jc w:val="center"/>
              <w:ind w:left="1768"/>
              <w:spacing w:after="0"/>
              <w:rPr>
                <w:sz w:val="20"/>
                <w:szCs w:val="20"/>
                <w:color w:val="auto"/>
              </w:rPr>
            </w:pPr>
            <w:r>
              <w:rPr>
                <w:rFonts w:ascii="Arial" w:cs="Arial" w:eastAsia="Arial" w:hAnsi="Arial"/>
                <w:sz w:val="12"/>
                <w:szCs w:val="12"/>
                <w:b w:val="1"/>
                <w:bCs w:val="1"/>
                <w:color w:val="auto"/>
                <w:w w:val="94"/>
              </w:rPr>
              <w:t>incorporation or organization)</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20" w:type="dxa"/>
            <w:vAlign w:val="bottom"/>
          </w:tcPr>
          <w:p>
            <w:pPr>
              <w:jc w:val="center"/>
              <w:ind w:right="1348"/>
              <w:spacing w:after="0"/>
              <w:rPr>
                <w:sz w:val="20"/>
                <w:szCs w:val="20"/>
                <w:color w:val="auto"/>
              </w:rPr>
            </w:pPr>
            <w:r>
              <w:rPr>
                <w:rFonts w:ascii="Arial" w:cs="Arial" w:eastAsia="Arial" w:hAnsi="Arial"/>
                <w:sz w:val="12"/>
                <w:szCs w:val="12"/>
                <w:b w:val="1"/>
                <w:bCs w:val="1"/>
                <w:color w:val="auto"/>
                <w:w w:val="94"/>
              </w:rPr>
              <w:t>Identification No.)</w:t>
            </w:r>
          </w:p>
        </w:tc>
      </w:tr>
      <w:tr>
        <w:trPr>
          <w:trHeight w:val="276"/>
        </w:trPr>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2"/>
              </w:rPr>
              <w:t>1 Commvault Way</w:t>
            </w:r>
          </w:p>
        </w:tc>
        <w:tc>
          <w:tcPr>
            <w:tcW w:w="3820" w:type="dxa"/>
            <w:vAlign w:val="bottom"/>
          </w:tcPr>
          <w:p>
            <w:pPr>
              <w:spacing w:after="0"/>
              <w:rPr>
                <w:sz w:val="24"/>
                <w:szCs w:val="24"/>
                <w:color w:val="auto"/>
              </w:rPr>
            </w:pPr>
          </w:p>
        </w:tc>
      </w:tr>
      <w:tr>
        <w:trPr>
          <w:trHeight w:val="189"/>
        </w:trPr>
        <w:tc>
          <w:tcPr>
            <w:tcW w:w="3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Tinton Falls, New Jersey 07724</w:t>
            </w:r>
          </w:p>
        </w:tc>
        <w:tc>
          <w:tcPr>
            <w:tcW w:w="3820" w:type="dxa"/>
            <w:vAlign w:val="bottom"/>
          </w:tcPr>
          <w:p>
            <w:pPr>
              <w:spacing w:after="0"/>
              <w:rPr>
                <w:sz w:val="16"/>
                <w:szCs w:val="16"/>
                <w:color w:val="auto"/>
              </w:rPr>
            </w:pPr>
          </w:p>
        </w:tc>
      </w:tr>
      <w:tr>
        <w:trPr>
          <w:trHeight w:val="204"/>
        </w:trPr>
        <w:tc>
          <w:tcPr>
            <w:tcW w:w="3580" w:type="dxa"/>
            <w:vAlign w:val="bottom"/>
          </w:tcPr>
          <w:p>
            <w:pPr>
              <w:spacing w:after="0"/>
              <w:rPr>
                <w:sz w:val="17"/>
                <w:szCs w:val="17"/>
                <w:color w:val="auto"/>
              </w:rPr>
            </w:pPr>
          </w:p>
        </w:tc>
        <w:tc>
          <w:tcPr>
            <w:tcW w:w="7520" w:type="dxa"/>
            <w:vAlign w:val="bottom"/>
            <w:gridSpan w:val="6"/>
          </w:tcPr>
          <w:p>
            <w:pPr>
              <w:jc w:val="center"/>
              <w:ind w:right="3508"/>
              <w:spacing w:after="0"/>
              <w:rPr>
                <w:sz w:val="20"/>
                <w:szCs w:val="20"/>
                <w:color w:val="auto"/>
              </w:rPr>
            </w:pPr>
            <w:r>
              <w:rPr>
                <w:rFonts w:ascii="Arial" w:cs="Arial" w:eastAsia="Arial" w:hAnsi="Arial"/>
                <w:sz w:val="16"/>
                <w:szCs w:val="16"/>
                <w:color w:val="auto"/>
                <w:w w:val="92"/>
              </w:rPr>
              <w:t>(Address of principal executive offices, including zip code)</w:t>
            </w:r>
          </w:p>
        </w:tc>
      </w:tr>
      <w:tr>
        <w:trPr>
          <w:trHeight w:val="424"/>
        </w:trPr>
        <w:tc>
          <w:tcPr>
            <w:tcW w:w="3580" w:type="dxa"/>
            <w:vAlign w:val="bottom"/>
          </w:tcPr>
          <w:p>
            <w:pPr>
              <w:spacing w:after="0"/>
              <w:rPr>
                <w:sz w:val="24"/>
                <w:szCs w:val="24"/>
                <w:color w:val="auto"/>
              </w:rPr>
            </w:pPr>
          </w:p>
        </w:tc>
        <w:tc>
          <w:tcPr>
            <w:tcW w:w="2880" w:type="dxa"/>
            <w:vAlign w:val="bottom"/>
            <w:gridSpan w:val="3"/>
          </w:tcPr>
          <w:p>
            <w:pPr>
              <w:jc w:val="center"/>
              <w:ind w:left="961"/>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b w:val="1"/>
                <w:bCs w:val="1"/>
                <w:color w:val="auto"/>
                <w:w w:val="96"/>
              </w:rPr>
              <w:t>732) 870-4000</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60"/>
        </w:trPr>
        <w:tc>
          <w:tcPr>
            <w:tcW w:w="3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(Registrant’s telephone number, including area code)</w:t>
            </w:r>
          </w:p>
        </w:tc>
        <w:tc>
          <w:tcPr>
            <w:tcW w:w="3820" w:type="dxa"/>
            <w:vAlign w:val="bottom"/>
          </w:tcPr>
          <w:p>
            <w:pPr>
              <w:spacing w:after="0"/>
              <w:rPr>
                <w:sz w:val="13"/>
                <w:szCs w:val="13"/>
                <w:color w:val="auto"/>
              </w:rPr>
            </w:pPr>
          </w:p>
        </w:tc>
      </w:tr>
      <w:tr>
        <w:trPr>
          <w:trHeight w:val="110"/>
        </w:trPr>
        <w:tc>
          <w:tcPr>
            <w:tcW w:w="3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20" w:type="dxa"/>
            <w:vAlign w:val="bottom"/>
          </w:tcPr>
          <w:p>
            <w:pPr>
              <w:spacing w:after="0"/>
              <w:rPr>
                <w:sz w:val="9"/>
                <w:szCs w:val="9"/>
                <w:color w:val="auto"/>
              </w:rPr>
            </w:pPr>
          </w:p>
        </w:tc>
      </w:tr>
      <w:tr>
        <w:trPr>
          <w:trHeight w:val="287"/>
        </w:trPr>
        <w:tc>
          <w:tcPr>
            <w:tcW w:w="3580" w:type="dxa"/>
            <w:vAlign w:val="bottom"/>
          </w:tcPr>
          <w:p>
            <w:pPr>
              <w:spacing w:after="0"/>
              <w:rPr>
                <w:sz w:val="24"/>
                <w:szCs w:val="24"/>
                <w:color w:val="auto"/>
              </w:rPr>
            </w:pPr>
          </w:p>
        </w:tc>
        <w:tc>
          <w:tcPr>
            <w:tcW w:w="3700" w:type="dxa"/>
            <w:vAlign w:val="bottom"/>
            <w:gridSpan w:val="5"/>
          </w:tcPr>
          <w:p>
            <w:pPr>
              <w:jc w:val="center"/>
              <w:ind w:left="161"/>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3820" w:type="dxa"/>
            <w:vAlign w:val="bottom"/>
          </w:tcPr>
          <w:p>
            <w:pPr>
              <w:spacing w:after="0"/>
              <w:rPr>
                <w:sz w:val="24"/>
                <w:szCs w:val="24"/>
                <w:color w:val="auto"/>
              </w:rPr>
            </w:pPr>
          </w:p>
        </w:tc>
      </w:tr>
      <w:tr>
        <w:trPr>
          <w:trHeight w:val="117"/>
        </w:trPr>
        <w:tc>
          <w:tcPr>
            <w:tcW w:w="35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r>
      <w:tr>
        <w:trPr>
          <w:trHeight w:val="203"/>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b w:val="1"/>
                <w:bCs w:val="1"/>
                <w:color w:val="auto"/>
                <w:w w:val="85"/>
              </w:rPr>
              <w:t>Title of each class</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6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right w:val="single" w:sz="8" w:color="auto"/>
            </w:tcBorders>
          </w:tcPr>
          <w:p>
            <w:pPr>
              <w:jc w:val="center"/>
              <w:ind w:right="788"/>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05"/>
        </w:trPr>
        <w:tc>
          <w:tcPr>
            <w:tcW w:w="3580" w:type="dxa"/>
            <w:vAlign w:val="bottom"/>
            <w:tcBorders>
              <w:left w:val="single" w:sz="8" w:color="auto"/>
              <w:bottom w:val="single" w:sz="8" w:color="auto"/>
            </w:tcBorders>
          </w:tcPr>
          <w:p>
            <w:pPr>
              <w:jc w:val="center"/>
              <w:ind w:left="888"/>
              <w:spacing w:after="0"/>
              <w:rPr>
                <w:sz w:val="20"/>
                <w:szCs w:val="20"/>
                <w:color w:val="auto"/>
              </w:rPr>
            </w:pPr>
            <w:r>
              <w:rPr>
                <w:rFonts w:ascii="Arial" w:cs="Arial" w:eastAsia="Arial" w:hAnsi="Arial"/>
                <w:sz w:val="16"/>
                <w:szCs w:val="16"/>
                <w:color w:val="auto"/>
                <w:w w:val="89"/>
              </w:rPr>
              <w:t>Common Stock</w:t>
            </w:r>
          </w:p>
        </w:tc>
        <w:tc>
          <w:tcPr>
            <w:tcW w:w="4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CVLT</w:t>
            </w:r>
          </w:p>
        </w:tc>
        <w:tc>
          <w:tcPr>
            <w:tcW w:w="820" w:type="dxa"/>
            <w:vAlign w:val="bottom"/>
            <w:tcBorders>
              <w:bottom w:val="single" w:sz="8" w:color="auto"/>
            </w:tcBorders>
            <w:gridSpan w:val="2"/>
          </w:tcPr>
          <w:p>
            <w:pPr>
              <w:spacing w:after="0"/>
              <w:rPr>
                <w:sz w:val="17"/>
                <w:szCs w:val="17"/>
                <w:color w:val="auto"/>
              </w:rPr>
            </w:pPr>
          </w:p>
        </w:tc>
        <w:tc>
          <w:tcPr>
            <w:tcW w:w="3820" w:type="dxa"/>
            <w:vAlign w:val="bottom"/>
            <w:tcBorders>
              <w:bottom w:val="single" w:sz="8" w:color="auto"/>
              <w:right w:val="single" w:sz="8" w:color="auto"/>
            </w:tcBorders>
          </w:tcPr>
          <w:p>
            <w:pPr>
              <w:jc w:val="center"/>
              <w:ind w:right="788"/>
              <w:spacing w:after="0"/>
              <w:rPr>
                <w:sz w:val="20"/>
                <w:szCs w:val="20"/>
                <w:color w:val="auto"/>
              </w:rPr>
            </w:pPr>
            <w:r>
              <w:rPr>
                <w:rFonts w:ascii="Arial" w:cs="Arial" w:eastAsia="Arial" w:hAnsi="Arial"/>
                <w:sz w:val="16"/>
                <w:szCs w:val="16"/>
                <w:color w:val="auto"/>
                <w:w w:val="93"/>
              </w:rPr>
              <w:t>The NASDAQ Stock Market</w:t>
            </w:r>
          </w:p>
        </w:tc>
      </w:tr>
    </w:tbl>
    <w:p>
      <w:pPr>
        <w:spacing w:after="0" w:line="193" w:lineRule="exact"/>
        <w:rPr>
          <w:sz w:val="24"/>
          <w:szCs w:val="24"/>
          <w:color w:val="auto"/>
        </w:rPr>
      </w:pPr>
    </w:p>
    <w:p>
      <w:pPr>
        <w:ind w:right="16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76" w:lineRule="exact"/>
        <w:rPr>
          <w:sz w:val="24"/>
          <w:szCs w:val="24"/>
          <w:color w:val="auto"/>
        </w:rPr>
      </w:pPr>
    </w:p>
    <w:p>
      <w:pPr>
        <w:ind w:right="24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 Yes x No </w:t>
      </w:r>
      <w:r>
        <w:rPr>
          <w:rFonts w:ascii="MS PGothic" w:cs="MS PGothic" w:eastAsia="MS PGothic" w:hAnsi="MS PGothic"/>
          <w:sz w:val="14"/>
          <w:szCs w:val="14"/>
          <w:color w:val="auto"/>
        </w:rPr>
        <w:t>☐</w:t>
      </w:r>
    </w:p>
    <w:p>
      <w:pPr>
        <w:spacing w:after="0" w:line="202" w:lineRule="exact"/>
        <w:rPr>
          <w:sz w:val="24"/>
          <w:szCs w:val="24"/>
          <w:color w:val="auto"/>
        </w:rPr>
      </w:pPr>
    </w:p>
    <w:p>
      <w:pPr>
        <w:ind w:right="80"/>
        <w:spacing w:after="0" w:line="30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 (Check one):</w:t>
      </w:r>
    </w:p>
    <w:p>
      <w:pPr>
        <w:sectPr>
          <w:pgSz w:w="11900" w:h="16838" w:orient="portrait"/>
          <w:cols w:equalWidth="0" w:num="1">
            <w:col w:w="11180"/>
          </w:cols>
          <w:pgMar w:left="320" w:top="1053" w:right="399" w:bottom="1440" w:gutter="0" w:footer="0" w:header="0"/>
        </w:sectPr>
      </w:pPr>
    </w:p>
    <w:p>
      <w:pPr>
        <w:spacing w:after="0" w:line="101" w:lineRule="exact"/>
        <w:rPr>
          <w:sz w:val="24"/>
          <w:szCs w:val="24"/>
          <w:color w:val="auto"/>
        </w:rPr>
      </w:pPr>
    </w:p>
    <w:p>
      <w:pPr>
        <w:ind w:left="20"/>
        <w:spacing w:after="0" w:line="161" w:lineRule="exact"/>
        <w:tabs>
          <w:tab w:leader="none" w:pos="2720" w:val="left"/>
          <w:tab w:leader="none" w:pos="3060" w:val="left"/>
          <w:tab w:leader="none" w:pos="5060" w:val="left"/>
          <w:tab w:leader="none" w:pos="5360" w:val="left"/>
          <w:tab w:leader="none" w:pos="7360" w:val="left"/>
          <w:tab w:leader="none" w:pos="7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w:t>
      </w:r>
    </w:p>
    <w:p>
      <w:pPr>
        <w:spacing w:after="0" w:line="48" w:lineRule="exact"/>
        <w:rPr>
          <w:sz w:val="24"/>
          <w:szCs w:val="24"/>
          <w:color w:val="auto"/>
        </w:rPr>
      </w:pPr>
    </w:p>
    <w:p>
      <w:pPr>
        <w:ind w:left="20"/>
        <w:spacing w:after="0" w:line="161" w:lineRule="exact"/>
        <w:tabs>
          <w:tab w:leader="none" w:pos="272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5" w:lineRule="exact"/>
        <w:rPr>
          <w:sz w:val="24"/>
          <w:szCs w:val="24"/>
          <w:color w:val="auto"/>
        </w:rPr>
      </w:pPr>
    </w:p>
    <w:p>
      <w:pPr>
        <w:ind w:left="20"/>
        <w:spacing w:after="0" w:line="22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 (a) of the Exchange Act</w:t>
      </w:r>
    </w:p>
    <w:p>
      <w:pPr>
        <w:spacing w:after="0" w:line="191" w:lineRule="exact"/>
        <w:rPr>
          <w:sz w:val="24"/>
          <w:szCs w:val="24"/>
          <w:color w:val="auto"/>
        </w:rPr>
      </w:pPr>
    </w:p>
    <w:p>
      <w:pPr>
        <w:spacing w:after="0" w:line="196" w:lineRule="exact"/>
        <w:tabs>
          <w:tab w:leader="none" w:pos="6540" w:val="left"/>
          <w:tab w:leader="none" w:pos="71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No x</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6" w:lineRule="exact"/>
        <w:rPr>
          <w:sz w:val="24"/>
          <w:szCs w:val="24"/>
          <w:color w:val="auto"/>
        </w:rPr>
      </w:pPr>
    </w:p>
    <w:p>
      <w:pPr>
        <w:sectPr>
          <w:pgSz w:w="11900" w:h="16838" w:orient="portrait"/>
          <w:cols w:equalWidth="0" w:num="2">
            <w:col w:w="9840" w:space="220"/>
            <w:col w:w="1120"/>
          </w:cols>
          <w:pgMar w:left="320" w:top="1053" w:right="39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2"/>
          <w:szCs w:val="12"/>
          <w:color w:val="auto"/>
        </w:rPr>
        <w:t>As of October 25, 2021, there were 45,508,675 shares of the registrant’s common stock, $0.01 par value, outstanding.</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type w:val="continuous"/>
        </w:sectPr>
      </w:pPr>
    </w:p>
    <w:bookmarkStart w:id="1" w:name="page2"/>
    <w:bookmarkEnd w:id="1"/>
    <w:p>
      <w:pPr>
        <w:jc w:val="center"/>
        <w:ind w:right="-79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FORM 10-Q</w:t>
      </w:r>
    </w:p>
    <w:p>
      <w:pPr>
        <w:spacing w:after="0" w:line="19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760" w:type="dxa"/>
            <w:vAlign w:val="bottom"/>
            <w:gridSpan w:val="22"/>
            <w:vMerge w:val="restart"/>
          </w:tcPr>
          <w:p>
            <w:pPr>
              <w:spacing w:after="0"/>
              <w:rPr>
                <w:sz w:val="20"/>
                <w:szCs w:val="20"/>
                <w:color w:val="auto"/>
              </w:rPr>
            </w:pPr>
            <w:r>
              <w:rPr>
                <w:rFonts w:ascii="Arial" w:cs="Arial" w:eastAsia="Arial" w:hAnsi="Arial"/>
                <w:sz w:val="18"/>
                <w:szCs w:val="18"/>
                <w:b w:val="1"/>
                <w:bCs w:val="1"/>
                <w:color w:val="00B2A9"/>
              </w:rPr>
              <w:t>Part I – FINANCIAL INFORMATION</w:t>
            </w:r>
          </w:p>
        </w:tc>
        <w:tc>
          <w:tcPr>
            <w:tcW w:w="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04"/>
        </w:trPr>
        <w:tc>
          <w:tcPr>
            <w:tcW w:w="9760" w:type="dxa"/>
            <w:vAlign w:val="bottom"/>
            <w:gridSpan w:val="2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8740" w:type="dxa"/>
            <w:vAlign w:val="bottom"/>
            <w:gridSpan w:val="21"/>
          </w:tcPr>
          <w:p>
            <w:pPr>
              <w:spacing w:after="0"/>
              <w:rPr>
                <w:sz w:val="20"/>
                <w:szCs w:val="20"/>
                <w:color w:val="auto"/>
              </w:rPr>
            </w:pPr>
            <w:r>
              <w:rPr>
                <w:rFonts w:ascii="Arial" w:cs="Arial" w:eastAsia="Arial" w:hAnsi="Arial"/>
                <w:sz w:val="18"/>
                <w:szCs w:val="18"/>
                <w:color w:val="auto"/>
              </w:rPr>
              <w:t>Financial Statements and Notes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8740" w:type="dxa"/>
            <w:vAlign w:val="bottom"/>
            <w:gridSpan w:val="21"/>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as of September 30, 2021 and March 31, 2021</w:t>
              </w:r>
            </w:hyperlink>
          </w:p>
        </w:tc>
        <w:tc>
          <w:tcPr>
            <w:tcW w:w="640" w:type="dxa"/>
            <w:vAlign w:val="bottom"/>
            <w:gridSpan w:val="4"/>
          </w:tcPr>
          <w:p>
            <w:pPr>
              <w:jc w:val="right"/>
              <w:ind w:right="20"/>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Unaudited Consolidated Statements of Operations for the three and six months ended September 30, 2021 and</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5"/>
              </w:rPr>
            </w:pPr>
            <w:hyperlink w:anchor="page3">
              <w:r>
                <w:rPr>
                  <w:rFonts w:ascii="Arial" w:cs="Arial" w:eastAsia="Arial" w:hAnsi="Arial"/>
                  <w:sz w:val="17"/>
                  <w:szCs w:val="17"/>
                  <w:color w:val="0000FF"/>
                  <w:w w:val="95"/>
                </w:rPr>
                <w:t>2020</w:t>
              </w:r>
            </w:hyperlink>
          </w:p>
        </w:tc>
        <w:tc>
          <w:tcPr>
            <w:tcW w:w="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Unaudited Consolidated Statements of Comprehensive Income (Loss) for the three and six months ended</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10"/>
          </w:tcPr>
          <w:p>
            <w:pPr>
              <w:spacing w:after="0" w:line="152" w:lineRule="exact"/>
              <w:rPr>
                <w:rFonts w:ascii="Arial" w:cs="Arial" w:eastAsia="Arial" w:hAnsi="Arial"/>
                <w:sz w:val="17"/>
                <w:szCs w:val="17"/>
                <w:color w:val="0000FF"/>
              </w:rPr>
            </w:pPr>
            <w:hyperlink w:anchor="page4">
              <w:r>
                <w:rPr>
                  <w:rFonts w:ascii="Arial" w:cs="Arial" w:eastAsia="Arial" w:hAnsi="Arial"/>
                  <w:sz w:val="17"/>
                  <w:szCs w:val="17"/>
                  <w:color w:val="0000FF"/>
                </w:rPr>
                <w:t>September 30, 2021 and 2020</w:t>
              </w:r>
            </w:hyperlink>
          </w:p>
        </w:tc>
        <w:tc>
          <w:tcPr>
            <w:tcW w:w="586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Unaudited Consolidated Statements of Stockholders’ Equity for the three and six months ended September 30,</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864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2021 and 2020</w:t>
              </w:r>
            </w:hyperlink>
          </w:p>
        </w:tc>
        <w:tc>
          <w:tcPr>
            <w:tcW w:w="10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740" w:type="dxa"/>
            <w:vAlign w:val="bottom"/>
            <w:gridSpan w:val="21"/>
          </w:tcPr>
          <w:p>
            <w:pPr>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Unaudited Consolidated Statements of Cash Flows for the six months ended September 30, 2021 and 2020</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rPr>
                <w:sz w:val="17"/>
                <w:szCs w:val="17"/>
                <w:color w:val="auto"/>
              </w:rPr>
            </w:pPr>
          </w:p>
        </w:tc>
        <w:tc>
          <w:tcPr>
            <w:tcW w:w="8400" w:type="dxa"/>
            <w:vAlign w:val="bottom"/>
            <w:gridSpan w:val="18"/>
          </w:tcPr>
          <w:p>
            <w:pPr>
              <w:spacing w:after="0" w:line="205" w:lineRule="exact"/>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340" w:type="dxa"/>
            <w:vAlign w:val="bottom"/>
            <w:gridSpan w:val="3"/>
          </w:tcPr>
          <w:p>
            <w:pPr>
              <w:spacing w:after="0"/>
              <w:rPr>
                <w:sz w:val="17"/>
                <w:szCs w:val="17"/>
                <w:color w:val="auto"/>
              </w:rPr>
            </w:pPr>
          </w:p>
        </w:tc>
        <w:tc>
          <w:tcPr>
            <w:tcW w:w="520" w:type="dxa"/>
            <w:vAlign w:val="bottom"/>
            <w:gridSpan w:val="2"/>
          </w:tcPr>
          <w:p>
            <w:pPr>
              <w:spacing w:after="0"/>
              <w:rPr>
                <w:sz w:val="17"/>
                <w:szCs w:val="17"/>
                <w:color w:val="auto"/>
              </w:rPr>
            </w:pPr>
          </w:p>
        </w:tc>
        <w:tc>
          <w:tcPr>
            <w:tcW w:w="120" w:type="dxa"/>
            <w:vAlign w:val="bottom"/>
            <w:gridSpan w:val="2"/>
          </w:tcPr>
          <w:p>
            <w:pPr>
              <w:jc w:val="right"/>
              <w:ind w:right="20"/>
              <w:spacing w:after="0" w:line="205"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6940" w:type="dxa"/>
            <w:vAlign w:val="bottom"/>
            <w:gridSpan w:val="16"/>
          </w:tcPr>
          <w:p>
            <w:pPr>
              <w:spacing w:after="0" w:line="205" w:lineRule="exact"/>
              <w:rPr>
                <w:rFonts w:ascii="Arial" w:cs="Arial" w:eastAsia="Arial" w:hAnsi="Arial"/>
                <w:sz w:val="18"/>
                <w:szCs w:val="18"/>
                <w:color w:val="0000FF"/>
                <w:w w:val="97"/>
              </w:rPr>
            </w:pPr>
            <w:hyperlink w:anchor="page18">
              <w:r>
                <w:rPr>
                  <w:rFonts w:ascii="Arial" w:cs="Arial" w:eastAsia="Arial" w:hAnsi="Arial"/>
                  <w:sz w:val="18"/>
                  <w:szCs w:val="18"/>
                  <w:color w:val="0000FF"/>
                  <w:w w:val="97"/>
                </w:rPr>
                <w:t>Management’s Discussion and Analysis of Financial Condition and Results of Operations</w:t>
              </w:r>
            </w:hyperlink>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00" w:type="dxa"/>
            <w:vAlign w:val="bottom"/>
            <w:gridSpan w:val="13"/>
          </w:tcPr>
          <w:p>
            <w:pPr>
              <w:spacing w:after="0" w:line="205" w:lineRule="exact"/>
              <w:rPr>
                <w:rFonts w:ascii="Arial" w:cs="Arial" w:eastAsia="Arial" w:hAnsi="Arial"/>
                <w:sz w:val="18"/>
                <w:szCs w:val="18"/>
                <w:color w:val="0000FF"/>
                <w:w w:val="97"/>
              </w:rPr>
            </w:pPr>
            <w:hyperlink w:anchor="page30">
              <w:r>
                <w:rPr>
                  <w:rFonts w:ascii="Arial" w:cs="Arial" w:eastAsia="Arial" w:hAnsi="Arial"/>
                  <w:sz w:val="18"/>
                  <w:szCs w:val="18"/>
                  <w:color w:val="0000FF"/>
                  <w:w w:val="97"/>
                </w:rPr>
                <w:t>Quantitative and Qualitative Disclosures about Market Risk</w:t>
              </w:r>
            </w:hyperlink>
          </w:p>
        </w:tc>
        <w:tc>
          <w:tcPr>
            <w:tcW w:w="2340" w:type="dxa"/>
            <w:vAlign w:val="bottom"/>
            <w:gridSpan w:val="3"/>
          </w:tcPr>
          <w:p>
            <w:pPr>
              <w:spacing w:after="0"/>
              <w:rPr>
                <w:sz w:val="17"/>
                <w:szCs w:val="17"/>
                <w:color w:val="auto"/>
              </w:rPr>
            </w:pPr>
          </w:p>
        </w:tc>
        <w:tc>
          <w:tcPr>
            <w:tcW w:w="180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4600" w:type="dxa"/>
            <w:vAlign w:val="bottom"/>
            <w:gridSpan w:val="13"/>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14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0" w:type="dxa"/>
            <w:vAlign w:val="bottom"/>
            <w:tcBorders>
              <w:bottom w:val="single" w:sz="8" w:color="0000FF"/>
            </w:tcBorders>
            <w:gridSpan w:val="9"/>
          </w:tcPr>
          <w:p>
            <w:pPr>
              <w:spacing w:after="0"/>
              <w:rPr>
                <w:rFonts w:ascii="Arial" w:cs="Arial" w:eastAsia="Arial" w:hAnsi="Arial"/>
                <w:sz w:val="18"/>
                <w:szCs w:val="18"/>
                <w:b w:val="1"/>
                <w:bCs w:val="1"/>
                <w:color w:val="0000FF"/>
                <w:w w:val="97"/>
              </w:rPr>
            </w:pPr>
            <w:hyperlink w:anchor="page31">
              <w:r>
                <w:rPr>
                  <w:rFonts w:ascii="Arial" w:cs="Arial" w:eastAsia="Arial" w:hAnsi="Arial"/>
                  <w:sz w:val="18"/>
                  <w:szCs w:val="18"/>
                  <w:b w:val="1"/>
                  <w:bCs w:val="1"/>
                  <w:color w:val="0000FF"/>
                  <w:w w:val="97"/>
                </w:rPr>
                <w:t>Part II – OTHER INFORMATION</w:t>
              </w:r>
            </w:hyperlink>
          </w:p>
        </w:tc>
        <w:tc>
          <w:tcPr>
            <w:tcW w:w="7160" w:type="dxa"/>
            <w:vAlign w:val="bottom"/>
            <w:gridSpan w:val="13"/>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1460" w:type="dxa"/>
            <w:vAlign w:val="bottom"/>
            <w:gridSpan w:val="7"/>
          </w:tcPr>
          <w:p>
            <w:pPr>
              <w:spacing w:after="0" w:line="205" w:lineRule="exact"/>
              <w:rPr>
                <w:rFonts w:ascii="Arial" w:cs="Arial" w:eastAsia="Arial" w:hAnsi="Arial"/>
                <w:sz w:val="18"/>
                <w:szCs w:val="18"/>
                <w:color w:val="0000FF"/>
                <w:w w:val="96"/>
              </w:rPr>
            </w:pPr>
            <w:hyperlink w:anchor="page32">
              <w:r>
                <w:rPr>
                  <w:rFonts w:ascii="Arial" w:cs="Arial" w:eastAsia="Arial" w:hAnsi="Arial"/>
                  <w:sz w:val="18"/>
                  <w:szCs w:val="18"/>
                  <w:color w:val="0000FF"/>
                  <w:w w:val="96"/>
                </w:rPr>
                <w:t>Legal Proceedings</w:t>
              </w:r>
            </w:hyperlink>
          </w:p>
        </w:tc>
        <w:tc>
          <w:tcPr>
            <w:tcW w:w="728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gridSpan w:val="4"/>
          </w:tcPr>
          <w:p>
            <w:pPr>
              <w:spacing w:after="0" w:line="205" w:lineRule="exact"/>
              <w:rPr>
                <w:rFonts w:ascii="Arial" w:cs="Arial" w:eastAsia="Arial" w:hAnsi="Arial"/>
                <w:sz w:val="18"/>
                <w:szCs w:val="18"/>
                <w:color w:val="0000FF"/>
                <w:w w:val="95"/>
              </w:rPr>
            </w:pPr>
            <w:hyperlink w:anchor="page32">
              <w:r>
                <w:rPr>
                  <w:rFonts w:ascii="Arial" w:cs="Arial" w:eastAsia="Arial" w:hAnsi="Arial"/>
                  <w:sz w:val="18"/>
                  <w:szCs w:val="18"/>
                  <w:color w:val="0000FF"/>
                  <w:w w:val="95"/>
                </w:rPr>
                <w:t>Risk Factors</w:t>
              </w:r>
            </w:hyperlink>
          </w:p>
        </w:tc>
        <w:tc>
          <w:tcPr>
            <w:tcW w:w="480" w:type="dxa"/>
            <w:vAlign w:val="bottom"/>
            <w:gridSpan w:val="3"/>
          </w:tcPr>
          <w:p>
            <w:pPr>
              <w:spacing w:after="0"/>
              <w:rPr>
                <w:sz w:val="17"/>
                <w:szCs w:val="17"/>
                <w:color w:val="auto"/>
              </w:rPr>
            </w:pPr>
          </w:p>
        </w:tc>
        <w:tc>
          <w:tcPr>
            <w:tcW w:w="728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8740" w:type="dxa"/>
            <w:vAlign w:val="bottom"/>
            <w:gridSpan w:val="21"/>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Unregistered Sale of Equity Securities and Use of Proceeds</w:t>
              </w:r>
            </w:hyperlink>
          </w:p>
        </w:tc>
        <w:tc>
          <w:tcPr>
            <w:tcW w:w="640" w:type="dxa"/>
            <w:vAlign w:val="bottom"/>
            <w:gridSpan w:val="4"/>
          </w:tcPr>
          <w:p>
            <w:pPr>
              <w:jc w:val="right"/>
              <w:ind w:right="20"/>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4660" w:type="dxa"/>
            <w:vAlign w:val="bottom"/>
            <w:gridSpan w:val="14"/>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Defaults Upon Senior Securities</w:t>
              </w:r>
            </w:hyperlink>
          </w:p>
        </w:tc>
        <w:tc>
          <w:tcPr>
            <w:tcW w:w="4080" w:type="dxa"/>
            <w:vAlign w:val="bottom"/>
            <w:gridSpan w:val="7"/>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tcBorders>
              <w:left w:val="single" w:sz="8" w:color="0000FF"/>
            </w:tcBorders>
            <w:gridSpan w:val="1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740" w:type="dxa"/>
            <w:vAlign w:val="bottom"/>
            <w:gridSpan w:val="21"/>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Mine Safety Disclosures</w:t>
              </w:r>
            </w:hyperlink>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860" w:type="dxa"/>
            <w:vAlign w:val="bottom"/>
            <w:gridSpan w:val="1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1880" w:type="dxa"/>
            <w:vAlign w:val="bottom"/>
            <w:gridSpan w:val="9"/>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686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1360" w:type="dxa"/>
            <w:vAlign w:val="bottom"/>
            <w:gridSpan w:val="6"/>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738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gridSpan w:val="3"/>
          </w:tcPr>
          <w:p>
            <w:pPr>
              <w:jc w:val="right"/>
              <w:ind w:right="20"/>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14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1140" w:type="dxa"/>
            <w:vAlign w:val="bottom"/>
            <w:gridSpan w:val="2"/>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SIGNATURES</w:t>
              </w:r>
            </w:hyperlink>
          </w:p>
        </w:tc>
        <w:tc>
          <w:tcPr>
            <w:tcW w:w="8620" w:type="dxa"/>
            <w:vAlign w:val="bottom"/>
            <w:gridSpan w:val="20"/>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gridSpan w:val="3"/>
          </w:tcPr>
          <w:p>
            <w:pPr>
              <w:jc w:val="right"/>
              <w:ind w:right="2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0"/>
        </w:trPr>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400"/>
          </w:cols>
          <w:pgMar w:left="340" w:top="1031" w:right="1159" w:bottom="1440" w:gutter="0" w:footer="0" w:header="0"/>
        </w:sectPr>
      </w:pPr>
    </w:p>
    <w:bookmarkStart w:id="2" w:name="page3"/>
    <w:bookmarkEnd w:id="2"/>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6"/>
                <w:szCs w:val="16"/>
                <w:color w:val="auto"/>
              </w:rPr>
            </w:pPr>
          </w:p>
        </w:tc>
        <w:tc>
          <w:tcPr>
            <w:tcW w:w="1360" w:type="dxa"/>
            <w:vAlign w:val="bottom"/>
          </w:tcPr>
          <w:p>
            <w:pPr>
              <w:jc w:val="right"/>
              <w:ind w:right="36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782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295,807</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397,237</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Trade accounts receivable,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166,272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188,126</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20,651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22,237</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482,730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607,600</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109,557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112,779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20,778</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Deferred commissions cost</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42,351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38,444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112,435</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14,756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12,137</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779,754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1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85,604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112,148</w:t>
            </w: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6,455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7,469</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247,578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253,211</w:t>
            </w: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339,815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373,202</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less current portion</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124,833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5)</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50,000 shares authorized, no shares issued and outstanding</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820" w:type="dxa"/>
            <w:vAlign w:val="bottom"/>
          </w:tcPr>
          <w:p>
            <w:pPr>
              <w:ind w:left="20"/>
              <w:spacing w:after="0" w:line="175" w:lineRule="exact"/>
              <w:rPr>
                <w:sz w:val="20"/>
                <w:szCs w:val="20"/>
                <w:color w:val="auto"/>
              </w:rPr>
            </w:pPr>
            <w:r>
              <w:rPr>
                <w:rFonts w:ascii="Arial" w:cs="Arial" w:eastAsia="Arial" w:hAnsi="Arial"/>
                <w:sz w:val="16"/>
                <w:szCs w:val="16"/>
                <w:color w:val="auto"/>
              </w:rPr>
              <w:t>Common stock, $0.01 par value: 250,000 shares authorized, 45,374 shares and 46,482 shares issued and</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20" w:type="dxa"/>
            <w:vAlign w:val="bottom"/>
          </w:tcPr>
          <w:p>
            <w:pPr>
              <w:ind w:left="20"/>
              <w:spacing w:after="0"/>
              <w:rPr>
                <w:sz w:val="20"/>
                <w:szCs w:val="20"/>
                <w:color w:val="auto"/>
              </w:rPr>
            </w:pPr>
            <w:r>
              <w:rPr>
                <w:rFonts w:ascii="Arial" w:cs="Arial" w:eastAsia="Arial" w:hAnsi="Arial"/>
                <w:sz w:val="16"/>
                <w:szCs w:val="16"/>
                <w:color w:val="auto"/>
              </w:rPr>
              <w:t>outstanding at September 30, 2021 and March 31, 2021, respectively</w:t>
            </w:r>
          </w:p>
        </w:tc>
        <w:tc>
          <w:tcPr>
            <w:tcW w:w="180" w:type="dxa"/>
            <w:vAlign w:val="bottom"/>
          </w:tcPr>
          <w:p>
            <w:pPr>
              <w:spacing w:after="0"/>
              <w:rPr>
                <w:sz w:val="16"/>
                <w:szCs w:val="16"/>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1,119,738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1,069,695</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(808,749)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(665,774)</w:t>
            </w: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0" w:type="dxa"/>
            <w:vAlign w:val="bottom"/>
          </w:tcPr>
          <w:p>
            <w:pPr>
              <w:spacing w:after="0"/>
              <w:rPr>
                <w:sz w:val="1"/>
                <w:szCs w:val="1"/>
                <w:color w:val="auto"/>
              </w:rPr>
            </w:pPr>
          </w:p>
        </w:tc>
      </w:tr>
      <w:tr>
        <w:trPr>
          <w:trHeight w:val="20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299,778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779,754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904,173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69" w:right="3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80" w:type="dxa"/>
            <w:vAlign w:val="bottom"/>
            <w:gridSpan w:val="4"/>
          </w:tcPr>
          <w:p>
            <w:pPr>
              <w:jc w:val="right"/>
              <w:ind w:right="141"/>
              <w:spacing w:after="0"/>
              <w:rPr>
                <w:sz w:val="20"/>
                <w:szCs w:val="20"/>
                <w:color w:val="auto"/>
              </w:rPr>
            </w:pPr>
            <w:r>
              <w:rPr>
                <w:rFonts w:ascii="Arial" w:cs="Arial" w:eastAsia="Arial" w:hAnsi="Arial"/>
                <w:sz w:val="16"/>
                <w:szCs w:val="16"/>
                <w:b w:val="1"/>
                <w:bCs w:val="1"/>
                <w:color w:val="auto"/>
              </w:rPr>
              <w:t>Six Months Ended September 30,</w:t>
            </w:r>
          </w:p>
        </w:tc>
        <w:tc>
          <w:tcPr>
            <w:tcW w:w="0" w:type="dxa"/>
            <w:vAlign w:val="bottom"/>
          </w:tcPr>
          <w:p>
            <w:pPr>
              <w:spacing w:after="0"/>
              <w:rPr>
                <w:sz w:val="1"/>
                <w:szCs w:val="1"/>
                <w:color w:val="auto"/>
              </w:rPr>
            </w:pPr>
          </w:p>
        </w:tc>
      </w:tr>
      <w:tr>
        <w:trPr>
          <w:trHeight w:val="208"/>
        </w:trPr>
        <w:tc>
          <w:tcPr>
            <w:tcW w:w="46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420" w:type="dxa"/>
            <w:vAlign w:val="bottom"/>
            <w:gridSpan w:val="2"/>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75,261</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72,309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157,423</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148,863</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102,579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98,830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203,838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195,276</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Total revenues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177,840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171,139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361,261</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344,139</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Software and products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2,894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7,903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5,200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13,750</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23,680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18,896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46,649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03"/>
        </w:trPr>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 of revenues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26,574</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26,799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51,849</w:t>
            </w:r>
          </w:p>
        </w:tc>
        <w:tc>
          <w:tcPr>
            <w:tcW w:w="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51,350</w:t>
            </w: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151,266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144,340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309,412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292,789</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79,069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159,289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160,745</w:t>
            </w: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37,726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30,955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73,861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62,097</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25,358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51,787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46,307</w:t>
            </w: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Restructuring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636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5,767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8,091</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intangible assets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40,700</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2,352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4,633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10,118</w:t>
            </w:r>
          </w:p>
        </w:tc>
        <w:tc>
          <w:tcPr>
            <w:tcW w:w="0" w:type="dxa"/>
            <w:vAlign w:val="bottom"/>
          </w:tcPr>
          <w:p>
            <w:pPr>
              <w:spacing w:after="0"/>
              <w:rPr>
                <w:sz w:val="1"/>
                <w:szCs w:val="1"/>
                <w:color w:val="auto"/>
              </w:rPr>
            </w:pPr>
          </w:p>
        </w:tc>
      </w:tr>
      <w:tr>
        <w:trPr>
          <w:trHeight w:val="208"/>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149,000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186,292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291,652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328,058</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2,266</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17,760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(35,269)</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423</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2,555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(41,703)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18,183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(34,677)</w:t>
            </w:r>
          </w:p>
        </w:tc>
        <w:tc>
          <w:tcPr>
            <w:tcW w:w="0" w:type="dxa"/>
            <w:vAlign w:val="bottom"/>
          </w:tcPr>
          <w:p>
            <w:pPr>
              <w:spacing w:after="0"/>
              <w:rPr>
                <w:sz w:val="1"/>
                <w:szCs w:val="1"/>
                <w:color w:val="auto"/>
              </w:rPr>
            </w:pPr>
          </w:p>
        </w:tc>
      </w:tr>
      <w:tr>
        <w:trPr>
          <w:trHeight w:val="215"/>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2,555</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4,211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Net income (loss)</w:t>
            </w:r>
          </w:p>
        </w:tc>
        <w:tc>
          <w:tcPr>
            <w:tcW w:w="4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1,731</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15,628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income (loss) per common share:</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32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tcBorders>
              <w:bottom w:val="single" w:sz="8" w:color="CCEEFF"/>
            </w:tcBorders>
            <w:shd w:val="clear" w:color="auto" w:fill="CCEEFF"/>
          </w:tcPr>
          <w:p>
            <w:pPr>
              <w:ind w:left="320"/>
              <w:spacing w:after="0" w:line="176" w:lineRule="exact"/>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0.04</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0.33</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45,743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46,516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45,960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6"/>
                <w:szCs w:val="16"/>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47,599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46,516</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47,936</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720"/>
          </w:cols>
          <w:pgMar w:left="600" w:top="1031" w:right="579" w:bottom="1440" w:gutter="0" w:footer="0" w:header="0"/>
        </w:sectPr>
      </w:pPr>
    </w:p>
    <w:bookmarkStart w:id="4" w:name="page5"/>
    <w:bookmarkEnd w:id="4"/>
    <w:p>
      <w:pPr>
        <w:ind w:left="410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20" w:type="dxa"/>
            <w:vAlign w:val="bottom"/>
          </w:tcPr>
          <w:p>
            <w:pPr>
              <w:spacing w:after="0"/>
              <w:rPr>
                <w:sz w:val="18"/>
                <w:szCs w:val="18"/>
                <w:color w:val="auto"/>
              </w:rPr>
            </w:pPr>
          </w:p>
        </w:tc>
        <w:tc>
          <w:tcPr>
            <w:tcW w:w="294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40" w:type="dxa"/>
            <w:vAlign w:val="bottom"/>
            <w:gridSpan w:val="4"/>
          </w:tcPr>
          <w:p>
            <w:pPr>
              <w:jc w:val="right"/>
              <w:ind w:right="101"/>
              <w:spacing w:after="0"/>
              <w:rPr>
                <w:sz w:val="20"/>
                <w:szCs w:val="20"/>
                <w:color w:val="auto"/>
              </w:rPr>
            </w:pPr>
            <w:r>
              <w:rPr>
                <w:rFonts w:ascii="Arial" w:cs="Arial" w:eastAsia="Arial" w:hAnsi="Arial"/>
                <w:sz w:val="16"/>
                <w:szCs w:val="16"/>
                <w:b w:val="1"/>
                <w:bCs w:val="1"/>
                <w:color w:val="auto"/>
              </w:rPr>
              <w:t>Six Months Ended September 30,</w:t>
            </w:r>
          </w:p>
        </w:tc>
      </w:tr>
      <w:tr>
        <w:trPr>
          <w:trHeight w:val="208"/>
        </w:trPr>
        <w:tc>
          <w:tcPr>
            <w:tcW w:w="45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5"/>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1,731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(38,888)</w:t>
            </w:r>
          </w:p>
        </w:tc>
      </w:tr>
      <w:tr>
        <w:trPr>
          <w:trHeight w:val="210"/>
        </w:trPr>
        <w:tc>
          <w:tcPr>
            <w:tcW w:w="45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1,738</w:t>
            </w:r>
          </w:p>
        </w:tc>
      </w:tr>
      <w:tr>
        <w:trPr>
          <w:trHeight w:val="203"/>
        </w:trPr>
        <w:tc>
          <w:tcPr>
            <w:tcW w:w="45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9"/>
              </w:rPr>
              <w:t>1,009</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14,315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(37,150)</w:t>
            </w:r>
          </w:p>
        </w:tc>
      </w:tr>
      <w:tr>
        <w:trPr>
          <w:trHeight w:val="22"/>
        </w:trPr>
        <w:tc>
          <w:tcPr>
            <w:tcW w:w="4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58420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40"/>
          </w:cols>
          <w:pgMar w:left="780" w:top="1428" w:right="779" w:bottom="1440" w:gutter="0" w:footer="0" w:header="0"/>
        </w:sectPr>
      </w:pPr>
    </w:p>
    <w:bookmarkStart w:id="5" w:name="page6"/>
    <w:bookmarkEnd w:id="5"/>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60" w:type="dxa"/>
            <w:vAlign w:val="bottom"/>
            <w:gridSpan w:val="4"/>
            <w:vMerge w:val="restart"/>
          </w:tcPr>
          <w:p>
            <w:pPr>
              <w:jc w:val="right"/>
              <w:ind w:right="34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46,066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1,095,903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(730,883)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354,538</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26,449</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
              <w:spacing w:after="0" w:line="177" w:lineRule="exact"/>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7,821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40" w:type="dxa"/>
            <w:vAlign w:val="bottom"/>
          </w:tcPr>
          <w:p>
            <w:pPr>
              <w:jc w:val="right"/>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(90,044)</w:t>
            </w:r>
          </w:p>
        </w:tc>
        <w:tc>
          <w:tcPr>
            <w:tcW w:w="0" w:type="dxa"/>
            <w:vAlign w:val="bottom"/>
          </w:tcPr>
          <w:p>
            <w:pPr>
              <w:spacing w:after="0"/>
              <w:rPr>
                <w:sz w:val="1"/>
                <w:szCs w:val="1"/>
                <w:color w:val="auto"/>
              </w:rPr>
            </w:pPr>
          </w:p>
        </w:tc>
      </w:tr>
      <w:tr>
        <w:trPr>
          <w:trHeight w:val="214"/>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(808,749)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299,778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40" w:type="dxa"/>
            <w:vAlign w:val="bottom"/>
          </w:tcPr>
          <w:p>
            <w:pPr>
              <w:spacing w:after="0"/>
              <w:rPr>
                <w:sz w:val="11"/>
                <w:szCs w:val="11"/>
                <w:color w:val="auto"/>
              </w:rPr>
            </w:pPr>
          </w:p>
        </w:tc>
        <w:tc>
          <w:tcPr>
            <w:tcW w:w="1820" w:type="dxa"/>
            <w:vAlign w:val="bottom"/>
            <w:gridSpan w:val="4"/>
            <w:vMerge w:val="restart"/>
          </w:tcPr>
          <w:p>
            <w:pPr>
              <w:jc w:val="right"/>
              <w:ind w:right="30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940" w:type="dxa"/>
            <w:vAlign w:val="bottom"/>
          </w:tcPr>
          <w:p>
            <w:pPr>
              <w:spacing w:after="0"/>
              <w:rPr>
                <w:sz w:val="8"/>
                <w:szCs w:val="8"/>
                <w:color w:val="auto"/>
              </w:rPr>
            </w:pPr>
          </w:p>
        </w:tc>
        <w:tc>
          <w:tcPr>
            <w:tcW w:w="182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2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1,069,695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(665,774)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394,034</w:t>
            </w: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6"/>
              <w:spacing w:after="0"/>
              <w:rPr>
                <w:sz w:val="20"/>
                <w:szCs w:val="20"/>
                <w:color w:val="auto"/>
              </w:rPr>
            </w:pPr>
            <w:r>
              <w:rPr>
                <w:rFonts w:ascii="Arial" w:cs="Arial" w:eastAsia="Arial" w:hAnsi="Arial"/>
                <w:sz w:val="16"/>
                <w:szCs w:val="16"/>
                <w:color w:val="auto"/>
              </w:rPr>
              <w:t>48,260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48,260</w:t>
            </w:r>
          </w:p>
        </w:tc>
        <w:tc>
          <w:tcPr>
            <w:tcW w:w="0" w:type="dxa"/>
            <w:vAlign w:val="bottom"/>
          </w:tcPr>
          <w:p>
            <w:pPr>
              <w:spacing w:after="0"/>
              <w:rPr>
                <w:sz w:val="1"/>
                <w:szCs w:val="1"/>
                <w:color w:val="auto"/>
              </w:rPr>
            </w:pPr>
          </w:p>
        </w:tc>
      </w:tr>
      <w:tr>
        <w:trPr>
          <w:trHeight w:val="177"/>
        </w:trPr>
        <w:tc>
          <w:tcPr>
            <w:tcW w:w="3940" w:type="dxa"/>
            <w:vAlign w:val="bottom"/>
            <w:shd w:val="clear" w:color="auto" w:fill="CCEEFF"/>
          </w:tcPr>
          <w:p>
            <w:pPr>
              <w:ind w:left="340"/>
              <w:spacing w:after="0" w:line="177" w:lineRule="exact"/>
              <w:rPr>
                <w:sz w:val="20"/>
                <w:szCs w:val="20"/>
                <w:color w:val="auto"/>
              </w:rPr>
            </w:pPr>
            <w:r>
              <w:rPr>
                <w:rFonts w:ascii="Arial" w:cs="Arial" w:eastAsia="Arial" w:hAnsi="Arial"/>
                <w:sz w:val="16"/>
                <w:szCs w:val="16"/>
                <w:color w:val="auto"/>
              </w:rPr>
              <w:t>Share issuances related to stock-based</w:t>
            </w:r>
          </w:p>
        </w:tc>
        <w:tc>
          <w:tcPr>
            <w:tcW w:w="8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
              <w:spacing w:after="0" w:line="177" w:lineRule="exact"/>
              <w:rPr>
                <w:sz w:val="20"/>
                <w:szCs w:val="20"/>
                <w:color w:val="auto"/>
              </w:rPr>
            </w:pPr>
            <w:r>
              <w:rPr>
                <w:rFonts w:ascii="Arial" w:cs="Arial" w:eastAsia="Arial" w:hAnsi="Arial"/>
                <w:sz w:val="16"/>
                <w:szCs w:val="16"/>
                <w:color w:val="auto"/>
              </w:rPr>
              <w:t>23,248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23,261</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(158,603)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(180,092)</w:t>
            </w:r>
          </w:p>
        </w:tc>
        <w:tc>
          <w:tcPr>
            <w:tcW w:w="0" w:type="dxa"/>
            <w:vAlign w:val="bottom"/>
          </w:tcPr>
          <w:p>
            <w:pPr>
              <w:spacing w:after="0"/>
              <w:rPr>
                <w:sz w:val="1"/>
                <w:szCs w:val="1"/>
                <w:color w:val="auto"/>
              </w:rPr>
            </w:pPr>
          </w:p>
        </w:tc>
      </w:tr>
      <w:tr>
        <w:trPr>
          <w:trHeight w:val="215"/>
        </w:trPr>
        <w:tc>
          <w:tcPr>
            <w:tcW w:w="3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comprehensive loss</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1,119,738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(808,749)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299,778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6" w:name="page7"/>
    <w:bookmarkEnd w:id="6"/>
    <w:p>
      <w:pPr>
        <w:ind w:left="454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4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right="1460" w:hanging="317"/>
        <w:spacing w:after="0" w:line="304" w:lineRule="auto"/>
        <w:rPr>
          <w:sz w:val="20"/>
          <w:szCs w:val="20"/>
          <w:color w:val="auto"/>
        </w:rPr>
      </w:pPr>
      <w:r>
        <w:rPr>
          <w:rFonts w:ascii="Arial" w:cs="Arial" w:eastAsia="Arial" w:hAnsi="Arial"/>
          <w:sz w:val="15"/>
          <w:szCs w:val="15"/>
          <w:color w:val="auto"/>
        </w:rPr>
        <w:t>Balance as of June 30, 2020 Stock-based compensation</w:t>
      </w:r>
    </w:p>
    <w:p>
      <w:pPr>
        <w:ind w:left="320" w:right="600"/>
        <w:spacing w:after="0" w:line="228" w:lineRule="auto"/>
        <w:rPr>
          <w:sz w:val="20"/>
          <w:szCs w:val="20"/>
          <w:color w:val="auto"/>
        </w:rPr>
      </w:pPr>
      <w:r>
        <w:rPr>
          <w:rFonts w:ascii="Arial" w:cs="Arial" w:eastAsia="Arial" w:hAnsi="Arial"/>
          <w:sz w:val="16"/>
          <w:szCs w:val="16"/>
          <w:color w:val="auto"/>
        </w:rPr>
        <w:t>Share issuances related to stock-based compensation</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loss</w:t>
      </w:r>
    </w:p>
    <w:p>
      <w:pPr>
        <w:spacing w:after="0" w:line="28" w:lineRule="exact"/>
        <w:rPr>
          <w:sz w:val="20"/>
          <w:szCs w:val="20"/>
          <w:color w:val="auto"/>
        </w:rPr>
      </w:pPr>
    </w:p>
    <w:p>
      <w:pPr>
        <w:ind w:right="1240" w:firstLine="318"/>
        <w:spacing w:after="0" w:line="321" w:lineRule="auto"/>
        <w:rPr>
          <w:sz w:val="20"/>
          <w:szCs w:val="20"/>
          <w:color w:val="auto"/>
        </w:rPr>
      </w:pPr>
      <w:r>
        <w:rPr>
          <w:rFonts w:ascii="Arial" w:cs="Arial" w:eastAsia="Arial" w:hAnsi="Arial"/>
          <w:sz w:val="15"/>
          <w:szCs w:val="15"/>
          <w:color w:val="auto"/>
        </w:rPr>
        <w:t>Other comprehensive income Balance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right="1460" w:hanging="317"/>
        <w:spacing w:after="0" w:line="304" w:lineRule="auto"/>
        <w:rPr>
          <w:sz w:val="20"/>
          <w:szCs w:val="20"/>
          <w:color w:val="auto"/>
        </w:rPr>
      </w:pPr>
      <w:r>
        <w:rPr>
          <w:rFonts w:ascii="Arial" w:cs="Arial" w:eastAsia="Arial" w:hAnsi="Arial"/>
          <w:sz w:val="15"/>
          <w:szCs w:val="15"/>
          <w:color w:val="auto"/>
        </w:rPr>
        <w:t>Balance as of March 31, 2020 Stock-based compensation</w:t>
      </w:r>
    </w:p>
    <w:p>
      <w:pPr>
        <w:ind w:left="320" w:right="600"/>
        <w:spacing w:after="0" w:line="228" w:lineRule="auto"/>
        <w:rPr>
          <w:sz w:val="20"/>
          <w:szCs w:val="20"/>
          <w:color w:val="auto"/>
        </w:rPr>
      </w:pPr>
      <w:r>
        <w:rPr>
          <w:rFonts w:ascii="Arial" w:cs="Arial" w:eastAsia="Arial" w:hAnsi="Arial"/>
          <w:sz w:val="16"/>
          <w:szCs w:val="16"/>
          <w:color w:val="auto"/>
        </w:rPr>
        <w:t>Share issuances related to stock-based compensation</w:t>
      </w:r>
    </w:p>
    <w:p>
      <w:pPr>
        <w:spacing w:after="0" w:line="21" w:lineRule="exact"/>
        <w:rPr>
          <w:sz w:val="20"/>
          <w:szCs w:val="20"/>
          <w:color w:val="auto"/>
        </w:rPr>
      </w:pPr>
    </w:p>
    <w:p>
      <w:pPr>
        <w:ind w:left="320"/>
        <w:spacing w:after="0" w:line="228" w:lineRule="auto"/>
        <w:rPr>
          <w:sz w:val="20"/>
          <w:szCs w:val="20"/>
          <w:color w:val="auto"/>
        </w:rPr>
      </w:pPr>
      <w:r>
        <w:rPr>
          <w:rFonts w:ascii="Arial" w:cs="Arial" w:eastAsia="Arial" w:hAnsi="Arial"/>
          <w:sz w:val="16"/>
          <w:szCs w:val="16"/>
          <w:color w:val="auto"/>
        </w:rPr>
        <w:t>Cumulative effect change in accounting for ASU 2016-13</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Net loss</w:t>
      </w:r>
    </w:p>
    <w:p>
      <w:pPr>
        <w:spacing w:after="0" w:line="28" w:lineRule="exact"/>
        <w:rPr>
          <w:sz w:val="20"/>
          <w:szCs w:val="20"/>
          <w:color w:val="auto"/>
        </w:rPr>
      </w:pPr>
    </w:p>
    <w:p>
      <w:pPr>
        <w:ind w:right="1240" w:firstLine="318"/>
        <w:spacing w:after="0" w:line="321" w:lineRule="auto"/>
        <w:rPr>
          <w:sz w:val="20"/>
          <w:szCs w:val="20"/>
          <w:color w:val="auto"/>
        </w:rPr>
      </w:pPr>
      <w:r>
        <w:rPr>
          <w:rFonts w:ascii="Arial" w:cs="Arial" w:eastAsia="Arial" w:hAnsi="Arial"/>
          <w:sz w:val="15"/>
          <w:szCs w:val="15"/>
          <w:color w:val="auto"/>
        </w:rPr>
        <w:t>Other comprehensive income Balance as of September 30,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gridSpan w:val="4"/>
            <w:vMerge w:val="restart"/>
          </w:tcPr>
          <w:p>
            <w:pPr>
              <w:jc w:val="right"/>
              <w:ind w:right="34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46,321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997,838</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(551,591)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(12,473)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434,235</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20,584</w:t>
            </w:r>
          </w:p>
        </w:tc>
        <w:tc>
          <w:tcPr>
            <w:tcW w:w="0" w:type="dxa"/>
            <w:vAlign w:val="bottom"/>
          </w:tcPr>
          <w:p>
            <w:pPr>
              <w:spacing w:after="0"/>
              <w:rPr>
                <w:sz w:val="1"/>
                <w:szCs w:val="1"/>
                <w:color w:val="auto"/>
              </w:rPr>
            </w:pPr>
          </w:p>
        </w:tc>
      </w:tr>
      <w:tr>
        <w:trPr>
          <w:trHeight w:val="212"/>
        </w:trPr>
        <w:tc>
          <w:tcPr>
            <w:tcW w:w="84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(41,171)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(41,171)</w:t>
            </w:r>
          </w:p>
        </w:tc>
        <w:tc>
          <w:tcPr>
            <w:tcW w:w="0" w:type="dxa"/>
            <w:vAlign w:val="bottom"/>
          </w:tcPr>
          <w:p>
            <w:pPr>
              <w:spacing w:after="0"/>
              <w:rPr>
                <w:sz w:val="1"/>
                <w:szCs w:val="1"/>
                <w:color w:val="auto"/>
              </w:rPr>
            </w:pPr>
          </w:p>
        </w:tc>
      </w:tr>
      <w:tr>
        <w:trPr>
          <w:trHeight w:val="214"/>
        </w:trPr>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419,476</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-958215</wp:posOffset>
            </wp:positionV>
            <wp:extent cx="7134860"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-680720</wp:posOffset>
            </wp:positionV>
            <wp:extent cx="7134860" cy="235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-310515</wp:posOffset>
            </wp:positionV>
            <wp:extent cx="7134860" cy="13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gridSpan w:val="4"/>
            <w:vMerge w:val="restart"/>
          </w:tcPr>
          <w:p>
            <w:pPr>
              <w:jc w:val="right"/>
              <w:ind w:right="34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 In</w:t>
            </w:r>
          </w:p>
        </w:tc>
        <w:tc>
          <w:tcPr>
            <w:tcW w:w="180" w:type="dxa"/>
            <w:vAlign w:val="bottom"/>
          </w:tcPr>
          <w:p>
            <w:pPr>
              <w:spacing w:after="0"/>
              <w:rPr>
                <w:sz w:val="8"/>
                <w:szCs w:val="8"/>
                <w:color w:val="auto"/>
              </w:rPr>
            </w:pPr>
          </w:p>
        </w:tc>
        <w:tc>
          <w:tcPr>
            <w:tcW w:w="13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8"/>
                <w:szCs w:val="8"/>
                <w:color w:val="auto"/>
              </w:rPr>
            </w:pPr>
          </w:p>
        </w:tc>
        <w:tc>
          <w:tcPr>
            <w:tcW w:w="14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46,011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978,659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(553,790)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(13,423)</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411,904</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39,535</w:t>
            </w:r>
          </w:p>
        </w:tc>
        <w:tc>
          <w:tcPr>
            <w:tcW w:w="0" w:type="dxa"/>
            <w:vAlign w:val="bottom"/>
          </w:tcPr>
          <w:p>
            <w:pPr>
              <w:spacing w:after="0"/>
              <w:rPr>
                <w:sz w:val="1"/>
                <w:szCs w:val="1"/>
                <w:color w:val="auto"/>
              </w:rPr>
            </w:pPr>
          </w:p>
        </w:tc>
      </w:tr>
      <w:tr>
        <w:trPr>
          <w:trHeight w:val="212"/>
        </w:trPr>
        <w:tc>
          <w:tcPr>
            <w:tcW w:w="840" w:type="dxa"/>
            <w:vAlign w:val="bottom"/>
          </w:tcPr>
          <w:p>
            <w:pPr>
              <w:jc w:val="right"/>
              <w:spacing w:after="0"/>
              <w:rPr>
                <w:sz w:val="20"/>
                <w:szCs w:val="20"/>
                <w:color w:val="auto"/>
              </w:rPr>
            </w:pPr>
            <w:r>
              <w:rPr>
                <w:rFonts w:ascii="Arial" w:cs="Arial" w:eastAsia="Arial" w:hAnsi="Arial"/>
                <w:sz w:val="16"/>
                <w:szCs w:val="16"/>
                <w:color w:val="auto"/>
              </w:rPr>
              <w:t>674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5,271</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71"/>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(38,888)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(38,888)</w:t>
            </w:r>
          </w:p>
        </w:tc>
        <w:tc>
          <w:tcPr>
            <w:tcW w:w="0" w:type="dxa"/>
            <w:vAlign w:val="bottom"/>
          </w:tcPr>
          <w:p>
            <w:pPr>
              <w:spacing w:after="0"/>
              <w:rPr>
                <w:sz w:val="1"/>
                <w:szCs w:val="1"/>
                <w:color w:val="auto"/>
              </w:rPr>
            </w:pPr>
          </w:p>
        </w:tc>
      </w:tr>
      <w:tr>
        <w:trPr>
          <w:trHeight w:val="215"/>
        </w:trPr>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1,738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w:t>
            </w:r>
          </w:p>
        </w:tc>
        <w:tc>
          <w:tcPr>
            <w:tcW w:w="0" w:type="dxa"/>
            <w:vAlign w:val="bottom"/>
          </w:tcPr>
          <w:p>
            <w:pPr>
              <w:spacing w:after="0"/>
              <w:rPr>
                <w:sz w:val="1"/>
                <w:szCs w:val="1"/>
                <w:color w:val="auto"/>
              </w:rPr>
            </w:pPr>
          </w:p>
        </w:tc>
      </w:tr>
      <w:tr>
        <w:trPr>
          <w:trHeight w:val="205"/>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46,685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1,023,459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(592,762)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419,476</w:t>
            </w:r>
          </w:p>
        </w:tc>
        <w:tc>
          <w:tcPr>
            <w:tcW w:w="0" w:type="dxa"/>
            <w:vAlign w:val="bottom"/>
          </w:tcPr>
          <w:p>
            <w:pPr>
              <w:spacing w:after="0"/>
              <w:rPr>
                <w:sz w:val="1"/>
                <w:szCs w:val="1"/>
                <w:color w:val="auto"/>
              </w:rPr>
            </w:pPr>
          </w:p>
        </w:tc>
      </w:tr>
      <w:tr>
        <w:trPr>
          <w:trHeight w:val="22"/>
        </w:trPr>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-2497455</wp:posOffset>
            </wp:positionH>
            <wp:positionV relativeFrom="paragraph">
              <wp:posOffset>-1193800</wp:posOffset>
            </wp:positionV>
            <wp:extent cx="7134860" cy="142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-916305</wp:posOffset>
            </wp:positionV>
            <wp:extent cx="7134860" cy="235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-445135</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-175895</wp:posOffset>
            </wp:positionV>
            <wp:extent cx="7134860" cy="16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220"/>
            <w:col w:w="7300"/>
          </w:cols>
          <w:pgMar w:left="340" w:top="1031" w:right="339"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58420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40" w:top="1031" w:right="339" w:bottom="1440" w:gutter="0" w:footer="0" w:header="0"/>
          <w:type w:val="continuous"/>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Commvault Systems, Inc.</w:t>
      </w:r>
    </w:p>
    <w:p>
      <w:pPr>
        <w:spacing w:after="0" w:line="16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6"/>
                <w:szCs w:val="16"/>
                <w:b w:val="1"/>
                <w:bCs w:val="1"/>
                <w:color w:val="auto"/>
              </w:rPr>
              <w:t>Six Months Ended September 30,</w:t>
            </w:r>
          </w:p>
        </w:tc>
      </w:tr>
      <w:tr>
        <w:trPr>
          <w:trHeight w:val="208"/>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15,628</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(38,888)</w:t>
            </w:r>
          </w:p>
        </w:tc>
      </w:tr>
      <w:tr>
        <w:trPr>
          <w:trHeight w:val="214"/>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5,258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10,743</w:t>
            </w:r>
          </w:p>
        </w:tc>
      </w:tr>
      <w:tr>
        <w:trPr>
          <w:trHeight w:val="215"/>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stock-based compensation</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48,260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39,535</w:t>
            </w:r>
          </w:p>
        </w:tc>
      </w:tr>
      <w:tr>
        <w:trPr>
          <w:trHeight w:val="210"/>
        </w:trPr>
        <w:tc>
          <w:tcPr>
            <w:tcW w:w="7840" w:type="dxa"/>
            <w:vAlign w:val="bottom"/>
          </w:tcPr>
          <w:p>
            <w:pPr>
              <w:ind w:left="340"/>
              <w:spacing w:after="0"/>
              <w:rPr>
                <w:sz w:val="20"/>
                <w:szCs w:val="20"/>
                <w:color w:val="auto"/>
              </w:rPr>
            </w:pPr>
            <w:r>
              <w:rPr>
                <w:rFonts w:ascii="Arial" w:cs="Arial" w:eastAsia="Arial" w:hAnsi="Arial"/>
                <w:sz w:val="16"/>
                <w:szCs w:val="16"/>
                <w:color w:val="auto"/>
              </w:rPr>
              <w:t>Amortization of deferred commissions cost</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8,650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9,526</w:t>
            </w:r>
          </w:p>
        </w:tc>
      </w:tr>
      <w:tr>
        <w:trPr>
          <w:trHeight w:val="21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Impairment of operating lease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09"/>
        </w:trPr>
        <w:tc>
          <w:tcPr>
            <w:tcW w:w="7840" w:type="dxa"/>
            <w:vAlign w:val="bottom"/>
          </w:tcPr>
          <w:p>
            <w:pPr>
              <w:ind w:left="340"/>
              <w:spacing w:after="0"/>
              <w:rPr>
                <w:sz w:val="20"/>
                <w:szCs w:val="20"/>
                <w:color w:val="auto"/>
              </w:rPr>
            </w:pPr>
            <w:r>
              <w:rPr>
                <w:rFonts w:ascii="Arial" w:cs="Arial" w:eastAsia="Arial" w:hAnsi="Arial"/>
                <w:sz w:val="16"/>
                <w:szCs w:val="16"/>
                <w:color w:val="auto"/>
              </w:rPr>
              <w:t>Impairment of intangible assets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40,700</w:t>
            </w:r>
          </w:p>
        </w:tc>
      </w:tr>
      <w:tr>
        <w:trPr>
          <w:trHeight w:val="214"/>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40" w:type="dxa"/>
            <w:vAlign w:val="bottom"/>
          </w:tcPr>
          <w:p>
            <w:pPr>
              <w:ind w:left="660"/>
              <w:spacing w:after="0"/>
              <w:rPr>
                <w:sz w:val="20"/>
                <w:szCs w:val="20"/>
                <w:color w:val="auto"/>
              </w:rPr>
            </w:pPr>
            <w:r>
              <w:rPr>
                <w:rFonts w:ascii="Arial" w:cs="Arial" w:eastAsia="Arial" w:hAnsi="Arial"/>
                <w:sz w:val="16"/>
                <w:szCs w:val="16"/>
                <w:color w:val="auto"/>
              </w:rPr>
              <w:t>Trade accounts receivable</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27,519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3,637</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assets and liabilities, net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10"/>
        </w:trPr>
        <w:tc>
          <w:tcPr>
            <w:tcW w:w="7840" w:type="dxa"/>
            <w:vAlign w:val="bottom"/>
          </w:tcPr>
          <w:p>
            <w:pPr>
              <w:ind w:left="660"/>
              <w:spacing w:after="0"/>
              <w:rPr>
                <w:sz w:val="20"/>
                <w:szCs w:val="20"/>
                <w:color w:val="auto"/>
              </w:rPr>
            </w:pPr>
            <w:r>
              <w:rPr>
                <w:rFonts w:ascii="Arial" w:cs="Arial" w:eastAsia="Arial" w:hAnsi="Arial"/>
                <w:sz w:val="16"/>
                <w:szCs w:val="16"/>
                <w:color w:val="auto"/>
              </w:rPr>
              <w:t>Other current assets and Other assets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9,982</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commissions cost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(9,965)</w:t>
            </w: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w:t>
            </w:r>
          </w:p>
        </w:tc>
      </w:tr>
      <w:tr>
        <w:trPr>
          <w:trHeight w:val="209"/>
        </w:trPr>
        <w:tc>
          <w:tcPr>
            <w:tcW w:w="784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(10,222)</w:t>
            </w:r>
          </w:p>
        </w:tc>
      </w:tr>
      <w:tr>
        <w:trPr>
          <w:trHeight w:val="214"/>
        </w:trPr>
        <w:tc>
          <w:tcPr>
            <w:tcW w:w="78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4,528</w:t>
            </w:r>
          </w:p>
        </w:tc>
      </w:tr>
      <w:tr>
        <w:trPr>
          <w:trHeight w:val="203"/>
        </w:trPr>
        <w:tc>
          <w:tcPr>
            <w:tcW w:w="78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7"/>
                <w:szCs w:val="17"/>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63,270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42,242</w:t>
            </w:r>
          </w:p>
        </w:tc>
      </w:tr>
      <w:tr>
        <w:trPr>
          <w:trHeight w:val="21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Arial" w:cs="Arial" w:eastAsia="Arial" w:hAnsi="Arial"/>
                <w:sz w:val="16"/>
                <w:szCs w:val="16"/>
                <w:color w:val="auto"/>
              </w:rPr>
              <w:t>Proceeds from maturity of short-term investments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32,800</w:t>
            </w:r>
          </w:p>
        </w:tc>
      </w:tr>
      <w:tr>
        <w:trPr>
          <w:trHeight w:val="21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property and equipment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29,138</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stock-based compensation plans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23,261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5,271</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5,271</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 changes in cash</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87,071</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397,237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296,082</w:t>
            </w: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295,807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383,153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hanging="334"/>
        <w:spacing w:after="0"/>
        <w:tabs>
          <w:tab w:leader="none" w:pos="340" w:val="left"/>
        </w:tabs>
        <w:numPr>
          <w:ilvl w:val="0"/>
          <w:numId w:val="3"/>
        </w:numPr>
        <w:rPr>
          <w:rFonts w:ascii="Arial" w:cs="Arial" w:eastAsia="Arial" w:hAnsi="Arial"/>
          <w:sz w:val="18"/>
          <w:szCs w:val="18"/>
          <w:b w:val="1"/>
          <w:bCs w:val="1"/>
          <w:color w:val="00B2A9"/>
        </w:rPr>
      </w:pPr>
      <w:r>
        <w:rPr>
          <w:rFonts w:ascii="Arial" w:cs="Arial" w:eastAsia="Arial" w:hAnsi="Arial"/>
          <w:sz w:val="18"/>
          <w:szCs w:val="18"/>
          <w:b w:val="1"/>
          <w:bCs w:val="1"/>
          <w:color w:val="00B2A9"/>
        </w:rPr>
        <w:t>Basis of Presentation</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Commvault Systems, Inc. and its subsidiaries ("Commvault," "we," "us," or "our") is a provider of data protection and information management software applications and products. We develop, market and sell a suite of software applications and services, globally, that provides our customers with data protection solutions. We also provide our customers with a broad range of professional and customer support services.</w:t>
      </w:r>
    </w:p>
    <w:p>
      <w:pPr>
        <w:spacing w:after="0" w:line="234"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consolidated financial statements of Commvault as of September 30, 2021 and for the three and six months ended September 30, 2021 and 2020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our Annual Report on Form 10-K for fiscal 2021. The results reported in these financial statements should not necessarily be taken as indicative of results that may be expected for the entire fiscal year.</w:t>
      </w:r>
    </w:p>
    <w:p>
      <w:pPr>
        <w:spacing w:after="0" w:line="15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judgments and estimates that affect the amounts reported in our consolidated financial statements and the accompanying notes. We base our estimates and judgments on historical experience and on various other assumptions that we believe are reasonable under the circumstances. The amount of assets and liabilities reported in our balance sheets and the amounts of revenues and expenses reported for each of our periods presented are affected by estimates and assumptions, which are used for, but not limited to, the accounting for revenue recognition, income taxes and related reserves and goodwill. Actual results could differ from those estimates.</w:t>
      </w:r>
    </w:p>
    <w:p>
      <w:pPr>
        <w:spacing w:after="0" w:line="200" w:lineRule="exact"/>
        <w:rPr>
          <w:sz w:val="20"/>
          <w:szCs w:val="20"/>
          <w:color w:val="auto"/>
        </w:rPr>
      </w:pPr>
    </w:p>
    <w:p>
      <w:pPr>
        <w:spacing w:after="0" w:line="334" w:lineRule="exact"/>
        <w:rPr>
          <w:sz w:val="20"/>
          <w:szCs w:val="20"/>
          <w:color w:val="auto"/>
        </w:rPr>
      </w:pPr>
    </w:p>
    <w:p>
      <w:pPr>
        <w:ind w:left="340" w:hanging="334"/>
        <w:spacing w:after="0"/>
        <w:tabs>
          <w:tab w:leader="none" w:pos="340" w:val="left"/>
        </w:tabs>
        <w:numPr>
          <w:ilvl w:val="0"/>
          <w:numId w:val="4"/>
        </w:numPr>
        <w:rPr>
          <w:rFonts w:ascii="Arial" w:cs="Arial" w:eastAsia="Arial" w:hAnsi="Arial"/>
          <w:sz w:val="18"/>
          <w:szCs w:val="18"/>
          <w:b w:val="1"/>
          <w:bCs w:val="1"/>
          <w:color w:val="00B2A9"/>
        </w:rPr>
      </w:pPr>
      <w:r>
        <w:rPr>
          <w:rFonts w:ascii="Arial" w:cs="Arial" w:eastAsia="Arial" w:hAnsi="Arial"/>
          <w:sz w:val="18"/>
          <w:szCs w:val="18"/>
          <w:b w:val="1"/>
          <w:bCs w:val="1"/>
          <w:color w:val="00B2A9"/>
        </w:rPr>
        <w:t>Summary of Significant Accounting Policies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Recently Adopted Accounting Standards</w:t>
      </w:r>
    </w:p>
    <w:p>
      <w:pPr>
        <w:spacing w:after="0" w:line="191" w:lineRule="exact"/>
        <w:rPr>
          <w:sz w:val="20"/>
          <w:szCs w:val="20"/>
          <w:color w:val="auto"/>
        </w:rPr>
      </w:pPr>
    </w:p>
    <w:p>
      <w:pPr>
        <w:ind w:left="740"/>
        <w:spacing w:after="0"/>
        <w:tabs>
          <w:tab w:leader="none" w:pos="3460" w:val="left"/>
          <w:tab w:leader="none" w:pos="6300" w:val="left"/>
          <w:tab w:leader="none" w:pos="8120" w:val="left"/>
        </w:tabs>
        <w:rPr>
          <w:sz w:val="20"/>
          <w:szCs w:val="20"/>
          <w:color w:val="auto"/>
        </w:rPr>
      </w:pPr>
      <w:r>
        <w:rPr>
          <w:rFonts w:ascii="Arial" w:cs="Arial" w:eastAsia="Arial" w:hAnsi="Arial"/>
          <w:sz w:val="18"/>
          <w:szCs w:val="18"/>
          <w:b w:val="1"/>
          <w:bCs w:val="1"/>
          <w:color w:val="auto"/>
        </w:rPr>
        <w:t>Standard</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Effective Date</w:t>
      </w:r>
      <w:r>
        <w:rPr>
          <w:sz w:val="20"/>
          <w:szCs w:val="20"/>
          <w:color w:val="auto"/>
        </w:rPr>
        <w:tab/>
      </w:r>
      <w:r>
        <w:rPr>
          <w:rFonts w:ascii="Arial" w:cs="Arial" w:eastAsia="Arial" w:hAnsi="Arial"/>
          <w:sz w:val="17"/>
          <w:szCs w:val="17"/>
          <w:b w:val="1"/>
          <w:bCs w:val="1"/>
          <w:color w:val="auto"/>
        </w:rPr>
        <w:t>Effect on the Consolidated Financial</w:t>
      </w:r>
    </w:p>
    <w:p>
      <w:pPr>
        <w:jc w:val="center"/>
        <w:ind w:left="8060"/>
        <w:spacing w:after="0" w:line="199" w:lineRule="auto"/>
        <w:rPr>
          <w:sz w:val="20"/>
          <w:szCs w:val="20"/>
          <w:color w:val="auto"/>
        </w:rPr>
      </w:pPr>
      <w:r>
        <w:rPr>
          <w:rFonts w:ascii="Arial" w:cs="Arial" w:eastAsia="Arial" w:hAnsi="Arial"/>
          <w:sz w:val="18"/>
          <w:szCs w:val="18"/>
          <w:b w:val="1"/>
          <w:bCs w:val="1"/>
          <w:color w:val="auto"/>
        </w:rPr>
        <w:t>Statements (or Other Significant</w:t>
      </w:r>
    </w:p>
    <w:p>
      <w:pPr>
        <w:spacing w:after="0" w:line="1" w:lineRule="exact"/>
        <w:rPr>
          <w:sz w:val="20"/>
          <w:szCs w:val="20"/>
          <w:color w:val="auto"/>
        </w:rPr>
      </w:pPr>
    </w:p>
    <w:p>
      <w:pPr>
        <w:jc w:val="center"/>
        <w:ind w:left="8060"/>
        <w:spacing w:after="0"/>
        <w:rPr>
          <w:sz w:val="20"/>
          <w:szCs w:val="20"/>
          <w:color w:val="auto"/>
        </w:rPr>
      </w:pPr>
      <w:r>
        <w:rPr>
          <w:rFonts w:ascii="Arial" w:cs="Arial" w:eastAsia="Arial" w:hAnsi="Arial"/>
          <w:sz w:val="18"/>
          <w:szCs w:val="18"/>
          <w:b w:val="1"/>
          <w:bCs w:val="1"/>
          <w:color w:val="auto"/>
        </w:rPr>
        <w:t>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p>
      <w:pPr>
        <w:ind w:left="20"/>
        <w:spacing w:after="0"/>
        <w:tabs>
          <w:tab w:leader="none" w:pos="2220" w:val="left"/>
        </w:tabs>
        <w:rPr>
          <w:sz w:val="20"/>
          <w:szCs w:val="20"/>
          <w:color w:val="auto"/>
        </w:rPr>
      </w:pPr>
      <w:r>
        <w:rPr>
          <w:rFonts w:ascii="Arial" w:cs="Arial" w:eastAsia="Arial" w:hAnsi="Arial"/>
          <w:sz w:val="18"/>
          <w:szCs w:val="18"/>
          <w:color w:val="auto"/>
        </w:rPr>
        <w:t>ASU No. 2019-12 (Topic</w:t>
      </w:r>
      <w:r>
        <w:rPr>
          <w:sz w:val="20"/>
          <w:szCs w:val="20"/>
          <w:color w:val="auto"/>
        </w:rPr>
        <w:tab/>
      </w:r>
      <w:r>
        <w:rPr>
          <w:rFonts w:ascii="Arial" w:cs="Arial" w:eastAsia="Arial" w:hAnsi="Arial"/>
          <w:sz w:val="17"/>
          <w:szCs w:val="17"/>
          <w:color w:val="auto"/>
        </w:rPr>
        <w:t>In December 2019, the Financial</w:t>
      </w:r>
    </w:p>
    <w:p>
      <w:pPr>
        <w:ind w:left="20"/>
        <w:spacing w:after="0" w:line="211" w:lineRule="auto"/>
        <w:tabs>
          <w:tab w:leader="none" w:pos="2220" w:val="left"/>
        </w:tabs>
        <w:rPr>
          <w:sz w:val="20"/>
          <w:szCs w:val="20"/>
          <w:color w:val="auto"/>
        </w:rPr>
      </w:pPr>
      <w:r>
        <w:rPr>
          <w:rFonts w:ascii="Arial" w:cs="Arial" w:eastAsia="Arial" w:hAnsi="Arial"/>
          <w:sz w:val="18"/>
          <w:szCs w:val="18"/>
          <w:color w:val="auto"/>
        </w:rPr>
        <w:t>740), Income Taxes</w:t>
      </w:r>
      <w:r>
        <w:rPr>
          <w:sz w:val="20"/>
          <w:szCs w:val="20"/>
          <w:color w:val="auto"/>
        </w:rPr>
        <w:tab/>
      </w:r>
      <w:r>
        <w:rPr>
          <w:rFonts w:ascii="Arial" w:cs="Arial" w:eastAsia="Arial" w:hAnsi="Arial"/>
          <w:sz w:val="17"/>
          <w:szCs w:val="17"/>
          <w:color w:val="auto"/>
        </w:rPr>
        <w:t>Accounting Standards Board ("FASB")</w:t>
      </w:r>
    </w:p>
    <w:p>
      <w:pPr>
        <w:ind w:left="2240"/>
        <w:spacing w:after="0" w:line="202" w:lineRule="auto"/>
        <w:rPr>
          <w:sz w:val="20"/>
          <w:szCs w:val="20"/>
          <w:color w:val="auto"/>
        </w:rPr>
      </w:pPr>
      <w:r>
        <w:rPr>
          <w:rFonts w:ascii="Arial" w:cs="Arial" w:eastAsia="Arial" w:hAnsi="Arial"/>
          <w:sz w:val="18"/>
          <w:szCs w:val="18"/>
          <w:color w:val="auto"/>
        </w:rPr>
        <w:t>issued a new standard to simplify the accounting for income taxes. The guidance eliminates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guidance also simplifies aspects of accounting for franchise taxes and enacted changes in tax laws or rates, and clarifies the accounting for transactions that result in a step-up in the tax basis of goodwill.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We adopted this standard as of April 1, 2021.</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standard did not have a significant impact on our financial statements.</w:t>
      </w:r>
    </w:p>
    <w:p>
      <w:pPr>
        <w:spacing w:after="0" w:line="2774" w:lineRule="exact"/>
        <w:rPr>
          <w:sz w:val="20"/>
          <w:szCs w:val="20"/>
          <w:color w:val="auto"/>
        </w:rPr>
      </w:pPr>
    </w:p>
    <w:p>
      <w:pPr>
        <w:sectPr>
          <w:pgSz w:w="11900" w:h="16838" w:orient="portrait"/>
          <w:cols w:equalWidth="0" w:num="3">
            <w:col w:w="5680" w:space="60"/>
            <w:col w:w="2240" w:space="120"/>
            <w:col w:w="3140"/>
          </w:cols>
          <w:pgMar w:left="320" w:top="2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Concentration of Credit Risk</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We grant credit to customers in a wide variety of industries worldwide and generally do not require collateral. Credit losses relating to these customers have historically been minimal.</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Sales through our distribution agreement with Arrow Enterprise Computing Solutions, Inc. (“Arrow”) totaled 34% and 36% of total revenues for the three months ended September 30, 2021 and 2020, respectively. Sales with Arrow totaled 35% and 36% of total revenues for the six months ended September 30, 2021 and 2020, respectively. Arrow accounted for approximately 25% and 33% of total accounts receivable as of September 30, 2021 and March 31, 2021, respectively.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TD SYNNEX (formerly Tech Data Corporation) accounted for approximately 13% of total accounts receivable as of September 30, 2021.</w:t>
      </w: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Equity Securities Accounted for at Net Asset Value</w:t>
      </w:r>
    </w:p>
    <w:p>
      <w:pPr>
        <w:spacing w:after="0" w:line="107"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 xml:space="preserve">We held an equity interest in a private equity fund of $2.6 million as of September 30, 2021, which is accounted for under the net asset value practical expedient as permitted under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This investment is included in Other assets in the accompanying Consolidated Balance Sheets. The net asset value of this investment is determined using quarterly capital statements from the fund, which is based on our contributions to the fund, allocation of profit and loss and changes in fair value of the underlying fund investment. Changes in fair value as reported on the capital statements will be recorded through profit and loss as non-operating income. This private equity fund focuses on making investments in key technology sectors, principally by investing in companies at expansion capital and growth equity stages. We have total unfunded commitments in private equity funds of $8.2 million as of September 30, 2021.</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Deferred Commissions Cost</w:t>
      </w:r>
    </w:p>
    <w:p>
      <w:pPr>
        <w:spacing w:after="0" w:line="107" w:lineRule="exact"/>
        <w:rPr>
          <w:sz w:val="20"/>
          <w:szCs w:val="20"/>
          <w:color w:val="auto"/>
        </w:rPr>
      </w:pPr>
    </w:p>
    <w:p>
      <w:pPr>
        <w:jc w:val="both"/>
        <w:ind w:firstLine="437"/>
        <w:spacing w:after="0" w:line="231" w:lineRule="auto"/>
        <w:rPr>
          <w:sz w:val="20"/>
          <w:szCs w:val="20"/>
          <w:color w:val="auto"/>
        </w:rPr>
      </w:pPr>
      <w:r>
        <w:rPr>
          <w:rFonts w:ascii="Arial" w:cs="Arial" w:eastAsia="Arial" w:hAnsi="Arial"/>
          <w:sz w:val="18"/>
          <w:szCs w:val="18"/>
          <w:color w:val="auto"/>
        </w:rPr>
        <w:t>Sales commissions, bonuses, and related payroll taxes earned by our employees are considered incremental and recoverable costs of obtaining a contract with a customer. Our typical contracts include performance obligations related to software licenses, software updates, customer support and other services, including software-as-a-service offerings. In these contracts, incremental costs of obtaining a contract are allocated to the performance obligations based on the relative estimated standalone selling prices and then recognized on a systematic basis that is consistent with the transfer of the goods or services to which the asset relates. We do not pay commissions on annual renewals of contracts for software updates and customer support for perpetual licenses. The costs allocated to software and products are expensed at the time of sale, when revenue for the functional software license or appliance is typically recognized. The costs allocated to software updates and customer support for perpetual licenses are amortized ratably over a period of approximately five years, the expected period of benefit of the asset capitalized. We currently estimate a period of five years is appropriate based on consideration of historical average customer life and the estimated useful life of the underlying software or appliance sold as part of the transaction.</w:t>
      </w:r>
    </w:p>
    <w:p>
      <w:pPr>
        <w:spacing w:after="0" w:line="75"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Beginning in fiscal 2022, we modified the terms of our commission plans, and as a result, the commission paid on the renewal of a term-based, or subscription software license, was not commensurate with the commission paid on the initial purchase. As a result, the cost of commissions allocated to software updates and customer support on the initial transaction are now amortized over a period of approximately five years, consistent with the accounting for these costs associated with perpetual licenses. The costs of commissions allocated to software updates and support for the renewal of term-based software licenses, is limited to the contractual period of the arrangement as we intend to pay a commensurate renewal commission upon the next renewal of the subscription license and related updates and support. This change in commission plans also resulted in a change in the estimate of the amortization period of our existing Deferred commissions cost associated with term licenses. This change in amortization period resulted in an approximately $950 and $2,050 reduction in Sales and marketing expense, than if the change in estimate did not occur, for the three and six months ended September 30, 2021, respectively.</w:t>
      </w:r>
    </w:p>
    <w:p>
      <w:pPr>
        <w:spacing w:after="0" w:line="91"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costs related to professional services are amortized over the period the related professional services are provided and revenue is recognized. Amortization expense related to these costs is included in Sales and marketing expenses in the accompanying Consolidated Statements of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hanging="334"/>
        <w:spacing w:after="0"/>
        <w:tabs>
          <w:tab w:leader="none" w:pos="340" w:val="left"/>
        </w:tabs>
        <w:numPr>
          <w:ilvl w:val="0"/>
          <w:numId w:val="5"/>
        </w:numPr>
        <w:rPr>
          <w:rFonts w:ascii="Arial" w:cs="Arial" w:eastAsia="Arial" w:hAnsi="Arial"/>
          <w:sz w:val="18"/>
          <w:szCs w:val="18"/>
          <w:b w:val="1"/>
          <w:bCs w:val="1"/>
          <w:color w:val="00B2A9"/>
        </w:rPr>
      </w:pPr>
      <w:r>
        <w:rPr>
          <w:rFonts w:ascii="Arial" w:cs="Arial" w:eastAsia="Arial" w:hAnsi="Arial"/>
          <w:sz w:val="18"/>
          <w:szCs w:val="18"/>
          <w:b w:val="1"/>
          <w:bCs w:val="1"/>
          <w:color w:val="00B2A9"/>
        </w:rPr>
        <w:t>Revenue</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revenues from two primary sources: software and products, and services. Software and products revenue includes our software and integrated appliances that combine our software with hardware. Services include customer support (software updates and technical support), consulting, assessment and design services, installation services, customer education and Commvault software-as-a-service, which is branded as Metallic.</w:t>
      </w:r>
    </w:p>
    <w:p>
      <w:pPr>
        <w:spacing w:after="0" w:line="155"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We sell both perpetual and term-based licenses of our software. We refer to our term-based software licenses as subscription arrangements. We do not customize our software and installation services are not required. The software is delivered before related services are provided and is functional without professional services, updates and technical support. We have concluded that our software licenses (both perpetual and subscription) are functional intellectual property that is distinct as the user can benefit from the software on its own. Software revenue for both perpetual and subscription licenses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subscription software licenses earlier than the beginning of the new subscription period.</w:t>
      </w:r>
    </w:p>
    <w:p>
      <w:pPr>
        <w:spacing w:after="0" w:line="15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18"/>
          <w:szCs w:val="18"/>
          <w:color w:val="auto"/>
        </w:rPr>
        <w:t>We also sell appliances that integrate our software with hardware and address a wide-range of business needs and use cases, ranging from support for remote or branch offices with limited IT staff up to large corporate data centers. Revenue related to appliances is recognized when control of the appliances passes to the customer; typically upon delivery. In the second half of fiscal 2021 we began transitioning to a software only model in which we sell software to a third party, which assembles an integrated appliance that is sold to end user customers. As a result, we expect the revenue and costs associated with hardware will decline from recent fiscal years.</w:t>
      </w:r>
    </w:p>
    <w:p>
      <w:pPr>
        <w:spacing w:after="0" w:line="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Services revenue includes revenue from customer support and other professional services. Customer support includes software updates on a when-and-if-available basis, telephone support, integrated web-based support and bug fixes or patches. We sell our customer support contracts as a percentage of net software purchases the support is related to. Customer support revenue is recognized ratably over the term of the customer support agreement, which is typically one year on our perpetual licenses. The term of our subscription arrangements is typically three years.</w:t>
      </w:r>
    </w:p>
    <w:p>
      <w:pPr>
        <w:spacing w:after="0" w:line="233"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Our other professional services include consulting, assessment and design services, installation services and customer education. Customer education services include courses taught by our instructors or third-party contractors. Revenue related to other professional services and customer education services is typically recognized as the services are performed.</w:t>
      </w:r>
    </w:p>
    <w:p>
      <w:pPr>
        <w:spacing w:after="0" w:line="233" w:lineRule="exact"/>
        <w:rPr>
          <w:sz w:val="20"/>
          <w:szCs w:val="20"/>
          <w:color w:val="auto"/>
        </w:rPr>
      </w:pPr>
    </w:p>
    <w:p>
      <w:pPr>
        <w:jc w:val="both"/>
        <w:ind w:firstLine="636"/>
        <w:spacing w:after="0" w:line="251" w:lineRule="auto"/>
        <w:rPr>
          <w:sz w:val="20"/>
          <w:szCs w:val="20"/>
          <w:color w:val="auto"/>
        </w:rPr>
      </w:pPr>
      <w:r>
        <w:rPr>
          <w:rFonts w:ascii="Arial" w:cs="Arial" w:eastAsia="Arial" w:hAnsi="Arial"/>
          <w:sz w:val="18"/>
          <w:szCs w:val="18"/>
          <w:color w:val="auto"/>
        </w:rPr>
        <w:t>In fiscal 2020 Commvault launched Metallic, which is a Commvault software-as-a-service offering. Revenue from Metallic is recognized ratably as services revenue.</w:t>
      </w:r>
    </w:p>
    <w:p>
      <w:pPr>
        <w:spacing w:after="0" w:line="230"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software is typically estimated using the residual approach. Standalone selling prices of services are typically estimated based on observable transactions when these services are sold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typical performance obligations include the following:</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60" w:type="dxa"/>
            <w:vAlign w:val="bottom"/>
          </w:tcPr>
          <w:p>
            <w:pPr>
              <w:ind w:left="260"/>
              <w:spacing w:after="0"/>
              <w:rPr>
                <w:sz w:val="20"/>
                <w:szCs w:val="20"/>
                <w:color w:val="auto"/>
              </w:rPr>
            </w:pPr>
            <w:r>
              <w:rPr>
                <w:rFonts w:ascii="Arial" w:cs="Arial" w:eastAsia="Arial" w:hAnsi="Arial"/>
                <w:sz w:val="14"/>
                <w:szCs w:val="14"/>
                <w:b w:val="1"/>
                <w:bCs w:val="1"/>
                <w:color w:val="auto"/>
              </w:rPr>
              <w:t>Performance Obligation</w:t>
            </w:r>
          </w:p>
        </w:tc>
        <w:tc>
          <w:tcPr>
            <w:tcW w:w="3820" w:type="dxa"/>
            <w:vAlign w:val="bottom"/>
          </w:tcPr>
          <w:p>
            <w:pPr>
              <w:ind w:left="940"/>
              <w:spacing w:after="0"/>
              <w:rPr>
                <w:sz w:val="20"/>
                <w:szCs w:val="20"/>
                <w:color w:val="auto"/>
              </w:rPr>
            </w:pPr>
            <w:r>
              <w:rPr>
                <w:rFonts w:ascii="Arial" w:cs="Arial" w:eastAsia="Arial" w:hAnsi="Arial"/>
                <w:sz w:val="14"/>
                <w:szCs w:val="14"/>
                <w:b w:val="1"/>
                <w:bCs w:val="1"/>
                <w:color w:val="auto"/>
              </w:rPr>
              <w:t>When Performance Obligation</w:t>
            </w:r>
          </w:p>
        </w:tc>
        <w:tc>
          <w:tcPr>
            <w:tcW w:w="2440" w:type="dxa"/>
            <w:vAlign w:val="bottom"/>
          </w:tcPr>
          <w:p>
            <w:pPr>
              <w:ind w:left="680"/>
              <w:spacing w:after="0"/>
              <w:rPr>
                <w:sz w:val="20"/>
                <w:szCs w:val="20"/>
                <w:color w:val="auto"/>
              </w:rPr>
            </w:pPr>
            <w:r>
              <w:rPr>
                <w:rFonts w:ascii="Arial" w:cs="Arial" w:eastAsia="Arial" w:hAnsi="Arial"/>
                <w:sz w:val="14"/>
                <w:szCs w:val="14"/>
                <w:b w:val="1"/>
                <w:bCs w:val="1"/>
                <w:color w:val="auto"/>
              </w:rPr>
              <w:t>When Payment is</w:t>
            </w:r>
          </w:p>
        </w:tc>
        <w:tc>
          <w:tcPr>
            <w:tcW w:w="2880" w:type="dxa"/>
            <w:vAlign w:val="bottom"/>
          </w:tcPr>
          <w:p>
            <w:pPr>
              <w:ind w:left="400"/>
              <w:spacing w:after="0"/>
              <w:rPr>
                <w:sz w:val="20"/>
                <w:szCs w:val="20"/>
                <w:color w:val="auto"/>
              </w:rPr>
            </w:pPr>
            <w:r>
              <w:rPr>
                <w:rFonts w:ascii="Arial" w:cs="Arial" w:eastAsia="Arial" w:hAnsi="Arial"/>
                <w:sz w:val="14"/>
                <w:szCs w:val="14"/>
                <w:b w:val="1"/>
                <w:bCs w:val="1"/>
                <w:color w:val="auto"/>
              </w:rPr>
              <w:t>How Standalone Selling Price is</w:t>
            </w:r>
          </w:p>
        </w:tc>
      </w:tr>
      <w:tr>
        <w:trPr>
          <w:trHeight w:val="172"/>
        </w:trPr>
        <w:tc>
          <w:tcPr>
            <w:tcW w:w="206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is Typically Satisfied</w:t>
            </w:r>
          </w:p>
        </w:tc>
        <w:tc>
          <w:tcPr>
            <w:tcW w:w="24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Typically Due</w:t>
            </w:r>
          </w:p>
        </w:tc>
        <w:tc>
          <w:tcPr>
            <w:tcW w:w="28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Typically Estimated</w:t>
            </w:r>
          </w:p>
        </w:tc>
      </w:tr>
      <w:tr>
        <w:trPr>
          <w:trHeight w:val="205"/>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Software and Products Revenue</w:t>
            </w: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Licenses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Upon shipment or made available for download</w:t>
            </w:r>
          </w:p>
        </w:tc>
        <w:tc>
          <w:tcPr>
            <w:tcW w:w="5320" w:type="dxa"/>
            <w:vAlign w:val="bottom"/>
            <w:gridSpan w:val="2"/>
          </w:tcPr>
          <w:p>
            <w:pPr>
              <w:ind w:left="40"/>
              <w:spacing w:after="0" w:line="175" w:lineRule="exact"/>
              <w:rPr>
                <w:sz w:val="20"/>
                <w:szCs w:val="20"/>
                <w:color w:val="auto"/>
              </w:rPr>
            </w:pPr>
            <w:r>
              <w:rPr>
                <w:rFonts w:ascii="Arial" w:cs="Arial" w:eastAsia="Arial" w:hAnsi="Arial"/>
                <w:sz w:val="16"/>
                <w:szCs w:val="16"/>
                <w:color w:val="auto"/>
              </w:rPr>
              <w:t>Within 90 days of shipment except Residual approach</w:t>
            </w:r>
          </w:p>
        </w:tc>
      </w:tr>
      <w:tr>
        <w:trPr>
          <w:trHeight w:val="159"/>
        </w:trPr>
        <w:tc>
          <w:tcPr>
            <w:tcW w:w="2060" w:type="dxa"/>
            <w:vAlign w:val="bottom"/>
          </w:tcPr>
          <w:p>
            <w:pPr>
              <w:spacing w:after="0"/>
              <w:rPr>
                <w:sz w:val="13"/>
                <w:szCs w:val="13"/>
                <w:color w:val="auto"/>
              </w:rPr>
            </w:pPr>
          </w:p>
        </w:tc>
        <w:tc>
          <w:tcPr>
            <w:tcW w:w="3820" w:type="dxa"/>
            <w:vAlign w:val="bottom"/>
          </w:tcPr>
          <w:p>
            <w:pPr>
              <w:ind w:left="80"/>
              <w:spacing w:after="0" w:line="159" w:lineRule="exact"/>
              <w:rPr>
                <w:sz w:val="20"/>
                <w:szCs w:val="20"/>
                <w:color w:val="auto"/>
              </w:rPr>
            </w:pPr>
            <w:r>
              <w:rPr>
                <w:rFonts w:ascii="Arial" w:cs="Arial" w:eastAsia="Arial" w:hAnsi="Arial"/>
                <w:sz w:val="16"/>
                <w:szCs w:val="16"/>
                <w:color w:val="auto"/>
              </w:rPr>
              <w:t>(point in time)</w:t>
            </w:r>
          </w:p>
        </w:tc>
        <w:tc>
          <w:tcPr>
            <w:tcW w:w="2440" w:type="dxa"/>
            <w:vAlign w:val="bottom"/>
          </w:tcPr>
          <w:p>
            <w:pPr>
              <w:ind w:left="40"/>
              <w:spacing w:after="0" w:line="159" w:lineRule="exact"/>
              <w:rPr>
                <w:sz w:val="20"/>
                <w:szCs w:val="20"/>
                <w:color w:val="auto"/>
              </w:rPr>
            </w:pPr>
            <w:r>
              <w:rPr>
                <w:rFonts w:ascii="Arial" w:cs="Arial" w:eastAsia="Arial" w:hAnsi="Arial"/>
                <w:sz w:val="16"/>
                <w:szCs w:val="16"/>
                <w:color w:val="auto"/>
              </w:rPr>
              <w:t>for certain subscription licenses</w:t>
            </w:r>
          </w:p>
        </w:tc>
        <w:tc>
          <w:tcPr>
            <w:tcW w:w="2880" w:type="dxa"/>
            <w:vAlign w:val="bottom"/>
          </w:tcPr>
          <w:p>
            <w:pPr>
              <w:spacing w:after="0"/>
              <w:rPr>
                <w:sz w:val="13"/>
                <w:szCs w:val="13"/>
                <w:color w:val="auto"/>
              </w:rPr>
            </w:pP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which are paid for over time</w:t>
            </w:r>
          </w:p>
        </w:tc>
        <w:tc>
          <w:tcPr>
            <w:tcW w:w="2880" w:type="dxa"/>
            <w:vAlign w:val="bottom"/>
          </w:tcPr>
          <w:p>
            <w:pPr>
              <w:spacing w:after="0"/>
              <w:rPr>
                <w:sz w:val="16"/>
                <w:szCs w:val="16"/>
                <w:color w:val="auto"/>
              </w:rPr>
            </w:pPr>
          </w:p>
        </w:tc>
      </w:tr>
      <w:tr>
        <w:trPr>
          <w:trHeight w:val="214"/>
        </w:trPr>
        <w:tc>
          <w:tcPr>
            <w:tcW w:w="20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Customer Support Revenue</w:t>
            </w:r>
          </w:p>
        </w:tc>
        <w:tc>
          <w:tcPr>
            <w:tcW w:w="38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Software Updates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At the beginning of the contract</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renewal transactions</w:t>
            </w:r>
          </w:p>
        </w:tc>
      </w:tr>
      <w:tr>
        <w:trPr>
          <w:trHeight w:val="194"/>
        </w:trPr>
        <w:tc>
          <w:tcPr>
            <w:tcW w:w="206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6"/>
                <w:szCs w:val="16"/>
                <w:color w:val="auto"/>
              </w:rPr>
              <w:t>time)</w:t>
            </w:r>
          </w:p>
        </w:tc>
        <w:tc>
          <w:tcPr>
            <w:tcW w:w="2440" w:type="dxa"/>
            <w:vAlign w:val="bottom"/>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tcPr>
          <w:p>
            <w:pPr>
              <w:spacing w:after="0"/>
              <w:rPr>
                <w:sz w:val="16"/>
                <w:szCs w:val="16"/>
                <w:color w:val="auto"/>
              </w:rPr>
            </w:pP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Customer Support</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w w:val="99"/>
              </w:rPr>
              <w:t>Ratably over the course of the support contract (over</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At the beginning of the contract</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renewal transactions</w:t>
            </w:r>
          </w:p>
        </w:tc>
      </w:tr>
      <w:tr>
        <w:trPr>
          <w:trHeight w:val="197"/>
        </w:trPr>
        <w:tc>
          <w:tcPr>
            <w:tcW w:w="2060" w:type="dxa"/>
            <w:vAlign w:val="bottom"/>
            <w:shd w:val="clear" w:color="auto" w:fill="CCEEFF"/>
          </w:tcPr>
          <w:p>
            <w:pPr>
              <w:spacing w:after="0"/>
              <w:rPr>
                <w:sz w:val="17"/>
                <w:szCs w:val="17"/>
                <w:color w:val="auto"/>
              </w:rPr>
            </w:pPr>
          </w:p>
        </w:tc>
        <w:tc>
          <w:tcPr>
            <w:tcW w:w="3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time)</w:t>
            </w:r>
          </w:p>
        </w:tc>
        <w:tc>
          <w:tcPr>
            <w:tcW w:w="2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2880" w:type="dxa"/>
            <w:vAlign w:val="bottom"/>
            <w:shd w:val="clear" w:color="auto" w:fill="CCEEFF"/>
          </w:tcPr>
          <w:p>
            <w:pPr>
              <w:spacing w:after="0"/>
              <w:rPr>
                <w:sz w:val="17"/>
                <w:szCs w:val="17"/>
                <w:color w:val="auto"/>
              </w:rPr>
            </w:pPr>
          </w:p>
        </w:tc>
      </w:tr>
      <w:tr>
        <w:trPr>
          <w:trHeight w:val="210"/>
        </w:trPr>
        <w:tc>
          <w:tcPr>
            <w:tcW w:w="2060" w:type="dxa"/>
            <w:vAlign w:val="bottom"/>
          </w:tcPr>
          <w:p>
            <w:pPr>
              <w:ind w:left="20"/>
              <w:spacing w:after="0"/>
              <w:rPr>
                <w:sz w:val="20"/>
                <w:szCs w:val="20"/>
                <w:color w:val="auto"/>
              </w:rPr>
            </w:pPr>
            <w:r>
              <w:rPr>
                <w:rFonts w:ascii="Arial" w:cs="Arial" w:eastAsia="Arial" w:hAnsi="Arial"/>
                <w:sz w:val="16"/>
                <w:szCs w:val="16"/>
                <w:i w:val="1"/>
                <w:iCs w:val="1"/>
                <w:color w:val="auto"/>
              </w:rPr>
              <w:t>Other Services Revenue</w:t>
            </w:r>
          </w:p>
        </w:tc>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76"/>
        </w:trPr>
        <w:tc>
          <w:tcPr>
            <w:tcW w:w="206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Other Professional</w:t>
            </w:r>
          </w:p>
        </w:tc>
        <w:tc>
          <w:tcPr>
            <w:tcW w:w="3820" w:type="dxa"/>
            <w:vAlign w:val="bottom"/>
            <w:shd w:val="clear" w:color="auto" w:fill="CCEEFF"/>
          </w:tcPr>
          <w:p>
            <w:pPr>
              <w:ind w:left="80"/>
              <w:spacing w:after="0" w:line="176" w:lineRule="exact"/>
              <w:rPr>
                <w:sz w:val="20"/>
                <w:szCs w:val="20"/>
                <w:color w:val="auto"/>
              </w:rPr>
            </w:pPr>
            <w:r>
              <w:rPr>
                <w:rFonts w:ascii="Arial" w:cs="Arial" w:eastAsia="Arial" w:hAnsi="Arial"/>
                <w:sz w:val="16"/>
                <w:szCs w:val="16"/>
                <w:color w:val="auto"/>
              </w:rPr>
              <w:t>As work is performed (over time)</w:t>
            </w:r>
          </w:p>
        </w:tc>
        <w:tc>
          <w:tcPr>
            <w:tcW w:w="2440" w:type="dxa"/>
            <w:vAlign w:val="bottom"/>
            <w:shd w:val="clear" w:color="auto" w:fill="CCEEFF"/>
          </w:tcPr>
          <w:p>
            <w:pPr>
              <w:ind w:left="40"/>
              <w:spacing w:after="0" w:line="176" w:lineRule="exact"/>
              <w:rPr>
                <w:sz w:val="20"/>
                <w:szCs w:val="20"/>
                <w:color w:val="auto"/>
              </w:rPr>
            </w:pPr>
            <w:r>
              <w:rPr>
                <w:rFonts w:ascii="Arial" w:cs="Arial" w:eastAsia="Arial" w:hAnsi="Arial"/>
                <w:sz w:val="16"/>
                <w:szCs w:val="16"/>
                <w:color w:val="auto"/>
              </w:rPr>
              <w:t>Within 90 days of services being</w:t>
            </w:r>
          </w:p>
        </w:tc>
        <w:tc>
          <w:tcPr>
            <w:tcW w:w="2880" w:type="dxa"/>
            <w:vAlign w:val="bottom"/>
            <w:shd w:val="clear" w:color="auto" w:fill="CCEEFF"/>
          </w:tcPr>
          <w:p>
            <w:pPr>
              <w:ind w:left="100"/>
              <w:spacing w:after="0" w:line="176" w:lineRule="exact"/>
              <w:rPr>
                <w:sz w:val="20"/>
                <w:szCs w:val="20"/>
                <w:color w:val="auto"/>
              </w:rPr>
            </w:pPr>
            <w:r>
              <w:rPr>
                <w:rFonts w:ascii="Arial" w:cs="Arial" w:eastAsia="Arial" w:hAnsi="Arial"/>
                <w:sz w:val="16"/>
                <w:szCs w:val="16"/>
                <w:color w:val="auto"/>
              </w:rPr>
              <w:t>Observable in transactions without</w:t>
            </w:r>
          </w:p>
        </w:tc>
      </w:tr>
      <w:tr>
        <w:trPr>
          <w:trHeight w:val="159"/>
        </w:trPr>
        <w:tc>
          <w:tcPr>
            <w:tcW w:w="2060" w:type="dxa"/>
            <w:vAlign w:val="bottom"/>
            <w:shd w:val="clear" w:color="auto" w:fill="CCEEFF"/>
          </w:tcPr>
          <w:p>
            <w:pPr>
              <w:ind w:left="140"/>
              <w:spacing w:after="0" w:line="159" w:lineRule="exact"/>
              <w:rPr>
                <w:sz w:val="20"/>
                <w:szCs w:val="20"/>
                <w:color w:val="auto"/>
              </w:rPr>
            </w:pPr>
            <w:r>
              <w:rPr>
                <w:rFonts w:ascii="Arial" w:cs="Arial" w:eastAsia="Arial" w:hAnsi="Arial"/>
                <w:sz w:val="16"/>
                <w:szCs w:val="16"/>
                <w:color w:val="auto"/>
              </w:rPr>
              <w:t>Services (except for</w:t>
            </w:r>
          </w:p>
        </w:tc>
        <w:tc>
          <w:tcPr>
            <w:tcW w:w="3820" w:type="dxa"/>
            <w:vAlign w:val="bottom"/>
            <w:shd w:val="clear" w:color="auto" w:fill="CCEEFF"/>
          </w:tcPr>
          <w:p>
            <w:pPr>
              <w:spacing w:after="0"/>
              <w:rPr>
                <w:sz w:val="13"/>
                <w:szCs w:val="13"/>
                <w:color w:val="auto"/>
              </w:rPr>
            </w:pPr>
          </w:p>
        </w:tc>
        <w:tc>
          <w:tcPr>
            <w:tcW w:w="2440" w:type="dxa"/>
            <w:vAlign w:val="bottom"/>
            <w:shd w:val="clear" w:color="auto" w:fill="CCEEFF"/>
          </w:tcPr>
          <w:p>
            <w:pPr>
              <w:ind w:left="40"/>
              <w:spacing w:after="0" w:line="159" w:lineRule="exact"/>
              <w:rPr>
                <w:sz w:val="20"/>
                <w:szCs w:val="20"/>
                <w:color w:val="auto"/>
              </w:rPr>
            </w:pPr>
            <w:r>
              <w:rPr>
                <w:rFonts w:ascii="Arial" w:cs="Arial" w:eastAsia="Arial" w:hAnsi="Arial"/>
                <w:sz w:val="16"/>
                <w:szCs w:val="16"/>
                <w:color w:val="auto"/>
              </w:rPr>
              <w:t>performed</w:t>
            </w:r>
          </w:p>
        </w:tc>
        <w:tc>
          <w:tcPr>
            <w:tcW w:w="2880" w:type="dxa"/>
            <w:vAlign w:val="bottom"/>
            <w:shd w:val="clear" w:color="auto" w:fill="CCEEFF"/>
          </w:tcPr>
          <w:p>
            <w:pPr>
              <w:ind w:left="100"/>
              <w:spacing w:after="0" w:line="159" w:lineRule="exact"/>
              <w:rPr>
                <w:sz w:val="20"/>
                <w:szCs w:val="20"/>
                <w:color w:val="auto"/>
              </w:rPr>
            </w:pPr>
            <w:r>
              <w:rPr>
                <w:rFonts w:ascii="Arial" w:cs="Arial" w:eastAsia="Arial" w:hAnsi="Arial"/>
                <w:sz w:val="16"/>
                <w:szCs w:val="16"/>
                <w:color w:val="auto"/>
              </w:rPr>
              <w:t>multiple performance obligations</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education services)</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r>
      <w:tr>
        <w:trPr>
          <w:trHeight w:val="174"/>
        </w:trPr>
        <w:tc>
          <w:tcPr>
            <w:tcW w:w="2060" w:type="dxa"/>
            <w:vAlign w:val="bottom"/>
          </w:tcPr>
          <w:p>
            <w:pPr>
              <w:ind w:left="140"/>
              <w:spacing w:after="0" w:line="175" w:lineRule="exact"/>
              <w:rPr>
                <w:sz w:val="20"/>
                <w:szCs w:val="20"/>
                <w:color w:val="auto"/>
              </w:rPr>
            </w:pPr>
            <w:r>
              <w:rPr>
                <w:rFonts w:ascii="Arial" w:cs="Arial" w:eastAsia="Arial" w:hAnsi="Arial"/>
                <w:sz w:val="16"/>
                <w:szCs w:val="16"/>
                <w:color w:val="auto"/>
              </w:rPr>
              <w:t>Education Services</w:t>
            </w:r>
          </w:p>
        </w:tc>
        <w:tc>
          <w:tcPr>
            <w:tcW w:w="3820" w:type="dxa"/>
            <w:vAlign w:val="bottom"/>
          </w:tcPr>
          <w:p>
            <w:pPr>
              <w:ind w:left="80"/>
              <w:spacing w:after="0" w:line="175" w:lineRule="exact"/>
              <w:rPr>
                <w:sz w:val="20"/>
                <w:szCs w:val="20"/>
                <w:color w:val="auto"/>
              </w:rPr>
            </w:pPr>
            <w:r>
              <w:rPr>
                <w:rFonts w:ascii="Arial" w:cs="Arial" w:eastAsia="Arial" w:hAnsi="Arial"/>
                <w:sz w:val="16"/>
                <w:szCs w:val="16"/>
                <w:color w:val="auto"/>
              </w:rPr>
              <w:t>When the class is taught (point in time)</w:t>
            </w:r>
          </w:p>
        </w:tc>
        <w:tc>
          <w:tcPr>
            <w:tcW w:w="2440" w:type="dxa"/>
            <w:vAlign w:val="bottom"/>
          </w:tcPr>
          <w:p>
            <w:pPr>
              <w:ind w:left="40"/>
              <w:spacing w:after="0" w:line="175" w:lineRule="exact"/>
              <w:rPr>
                <w:sz w:val="20"/>
                <w:szCs w:val="20"/>
                <w:color w:val="auto"/>
              </w:rPr>
            </w:pPr>
            <w:r>
              <w:rPr>
                <w:rFonts w:ascii="Arial" w:cs="Arial" w:eastAsia="Arial" w:hAnsi="Arial"/>
                <w:sz w:val="16"/>
                <w:szCs w:val="16"/>
                <w:color w:val="auto"/>
              </w:rPr>
              <w:t>Within 90 days of services being</w:t>
            </w:r>
          </w:p>
        </w:tc>
        <w:tc>
          <w:tcPr>
            <w:tcW w:w="2880" w:type="dxa"/>
            <w:vAlign w:val="bottom"/>
          </w:tcPr>
          <w:p>
            <w:pPr>
              <w:ind w:left="100"/>
              <w:spacing w:after="0" w:line="175" w:lineRule="exact"/>
              <w:rPr>
                <w:sz w:val="20"/>
                <w:szCs w:val="20"/>
                <w:color w:val="auto"/>
              </w:rPr>
            </w:pPr>
            <w:r>
              <w:rPr>
                <w:rFonts w:ascii="Arial" w:cs="Arial" w:eastAsia="Arial" w:hAnsi="Arial"/>
                <w:sz w:val="16"/>
                <w:szCs w:val="16"/>
                <w:color w:val="auto"/>
              </w:rPr>
              <w:t>Observable in transactions without</w:t>
            </w:r>
          </w:p>
        </w:tc>
      </w:tr>
      <w:tr>
        <w:trPr>
          <w:trHeight w:val="194"/>
        </w:trPr>
        <w:tc>
          <w:tcPr>
            <w:tcW w:w="20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Arial" w:cs="Arial" w:eastAsia="Arial" w:hAnsi="Arial"/>
                <w:sz w:val="16"/>
                <w:szCs w:val="16"/>
                <w:color w:val="auto"/>
              </w:rPr>
              <w:t>performed</w:t>
            </w:r>
          </w:p>
        </w:tc>
        <w:tc>
          <w:tcPr>
            <w:tcW w:w="2880" w:type="dxa"/>
            <w:vAlign w:val="bottom"/>
          </w:tcPr>
          <w:p>
            <w:pPr>
              <w:ind w:left="100"/>
              <w:spacing w:after="0"/>
              <w:rPr>
                <w:sz w:val="20"/>
                <w:szCs w:val="20"/>
                <w:color w:val="auto"/>
              </w:rPr>
            </w:pPr>
            <w:r>
              <w:rPr>
                <w:rFonts w:ascii="Arial" w:cs="Arial" w:eastAsia="Arial" w:hAnsi="Arial"/>
                <w:sz w:val="16"/>
                <w:szCs w:val="16"/>
                <w:color w:val="auto"/>
              </w:rPr>
              <w:t>multiple performance obligations</w:t>
            </w:r>
          </w:p>
        </w:tc>
      </w:tr>
      <w:tr>
        <w:trPr>
          <w:trHeight w:val="177"/>
        </w:trPr>
        <w:tc>
          <w:tcPr>
            <w:tcW w:w="20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Software-as-a-service</w:t>
            </w:r>
          </w:p>
        </w:tc>
        <w:tc>
          <w:tcPr>
            <w:tcW w:w="3820" w:type="dxa"/>
            <w:vAlign w:val="bottom"/>
            <w:shd w:val="clear" w:color="auto" w:fill="CCEEFF"/>
          </w:tcPr>
          <w:p>
            <w:pPr>
              <w:ind w:left="80"/>
              <w:spacing w:after="0" w:line="177" w:lineRule="exact"/>
              <w:rPr>
                <w:sz w:val="20"/>
                <w:szCs w:val="20"/>
                <w:color w:val="auto"/>
              </w:rPr>
            </w:pPr>
            <w:r>
              <w:rPr>
                <w:rFonts w:ascii="Arial" w:cs="Arial" w:eastAsia="Arial" w:hAnsi="Arial"/>
                <w:sz w:val="16"/>
                <w:szCs w:val="16"/>
                <w:color w:val="auto"/>
              </w:rPr>
              <w:t>Ratably over the course of the contract (over time)</w:t>
            </w:r>
          </w:p>
        </w:tc>
        <w:tc>
          <w:tcPr>
            <w:tcW w:w="2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Annual or monthly payments</w:t>
            </w:r>
          </w:p>
        </w:tc>
        <w:tc>
          <w:tcPr>
            <w:tcW w:w="28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Observable in transactions without</w:t>
            </w:r>
          </w:p>
        </w:tc>
      </w:tr>
      <w:tr>
        <w:trPr>
          <w:trHeight w:val="197"/>
        </w:trPr>
        <w:tc>
          <w:tcPr>
            <w:tcW w:w="2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(Metallic)</w:t>
            </w:r>
          </w:p>
        </w:tc>
        <w:tc>
          <w:tcPr>
            <w:tcW w:w="38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multiple performance obligations</w:t>
            </w:r>
          </w:p>
        </w:tc>
      </w:tr>
    </w:tbl>
    <w:p>
      <w:pPr>
        <w:spacing w:after="0" w:line="31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Disaggregation of Revenue</w:t>
      </w:r>
    </w:p>
    <w:p>
      <w:pPr>
        <w:spacing w:after="0" w:line="262"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We disaggregate revenue from contracts with customers into the nature of the products and services and geographical regions. The geographic regions that are tracked are the Americas (United States, Canada, Latin America), EMEA (Europe, Middle East, Africa) and APJ (Australia, New Zealand, Southeast Asia, China). We operate in one segment.</w:t>
      </w:r>
    </w:p>
    <w:p>
      <w:pPr>
        <w:spacing w:after="0" w:line="96"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6"/>
                <w:szCs w:val="16"/>
                <w:b w:val="1"/>
                <w:bCs w:val="1"/>
                <w:color w:val="auto"/>
              </w:rPr>
              <w:t>Three Months Ended September 30, 2021</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44,185</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22,280</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8,796</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75,261</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51,207</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26,288</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9,958</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87,453</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9,393</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15,126</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104,785</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52,682</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20,373</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177,840</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6"/>
                <w:szCs w:val="16"/>
                <w:b w:val="1"/>
                <w:bCs w:val="1"/>
                <w:color w:val="auto"/>
              </w:rPr>
              <w:t>Three Months Ended September 30, 2020</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Americas</w:t>
            </w: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EMEA</w:t>
            </w: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1300" w:type="dxa"/>
            <w:vAlign w:val="bottom"/>
            <w:shd w:val="clear" w:color="auto" w:fill="CCEEFF"/>
          </w:tcPr>
          <w:p>
            <w:pPr>
              <w:jc w:val="right"/>
              <w:ind w:right="112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39,241</w:t>
            </w:r>
          </w:p>
        </w:tc>
        <w:tc>
          <w:tcPr>
            <w:tcW w:w="1260" w:type="dxa"/>
            <w:vAlign w:val="bottom"/>
            <w:shd w:val="clear" w:color="auto" w:fill="CCEEFF"/>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22,063</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72,309</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54,177</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24,911</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10,359</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89,447</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1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4,794</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9,383</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1300" w:type="dxa"/>
            <w:vAlign w:val="bottom"/>
            <w:tcBorders>
              <w:bottom w:val="single" w:sz="8" w:color="auto"/>
            </w:tcBorders>
          </w:tcPr>
          <w:p>
            <w:pPr>
              <w:jc w:val="right"/>
              <w:ind w:right="112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98,212</w:t>
            </w:r>
          </w:p>
        </w:tc>
        <w:tc>
          <w:tcPr>
            <w:tcW w:w="126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50,058</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22,869</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171,139</w:t>
            </w:r>
          </w:p>
        </w:tc>
      </w:tr>
      <w:tr>
        <w:trPr>
          <w:trHeight w:val="20"/>
        </w:trPr>
        <w:tc>
          <w:tcPr>
            <w:tcW w:w="3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6"/>
                <w:szCs w:val="16"/>
                <w:b w:val="1"/>
                <w:bCs w:val="1"/>
                <w:color w:val="auto"/>
              </w:rPr>
              <w:t>Six Months Ended September 30, 2021</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95,972</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43,621</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17,830</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157,423</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103,081</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53,062</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20,279</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176,422</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16,703</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7,542</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27,416</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215,756</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104,225</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41,280</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361,261</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3"/>
          </w:tcPr>
          <w:p>
            <w:pPr>
              <w:jc w:val="right"/>
              <w:ind w:right="301"/>
              <w:spacing w:after="0"/>
              <w:rPr>
                <w:sz w:val="20"/>
                <w:szCs w:val="20"/>
                <w:color w:val="auto"/>
              </w:rPr>
            </w:pPr>
            <w:r>
              <w:rPr>
                <w:rFonts w:ascii="Arial" w:cs="Arial" w:eastAsia="Arial" w:hAnsi="Arial"/>
                <w:sz w:val="16"/>
                <w:szCs w:val="16"/>
                <w:b w:val="1"/>
                <w:bCs w:val="1"/>
                <w:color w:val="auto"/>
              </w:rPr>
              <w:t>Six Months Ended September 30, 2020</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8"/>
        </w:trPr>
        <w:tc>
          <w:tcPr>
            <w:tcW w:w="30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Americas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EMEA</w:t>
            </w: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APJ</w:t>
            </w: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Total</w:t>
            </w:r>
          </w:p>
        </w:tc>
      </w:tr>
      <w:tr>
        <w:trPr>
          <w:trHeight w:val="205"/>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Software and Products Revenue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89,886</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40,858</w:t>
            </w: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4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148,863</w:t>
            </w:r>
          </w:p>
        </w:tc>
      </w:tr>
      <w:tr>
        <w:trPr>
          <w:trHeight w:val="210"/>
        </w:trPr>
        <w:tc>
          <w:tcPr>
            <w:tcW w:w="3080" w:type="dxa"/>
            <w:vAlign w:val="bottom"/>
          </w:tcPr>
          <w:p>
            <w:pPr>
              <w:spacing w:after="0"/>
              <w:rPr>
                <w:sz w:val="20"/>
                <w:szCs w:val="20"/>
                <w:color w:val="auto"/>
              </w:rPr>
            </w:pPr>
            <w:r>
              <w:rPr>
                <w:rFonts w:ascii="Arial" w:cs="Arial" w:eastAsia="Arial" w:hAnsi="Arial"/>
                <w:sz w:val="16"/>
                <w:szCs w:val="16"/>
                <w:color w:val="auto"/>
              </w:rPr>
              <w:t>Customer Support Revenue</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109,415</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48,221</w:t>
            </w:r>
          </w:p>
        </w:tc>
        <w:tc>
          <w:tcPr>
            <w:tcW w:w="4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20,454</w:t>
            </w:r>
          </w:p>
        </w:tc>
        <w:tc>
          <w:tcPr>
            <w:tcW w:w="46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178,090</w:t>
            </w:r>
          </w:p>
        </w:tc>
      </w:tr>
      <w:tr>
        <w:trPr>
          <w:trHeight w:val="212"/>
        </w:trPr>
        <w:tc>
          <w:tcPr>
            <w:tcW w:w="3080" w:type="dxa"/>
            <w:vAlign w:val="bottom"/>
            <w:shd w:val="clear" w:color="auto" w:fill="CCEEFF"/>
          </w:tcPr>
          <w:p>
            <w:pPr>
              <w:spacing w:after="0"/>
              <w:rPr>
                <w:sz w:val="20"/>
                <w:szCs w:val="20"/>
                <w:color w:val="auto"/>
              </w:rPr>
            </w:pPr>
            <w:r>
              <w:rPr>
                <w:rFonts w:ascii="Arial" w:cs="Arial" w:eastAsia="Arial" w:hAnsi="Arial"/>
                <w:sz w:val="16"/>
                <w:szCs w:val="16"/>
                <w:color w:val="auto"/>
              </w:rPr>
              <w:t>Other Services Revenue</w:t>
            </w:r>
          </w:p>
        </w:tc>
        <w:tc>
          <w:tcPr>
            <w:tcW w:w="3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8,907</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4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17,186</w:t>
            </w:r>
          </w:p>
        </w:tc>
      </w:tr>
      <w:tr>
        <w:trPr>
          <w:trHeight w:val="208"/>
        </w:trPr>
        <w:tc>
          <w:tcPr>
            <w:tcW w:w="3080" w:type="dxa"/>
            <w:vAlign w:val="bottom"/>
          </w:tcPr>
          <w:p>
            <w:pPr>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208,208</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94,718</w:t>
            </w:r>
          </w:p>
        </w:tc>
        <w:tc>
          <w:tcPr>
            <w:tcW w:w="4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41,213</w:t>
            </w:r>
          </w:p>
        </w:tc>
        <w:tc>
          <w:tcPr>
            <w:tcW w:w="4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344,139</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Information about Contract Balances</w:t>
      </w:r>
    </w:p>
    <w:p>
      <w:pPr>
        <w:spacing w:after="0" w:line="262"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our Deferred revenue balance is related to services revenue, primarily customer support contracts.</w:t>
      </w:r>
    </w:p>
    <w:p>
      <w:pPr>
        <w:spacing w:after="0" w:line="23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some arrangements we allow customers to pay for term-based software licenses and products over the term of the software license. Amounts recognized as revenue in excess of amounts billed are recorded as Unbilled receivables. Unbilled receivables, which are anticipated to be invoiced in the next twelve months, are included in Accounts receivable on the Consolidated Balance Sheets. Long-term unbilled receivables are included in Other assets. The opening and closing balances of our Accounts receivable, Unbilled receivables, and Deferred revenues are as follows:</w:t>
      </w:r>
    </w:p>
    <w:p>
      <w:pPr>
        <w:spacing w:after="0" w:line="123"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restart"/>
          </w:tcPr>
          <w:p>
            <w:pPr>
              <w:jc w:val="right"/>
              <w:ind w:right="421"/>
              <w:spacing w:after="0"/>
              <w:rPr>
                <w:sz w:val="20"/>
                <w:szCs w:val="20"/>
                <w:color w:val="auto"/>
              </w:rPr>
            </w:pPr>
            <w:r>
              <w:rPr>
                <w:rFonts w:ascii="Arial" w:cs="Arial" w:eastAsia="Arial" w:hAnsi="Arial"/>
                <w:sz w:val="16"/>
                <w:szCs w:val="16"/>
                <w:b w:val="1"/>
                <w:bCs w:val="1"/>
                <w:color w:val="auto"/>
              </w:rPr>
              <w:t>Unbilled</w:t>
            </w:r>
          </w:p>
        </w:tc>
        <w:tc>
          <w:tcPr>
            <w:tcW w:w="460" w:type="dxa"/>
            <w:vAlign w:val="bottom"/>
          </w:tcPr>
          <w:p>
            <w:pPr>
              <w:spacing w:after="0"/>
              <w:rPr>
                <w:sz w:val="16"/>
                <w:szCs w:val="16"/>
                <w:color w:val="auto"/>
              </w:rPr>
            </w:pPr>
          </w:p>
        </w:tc>
        <w:tc>
          <w:tcPr>
            <w:tcW w:w="12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Unbilled</w:t>
            </w:r>
          </w:p>
        </w:tc>
        <w:tc>
          <w:tcPr>
            <w:tcW w:w="440" w:type="dxa"/>
            <w:vAlign w:val="bottom"/>
          </w:tcPr>
          <w:p>
            <w:pPr>
              <w:spacing w:after="0"/>
              <w:rPr>
                <w:sz w:val="16"/>
                <w:szCs w:val="16"/>
                <w:color w:val="auto"/>
              </w:rPr>
            </w:pPr>
          </w:p>
        </w:tc>
        <w:tc>
          <w:tcPr>
            <w:tcW w:w="1280" w:type="dxa"/>
            <w:vAlign w:val="bottom"/>
          </w:tcPr>
          <w:p>
            <w:pPr>
              <w:jc w:val="right"/>
              <w:ind w:right="461"/>
              <w:spacing w:after="0"/>
              <w:rPr>
                <w:sz w:val="20"/>
                <w:szCs w:val="20"/>
                <w:color w:val="auto"/>
              </w:rPr>
            </w:pPr>
            <w:r>
              <w:rPr>
                <w:rFonts w:ascii="Arial" w:cs="Arial" w:eastAsia="Arial" w:hAnsi="Arial"/>
                <w:sz w:val="16"/>
                <w:szCs w:val="16"/>
                <w:b w:val="1"/>
                <w:bCs w:val="1"/>
                <w:color w:val="auto"/>
              </w:rPr>
              <w:t>Deferred</w:t>
            </w:r>
          </w:p>
        </w:tc>
        <w:tc>
          <w:tcPr>
            <w:tcW w:w="400" w:type="dxa"/>
            <w:vAlign w:val="bottom"/>
          </w:tcPr>
          <w:p>
            <w:pPr>
              <w:spacing w:after="0"/>
              <w:rPr>
                <w:sz w:val="16"/>
                <w:szCs w:val="16"/>
                <w:color w:val="auto"/>
              </w:rPr>
            </w:pPr>
          </w:p>
        </w:tc>
        <w:tc>
          <w:tcPr>
            <w:tcW w:w="1140" w:type="dxa"/>
            <w:vAlign w:val="bottom"/>
          </w:tcPr>
          <w:p>
            <w:pPr>
              <w:jc w:val="right"/>
              <w:ind w:right="241"/>
              <w:spacing w:after="0"/>
              <w:rPr>
                <w:sz w:val="20"/>
                <w:szCs w:val="20"/>
                <w:color w:val="auto"/>
              </w:rPr>
            </w:pPr>
            <w:r>
              <w:rPr>
                <w:rFonts w:ascii="Arial" w:cs="Arial" w:eastAsia="Arial" w:hAnsi="Arial"/>
                <w:sz w:val="16"/>
                <w:szCs w:val="16"/>
                <w:b w:val="1"/>
                <w:bCs w:val="1"/>
                <w:color w:val="auto"/>
              </w:rPr>
              <w:t>Deferred</w:t>
            </w:r>
          </w:p>
        </w:tc>
        <w:tc>
          <w:tcPr>
            <w:tcW w:w="0" w:type="dxa"/>
            <w:vAlign w:val="bottom"/>
          </w:tcPr>
          <w:p>
            <w:pPr>
              <w:spacing w:after="0"/>
              <w:rPr>
                <w:sz w:val="1"/>
                <w:szCs w:val="1"/>
                <w:color w:val="auto"/>
              </w:rPr>
            </w:pPr>
          </w:p>
        </w:tc>
      </w:tr>
      <w:tr>
        <w:trPr>
          <w:trHeight w:val="45"/>
        </w:trPr>
        <w:tc>
          <w:tcPr>
            <w:tcW w:w="19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0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Accounts</w:t>
            </w: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1720" w:type="dxa"/>
            <w:vAlign w:val="bottom"/>
            <w:gridSpan w:val="2"/>
            <w:vMerge w:val="restart"/>
          </w:tcPr>
          <w:p>
            <w:pPr>
              <w:jc w:val="right"/>
              <w:ind w:right="681"/>
              <w:spacing w:after="0"/>
              <w:rPr>
                <w:sz w:val="20"/>
                <w:szCs w:val="20"/>
                <w:color w:val="auto"/>
              </w:rPr>
            </w:pPr>
            <w:r>
              <w:rPr>
                <w:rFonts w:ascii="Arial" w:cs="Arial" w:eastAsia="Arial" w:hAnsi="Arial"/>
                <w:sz w:val="16"/>
                <w:szCs w:val="16"/>
                <w:b w:val="1"/>
                <w:bCs w:val="1"/>
                <w:color w:val="auto"/>
              </w:rPr>
              <w:t>Revenue</w:t>
            </w:r>
          </w:p>
        </w:tc>
        <w:tc>
          <w:tcPr>
            <w:tcW w:w="1540" w:type="dxa"/>
            <w:vAlign w:val="bottom"/>
            <w:gridSpan w:val="2"/>
            <w:vMerge w:val="restart"/>
          </w:tcPr>
          <w:p>
            <w:pPr>
              <w:jc w:val="right"/>
              <w:ind w:right="481"/>
              <w:spacing w:after="0"/>
              <w:rPr>
                <w:sz w:val="20"/>
                <w:szCs w:val="20"/>
                <w:color w:val="auto"/>
              </w:rPr>
            </w:pPr>
            <w:r>
              <w:rPr>
                <w:rFonts w:ascii="Arial" w:cs="Arial" w:eastAsia="Arial" w:hAnsi="Arial"/>
                <w:sz w:val="16"/>
                <w:szCs w:val="16"/>
                <w:b w:val="1"/>
                <w:bCs w:val="1"/>
                <w:color w:val="auto"/>
              </w:rPr>
              <w:t>Revenue</w:t>
            </w: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720" w:type="dxa"/>
            <w:vAlign w:val="bottom"/>
            <w:gridSpan w:val="2"/>
          </w:tcPr>
          <w:p>
            <w:pPr>
              <w:jc w:val="right"/>
              <w:ind w:right="561"/>
              <w:spacing w:after="0" w:line="159" w:lineRule="exact"/>
              <w:rPr>
                <w:sz w:val="20"/>
                <w:szCs w:val="20"/>
                <w:color w:val="auto"/>
              </w:rPr>
            </w:pPr>
            <w:r>
              <w:rPr>
                <w:rFonts w:ascii="Arial" w:cs="Arial" w:eastAsia="Arial" w:hAnsi="Arial"/>
                <w:sz w:val="16"/>
                <w:szCs w:val="16"/>
                <w:b w:val="1"/>
                <w:bCs w:val="1"/>
                <w:color w:val="auto"/>
              </w:rPr>
              <w:t>Receivable</w:t>
            </w:r>
          </w:p>
        </w:tc>
        <w:tc>
          <w:tcPr>
            <w:tcW w:w="1700" w:type="dxa"/>
            <w:vAlign w:val="bottom"/>
            <w:gridSpan w:val="2"/>
          </w:tcPr>
          <w:p>
            <w:pPr>
              <w:ind w:left="220"/>
              <w:spacing w:after="0" w:line="159" w:lineRule="exact"/>
              <w:rPr>
                <w:sz w:val="20"/>
                <w:szCs w:val="20"/>
                <w:color w:val="auto"/>
              </w:rPr>
            </w:pPr>
            <w:r>
              <w:rPr>
                <w:rFonts w:ascii="Arial" w:cs="Arial" w:eastAsia="Arial" w:hAnsi="Arial"/>
                <w:sz w:val="16"/>
                <w:szCs w:val="16"/>
                <w:b w:val="1"/>
                <w:bCs w:val="1"/>
                <w:color w:val="auto"/>
              </w:rPr>
              <w:t>Receivable</w:t>
            </w:r>
          </w:p>
        </w:tc>
        <w:tc>
          <w:tcPr>
            <w:tcW w:w="17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9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6"/>
                <w:szCs w:val="16"/>
                <w:b w:val="1"/>
                <w:bCs w:val="1"/>
                <w:color w:val="auto"/>
              </w:rPr>
              <w:t>Receivable</w:t>
            </w:r>
          </w:p>
        </w:tc>
        <w:tc>
          <w:tcPr>
            <w:tcW w:w="172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6"/>
                <w:szCs w:val="16"/>
                <w:b w:val="1"/>
                <w:bCs w:val="1"/>
                <w:color w:val="auto"/>
              </w:rPr>
              <w:t>(current)</w:t>
            </w:r>
          </w:p>
        </w:tc>
        <w:tc>
          <w:tcPr>
            <w:tcW w:w="17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(long-term)</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(current)</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(long-term)</w:t>
            </w:r>
          </w:p>
        </w:tc>
        <w:tc>
          <w:tcPr>
            <w:tcW w:w="0" w:type="dxa"/>
            <w:vAlign w:val="bottom"/>
          </w:tcPr>
          <w:p>
            <w:pPr>
              <w:spacing w:after="0"/>
              <w:rPr>
                <w:sz w:val="1"/>
                <w:szCs w:val="1"/>
                <w:color w:val="auto"/>
              </w:rPr>
            </w:pPr>
          </w:p>
        </w:tc>
      </w:tr>
      <w:tr>
        <w:trPr>
          <w:trHeight w:val="154"/>
        </w:trPr>
        <w:tc>
          <w:tcPr>
            <w:tcW w:w="1980" w:type="dxa"/>
            <w:vAlign w:val="bottom"/>
            <w:shd w:val="clear" w:color="auto" w:fill="CCEEFF"/>
          </w:tcPr>
          <w:p>
            <w:pPr>
              <w:ind w:left="500"/>
              <w:spacing w:after="0" w:line="155" w:lineRule="exact"/>
              <w:rPr>
                <w:sz w:val="20"/>
                <w:szCs w:val="20"/>
                <w:color w:val="auto"/>
              </w:rPr>
            </w:pPr>
            <w:r>
              <w:rPr>
                <w:rFonts w:ascii="Arial" w:cs="Arial" w:eastAsia="Arial" w:hAnsi="Arial"/>
                <w:sz w:val="16"/>
                <w:szCs w:val="16"/>
                <w:color w:val="auto"/>
              </w:rPr>
              <w:t>Opening Balance as</w:t>
            </w:r>
          </w:p>
        </w:tc>
        <w:tc>
          <w:tcPr>
            <w:tcW w:w="6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March 31, 2021</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168,985</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19,141</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121"/>
              <w:spacing w:after="0"/>
              <w:rPr>
                <w:sz w:val="20"/>
                <w:szCs w:val="20"/>
                <w:color w:val="auto"/>
              </w:rPr>
            </w:pPr>
            <w:r>
              <w:rPr>
                <w:rFonts w:ascii="Arial" w:cs="Arial" w:eastAsia="Arial" w:hAnsi="Arial"/>
                <w:sz w:val="16"/>
                <w:szCs w:val="16"/>
                <w:color w:val="auto"/>
                <w:w w:val="99"/>
              </w:rPr>
              <w:t>7,463</w:t>
            </w:r>
          </w:p>
        </w:tc>
        <w:tc>
          <w:tcPr>
            <w:tcW w:w="4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253,211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119,231</w:t>
            </w:r>
          </w:p>
        </w:tc>
        <w:tc>
          <w:tcPr>
            <w:tcW w:w="0" w:type="dxa"/>
            <w:vAlign w:val="bottom"/>
          </w:tcPr>
          <w:p>
            <w:pPr>
              <w:spacing w:after="0"/>
              <w:rPr>
                <w:sz w:val="1"/>
                <w:szCs w:val="1"/>
                <w:color w:val="auto"/>
              </w:rPr>
            </w:pPr>
          </w:p>
        </w:tc>
      </w:tr>
      <w:tr>
        <w:trPr>
          <w:trHeight w:val="174"/>
        </w:trPr>
        <w:tc>
          <w:tcPr>
            <w:tcW w:w="1980" w:type="dxa"/>
            <w:vAlign w:val="bottom"/>
          </w:tcPr>
          <w:p>
            <w:pPr>
              <w:ind w:left="500"/>
              <w:spacing w:after="0" w:line="175" w:lineRule="exact"/>
              <w:rPr>
                <w:sz w:val="20"/>
                <w:szCs w:val="20"/>
                <w:color w:val="auto"/>
              </w:rPr>
            </w:pPr>
            <w:r>
              <w:rPr>
                <w:rFonts w:ascii="Arial" w:cs="Arial" w:eastAsia="Arial" w:hAnsi="Arial"/>
                <w:sz w:val="16"/>
                <w:szCs w:val="16"/>
                <w:color w:val="auto"/>
                <w:w w:val="99"/>
              </w:rPr>
              <w:t>Increase (decrease),</w:t>
            </w:r>
          </w:p>
        </w:tc>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w:t>
            </w: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(20,372)</w:t>
            </w: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(1,482)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color w:val="auto"/>
              </w:rPr>
              <w:t>(2,961)</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(5,633)</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5,602</w:t>
            </w:r>
          </w:p>
        </w:tc>
        <w:tc>
          <w:tcPr>
            <w:tcW w:w="0" w:type="dxa"/>
            <w:vAlign w:val="bottom"/>
          </w:tcPr>
          <w:p>
            <w:pPr>
              <w:spacing w:after="0"/>
              <w:rPr>
                <w:sz w:val="1"/>
                <w:szCs w:val="1"/>
                <w:color w:val="auto"/>
              </w:rPr>
            </w:pPr>
          </w:p>
        </w:tc>
      </w:tr>
      <w:tr>
        <w:trPr>
          <w:trHeight w:val="157"/>
        </w:trPr>
        <w:tc>
          <w:tcPr>
            <w:tcW w:w="1980" w:type="dxa"/>
            <w:vAlign w:val="bottom"/>
            <w:shd w:val="clear" w:color="auto" w:fill="CCEEFF"/>
          </w:tcPr>
          <w:p>
            <w:pPr>
              <w:ind w:left="500"/>
              <w:spacing w:after="0" w:line="157" w:lineRule="exact"/>
              <w:rPr>
                <w:sz w:val="20"/>
                <w:szCs w:val="20"/>
                <w:color w:val="auto"/>
              </w:rPr>
            </w:pPr>
            <w:r>
              <w:rPr>
                <w:rFonts w:ascii="Arial" w:cs="Arial" w:eastAsia="Arial" w:hAnsi="Arial"/>
                <w:sz w:val="16"/>
                <w:szCs w:val="16"/>
                <w:color w:val="auto"/>
              </w:rPr>
              <w:t>Ending Balance as</w:t>
            </w: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148,613</w:t>
            </w:r>
          </w:p>
        </w:tc>
        <w:tc>
          <w:tcPr>
            <w:tcW w:w="4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17,659</w:t>
            </w: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center"/>
              <w:ind w:left="121"/>
              <w:spacing w:after="0"/>
              <w:rPr>
                <w:sz w:val="20"/>
                <w:szCs w:val="20"/>
                <w:color w:val="auto"/>
              </w:rPr>
            </w:pPr>
            <w:r>
              <w:rPr>
                <w:rFonts w:ascii="Arial" w:cs="Arial" w:eastAsia="Arial" w:hAnsi="Arial"/>
                <w:sz w:val="16"/>
                <w:szCs w:val="16"/>
                <w:color w:val="auto"/>
                <w:w w:val="99"/>
              </w:rPr>
              <w:t>4,502</w:t>
            </w:r>
          </w:p>
        </w:tc>
        <w:tc>
          <w:tcPr>
            <w:tcW w:w="4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ind w:right="241"/>
              <w:spacing w:after="0"/>
              <w:rPr>
                <w:sz w:val="20"/>
                <w:szCs w:val="20"/>
                <w:color w:val="auto"/>
              </w:rPr>
            </w:pPr>
            <w:r>
              <w:rPr>
                <w:rFonts w:ascii="Arial" w:cs="Arial" w:eastAsia="Arial" w:hAnsi="Arial"/>
                <w:sz w:val="16"/>
                <w:szCs w:val="16"/>
                <w:color w:val="auto"/>
              </w:rPr>
              <w:t>247,578</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124,833</w:t>
            </w:r>
          </w:p>
        </w:tc>
        <w:tc>
          <w:tcPr>
            <w:tcW w:w="0" w:type="dxa"/>
            <w:vAlign w:val="bottom"/>
          </w:tcPr>
          <w:p>
            <w:pPr>
              <w:spacing w:after="0"/>
              <w:rPr>
                <w:sz w:val="1"/>
                <w:szCs w:val="1"/>
                <w:color w:val="auto"/>
              </w:rPr>
            </w:pPr>
          </w:p>
        </w:tc>
      </w:tr>
      <w:tr>
        <w:trPr>
          <w:trHeight w:val="190"/>
        </w:trPr>
        <w:tc>
          <w:tcPr>
            <w:tcW w:w="1980" w:type="dxa"/>
            <w:vAlign w:val="bottom"/>
            <w:tcBorders>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6"/>
                <w:szCs w:val="16"/>
                <w:color w:val="auto"/>
              </w:rPr>
              <w:t>of September 30, 2021</w:t>
            </w: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30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decrease in Accounts receivable (inclusive of Unbilled receivables) is a result of a decrease in software and products revenue relative to the fourth quarter of the prior fiscal year. Deferred revenue remained relatively consistent primarily as the result of an increase in deferred revenue associated with Metallic contracts that are billed upfront and recognized ratably over the contract period partially offset by a seasonal decline in deferred revenue associated with customer support contracts as the renewal of our customer support contracts is concentrated in our fiscal third and fourth quarters.</w:t>
      </w:r>
    </w:p>
    <w:p>
      <w:pPr>
        <w:spacing w:after="0" w:line="23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amount of revenue recognized in the period that was included in the March 31, 2021 balance of deferred revenue was $70,117 and $160,926 for the three and six months ended September 30, 2021. The vast majority of this revenue consists of customer support arrangements. The amount of software and products revenue recognized in the three and six months ended September 30, 2021 related to performance obligations from prior periods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Remaining Performance Obligations</w:t>
      </w:r>
    </w:p>
    <w:p>
      <w:pPr>
        <w:spacing w:after="0" w:line="262"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addition to the amounts included in deferred revenue as of September 30, 2021, $37,760 of revenue may be recognized from remaining performance obligations, of which approximately $4,300 was related to software and products. We expect the majority of this software and products revenue to be recognized during fiscal 2022. Most of this software and products revenue is associated with renewals of term licenses which have not yet expired. The vast majority of the services revenue is related to other professional services which may be recognized over the next twelve months but is contingent upon a number of factors, including customers’ needs and schedules.</w:t>
      </w:r>
    </w:p>
    <w:p>
      <w:pPr>
        <w:sectPr>
          <w:pgSz w:w="11900" w:h="16838" w:orient="portrait"/>
          <w:cols w:equalWidth="0" w:num="1">
            <w:col w:w="11240"/>
          </w:cols>
          <w:pgMar w:left="320" w:top="140" w:right="339" w:bottom="1440" w:gutter="0" w:footer="0" w:header="0"/>
        </w:sectPr>
      </w:pPr>
    </w:p>
    <w:p>
      <w:pPr>
        <w:spacing w:after="0" w:line="211" w:lineRule="exact"/>
        <w:rPr>
          <w:sz w:val="20"/>
          <w:szCs w:val="20"/>
          <w:color w:val="auto"/>
        </w:rPr>
      </w:pPr>
    </w:p>
    <w:p>
      <w:pPr>
        <w:ind w:left="340" w:hanging="334"/>
        <w:spacing w:after="0"/>
        <w:tabs>
          <w:tab w:leader="none" w:pos="340" w:val="left"/>
        </w:tabs>
        <w:numPr>
          <w:ilvl w:val="0"/>
          <w:numId w:val="6"/>
        </w:numPr>
        <w:rPr>
          <w:rFonts w:ascii="Arial" w:cs="Arial" w:eastAsia="Arial" w:hAnsi="Arial"/>
          <w:sz w:val="18"/>
          <w:szCs w:val="18"/>
          <w:b w:val="1"/>
          <w:bCs w:val="1"/>
          <w:color w:val="00B2A9"/>
        </w:rPr>
      </w:pPr>
      <w:r>
        <w:rPr>
          <w:rFonts w:ascii="Arial" w:cs="Arial" w:eastAsia="Arial" w:hAnsi="Arial"/>
          <w:sz w:val="18"/>
          <w:szCs w:val="18"/>
          <w:b w:val="1"/>
          <w:bCs w:val="1"/>
          <w:color w:val="00B2A9"/>
        </w:rPr>
        <w:t>Net Income per Common Share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Net income (loss)</w:t>
      </w:r>
    </w:p>
    <w:p>
      <w:pPr>
        <w:spacing w:after="0" w:line="8" w:lineRule="exact"/>
        <w:rPr>
          <w:sz w:val="20"/>
          <w:szCs w:val="20"/>
          <w:color w:val="auto"/>
        </w:rPr>
      </w:pPr>
    </w:p>
    <w:p>
      <w:pPr>
        <w:ind w:left="460" w:firstLine="437"/>
        <w:spacing w:after="0" w:line="243" w:lineRule="auto"/>
        <w:rPr>
          <w:sz w:val="20"/>
          <w:szCs w:val="20"/>
          <w:color w:val="auto"/>
        </w:rPr>
      </w:pPr>
      <w:r>
        <w:rPr>
          <w:rFonts w:ascii="Arial" w:cs="Arial" w:eastAsia="Arial" w:hAnsi="Arial"/>
          <w:sz w:val="16"/>
          <w:szCs w:val="16"/>
          <w:b w:val="1"/>
          <w:bCs w:val="1"/>
          <w:color w:val="auto"/>
        </w:rPr>
        <w:t>Basic net income (loss)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580" w:type="dxa"/>
            <w:vAlign w:val="bottom"/>
          </w:tcPr>
          <w:p>
            <w:pPr>
              <w:spacing w:after="0"/>
              <w:rPr>
                <w:sz w:val="18"/>
                <w:szCs w:val="18"/>
                <w:color w:val="auto"/>
              </w:rPr>
            </w:pPr>
          </w:p>
        </w:tc>
        <w:tc>
          <w:tcPr>
            <w:tcW w:w="30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Pr>
          <w:p>
            <w:pPr>
              <w:spacing w:after="0"/>
              <w:rPr>
                <w:sz w:val="18"/>
                <w:szCs w:val="18"/>
                <w:color w:val="auto"/>
              </w:rPr>
            </w:pPr>
          </w:p>
        </w:tc>
        <w:tc>
          <w:tcPr>
            <w:tcW w:w="2860" w:type="dxa"/>
            <w:vAlign w:val="bottom"/>
            <w:gridSpan w:val="4"/>
          </w:tcPr>
          <w:p>
            <w:pPr>
              <w:jc w:val="right"/>
              <w:ind w:right="181"/>
              <w:spacing w:after="0"/>
              <w:rPr>
                <w:sz w:val="20"/>
                <w:szCs w:val="20"/>
                <w:color w:val="auto"/>
              </w:rPr>
            </w:pPr>
            <w:r>
              <w:rPr>
                <w:rFonts w:ascii="Arial" w:cs="Arial" w:eastAsia="Arial" w:hAnsi="Arial"/>
                <w:sz w:val="16"/>
                <w:szCs w:val="16"/>
                <w:b w:val="1"/>
                <w:bCs w:val="1"/>
                <w:color w:val="auto"/>
              </w:rPr>
              <w:t>Six Months Ended September 30,</w:t>
            </w:r>
          </w:p>
        </w:tc>
      </w:tr>
      <w:tr>
        <w:trPr>
          <w:trHeight w:val="208"/>
        </w:trPr>
        <w:tc>
          <w:tcPr>
            <w:tcW w:w="5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r>
      <w:tr>
        <w:trPr>
          <w:trHeight w:val="203"/>
        </w:trPr>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(41,171)</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15,628</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w:t>
            </w: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-175895</wp:posOffset>
            </wp:positionV>
            <wp:extent cx="6848475" cy="16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8475" cy="160020"/>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3680" w:space="480"/>
            <w:col w:w="7080"/>
          </w:cols>
          <w:pgMar w:left="320" w:top="140" w:right="339" w:bottom="1440" w:gutter="0" w:footer="0" w:header="0"/>
          <w:type w:val="continuous"/>
        </w:sectPr>
      </w:pPr>
    </w:p>
    <w:tbl>
      <w:tblPr>
        <w:tblLayout w:type="fixed"/>
        <w:tblInd w:w="440" w:type="dxa"/>
        <w:tblCellMar>
          <w:top w:w="0" w:type="dxa"/>
          <w:left w:w="0" w:type="dxa"/>
          <w:bottom w:w="0" w:type="dxa"/>
          <w:right w:w="0" w:type="dxa"/>
        </w:tblCellMar>
      </w:tblPr>
      <w:tr>
        <w:trPr>
          <w:trHeight w:val="222"/>
        </w:trPr>
        <w:tc>
          <w:tcPr>
            <w:tcW w:w="3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8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45,743</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46,516</w:t>
            </w: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45,960</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20" w:type="dxa"/>
            <w:vAlign w:val="bottom"/>
          </w:tcPr>
          <w:p>
            <w:pPr>
              <w:ind w:left="460"/>
              <w:spacing w:after="0"/>
              <w:rPr>
                <w:sz w:val="20"/>
                <w:szCs w:val="20"/>
                <w:color w:val="auto"/>
              </w:rPr>
            </w:pPr>
            <w:r>
              <w:rPr>
                <w:rFonts w:ascii="Arial" w:cs="Arial" w:eastAsia="Arial" w:hAnsi="Arial"/>
                <w:sz w:val="16"/>
                <w:szCs w:val="16"/>
                <w:color w:val="auto"/>
              </w:rPr>
              <w:t>Basic net income (loss) per common share</w:t>
            </w: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720" w:type="dxa"/>
            <w:vAlign w:val="bottom"/>
            <w:shd w:val="clear" w:color="auto" w:fill="CCEEFF"/>
          </w:tcPr>
          <w:p>
            <w:pPr>
              <w:ind w:left="460"/>
              <w:spacing w:after="0" w:line="126" w:lineRule="exact"/>
              <w:rPr>
                <w:sz w:val="20"/>
                <w:szCs w:val="20"/>
                <w:color w:val="auto"/>
              </w:rPr>
            </w:pPr>
            <w:r>
              <w:rPr>
                <w:rFonts w:ascii="Arial" w:cs="Arial" w:eastAsia="Arial" w:hAnsi="Arial"/>
                <w:sz w:val="14"/>
                <w:szCs w:val="14"/>
                <w:b w:val="1"/>
                <w:bCs w:val="1"/>
                <w:color w:val="auto"/>
              </w:rPr>
              <w:t>Diluted net income (loss) per common</w:t>
            </w:r>
          </w:p>
        </w:tc>
        <w:tc>
          <w:tcPr>
            <w:tcW w:w="8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460"/>
              <w:spacing w:after="0"/>
              <w:rPr>
                <w:sz w:val="20"/>
                <w:szCs w:val="20"/>
                <w:color w:val="auto"/>
              </w:rPr>
            </w:pPr>
            <w:r>
              <w:rPr>
                <w:rFonts w:ascii="Arial" w:cs="Arial" w:eastAsia="Arial" w:hAnsi="Arial"/>
                <w:sz w:val="16"/>
                <w:szCs w:val="16"/>
                <w:color w:val="auto"/>
              </w:rPr>
              <w:t>Basic weighted average shares outstanding</w:t>
            </w: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45,743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46,516</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45,960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177"/>
        </w:trPr>
        <w:tc>
          <w:tcPr>
            <w:tcW w:w="3720" w:type="dxa"/>
            <w:vAlign w:val="bottom"/>
            <w:shd w:val="clear" w:color="auto" w:fill="CCEEFF"/>
          </w:tcPr>
          <w:p>
            <w:pPr>
              <w:ind w:left="460"/>
              <w:spacing w:after="0" w:line="177" w:lineRule="exact"/>
              <w:rPr>
                <w:sz w:val="20"/>
                <w:szCs w:val="20"/>
                <w:color w:val="auto"/>
              </w:rPr>
            </w:pPr>
            <w:r>
              <w:rPr>
                <w:rFonts w:ascii="Arial" w:cs="Arial" w:eastAsia="Arial" w:hAnsi="Arial"/>
                <w:sz w:val="16"/>
                <w:szCs w:val="16"/>
                <w:color w:val="auto"/>
              </w:rPr>
              <w:t>Dilutive effect of stock options and restricted</w:t>
            </w: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8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4"/>
        </w:trPr>
        <w:tc>
          <w:tcPr>
            <w:tcW w:w="3720" w:type="dxa"/>
            <w:vAlign w:val="bottom"/>
          </w:tcPr>
          <w:p>
            <w:pPr>
              <w:ind w:left="460"/>
              <w:spacing w:after="0" w:line="155" w:lineRule="exact"/>
              <w:rPr>
                <w:sz w:val="20"/>
                <w:szCs w:val="20"/>
                <w:color w:val="auto"/>
              </w:rPr>
            </w:pPr>
            <w:r>
              <w:rPr>
                <w:rFonts w:ascii="Arial" w:cs="Arial" w:eastAsia="Arial" w:hAnsi="Arial"/>
                <w:sz w:val="16"/>
                <w:szCs w:val="16"/>
                <w:color w:val="auto"/>
              </w:rPr>
              <w:t>Diluted weighted average shares</w:t>
            </w:r>
          </w:p>
        </w:tc>
        <w:tc>
          <w:tcPr>
            <w:tcW w:w="8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47,599</w:t>
            </w:r>
          </w:p>
        </w:tc>
        <w:tc>
          <w:tcPr>
            <w:tcW w:w="1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46,516</w:t>
            </w: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47,936</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46,354</w:t>
            </w:r>
          </w:p>
        </w:tc>
        <w:tc>
          <w:tcPr>
            <w:tcW w:w="0" w:type="dxa"/>
            <w:vAlign w:val="bottom"/>
          </w:tcPr>
          <w:p>
            <w:pPr>
              <w:spacing w:after="0"/>
              <w:rPr>
                <w:sz w:val="1"/>
                <w:szCs w:val="1"/>
                <w:color w:val="auto"/>
              </w:rPr>
            </w:pPr>
          </w:p>
        </w:tc>
      </w:tr>
      <w:tr>
        <w:trPr>
          <w:trHeight w:val="170"/>
        </w:trPr>
        <w:tc>
          <w:tcPr>
            <w:tcW w:w="3720" w:type="dxa"/>
            <w:vAlign w:val="bottom"/>
          </w:tcPr>
          <w:p>
            <w:pPr>
              <w:ind w:left="20"/>
              <w:spacing w:after="0" w:line="171" w:lineRule="exact"/>
              <w:rPr>
                <w:sz w:val="20"/>
                <w:szCs w:val="20"/>
                <w:color w:val="auto"/>
              </w:rPr>
            </w:pPr>
            <w:r>
              <w:rPr>
                <w:rFonts w:ascii="Arial" w:cs="Arial" w:eastAsia="Arial" w:hAnsi="Arial"/>
                <w:sz w:val="16"/>
                <w:szCs w:val="16"/>
                <w:color w:val="auto"/>
              </w:rPr>
              <w:t>outstanding</w:t>
            </w: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Diluted net income (loss) per common share</w:t>
            </w:r>
          </w:p>
        </w:tc>
        <w:tc>
          <w:tcPr>
            <w:tcW w:w="8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diluted weighted-average shares outstanding exclude outstanding stock options, restricted stock units, performance restricted stock units and shares to be purchased under the employee stock purchase plan totaling 472 and 5,040 for the three months ended September 30, 2021 and 2020, respectively, and 597 and 5,031 for the six months ended September 30, 2021 and 2020, because the effect would have been anti-dilutive.</w:t>
      </w:r>
    </w:p>
    <w:p>
      <w:pPr>
        <w:spacing w:after="0" w:line="371" w:lineRule="exact"/>
        <w:rPr>
          <w:sz w:val="20"/>
          <w:szCs w:val="20"/>
          <w:color w:val="auto"/>
        </w:rPr>
      </w:pPr>
    </w:p>
    <w:p>
      <w:pPr>
        <w:ind w:left="340" w:hanging="334"/>
        <w:spacing w:after="0"/>
        <w:tabs>
          <w:tab w:leader="none" w:pos="340" w:val="left"/>
        </w:tabs>
        <w:numPr>
          <w:ilvl w:val="0"/>
          <w:numId w:val="7"/>
        </w:numPr>
        <w:rPr>
          <w:rFonts w:ascii="Arial" w:cs="Arial" w:eastAsia="Arial" w:hAnsi="Arial"/>
          <w:sz w:val="18"/>
          <w:szCs w:val="18"/>
          <w:b w:val="1"/>
          <w:bCs w:val="1"/>
          <w:color w:val="00B2A9"/>
        </w:rPr>
      </w:pPr>
      <w:r>
        <w:rPr>
          <w:rFonts w:ascii="Arial" w:cs="Arial" w:eastAsia="Arial" w:hAnsi="Arial"/>
          <w:sz w:val="18"/>
          <w:szCs w:val="18"/>
          <w:b w:val="1"/>
          <w:bCs w:val="1"/>
          <w:color w:val="00B2A9"/>
        </w:rPr>
        <w:t>Commitments and Contingencies</w:t>
      </w:r>
    </w:p>
    <w:p>
      <w:pPr>
        <w:spacing w:after="0" w:line="186"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During the second quarter of fiscal 2022, we entered into a settlement agreement resulting in a $2,500 gain which resolved certain legal matters. The settlement amount is recorded in General and administrative expenses net against related legal expenses.</w:t>
      </w:r>
    </w:p>
    <w:p>
      <w:pPr>
        <w:spacing w:after="0" w:line="150"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We do not believe that we are currently party to any pending legal action that could reasonably be expected to have a material adverse effect on our business or operating results.</w:t>
      </w:r>
    </w:p>
    <w:p>
      <w:pPr>
        <w:spacing w:after="0" w:line="367"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8"/>
          <w:szCs w:val="18"/>
          <w:b w:val="1"/>
          <w:bCs w:val="1"/>
          <w:color w:val="00B2A9"/>
        </w:rPr>
      </w:pPr>
      <w:r>
        <w:rPr>
          <w:rFonts w:ascii="Arial" w:cs="Arial" w:eastAsia="Arial" w:hAnsi="Arial"/>
          <w:sz w:val="18"/>
          <w:szCs w:val="18"/>
          <w:b w:val="1"/>
          <w:bCs w:val="1"/>
          <w:color w:val="00B2A9"/>
        </w:rPr>
        <w:t>Capitalization</w:t>
      </w:r>
    </w:p>
    <w:p>
      <w:pPr>
        <w:spacing w:after="0" w:line="186"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Our stock repurchase program has been funded by our existing cash and cash equivalent balances as well as cash flows provided by our operations.</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$200,000 of our common stock for the period from February 1, 2021 through the end of our 2022 fiscal year, plus the use of approximately 75% of our fiscal 2022 free cash flow for additional repurchases during fiscal year 2022. From the period beginning February 1, 2021 through September 30, 2021 we have repurchased $242,220 of our common stock.</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340" w:hanging="334"/>
        <w:spacing w:after="0"/>
        <w:tabs>
          <w:tab w:leader="none" w:pos="340" w:val="left"/>
        </w:tabs>
        <w:numPr>
          <w:ilvl w:val="0"/>
          <w:numId w:val="9"/>
        </w:numPr>
        <w:rPr>
          <w:rFonts w:ascii="Arial" w:cs="Arial" w:eastAsia="Arial" w:hAnsi="Arial"/>
          <w:sz w:val="18"/>
          <w:szCs w:val="18"/>
          <w:b w:val="1"/>
          <w:bCs w:val="1"/>
          <w:color w:val="00B2A9"/>
        </w:rPr>
      </w:pPr>
      <w:r>
        <w:rPr>
          <w:rFonts w:ascii="Arial" w:cs="Arial" w:eastAsia="Arial" w:hAnsi="Arial"/>
          <w:sz w:val="18"/>
          <w:szCs w:val="18"/>
          <w:b w:val="1"/>
          <w:bCs w:val="1"/>
          <w:color w:val="00B2A9"/>
        </w:rPr>
        <w:t>Stock Plans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The following table presents the stock-based compensation expense included in Cost of services revenue, Sales and marketing, Research and development, General and administrative expenses and Restructuring expenses for the three and six months ended September 30, 2021 and 2020. Stock-based compensation is attributable to stock options, restricted stock units, performance based awards and the employee stock purchase plan.</w:t>
      </w:r>
    </w:p>
    <w:p>
      <w:pPr>
        <w:spacing w:after="0" w:line="270"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740" w:type="dxa"/>
            <w:vAlign w:val="bottom"/>
            <w:gridSpan w:val="4"/>
          </w:tcPr>
          <w:p>
            <w:pPr>
              <w:jc w:val="right"/>
              <w:ind w:right="101"/>
              <w:spacing w:after="0"/>
              <w:rPr>
                <w:sz w:val="20"/>
                <w:szCs w:val="20"/>
                <w:color w:val="auto"/>
              </w:rPr>
            </w:pPr>
            <w:r>
              <w:rPr>
                <w:rFonts w:ascii="Arial" w:cs="Arial" w:eastAsia="Arial" w:hAnsi="Arial"/>
                <w:sz w:val="16"/>
                <w:szCs w:val="16"/>
                <w:b w:val="1"/>
                <w:bCs w:val="1"/>
                <w:color w:val="auto"/>
              </w:rPr>
              <w:t>Six Months Ended September 30,</w:t>
            </w:r>
          </w:p>
        </w:tc>
      </w:tr>
      <w:tr>
        <w:trPr>
          <w:trHeight w:val="208"/>
        </w:trPr>
        <w:tc>
          <w:tcPr>
            <w:tcW w:w="4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 revenue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w:t>
            </w: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9,974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8,988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16,192</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15,595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11,519</w:t>
            </w: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6,773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9,714</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03"/>
        </w:trPr>
        <w:tc>
          <w:tcPr>
            <w:tcW w:w="41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26,449</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20,584</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48,260</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39,535</w:t>
            </w:r>
          </w:p>
        </w:tc>
      </w:tr>
      <w:tr>
        <w:trPr>
          <w:trHeight w:val="22"/>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100" w:firstLine="437"/>
        <w:spacing w:after="0" w:line="248" w:lineRule="auto"/>
        <w:rPr>
          <w:sz w:val="20"/>
          <w:szCs w:val="20"/>
          <w:color w:val="auto"/>
        </w:rPr>
      </w:pPr>
      <w:r>
        <w:rPr>
          <w:rFonts w:ascii="Arial" w:cs="Arial" w:eastAsia="Arial" w:hAnsi="Arial"/>
          <w:sz w:val="18"/>
          <w:szCs w:val="18"/>
          <w:color w:val="auto"/>
        </w:rPr>
        <w:t>As of September 30, 2021, there was $121,951 of unrecognized stock-based compensation expense related to restricted stock unit awards that is expected to be recognized over a weighted-average period of 1.68 years. We account for forfeitures as they occur. To the extent that awards are forfeited, stock-based compensation will be different from our current estimate.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Options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six months ended September 30, 2021 is as follows: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2"/>
          </w:tcPr>
          <w:p>
            <w:pPr>
              <w:ind w:left="640"/>
              <w:spacing w:after="0"/>
              <w:rPr>
                <w:sz w:val="20"/>
                <w:szCs w:val="20"/>
                <w:color w:val="auto"/>
              </w:rPr>
            </w:pPr>
            <w:r>
              <w:rPr>
                <w:rFonts w:ascii="Arial" w:cs="Arial" w:eastAsia="Arial" w:hAnsi="Arial"/>
                <w:sz w:val="16"/>
                <w:szCs w:val="16"/>
                <w:b w:val="1"/>
                <w:bCs w:val="1"/>
                <w:color w:val="auto"/>
              </w:rPr>
              <w:t>Weighted-</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Number of</w:t>
            </w:r>
          </w:p>
        </w:tc>
        <w:tc>
          <w:tcPr>
            <w:tcW w:w="1980" w:type="dxa"/>
            <w:vAlign w:val="bottom"/>
            <w:gridSpan w:val="3"/>
            <w:vMerge w:val="restart"/>
          </w:tcPr>
          <w:p>
            <w:pPr>
              <w:ind w:left="48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gridSpan w:val="2"/>
          </w:tcPr>
          <w:p>
            <w:pPr>
              <w:jc w:val="center"/>
              <w:ind w:right="80"/>
              <w:spacing w:after="0" w:line="159" w:lineRule="exact"/>
              <w:rPr>
                <w:sz w:val="20"/>
                <w:szCs w:val="20"/>
                <w:color w:val="auto"/>
              </w:rPr>
            </w:pPr>
            <w:r>
              <w:rPr>
                <w:rFonts w:ascii="Arial" w:cs="Arial" w:eastAsia="Arial" w:hAnsi="Arial"/>
                <w:sz w:val="16"/>
                <w:szCs w:val="16"/>
                <w:b w:val="1"/>
                <w:bCs w:val="1"/>
                <w:color w:val="auto"/>
                <w:w w:val="99"/>
              </w:rPr>
              <w:t>Average Remaining</w:t>
            </w:r>
          </w:p>
        </w:tc>
        <w:tc>
          <w:tcPr>
            <w:tcW w:w="600" w:type="dxa"/>
            <w:vAlign w:val="bottom"/>
          </w:tcPr>
          <w:p>
            <w:pPr>
              <w:spacing w:after="0"/>
              <w:rPr>
                <w:sz w:val="13"/>
                <w:szCs w:val="13"/>
                <w:color w:val="auto"/>
              </w:rPr>
            </w:pPr>
          </w:p>
        </w:tc>
        <w:tc>
          <w:tcPr>
            <w:tcW w:w="11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59"/>
        </w:trPr>
        <w:tc>
          <w:tcPr>
            <w:tcW w:w="334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Options</w:t>
            </w:r>
          </w:p>
        </w:tc>
        <w:tc>
          <w:tcPr>
            <w:tcW w:w="1440" w:type="dxa"/>
            <w:vAlign w:val="bottom"/>
            <w:gridSpan w:val="2"/>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72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Contractual Term</w:t>
            </w:r>
          </w:p>
        </w:tc>
        <w:tc>
          <w:tcPr>
            <w:tcW w:w="6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40" w:type="dxa"/>
            <w:vAlign w:val="bottom"/>
            <w:gridSpan w:val="3"/>
            <w:vMerge w:val="continue"/>
          </w:tcPr>
          <w:p>
            <w:pPr>
              <w:spacing w:after="0"/>
              <w:rPr>
                <w:sz w:val="14"/>
                <w:szCs w:val="14"/>
                <w:color w:val="auto"/>
              </w:rPr>
            </w:pPr>
          </w:p>
        </w:tc>
        <w:tc>
          <w:tcPr>
            <w:tcW w:w="1440" w:type="dxa"/>
            <w:vAlign w:val="bottom"/>
            <w:gridSpan w:val="2"/>
          </w:tcPr>
          <w:p>
            <w:pPr>
              <w:ind w:left="360"/>
              <w:spacing w:after="0" w:line="172" w:lineRule="exact"/>
              <w:rPr>
                <w:sz w:val="20"/>
                <w:szCs w:val="20"/>
                <w:color w:val="auto"/>
              </w:rPr>
            </w:pPr>
            <w:r>
              <w:rPr>
                <w:rFonts w:ascii="Arial" w:cs="Arial" w:eastAsia="Arial" w:hAnsi="Arial"/>
                <w:sz w:val="16"/>
                <w:szCs w:val="16"/>
                <w:b w:val="1"/>
                <w:bCs w:val="1"/>
                <w:color w:val="auto"/>
              </w:rPr>
              <w:t>Options</w:t>
            </w:r>
          </w:p>
        </w:tc>
        <w:tc>
          <w:tcPr>
            <w:tcW w:w="1980" w:type="dxa"/>
            <w:vAlign w:val="bottom"/>
            <w:gridSpan w:val="3"/>
          </w:tcPr>
          <w:p>
            <w:pPr>
              <w:ind w:left="400"/>
              <w:spacing w:after="0" w:line="172" w:lineRule="exact"/>
              <w:rPr>
                <w:sz w:val="20"/>
                <w:szCs w:val="20"/>
                <w:color w:val="auto"/>
              </w:rPr>
            </w:pPr>
            <w:r>
              <w:rPr>
                <w:rFonts w:ascii="Arial" w:cs="Arial" w:eastAsia="Arial" w:hAnsi="Arial"/>
                <w:sz w:val="16"/>
                <w:szCs w:val="16"/>
                <w:b w:val="1"/>
                <w:bCs w:val="1"/>
                <w:color w:val="auto"/>
              </w:rPr>
              <w:t>Exercise Price</w:t>
            </w:r>
          </w:p>
        </w:tc>
        <w:tc>
          <w:tcPr>
            <w:tcW w:w="1720" w:type="dxa"/>
            <w:vAlign w:val="bottom"/>
            <w:gridSpan w:val="2"/>
          </w:tcPr>
          <w:p>
            <w:pPr>
              <w:jc w:val="center"/>
              <w:ind w:right="100"/>
              <w:spacing w:after="0" w:line="172" w:lineRule="exact"/>
              <w:rPr>
                <w:sz w:val="20"/>
                <w:szCs w:val="20"/>
                <w:color w:val="auto"/>
              </w:rPr>
            </w:pPr>
            <w:r>
              <w:rPr>
                <w:rFonts w:ascii="Arial" w:cs="Arial" w:eastAsia="Arial" w:hAnsi="Arial"/>
                <w:sz w:val="16"/>
                <w:szCs w:val="16"/>
                <w:b w:val="1"/>
                <w:bCs w:val="1"/>
                <w:color w:val="auto"/>
                <w:w w:val="99"/>
              </w:rPr>
              <w:t>(Years)</w:t>
            </w:r>
          </w:p>
        </w:tc>
        <w:tc>
          <w:tcPr>
            <w:tcW w:w="1720" w:type="dxa"/>
            <w:vAlign w:val="bottom"/>
            <w:gridSpan w:val="2"/>
          </w:tcPr>
          <w:p>
            <w:pPr>
              <w:jc w:val="right"/>
              <w:ind w:right="241"/>
              <w:spacing w:after="0" w:line="172" w:lineRule="exact"/>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4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Outstanding as of March 31, 2021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62.06</w:t>
            </w: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6"/>
                <w:szCs w:val="16"/>
                <w:color w:val="auto"/>
              </w:rPr>
              <w:t>Options granted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46.31</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6"/>
                <w:szCs w:val="16"/>
                <w:color w:val="auto"/>
              </w:rPr>
              <w:t>Options forfeited</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Options 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84.65</w:t>
            </w:r>
          </w:p>
        </w:tc>
        <w:tc>
          <w:tcPr>
            <w:tcW w:w="8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gridSpan w:val="3"/>
          </w:tcPr>
          <w:p>
            <w:pPr>
              <w:ind w:left="460"/>
              <w:spacing w:after="0"/>
              <w:rPr>
                <w:sz w:val="20"/>
                <w:szCs w:val="20"/>
                <w:color w:val="auto"/>
              </w:rPr>
            </w:pPr>
            <w:r>
              <w:rPr>
                <w:rFonts w:ascii="Arial" w:cs="Arial" w:eastAsia="Arial" w:hAnsi="Arial"/>
                <w:sz w:val="16"/>
                <w:szCs w:val="16"/>
                <w:color w:val="auto"/>
              </w:rPr>
              <w:t>Outstanding as of September 30,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68.30</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6"/>
                <w:szCs w:val="16"/>
                <w:color w:val="auto"/>
              </w:rPr>
              <w:t>Exercisable as of September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68.30</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11,613</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The total intrinsic value of options exercised was $12,460 for the six months ended September 30, 2021 and $356 for the six months ended September 30,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six months ended September 30, 2021 is as follows:</w:t>
      </w:r>
    </w:p>
    <w:p>
      <w:pPr>
        <w:spacing w:after="0" w:line="259"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26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Number of</w:t>
            </w:r>
          </w:p>
        </w:tc>
        <w:tc>
          <w:tcPr>
            <w:tcW w:w="200" w:type="dxa"/>
            <w:vAlign w:val="bottom"/>
          </w:tcPr>
          <w:p>
            <w:pPr>
              <w:spacing w:after="0"/>
              <w:rPr>
                <w:sz w:val="15"/>
                <w:szCs w:val="15"/>
                <w:color w:val="auto"/>
              </w:rPr>
            </w:pPr>
          </w:p>
        </w:tc>
        <w:tc>
          <w:tcPr>
            <w:tcW w:w="1480" w:type="dxa"/>
            <w:vAlign w:val="bottom"/>
          </w:tcPr>
          <w:p>
            <w:pPr>
              <w:jc w:val="center"/>
              <w:ind w:right="121"/>
              <w:spacing w:after="0"/>
              <w:rPr>
                <w:sz w:val="20"/>
                <w:szCs w:val="20"/>
                <w:color w:val="auto"/>
              </w:rPr>
            </w:pPr>
            <w:r>
              <w:rPr>
                <w:rFonts w:ascii="Arial" w:cs="Arial" w:eastAsia="Arial" w:hAnsi="Arial"/>
                <w:sz w:val="16"/>
                <w:szCs w:val="16"/>
                <w:b w:val="1"/>
                <w:bCs w:val="1"/>
                <w:color w:val="auto"/>
                <w:w w:val="98"/>
              </w:rPr>
              <w:t>Weighted-</w:t>
            </w:r>
          </w:p>
        </w:tc>
        <w:tc>
          <w:tcPr>
            <w:tcW w:w="0" w:type="dxa"/>
            <w:vAlign w:val="bottom"/>
          </w:tcPr>
          <w:p>
            <w:pPr>
              <w:spacing w:after="0"/>
              <w:rPr>
                <w:sz w:val="1"/>
                <w:szCs w:val="1"/>
                <w:color w:val="auto"/>
              </w:rPr>
            </w:pPr>
          </w:p>
        </w:tc>
      </w:tr>
      <w:tr>
        <w:trPr>
          <w:trHeight w:val="159"/>
        </w:trPr>
        <w:tc>
          <w:tcPr>
            <w:tcW w:w="5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Non-vested Restricted Stock Units</w:t>
            </w:r>
          </w:p>
        </w:tc>
        <w:tc>
          <w:tcPr>
            <w:tcW w:w="14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21"/>
              <w:spacing w:after="0" w:line="159" w:lineRule="exact"/>
              <w:rPr>
                <w:sz w:val="20"/>
                <w:szCs w:val="20"/>
                <w:color w:val="auto"/>
              </w:rPr>
            </w:pPr>
            <w:r>
              <w:rPr>
                <w:rFonts w:ascii="Arial" w:cs="Arial" w:eastAsia="Arial" w:hAnsi="Arial"/>
                <w:sz w:val="16"/>
                <w:szCs w:val="16"/>
                <w:b w:val="1"/>
                <w:bCs w:val="1"/>
                <w:color w:val="auto"/>
                <w:w w:val="97"/>
              </w:rPr>
              <w:t>Average Grant</w:t>
            </w:r>
          </w:p>
        </w:tc>
        <w:tc>
          <w:tcPr>
            <w:tcW w:w="0" w:type="dxa"/>
            <w:vAlign w:val="bottom"/>
          </w:tcPr>
          <w:p>
            <w:pPr>
              <w:spacing w:after="0"/>
              <w:rPr>
                <w:sz w:val="1"/>
                <w:szCs w:val="1"/>
                <w:color w:val="auto"/>
              </w:rPr>
            </w:pPr>
          </w:p>
        </w:tc>
      </w:tr>
      <w:tr>
        <w:trPr>
          <w:trHeight w:val="172"/>
        </w:trPr>
        <w:tc>
          <w:tcPr>
            <w:tcW w:w="5680" w:type="dxa"/>
            <w:vAlign w:val="bottom"/>
            <w:gridSpan w:val="2"/>
            <w:vMerge w:val="continue"/>
          </w:tcPr>
          <w:p>
            <w:pPr>
              <w:spacing w:after="0"/>
              <w:rPr>
                <w:sz w:val="14"/>
                <w:szCs w:val="14"/>
                <w:color w:val="auto"/>
              </w:rPr>
            </w:pPr>
          </w:p>
        </w:tc>
        <w:tc>
          <w:tcPr>
            <w:tcW w:w="1460" w:type="dxa"/>
            <w:vAlign w:val="bottom"/>
            <w:gridSpan w:val="2"/>
          </w:tcPr>
          <w:p>
            <w:pPr>
              <w:jc w:val="center"/>
              <w:ind w:right="200"/>
              <w:spacing w:after="0" w:line="172" w:lineRule="exact"/>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4"/>
                <w:szCs w:val="14"/>
                <w:color w:val="auto"/>
              </w:rPr>
            </w:pPr>
          </w:p>
        </w:tc>
        <w:tc>
          <w:tcPr>
            <w:tcW w:w="1480" w:type="dxa"/>
            <w:vAlign w:val="bottom"/>
          </w:tcPr>
          <w:p>
            <w:pPr>
              <w:jc w:val="center"/>
              <w:ind w:right="101"/>
              <w:spacing w:after="0" w:line="172" w:lineRule="exact"/>
              <w:rPr>
                <w:sz w:val="20"/>
                <w:szCs w:val="20"/>
                <w:color w:val="auto"/>
              </w:rPr>
            </w:pPr>
            <w:r>
              <w:rPr>
                <w:rFonts w:ascii="Arial" w:cs="Arial" w:eastAsia="Arial" w:hAnsi="Arial"/>
                <w:sz w:val="16"/>
                <w:szCs w:val="16"/>
                <w:b w:val="1"/>
                <w:bCs w:val="1"/>
                <w:color w:val="auto"/>
                <w:w w:val="98"/>
              </w:rPr>
              <w:t>Date Fair Value</w:t>
            </w:r>
          </w:p>
        </w:tc>
        <w:tc>
          <w:tcPr>
            <w:tcW w:w="0" w:type="dxa"/>
            <w:vAlign w:val="bottom"/>
          </w:tcPr>
          <w:p>
            <w:pPr>
              <w:spacing w:after="0"/>
              <w:rPr>
                <w:sz w:val="1"/>
                <w:szCs w:val="1"/>
                <w:color w:val="auto"/>
              </w:rPr>
            </w:pPr>
          </w:p>
        </w:tc>
      </w:tr>
      <w:tr>
        <w:trPr>
          <w:trHeight w:val="20"/>
        </w:trPr>
        <w:tc>
          <w:tcPr>
            <w:tcW w:w="262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Non-vested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44.90</w:t>
            </w:r>
          </w:p>
        </w:tc>
        <w:tc>
          <w:tcPr>
            <w:tcW w:w="0" w:type="dxa"/>
            <w:vAlign w:val="bottom"/>
          </w:tcPr>
          <w:p>
            <w:pPr>
              <w:spacing w:after="0"/>
              <w:rPr>
                <w:sz w:val="1"/>
                <w:szCs w:val="1"/>
                <w:color w:val="auto"/>
              </w:rPr>
            </w:pPr>
          </w:p>
        </w:tc>
      </w:tr>
      <w:tr>
        <w:trPr>
          <w:trHeight w:val="210"/>
        </w:trPr>
        <w:tc>
          <w:tcPr>
            <w:tcW w:w="5680" w:type="dxa"/>
            <w:vAlign w:val="bottom"/>
            <w:gridSpan w:val="2"/>
          </w:tcPr>
          <w:p>
            <w:pPr>
              <w:ind w:left="320"/>
              <w:spacing w:after="0"/>
              <w:rPr>
                <w:sz w:val="20"/>
                <w:szCs w:val="20"/>
                <w:color w:val="auto"/>
              </w:rPr>
            </w:pPr>
            <w:r>
              <w:rPr>
                <w:rFonts w:ascii="Arial" w:cs="Arial" w:eastAsia="Arial" w:hAnsi="Arial"/>
                <w:sz w:val="16"/>
                <w:szCs w:val="16"/>
                <w:color w:val="auto"/>
              </w:rPr>
              <w:t>Awarded</w:t>
            </w:r>
          </w:p>
        </w:tc>
        <w:tc>
          <w:tcPr>
            <w:tcW w:w="1240" w:type="dxa"/>
            <w:vAlign w:val="bottom"/>
          </w:tcPr>
          <w:p>
            <w:pPr>
              <w:jc w:val="right"/>
              <w:spacing w:after="0"/>
              <w:rPr>
                <w:sz w:val="20"/>
                <w:szCs w:val="20"/>
                <w:color w:val="auto"/>
              </w:rPr>
            </w:pPr>
            <w:r>
              <w:rPr>
                <w:rFonts w:ascii="Arial" w:cs="Arial" w:eastAsia="Arial" w:hAnsi="Arial"/>
                <w:sz w:val="16"/>
                <w:szCs w:val="16"/>
                <w:color w:val="auto"/>
              </w:rPr>
              <w:t>731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74.28</w:t>
            </w:r>
          </w:p>
        </w:tc>
        <w:tc>
          <w:tcPr>
            <w:tcW w:w="0" w:type="dxa"/>
            <w:vAlign w:val="bottom"/>
          </w:tcPr>
          <w:p>
            <w:pPr>
              <w:spacing w:after="0"/>
              <w:rPr>
                <w:sz w:val="1"/>
                <w:szCs w:val="1"/>
                <w:color w:val="auto"/>
              </w:rPr>
            </w:pPr>
          </w:p>
        </w:tc>
      </w:tr>
      <w:tr>
        <w:trPr>
          <w:trHeight w:val="215"/>
        </w:trPr>
        <w:tc>
          <w:tcPr>
            <w:tcW w:w="5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47.74</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Non-vested as of September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51.42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 weighted-average fair value of restricted stock units awarded was $76.79 and $74.28 per unit during the three and six months ended September 30, 2021, and $42.02 and $37.42 per unit during the three and six months ended September 30, 2020. The weighted-average fair value of awards includes the awards with a market condition described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six months ended September 30, 2021, we granted 117 performance restricted stock units ("PSUs") to certain executives. Vesting of these awards is contingent upon i) us meeting certain revenue and non-GAAP performance goals (performance-based) in fiscal 2022 and ii) our customary service periods. The awards vest over three years. These awards generally have potential to vest at 200% based on actual fiscal 2022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In the six months ended September 30, 2021, we granted 105 market performance stock units to certain executives. The vesting of these awards is contingent upon us meeting certain total shareholder return ("TSR") levels as compared to the Russell 3000 market index over the next three years. The awards vest in three annual tranches and have a maximum potential to vest at 200% (210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fair value of the awards granted during the six months ended September 30, 2021 was $87.74 per unit. The awards are included in the restricted stock unit table.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6"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The Employee Stock Purchase Plan (the “Purchase Plan”) is a shareholder approved plan under which substantially all employees may purchase our common stock through payroll deductions at a price equal to 85% of the lower of the fair market values of the stock as of the beginning or the end of six-month offering periods. An employee’s payroll deductions under the Purchase Plan are limited to 10% of the employee’s salary and employees may not purchase more than $25 of stock during any calendar year. Employees purchased 85 shares in exchange for $5,160 of proceeds in the six months ended September 30, 2021 and 129 shares in exchange for $4,652 of proceeds in the six months ended September 30, 2020. The Purchase Plan is considered compensatory and the fair value of the discount and look back provision are estimated using the Black-Scholes formula and recognized over the six-month withholding period prior to purchase. The total expense associated with the Purchase Plan for six months ended September 30, 2021 and 2020 was $1,567 and $1,511, respectively. As of September 30, 2021, there was approximately $1,291 of unrecognized cost related to the current purchase period of our Purchase Plan.</w:t>
      </w:r>
    </w:p>
    <w:p>
      <w:pPr>
        <w:spacing w:after="0" w:line="200" w:lineRule="exact"/>
        <w:rPr>
          <w:sz w:val="20"/>
          <w:szCs w:val="20"/>
          <w:color w:val="auto"/>
        </w:rPr>
      </w:pPr>
    </w:p>
    <w:p>
      <w:pPr>
        <w:spacing w:after="0" w:line="333" w:lineRule="exact"/>
        <w:rPr>
          <w:sz w:val="20"/>
          <w:szCs w:val="20"/>
          <w:color w:val="auto"/>
        </w:rPr>
      </w:pPr>
    </w:p>
    <w:p>
      <w:pPr>
        <w:ind w:left="340" w:hanging="334"/>
        <w:spacing w:after="0"/>
        <w:tabs>
          <w:tab w:leader="none" w:pos="340" w:val="left"/>
        </w:tabs>
        <w:numPr>
          <w:ilvl w:val="0"/>
          <w:numId w:val="10"/>
        </w:numPr>
        <w:rPr>
          <w:rFonts w:ascii="Arial" w:cs="Arial" w:eastAsia="Arial" w:hAnsi="Arial"/>
          <w:sz w:val="18"/>
          <w:szCs w:val="18"/>
          <w:b w:val="1"/>
          <w:bCs w:val="1"/>
          <w:color w:val="00B2A9"/>
        </w:rPr>
      </w:pPr>
      <w:r>
        <w:rPr>
          <w:rFonts w:ascii="Arial" w:cs="Arial" w:eastAsia="Arial" w:hAnsi="Arial"/>
          <w:sz w:val="18"/>
          <w:szCs w:val="18"/>
          <w:b w:val="1"/>
          <w:bCs w:val="1"/>
          <w:color w:val="00B2A9"/>
        </w:rPr>
        <w:t>Income Taxes</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Income tax expense was $2,555 in the six months ended September 30, 2021 compared to expense of $4,211 in the six months ended September 30, 2020. Current quarter income tax expense relates primarily to current foreign taxes. In fiscal 2018, we determined that it was more likely than not that we will not realize the benefits of our gross deferred tax assets and therefore recorded a valuation allowance to reduce the carrying value of these gross deferred tax assets, net of the impact of the reversal of taxable temporary differences, to zero. Our position remains unchanged with respect to the realizability of our deferred tax assets as of September 30, 2021.</w:t>
      </w:r>
    </w:p>
    <w:p>
      <w:pPr>
        <w:spacing w:after="0" w:line="370" w:lineRule="exact"/>
        <w:rPr>
          <w:sz w:val="20"/>
          <w:szCs w:val="20"/>
          <w:color w:val="auto"/>
        </w:rPr>
      </w:pPr>
    </w:p>
    <w:p>
      <w:pPr>
        <w:ind w:left="340" w:hanging="334"/>
        <w:spacing w:after="0"/>
        <w:tabs>
          <w:tab w:leader="none" w:pos="340" w:val="left"/>
        </w:tabs>
        <w:numPr>
          <w:ilvl w:val="0"/>
          <w:numId w:val="11"/>
        </w:numPr>
        <w:rPr>
          <w:rFonts w:ascii="Arial" w:cs="Arial" w:eastAsia="Arial" w:hAnsi="Arial"/>
          <w:sz w:val="18"/>
          <w:szCs w:val="18"/>
          <w:b w:val="1"/>
          <w:bCs w:val="1"/>
          <w:color w:val="00B2A9"/>
        </w:rPr>
      </w:pPr>
      <w:r>
        <w:rPr>
          <w:rFonts w:ascii="Arial" w:cs="Arial" w:eastAsia="Arial" w:hAnsi="Arial"/>
          <w:sz w:val="18"/>
          <w:szCs w:val="18"/>
          <w:b w:val="1"/>
          <w:bCs w:val="1"/>
          <w:color w:val="00B2A9"/>
        </w:rPr>
        <w:t>Restructuring</w:t>
      </w:r>
    </w:p>
    <w:p>
      <w:pPr>
        <w:spacing w:after="0" w:line="186"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restructuring plan, initiated in the first quarter of fiscal 2019, is aimed to increase efficiency in our sales, marketing and distribution functions as well as reduce costs across all functional areas. These restructuring charges relate primarily to severance and related costs associated with headcount reductions, stock-based compensation related to modifications of existing unvested awards granted to certain employees impacted by the restructuring plan and lease abandonment charges.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September 30, 2021 and 2020, restructuring charges were comprised of the following:</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214"/>
        </w:trPr>
        <w:tc>
          <w:tcPr>
            <w:tcW w:w="3800" w:type="dxa"/>
            <w:vAlign w:val="bottom"/>
          </w:tcPr>
          <w:p>
            <w:pPr>
              <w:spacing w:after="0"/>
              <w:rPr>
                <w:sz w:val="18"/>
                <w:szCs w:val="18"/>
                <w:color w:val="auto"/>
              </w:rPr>
            </w:pPr>
          </w:p>
        </w:tc>
        <w:tc>
          <w:tcPr>
            <w:tcW w:w="29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720" w:type="dxa"/>
            <w:vAlign w:val="bottom"/>
            <w:gridSpan w:val="4"/>
          </w:tcPr>
          <w:p>
            <w:pPr>
              <w:jc w:val="right"/>
              <w:ind w:right="101"/>
              <w:spacing w:after="0"/>
              <w:rPr>
                <w:sz w:val="20"/>
                <w:szCs w:val="20"/>
                <w:color w:val="auto"/>
              </w:rPr>
            </w:pPr>
            <w:r>
              <w:rPr>
                <w:rFonts w:ascii="Arial" w:cs="Arial" w:eastAsia="Arial" w:hAnsi="Arial"/>
                <w:sz w:val="16"/>
                <w:szCs w:val="16"/>
                <w:b w:val="1"/>
                <w:bCs w:val="1"/>
                <w:color w:val="auto"/>
                <w:w w:val="99"/>
              </w:rPr>
              <w:t>Six Months Ended September 30,</w:t>
            </w:r>
          </w:p>
        </w:tc>
      </w:tr>
      <w:tr>
        <w:trPr>
          <w:trHeight w:val="208"/>
        </w:trPr>
        <w:tc>
          <w:tcPr>
            <w:tcW w:w="38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related costs</w:t>
            </w: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6,695</w:t>
            </w:r>
          </w:p>
        </w:tc>
      </w:tr>
      <w:tr>
        <w:trPr>
          <w:trHeight w:val="212"/>
        </w:trPr>
        <w:tc>
          <w:tcPr>
            <w:tcW w:w="3800" w:type="dxa"/>
            <w:vAlign w:val="bottom"/>
          </w:tcPr>
          <w:p>
            <w:pPr>
              <w:ind w:left="20"/>
              <w:spacing w:after="0" w:line="212" w:lineRule="exact"/>
              <w:rPr>
                <w:sz w:val="20"/>
                <w:szCs w:val="20"/>
                <w:color w:val="auto"/>
              </w:rPr>
            </w:pPr>
            <w:r>
              <w:rPr>
                <w:rFonts w:ascii="Arial" w:cs="Arial" w:eastAsia="Arial" w:hAnsi="Arial"/>
                <w:sz w:val="16"/>
                <w:szCs w:val="16"/>
                <w:color w:val="auto"/>
              </w:rPr>
              <w:t xml:space="preserve">Lease impairments and related costs </w:t>
            </w:r>
            <w:r>
              <w:rPr>
                <w:rFonts w:ascii="Arial" w:cs="Arial" w:eastAsia="Arial" w:hAnsi="Arial"/>
                <w:sz w:val="20"/>
                <w:szCs w:val="20"/>
                <w:color w:val="auto"/>
                <w:vertAlign w:val="superscript"/>
              </w:rPr>
              <w:t>(1)</w:t>
            </w:r>
          </w:p>
        </w:tc>
        <w:tc>
          <w:tcPr>
            <w:tcW w:w="9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692</w:t>
            </w: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704</w:t>
            </w:r>
          </w:p>
        </w:tc>
      </w:tr>
      <w:tr>
        <w:trPr>
          <w:trHeight w:val="208"/>
        </w:trPr>
        <w:tc>
          <w:tcPr>
            <w:tcW w:w="3800" w:type="dxa"/>
            <w:vAlign w:val="bottom"/>
          </w:tcPr>
          <w:p>
            <w:pPr>
              <w:ind w:left="20"/>
              <w:spacing w:after="0"/>
              <w:rPr>
                <w:sz w:val="20"/>
                <w:szCs w:val="20"/>
                <w:color w:val="auto"/>
              </w:rPr>
            </w:pPr>
            <w:r>
              <w:rPr>
                <w:rFonts w:ascii="Arial" w:cs="Arial" w:eastAsia="Arial" w:hAnsi="Arial"/>
                <w:sz w:val="16"/>
                <w:szCs w:val="16"/>
                <w:color w:val="auto"/>
              </w:rPr>
              <w:t>Total restructuring charges</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8,091</w:t>
            </w:r>
          </w:p>
        </w:tc>
      </w:tr>
      <w:tr>
        <w:trPr>
          <w:trHeight w:val="20"/>
        </w:trPr>
        <w:tc>
          <w:tcPr>
            <w:tcW w:w="3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p>
      <w:pPr>
        <w:ind w:left="640" w:firstLine="2"/>
        <w:spacing w:after="0" w:line="226" w:lineRule="auto"/>
        <w:tabs>
          <w:tab w:leader="none" w:pos="825"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Lease impairment charges for the three and six months ended September 30, 2020 relate to three and five offices, respectively. There were no lease impairment charges for the three and six months ended September 30, 2021.</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accruals</w:t>
      </w:r>
    </w:p>
    <w:p>
      <w:pPr>
        <w:spacing w:after="0" w:line="2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activity in our restructuring accruals for the six months ended September 30, 2021 is as follows:</w:t>
      </w:r>
    </w:p>
    <w:p>
      <w:pPr>
        <w:spacing w:after="0" w:line="120" w:lineRule="exact"/>
        <w:rPr>
          <w:sz w:val="20"/>
          <w:szCs w:val="20"/>
          <w:color w:val="auto"/>
        </w:rPr>
      </w:pPr>
    </w:p>
    <w:tbl>
      <w:tblPr>
        <w:tblLayout w:type="fixed"/>
        <w:tblInd w:w="2380" w:type="dxa"/>
        <w:tblCellMar>
          <w:top w:w="0" w:type="dxa"/>
          <w:left w:w="0" w:type="dxa"/>
          <w:bottom w:w="0" w:type="dxa"/>
          <w:right w:w="0" w:type="dxa"/>
        </w:tblCellMar>
      </w:tblPr>
      <w:tr>
        <w:trPr>
          <w:trHeight w:val="214"/>
        </w:trPr>
        <w:tc>
          <w:tcPr>
            <w:tcW w:w="5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Total</w:t>
            </w:r>
          </w:p>
        </w:tc>
      </w:tr>
      <w:tr>
        <w:trPr>
          <w:trHeight w:val="208"/>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March 31, 2021</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3,095</w:t>
            </w: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color w:val="auto"/>
              </w:rPr>
              <w:t>Employee severance and related costs</w:t>
            </w:r>
          </w:p>
        </w:tc>
        <w:tc>
          <w:tcPr>
            <w:tcW w:w="3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1,710</w:t>
            </w:r>
          </w:p>
        </w:tc>
      </w:tr>
      <w:tr>
        <w:trPr>
          <w:trHeight w:val="215"/>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(4,306)</w:t>
            </w:r>
          </w:p>
        </w:tc>
      </w:tr>
      <w:tr>
        <w:trPr>
          <w:trHeight w:val="203"/>
        </w:trPr>
        <w:tc>
          <w:tcPr>
            <w:tcW w:w="5080" w:type="dxa"/>
            <w:vAlign w:val="bottom"/>
          </w:tcPr>
          <w:p>
            <w:pPr>
              <w:ind w:left="20"/>
              <w:spacing w:after="0"/>
              <w:rPr>
                <w:sz w:val="20"/>
                <w:szCs w:val="20"/>
                <w:color w:val="auto"/>
              </w:rPr>
            </w:pPr>
            <w:r>
              <w:rPr>
                <w:rFonts w:ascii="Arial" w:cs="Arial" w:eastAsia="Arial" w:hAnsi="Arial"/>
                <w:sz w:val="16"/>
                <w:szCs w:val="16"/>
                <w:color w:val="auto"/>
              </w:rPr>
              <w:t>Balance as of September 30, 2021</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w:t>
            </w:r>
          </w:p>
        </w:tc>
      </w:tr>
      <w:tr>
        <w:trPr>
          <w:trHeight w:val="22"/>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B2A9"/>
        </w:rPr>
        <w:t>Item 2 - Management’s Discussion and Analysis of Financial Condition and Results of Operations</w:t>
      </w:r>
    </w:p>
    <w:p>
      <w:pPr>
        <w:spacing w:after="0" w:line="115"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2021. Our actual results may differ materially from those contained in or implied by any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Overview</w:t>
      </w:r>
    </w:p>
    <w:p>
      <w:pPr>
        <w:spacing w:after="0" w:line="358"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Commvault Systems, Inc. is a global data protection and information management software company offering customers enterprise level, intelligent data management solutions built from the ground up on a single platform and unified code base. Commvault was incorporated in Delaware in 1996.</w:t>
      </w:r>
    </w:p>
    <w:p>
      <w:pPr>
        <w:spacing w:after="0" w:line="233" w:lineRule="exact"/>
        <w:rPr>
          <w:sz w:val="20"/>
          <w:szCs w:val="20"/>
          <w:color w:val="auto"/>
        </w:rPr>
      </w:pPr>
    </w:p>
    <w:p>
      <w:pPr>
        <w:jc w:val="both"/>
        <w:ind w:firstLine="636"/>
        <w:spacing w:after="0" w:line="246" w:lineRule="auto"/>
        <w:rPr>
          <w:sz w:val="20"/>
          <w:szCs w:val="20"/>
          <w:color w:val="auto"/>
        </w:rPr>
      </w:pPr>
      <w:r>
        <w:rPr>
          <w:rFonts w:ascii="Arial" w:cs="Arial" w:eastAsia="Arial" w:hAnsi="Arial"/>
          <w:sz w:val="18"/>
          <w:szCs w:val="18"/>
          <w:color w:val="auto"/>
        </w:rPr>
        <w:t>At Commvault, we believe in solving hard problems for our customers. To do this, we provide capabilities which enable our customers to accelerate their digital transformation in today's ever evolving workforce using tools that are light touch and utilize artificial intelligence and machine learning to drive automation. Our product portfolio empowers our customers to reduce complexity, reign in data fragmentation, and accelerate their cloud journey. All software functionality shares the same back-end technologies to deliver the benefits of a holistic approach to protecting, managing, and accessing data. Our software addresses many aspects of storage and data management in the enterprise, while providing scalability and control of data and information. We believe our technology provides the broadest set of capabilities in the industry, which allows customers to reduce storage costs and administrative overhead. We also provide our customers with a broad range of professional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B2A9"/>
        </w:rPr>
        <w:t>Sources of Revenues</w:t>
      </w:r>
    </w:p>
    <w:p>
      <w:pPr>
        <w:spacing w:after="0" w:line="10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and related appliance products. We do not customize our software or products for a specific end-user customer. We sell our software applications and products to end-user customers both directly through our sales force and indirectly through our global network of value-added reseller partners, systems integrators, corporate resellers and original equipment manufacturers. Our software and products revenue was 44% and 43% of our total revenues for the six months ended September 30, 2021 and 2020, respectively.</w:t>
      </w:r>
    </w:p>
    <w:p>
      <w:pPr>
        <w:spacing w:after="0" w:line="15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total software and products revenue in any particular period is, to a certain extent, dependent upon our ability to generate revenues from large customer software and products deals. Larger deals (transactions greater than $0.1 million) represented 68% and 69% of our total software and products revenue in the six months ended September 30, 2021 and 2020, respectively.</w:t>
      </w:r>
    </w:p>
    <w:p>
      <w:pPr>
        <w:spacing w:after="0" w:line="153"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Software and products revenue generated through indirect distribution channels accounted for approximately 90% of total software and products revenue in both the six months ended September 30, 2021 and 2020. Software and products revenue generated through direct distribution channels accounted for approximately 10% of total software and products revenue in both the six months ended September 30, 2021 and 2020.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and products revenue generated through our direct distribution channels from time-to-time. We believe that the growth of our software and products revenue, derived from both our indirect channel partners and direct sales force, are key attributes to our long-term growth strategy. We plan to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5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have a non-exclusive distribution agreement covering our North American commercial markets and our U.S. Federal Government market with Arrow Enterprise Computing Solutions, Inc. ("Arrow"), a subsidiary of Arrow Electronics, Inc. Pursuant to this distribution agreement, Arrow's primary role is to enable a more efficient and effective distribution channel for our products and services by managing our reseller partners and leveraging their own industry experience. We generated 35% and 36% of our total revenues through Arrow the six months ended September 30, 2021 and 2020, respectively. If Arrow were to discontinue or reduce the sales of our products, or if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9" w:name="page20"/>
    <w:bookmarkEnd w:id="19"/>
    <w:p>
      <w:pPr>
        <w:jc w:val="both"/>
        <w:spacing w:after="0" w:line="251" w:lineRule="auto"/>
        <w:rPr>
          <w:sz w:val="20"/>
          <w:szCs w:val="20"/>
          <w:color w:val="auto"/>
        </w:rPr>
      </w:pPr>
      <w:r>
        <w:rPr>
          <w:rFonts w:ascii="Arial" w:cs="Arial" w:eastAsia="Arial" w:hAnsi="Arial"/>
          <w:sz w:val="18"/>
          <w:szCs w:val="18"/>
          <w:color w:val="auto"/>
        </w:rPr>
        <w:t>our agreement with Arrow were terminated, and if we were unable to take back the management of our reseller channel or find another North American distributor to replace Arrow, then such events would have a material adverse effect on our future business.</w:t>
      </w:r>
    </w:p>
    <w:p>
      <w:pPr>
        <w:spacing w:after="0" w:line="150"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Our services revenue was 56% of our total revenues for the six months ended September 30, 2021 and 57% of our total revenues for the six months ended September 30, 2020.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 Our software-as-a-service solution, branded Metallic, is also included in services revenue. Revenue from Metallic is recognized ratably over the contract period.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Foreign Currency Exchange Rates’ Impact on Results of Operations</w:t>
      </w:r>
    </w:p>
    <w:p>
      <w:pPr>
        <w:spacing w:after="0" w:line="18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Sales outside the United States were 47% of our total revenue for the six months ended September 30, 2021 and 45% of our total revenue for the six months ended September 30, 2020.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58"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Using the average foreign currency exchange rates from the three months ended September 30, 2020, our software and products revenue would have been lower by $0.8 million, our services revenue would have been lower by $1.2 million, our cost of sales would have been lower by $0.2 million and our operating expenses would have been lower by $1.2 million from non-U.S. operations for the three months ended September 30, 2021. Using the average foreign currency exchange rates from the six months ended September 30, 2020, our software and products revenue would have been lower by $3.9 million, our services revenue would have been lower by $5.7 million, our cost of sales would have been lower by $1.2 million and our operating expenses would have been lower by $4.7 million from non-U.S. operations for the six months ended September 30, 2021.</w:t>
      </w:r>
    </w:p>
    <w:p>
      <w:pPr>
        <w:spacing w:after="0" w:line="15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net foreign currency transaction losses of approximately $0.1 million and $0.2 million for the three and six months ended September 30, 2021, respectively. We recognized net foreign currency transaction losses of approximately $1.2 million and $0.4 million for the three and six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B2A9"/>
        </w:rPr>
        <w:t>Critical Accounting Policies</w:t>
      </w:r>
    </w:p>
    <w:p>
      <w:pPr>
        <w:spacing w:after="0" w:line="186"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7"/>
          <w:szCs w:val="17"/>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44"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55" w:lineRule="exact"/>
        <w:rPr>
          <w:sz w:val="20"/>
          <w:szCs w:val="20"/>
          <w:color w:val="auto"/>
        </w:rPr>
      </w:pPr>
    </w:p>
    <w:p>
      <w:pPr>
        <w:ind w:left="1900" w:hanging="225"/>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64" w:lineRule="exact"/>
        <w:rPr>
          <w:rFonts w:ascii="Arial" w:cs="Arial" w:eastAsia="Arial" w:hAnsi="Arial"/>
          <w:sz w:val="18"/>
          <w:szCs w:val="18"/>
          <w:color w:val="auto"/>
        </w:rPr>
      </w:pPr>
    </w:p>
    <w:p>
      <w:pPr>
        <w:ind w:left="1900" w:hanging="225"/>
        <w:spacing w:after="0"/>
        <w:tabs>
          <w:tab w:leader="none" w:pos="1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w:t>
      </w:r>
    </w:p>
    <w:p>
      <w:pPr>
        <w:spacing w:after="0" w:line="16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There have been no significant changes in our critical accounting policies during the six months ended September 30, 2021 as compared to the critical accounting policies and estimates disclosed in “Management’s Discussion and Analysis of Financial Condition and Results of Operations - Critical Accounting Policies” included in our Annual Report on Form 10-K for the year ended March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00B2A9"/>
        </w:rPr>
        <w:t>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14725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3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revenues increased $6.7 million, or 4% as a result of the following:</w:t>
      </w:r>
    </w:p>
    <w:p>
      <w:pPr>
        <w:spacing w:after="0" w:line="85" w:lineRule="exact"/>
        <w:rPr>
          <w:sz w:val="20"/>
          <w:szCs w:val="20"/>
          <w:color w:val="auto"/>
        </w:rPr>
      </w:pPr>
    </w:p>
    <w:p>
      <w:pPr>
        <w:ind w:left="1280" w:hanging="121"/>
        <w:spacing w:after="0" w:line="251" w:lineRule="auto"/>
        <w:tabs>
          <w:tab w:leader="none" w:pos="1275"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42% of our total revenue for both the three months ended September 30, 2021 and September 30, 2020.</w:t>
      </w:r>
    </w:p>
    <w:p>
      <w:pPr>
        <w:spacing w:after="0" w:line="83" w:lineRule="exact"/>
        <w:rPr>
          <w:rFonts w:ascii="Arial" w:cs="Arial" w:eastAsia="Arial" w:hAnsi="Arial"/>
          <w:sz w:val="18"/>
          <w:szCs w:val="18"/>
          <w:i w:val="1"/>
          <w:iCs w:val="1"/>
          <w:color w:val="auto"/>
        </w:rPr>
      </w:pPr>
    </w:p>
    <w:p>
      <w:pPr>
        <w:jc w:val="both"/>
        <w:ind w:left="1280" w:hanging="121"/>
        <w:spacing w:after="0" w:line="248" w:lineRule="auto"/>
        <w:tabs>
          <w:tab w:leader="none" w:pos="1275"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Larger deal revenue (deals greater than $0.1 million) represented 67% of our software and products revenue in the three months ended September 30, 2021 and 66% of our software and products revenue in the three months ended September 30, 2020.</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and products revenue increased $3.0 million, or 4%, as a result of the following:</w:t>
      </w:r>
    </w:p>
    <w:p>
      <w:pPr>
        <w:spacing w:after="0" w:line="85" w:lineRule="exact"/>
        <w:rPr>
          <w:sz w:val="20"/>
          <w:szCs w:val="20"/>
          <w:color w:val="auto"/>
        </w:rPr>
      </w:pPr>
    </w:p>
    <w:p>
      <w:pPr>
        <w:ind w:left="1280" w:hanging="121"/>
        <w:spacing w:after="0"/>
        <w:tabs>
          <w:tab w:leader="none" w:pos="1280" w:val="left"/>
        </w:tabs>
        <w:numPr>
          <w:ilvl w:val="2"/>
          <w:numId w:val="15"/>
        </w:numPr>
        <w:rPr>
          <w:rFonts w:ascii="Arial" w:cs="Arial" w:eastAsia="Arial" w:hAnsi="Arial"/>
          <w:sz w:val="18"/>
          <w:szCs w:val="18"/>
          <w:i w:val="1"/>
          <w:iCs w:val="1"/>
          <w:color w:val="auto"/>
        </w:rPr>
      </w:pPr>
      <w:r>
        <w:rPr>
          <w:rFonts w:ascii="Arial" w:cs="Arial" w:eastAsia="Arial" w:hAnsi="Arial"/>
          <w:sz w:val="18"/>
          <w:szCs w:val="18"/>
          <w:color w:val="auto"/>
        </w:rPr>
        <w:t>An increase of $2.9 million, or 6%, in larger deal revenue.</w:t>
      </w:r>
    </w:p>
    <w:p>
      <w:pPr>
        <w:spacing w:after="0" w:line="97" w:lineRule="exact"/>
        <w:rPr>
          <w:rFonts w:ascii="Arial" w:cs="Arial" w:eastAsia="Arial" w:hAnsi="Arial"/>
          <w:sz w:val="18"/>
          <w:szCs w:val="18"/>
          <w:i w:val="1"/>
          <w:iCs w:val="1"/>
          <w:color w:val="auto"/>
        </w:rPr>
      </w:pPr>
    </w:p>
    <w:p>
      <w:pPr>
        <w:ind w:left="1280" w:hanging="121"/>
        <w:spacing w:after="0"/>
        <w:tabs>
          <w:tab w:leader="none" w:pos="128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 increase of $0.1 million in transactions less than $0.1 million.</w:t>
      </w:r>
    </w:p>
    <w:p>
      <w:pPr>
        <w:spacing w:after="0" w:line="97" w:lineRule="exact"/>
        <w:rPr>
          <w:rFonts w:ascii="Arial" w:cs="Arial" w:eastAsia="Arial" w:hAnsi="Arial"/>
          <w:sz w:val="18"/>
          <w:szCs w:val="18"/>
          <w:color w:val="auto"/>
        </w:rPr>
      </w:pPr>
    </w:p>
    <w:p>
      <w:pPr>
        <w:ind w:left="1280" w:hanging="121"/>
        <w:spacing w:after="0" w:line="251" w:lineRule="auto"/>
        <w:tabs>
          <w:tab w:leader="none" w:pos="1275" w:val="left"/>
        </w:tabs>
        <w:numPr>
          <w:ilvl w:val="2"/>
          <w:numId w:val="15"/>
        </w:numPr>
        <w:rPr>
          <w:rFonts w:ascii="Arial" w:cs="Arial" w:eastAsia="Arial" w:hAnsi="Arial"/>
          <w:sz w:val="18"/>
          <w:szCs w:val="18"/>
          <w:i w:val="1"/>
          <w:iCs w:val="1"/>
          <w:color w:val="auto"/>
        </w:rPr>
      </w:pPr>
      <w:r>
        <w:rPr>
          <w:rFonts w:ascii="Arial" w:cs="Arial" w:eastAsia="Arial" w:hAnsi="Arial"/>
          <w:sz w:val="18"/>
          <w:szCs w:val="18"/>
          <w:color w:val="auto"/>
        </w:rPr>
        <w:t>An increase of 9% in the volume of larger deal revenue transactions to 163 deals for the three months ended September 30, 2021, up from 150 deals for the three months ended September 30, 2020.</w:t>
      </w:r>
    </w:p>
    <w:p>
      <w:pPr>
        <w:spacing w:after="0" w:line="70" w:lineRule="exact"/>
        <w:rPr>
          <w:rFonts w:ascii="Arial" w:cs="Arial" w:eastAsia="Arial" w:hAnsi="Arial"/>
          <w:sz w:val="18"/>
          <w:szCs w:val="18"/>
          <w:i w:val="1"/>
          <w:iCs w:val="1"/>
          <w:color w:val="auto"/>
        </w:rPr>
      </w:pPr>
    </w:p>
    <w:p>
      <w:pPr>
        <w:ind w:left="1280" w:hanging="121"/>
        <w:spacing w:after="0" w:line="251" w:lineRule="auto"/>
        <w:tabs>
          <w:tab w:leader="none" w:pos="1275" w:val="left"/>
        </w:tabs>
        <w:numPr>
          <w:ilvl w:val="2"/>
          <w:numId w:val="15"/>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$311 thousand and $319 thousand for the three months ended September 30, 2021 and 2020, respectively, representing a 3% decrease.</w:t>
      </w:r>
    </w:p>
    <w:p>
      <w:pPr>
        <w:spacing w:after="0" w:line="83" w:lineRule="exact"/>
        <w:rPr>
          <w:rFonts w:ascii="Arial" w:cs="Arial" w:eastAsia="Arial" w:hAnsi="Arial"/>
          <w:sz w:val="18"/>
          <w:szCs w:val="18"/>
          <w:i w:val="1"/>
          <w:iCs w:val="1"/>
          <w:color w:val="auto"/>
        </w:rPr>
      </w:pPr>
    </w:p>
    <w:p>
      <w:pPr>
        <w:ind w:left="1280" w:hanging="121"/>
        <w:spacing w:after="0" w:line="251" w:lineRule="auto"/>
        <w:tabs>
          <w:tab w:leader="none" w:pos="1275" w:val="left"/>
        </w:tabs>
        <w:numPr>
          <w:ilvl w:val="2"/>
          <w:numId w:val="15"/>
        </w:numPr>
        <w:rPr>
          <w:rFonts w:ascii="Arial" w:cs="Arial" w:eastAsia="Arial" w:hAnsi="Arial"/>
          <w:sz w:val="18"/>
          <w:szCs w:val="18"/>
          <w:color w:val="auto"/>
        </w:rPr>
      </w:pPr>
      <w:r>
        <w:rPr>
          <w:rFonts w:ascii="Arial" w:cs="Arial" w:eastAsia="Arial" w:hAnsi="Arial"/>
          <w:sz w:val="18"/>
          <w:szCs w:val="18"/>
          <w:color w:val="auto"/>
        </w:rPr>
        <w:t>On a year over year basis, pass through hardware sales decreased approximately $3.0 million. Software revenues, excluding hardware, were up 9% year over year.</w:t>
      </w:r>
    </w:p>
    <w:p>
      <w:pPr>
        <w:spacing w:after="0" w:line="65" w:lineRule="exact"/>
        <w:rPr>
          <w:rFonts w:ascii="Arial" w:cs="Arial" w:eastAsia="Arial" w:hAnsi="Arial"/>
          <w:sz w:val="18"/>
          <w:szCs w:val="18"/>
          <w:color w:val="auto"/>
        </w:rPr>
      </w:pPr>
    </w:p>
    <w:p>
      <w:pPr>
        <w:ind w:left="640" w:hanging="159"/>
        <w:spacing w:after="0" w:line="272" w:lineRule="auto"/>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58% of our total revenue in both the three months ended September 30, 2021 and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increased $3.7 million primarily due to the following:</w:t>
      </w:r>
    </w:p>
    <w:p>
      <w:pPr>
        <w:spacing w:after="0" w:line="52" w:lineRule="exact"/>
        <w:rPr>
          <w:rFonts w:ascii="Arial" w:cs="Arial" w:eastAsia="Arial" w:hAnsi="Arial"/>
          <w:sz w:val="18"/>
          <w:szCs w:val="18"/>
          <w:color w:val="auto"/>
        </w:rPr>
      </w:pPr>
    </w:p>
    <w:p>
      <w:pPr>
        <w:ind w:left="1280" w:hanging="161"/>
        <w:spacing w:after="0"/>
        <w:tabs>
          <w:tab w:leader="none" w:pos="12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 increase of $5.7 million of other services revenue, driven primarily by the year over year increase in revenue from Metallic.</w:t>
      </w:r>
    </w:p>
    <w:p>
      <w:pPr>
        <w:spacing w:after="0" w:line="109" w:lineRule="exact"/>
        <w:rPr>
          <w:rFonts w:ascii="Arial" w:cs="Arial" w:eastAsia="Arial" w:hAnsi="Arial"/>
          <w:sz w:val="17"/>
          <w:szCs w:val="17"/>
          <w:color w:val="auto"/>
        </w:rPr>
      </w:pPr>
    </w:p>
    <w:p>
      <w:pPr>
        <w:ind w:left="1280" w:hanging="161"/>
        <w:spacing w:after="0"/>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Partially offset by a decrease of $2.0 million in revenue from customer support agreements.</w:t>
      </w:r>
    </w:p>
    <w:p>
      <w:pPr>
        <w:spacing w:after="0" w:line="98"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59%, 30% and 11% of total software and products revenue, respectively, for the three months ended September 30, 2021. Software and products revenue increased year over year by 13% in the Americas and 1% in EMEA; whereas APJ declined 20%.</w:t>
      </w:r>
    </w:p>
    <w:p>
      <w:pPr>
        <w:spacing w:after="0" w:line="154" w:lineRule="exact"/>
        <w:rPr>
          <w:sz w:val="20"/>
          <w:szCs w:val="20"/>
          <w:color w:val="auto"/>
        </w:rPr>
      </w:pPr>
    </w:p>
    <w:p>
      <w:pPr>
        <w:ind w:left="640" w:hanging="316"/>
        <w:spacing w:after="0" w:line="251" w:lineRule="auto"/>
        <w:tabs>
          <w:tab w:leader="none" w:pos="663"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an 11% increase in larger deal transactions revenue driven by an increase in the volume of larger deal transactions.</w:t>
      </w:r>
    </w:p>
    <w:p>
      <w:pPr>
        <w:spacing w:after="0" w:line="150" w:lineRule="exact"/>
        <w:rPr>
          <w:rFonts w:ascii="Arial" w:cs="Arial" w:eastAsia="Arial" w:hAnsi="Arial"/>
          <w:sz w:val="18"/>
          <w:szCs w:val="18"/>
          <w:i w:val="1"/>
          <w:iCs w:val="1"/>
          <w:color w:val="auto"/>
        </w:rPr>
      </w:pPr>
    </w:p>
    <w:p>
      <w:pPr>
        <w:ind w:left="640" w:hanging="316"/>
        <w:spacing w:after="0" w:line="25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an 18% increase in revenue on larger deal transactions partially offset by a decrease on deals under $0.1 million.</w:t>
      </w:r>
    </w:p>
    <w:p>
      <w:pPr>
        <w:spacing w:after="0" w:line="150" w:lineRule="exact"/>
        <w:rPr>
          <w:rFonts w:ascii="Arial" w:cs="Arial" w:eastAsia="Arial" w:hAnsi="Arial"/>
          <w:sz w:val="18"/>
          <w:szCs w:val="18"/>
          <w:color w:val="auto"/>
        </w:rPr>
      </w:pPr>
    </w:p>
    <w:p>
      <w:pPr>
        <w:ind w:left="640" w:hanging="316"/>
        <w:spacing w:after="0" w:line="251" w:lineRule="auto"/>
        <w:tabs>
          <w:tab w:leader="none" w:pos="6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decrease in APJ was the result of larger deal transactions decreasing versus the prior year period, partially offset by an increase in deals under $0.1 million.</w:t>
      </w:r>
    </w:p>
    <w:p>
      <w:pPr>
        <w:sectPr>
          <w:pgSz w:w="11900" w:h="16838" w:orient="portrait"/>
          <w:cols w:equalWidth="0" w:num="1">
            <w:col w:w="11240"/>
          </w:cols>
          <w:pgMar w:left="320" w:top="10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type w:val="continuous"/>
        </w:sectPr>
      </w:pPr>
    </w:p>
    <w:bookmarkStart w:id="22" w:name="page23"/>
    <w:bookmarkEnd w:id="22"/>
    <w:p>
      <w:pPr>
        <w:ind w:firstLine="437"/>
        <w:spacing w:after="0" w:line="25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225425</wp:posOffset>
            </wp:positionV>
            <wp:extent cx="5620385" cy="2995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0385"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20" w:hanging="318"/>
        <w:spacing w:after="0" w:line="251" w:lineRule="auto"/>
        <w:rPr>
          <w:sz w:val="20"/>
          <w:szCs w:val="20"/>
          <w:color w:val="auto"/>
        </w:rPr>
      </w:pPr>
      <w:r>
        <w:rPr>
          <w:rFonts w:ascii="Arial" w:cs="Arial" w:eastAsia="Arial" w:hAnsi="Arial"/>
          <w:sz w:val="18"/>
          <w:szCs w:val="18"/>
          <w:color w:val="auto"/>
        </w:rPr>
        <w:t>– Total cost of revenues decreased $0.2 million, and represented 15% of our total revenues for the three months ended September 30, 2021 compared to 16% for the three months ended September 30, 2020.</w:t>
      </w:r>
    </w:p>
    <w:p>
      <w:pPr>
        <w:spacing w:after="0" w:line="70" w:lineRule="exact"/>
        <w:rPr>
          <w:sz w:val="20"/>
          <w:szCs w:val="20"/>
          <w:color w:val="auto"/>
        </w:rPr>
      </w:pPr>
    </w:p>
    <w:p>
      <w:pPr>
        <w:ind w:left="640" w:hanging="318"/>
        <w:spacing w:after="0" w:line="247" w:lineRule="auto"/>
        <w:rPr>
          <w:sz w:val="20"/>
          <w:szCs w:val="20"/>
          <w:color w:val="auto"/>
        </w:rPr>
      </w:pPr>
      <w:r>
        <w:rPr>
          <w:rFonts w:ascii="Arial" w:cs="Arial" w:eastAsia="Arial" w:hAnsi="Arial"/>
          <w:sz w:val="18"/>
          <w:szCs w:val="18"/>
          <w:color w:val="auto"/>
        </w:rPr>
        <w:t>– Cost of software and products revenue decreased $5.0 million, and represented 4% of our total software and products revenue for the three months ended September 30, 2021 compared to 11% for the three months ended September 30, 2020. The decrease is the result of reduced sales of hardware associated with our appliance as well as reduced software royalties associated with sales of HyperScale appliances and software. Beginning with the launch of HyperScale X in the mid fiscal 2021, we began transitioning to a software only model. HyperScale X has also reduced software royalties relative to prior versions of HyperScale.</w:t>
      </w:r>
    </w:p>
    <w:p>
      <w:pPr>
        <w:spacing w:after="0" w:line="87" w:lineRule="exact"/>
        <w:rPr>
          <w:sz w:val="20"/>
          <w:szCs w:val="20"/>
          <w:color w:val="auto"/>
        </w:rPr>
      </w:pPr>
    </w:p>
    <w:p>
      <w:pPr>
        <w:ind w:left="640" w:hanging="318"/>
        <w:spacing w:after="0" w:line="248" w:lineRule="auto"/>
        <w:rPr>
          <w:sz w:val="20"/>
          <w:szCs w:val="20"/>
          <w:color w:val="auto"/>
        </w:rPr>
      </w:pPr>
      <w:r>
        <w:rPr>
          <w:rFonts w:ascii="Arial" w:cs="Arial" w:eastAsia="Arial" w:hAnsi="Arial"/>
          <w:sz w:val="18"/>
          <w:szCs w:val="18"/>
          <w:color w:val="auto"/>
        </w:rPr>
        <w:t>– Cost of services revenue increased $4.8 million, representing 23% of our total services revenue for the three months ended September 30, 2021 compared to 19% for the three months ended September 30, 2020. The increase in cost of services revenue is primarily related to an increase in the cost of infrastructure related to Metallic.</w:t>
      </w:r>
    </w:p>
    <w:p>
      <w:pPr>
        <w:sectPr>
          <w:pgSz w:w="11900" w:h="16838" w:orient="portrait"/>
          <w:cols w:equalWidth="0" w:num="1">
            <w:col w:w="11240"/>
          </w:cols>
          <w:pgMar w:left="320" w:top="8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type w:val="continuous"/>
        </w:sectPr>
      </w:pPr>
    </w:p>
    <w:bookmarkStart w:id="23" w:name="page24"/>
    <w:bookmarkEnd w:id="23"/>
    <w:p>
      <w:pPr>
        <w:ind w:left="200"/>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74295</wp:posOffset>
            </wp:positionV>
            <wp:extent cx="5553075" cy="3205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3075" cy="320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Sales and marketing expenses increased $3.8 million, or 5%, primarily due to increases in employee compensation and related costs relative to the same time in the prior year due to temporary salary reductions and reduced travel.</w:t>
      </w:r>
    </w:p>
    <w:p>
      <w:pPr>
        <w:spacing w:after="0" w:line="70" w:lineRule="exact"/>
        <w:rPr>
          <w:sz w:val="20"/>
          <w:szCs w:val="20"/>
          <w:color w:val="auto"/>
        </w:rPr>
      </w:pPr>
    </w:p>
    <w:p>
      <w:pPr>
        <w:ind w:left="640" w:right="20" w:hanging="119"/>
        <w:spacing w:after="0" w:line="251" w:lineRule="auto"/>
        <w:rPr>
          <w:sz w:val="20"/>
          <w:szCs w:val="20"/>
          <w:color w:val="auto"/>
        </w:rPr>
      </w:pPr>
      <w:r>
        <w:rPr>
          <w:rFonts w:ascii="Arial" w:cs="Arial" w:eastAsia="Arial" w:hAnsi="Arial"/>
          <w:sz w:val="18"/>
          <w:szCs w:val="18"/>
          <w:color w:val="auto"/>
        </w:rPr>
        <w:t>– Research and development expenses increased $6.7 million, or 22%, as a result of an increase in employee compensation and related expenses attributable to the expansion of our engineering group.</w:t>
      </w:r>
    </w:p>
    <w:p>
      <w:pPr>
        <w:spacing w:after="0" w:line="83" w:lineRule="exact"/>
        <w:rPr>
          <w:sz w:val="20"/>
          <w:szCs w:val="20"/>
          <w:color w:val="auto"/>
        </w:rPr>
      </w:pPr>
    </w:p>
    <w:p>
      <w:pPr>
        <w:ind w:left="1280" w:hanging="121"/>
        <w:spacing w:after="0" w:line="251" w:lineRule="auto"/>
        <w:tabs>
          <w:tab w:leader="none" w:pos="1275" w:val="left"/>
        </w:tabs>
        <w:numPr>
          <w:ilvl w:val="1"/>
          <w:numId w:val="18"/>
        </w:numPr>
        <w:rPr>
          <w:rFonts w:ascii="Arial" w:cs="Arial" w:eastAsia="Arial" w:hAnsi="Arial"/>
          <w:sz w:val="18"/>
          <w:szCs w:val="18"/>
          <w:color w:val="auto"/>
          <w:strike w:val="1"/>
        </w:rPr>
      </w:pPr>
      <w:r>
        <w:rPr>
          <w:rFonts w:ascii="Arial" w:cs="Arial" w:eastAsia="Arial" w:hAnsi="Arial"/>
          <w:sz w:val="18"/>
          <w:szCs w:val="18"/>
          <w:color w:val="auto"/>
        </w:rPr>
        <w:t>The increase in employee compensation included an increase in stock-based compensation of $2.8 million compared to prior year.</w:t>
      </w:r>
    </w:p>
    <w:p>
      <w:pPr>
        <w:spacing w:after="0" w:line="83" w:lineRule="exact"/>
        <w:rPr>
          <w:rFonts w:ascii="Arial" w:cs="Arial" w:eastAsia="Arial" w:hAnsi="Arial"/>
          <w:sz w:val="18"/>
          <w:szCs w:val="18"/>
          <w:color w:val="auto"/>
          <w:strike w:val="1"/>
        </w:rPr>
      </w:pPr>
    </w:p>
    <w:p>
      <w:pPr>
        <w:ind w:left="1280" w:hanging="121"/>
        <w:spacing w:after="0" w:line="251" w:lineRule="auto"/>
        <w:tabs>
          <w:tab w:leader="none" w:pos="1275" w:val="left"/>
        </w:tabs>
        <w:numPr>
          <w:ilvl w:val="1"/>
          <w:numId w:val="18"/>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52" w:lineRule="exact"/>
        <w:rPr>
          <w:rFonts w:ascii="Arial" w:cs="Arial" w:eastAsia="Arial" w:hAnsi="Arial"/>
          <w:sz w:val="18"/>
          <w:szCs w:val="18"/>
          <w:color w:val="auto"/>
          <w:strike w:val="1"/>
        </w:rPr>
      </w:pPr>
    </w:p>
    <w:p>
      <w:pPr>
        <w:ind w:left="5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$0.7 million, or 2%, primarily due to the following:</w:t>
      </w:r>
    </w:p>
    <w:p>
      <w:pPr>
        <w:spacing w:after="0" w:line="115" w:lineRule="exact"/>
        <w:rPr>
          <w:rFonts w:ascii="Arial" w:cs="Arial" w:eastAsia="Arial" w:hAnsi="Arial"/>
          <w:sz w:val="18"/>
          <w:szCs w:val="18"/>
          <w:color w:val="auto"/>
          <w:strike w:val="1"/>
        </w:rPr>
      </w:pPr>
    </w:p>
    <w:p>
      <w:pPr>
        <w:ind w:left="1280" w:hanging="121"/>
        <w:spacing w:after="0" w:line="251" w:lineRule="auto"/>
        <w:tabs>
          <w:tab w:leader="none" w:pos="12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Increase in employee compensation and related costs relative to the same time in the prior year due to temporary salary reductions.</w:t>
      </w:r>
    </w:p>
    <w:p>
      <w:pPr>
        <w:spacing w:after="0" w:line="83" w:lineRule="exact"/>
        <w:rPr>
          <w:rFonts w:ascii="Arial" w:cs="Arial" w:eastAsia="Arial" w:hAnsi="Arial"/>
          <w:sz w:val="18"/>
          <w:szCs w:val="18"/>
          <w:color w:val="auto"/>
        </w:rPr>
      </w:pPr>
    </w:p>
    <w:p>
      <w:pPr>
        <w:ind w:left="1280" w:hanging="121"/>
        <w:spacing w:after="0"/>
        <w:tabs>
          <w:tab w:leader="none" w:pos="1280" w:val="left"/>
        </w:tabs>
        <w:numPr>
          <w:ilvl w:val="1"/>
          <w:numId w:val="18"/>
        </w:numPr>
        <w:rPr>
          <w:rFonts w:ascii="Arial" w:cs="Arial" w:eastAsia="Arial" w:hAnsi="Arial"/>
          <w:sz w:val="18"/>
          <w:szCs w:val="18"/>
          <w:b w:val="1"/>
          <w:bCs w:val="1"/>
          <w:color w:val="auto"/>
        </w:rPr>
      </w:pPr>
      <w:r>
        <w:rPr>
          <w:rFonts w:ascii="Arial" w:cs="Arial" w:eastAsia="Arial" w:hAnsi="Arial"/>
          <w:sz w:val="18"/>
          <w:szCs w:val="18"/>
          <w:color w:val="auto"/>
        </w:rPr>
        <w:t>General and administrative expenses include a $2.5 million settlement gain net against related legal expenses.</w:t>
      </w:r>
    </w:p>
    <w:p>
      <w:pPr>
        <w:spacing w:after="0" w:line="85" w:lineRule="exact"/>
        <w:rPr>
          <w:sz w:val="20"/>
          <w:szCs w:val="20"/>
          <w:color w:val="auto"/>
        </w:rPr>
      </w:pPr>
    </w:p>
    <w:p>
      <w:pPr>
        <w:jc w:val="both"/>
        <w:ind w:left="640" w:hanging="118"/>
        <w:spacing w:after="0" w:line="248" w:lineRule="auto"/>
        <w:rPr>
          <w:sz w:val="20"/>
          <w:szCs w:val="20"/>
          <w:color w:val="auto"/>
        </w:rPr>
      </w:pPr>
      <w:r>
        <w:rPr>
          <w:rFonts w:ascii="Arial" w:cs="Arial" w:eastAsia="Arial" w:hAnsi="Arial"/>
          <w:sz w:val="18"/>
          <w:szCs w:val="18"/>
          <w:color w:val="auto"/>
        </w:rPr>
        <w:t>–Depreciation and amortization expense decreased $2.7 million, from $5.1 million in the three months ended September 30, 2020 to $2.4 million in the three months ended September 30, 2021, driven by the elimination of amortization of intangible assets related to Hedvig due to their impairment in the second quarter of fiscal 2021.</w:t>
      </w: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Income Tax Expense</w:t>
      </w:r>
    </w:p>
    <w:p>
      <w:pPr>
        <w:spacing w:after="0" w:line="11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Income tax expense was $0.8 million in the three months ended September 30, 2021 compared to a benefit of $0.5 million in the three months ended September 30, 2020. The income tax expense for the three months ended September 30, 2021 relates primarily to current foreign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2021 compared to six months ended September 30, 2020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87" w:right="339" w:bottom="1440" w:gutter="0" w:footer="0" w:header="0"/>
        </w:sectPr>
      </w:pPr>
    </w:p>
    <w:bookmarkStart w:id="24" w:name="page25"/>
    <w:bookmarkEnd w:id="24"/>
    <w:p>
      <w:pPr>
        <w:ind w:left="200"/>
        <w:spacing w:after="0"/>
        <w:rPr>
          <w:sz w:val="20"/>
          <w:szCs w:val="20"/>
          <w:color w:val="auto"/>
        </w:rPr>
      </w:pPr>
      <w:r>
        <w:rPr>
          <w:rFonts w:ascii="Arial" w:cs="Arial" w:eastAsia="Arial" w:hAnsi="Arial"/>
          <w:sz w:val="18"/>
          <w:szCs w:val="18"/>
          <w:i w:val="1"/>
          <w:iCs w:val="1"/>
          <w:color w:val="00B2A9"/>
        </w:rPr>
        <w:t>Revenues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65405</wp:posOffset>
            </wp:positionV>
            <wp:extent cx="5553075" cy="14725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3075" cy="1472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revenues increased $17.2 million, or 5%.</w:t>
      </w:r>
    </w:p>
    <w:p>
      <w:pPr>
        <w:spacing w:after="0" w:line="85" w:lineRule="exact"/>
        <w:rPr>
          <w:sz w:val="20"/>
          <w:szCs w:val="20"/>
          <w:color w:val="auto"/>
        </w:rPr>
      </w:pPr>
    </w:p>
    <w:p>
      <w:pPr>
        <w:ind w:left="1280" w:hanging="121"/>
        <w:spacing w:after="0" w:line="251" w:lineRule="auto"/>
        <w:tabs>
          <w:tab w:leader="none" w:pos="127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Software and products revenue represented 44% of our total revenue in the six months ended September 30, 2021 and 43% of our total revenue in the six months ended September 30, 2020.</w:t>
      </w:r>
    </w:p>
    <w:p>
      <w:pPr>
        <w:spacing w:after="0" w:line="83" w:lineRule="exact"/>
        <w:rPr>
          <w:rFonts w:ascii="Arial" w:cs="Arial" w:eastAsia="Arial" w:hAnsi="Arial"/>
          <w:sz w:val="18"/>
          <w:szCs w:val="18"/>
          <w:i w:val="1"/>
          <w:iCs w:val="1"/>
          <w:color w:val="auto"/>
        </w:rPr>
      </w:pPr>
    </w:p>
    <w:p>
      <w:pPr>
        <w:ind w:left="1280" w:hanging="121"/>
        <w:spacing w:after="0" w:line="280" w:lineRule="auto"/>
        <w:tabs>
          <w:tab w:leader="none" w:pos="1275"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Larger deal revenue (deals greater than $0.1 million) represented 68% of our software and products revenue in the six months ended September 30, 2021 and 69% of our software and products revenue in the six months ended September 30, 2020.</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–Software and products revenue increased $8.6 million, or 6%, as a result of the following:</w:t>
      </w:r>
    </w:p>
    <w:p>
      <w:pPr>
        <w:spacing w:after="0" w:line="85" w:lineRule="exact"/>
        <w:rPr>
          <w:sz w:val="20"/>
          <w:szCs w:val="20"/>
          <w:color w:val="auto"/>
        </w:rPr>
      </w:pPr>
    </w:p>
    <w:p>
      <w:pPr>
        <w:ind w:left="1280" w:hanging="121"/>
        <w:spacing w:after="0"/>
        <w:tabs>
          <w:tab w:leader="none" w:pos="1280" w:val="left"/>
        </w:tabs>
        <w:numPr>
          <w:ilvl w:val="2"/>
          <w:numId w:val="20"/>
        </w:numPr>
        <w:rPr>
          <w:rFonts w:ascii="Arial" w:cs="Arial" w:eastAsia="Arial" w:hAnsi="Arial"/>
          <w:sz w:val="18"/>
          <w:szCs w:val="18"/>
          <w:i w:val="1"/>
          <w:iCs w:val="1"/>
          <w:color w:val="auto"/>
        </w:rPr>
      </w:pPr>
      <w:r>
        <w:rPr>
          <w:rFonts w:ascii="Arial" w:cs="Arial" w:eastAsia="Arial" w:hAnsi="Arial"/>
          <w:sz w:val="18"/>
          <w:szCs w:val="18"/>
          <w:color w:val="auto"/>
        </w:rPr>
        <w:t>An increase of $4.8 million, or 11%, in transactions less than $0.1 million.</w:t>
      </w:r>
    </w:p>
    <w:p>
      <w:pPr>
        <w:spacing w:after="0" w:line="97" w:lineRule="exact"/>
        <w:rPr>
          <w:rFonts w:ascii="Arial" w:cs="Arial" w:eastAsia="Arial" w:hAnsi="Arial"/>
          <w:sz w:val="18"/>
          <w:szCs w:val="18"/>
          <w:i w:val="1"/>
          <w:iCs w:val="1"/>
          <w:color w:val="auto"/>
        </w:rPr>
      </w:pPr>
    </w:p>
    <w:p>
      <w:pPr>
        <w:jc w:val="both"/>
        <w:ind w:left="1280" w:hanging="121"/>
        <w:spacing w:after="0" w:line="248" w:lineRule="auto"/>
        <w:tabs>
          <w:tab w:leader="none" w:pos="1275"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 increase of $3.7 million, or 4%, in larger deal revenue. This increase was driven by an increase of 21% in the volume of larger deal revenue transactions which included 348 deals for the six months ended September 30, 2021, up from 288 deals for the six months ended September 30, 2020.</w:t>
      </w:r>
    </w:p>
    <w:p>
      <w:pPr>
        <w:spacing w:after="0" w:line="87" w:lineRule="exact"/>
        <w:rPr>
          <w:rFonts w:ascii="Arial" w:cs="Arial" w:eastAsia="Arial" w:hAnsi="Arial"/>
          <w:sz w:val="18"/>
          <w:szCs w:val="18"/>
          <w:color w:val="auto"/>
        </w:rPr>
      </w:pPr>
    </w:p>
    <w:p>
      <w:pPr>
        <w:jc w:val="both"/>
        <w:ind w:left="1280" w:hanging="121"/>
        <w:spacing w:after="0" w:line="248" w:lineRule="auto"/>
        <w:tabs>
          <w:tab w:leader="none" w:pos="1275" w:val="left"/>
        </w:tabs>
        <w:numPr>
          <w:ilvl w:val="2"/>
          <w:numId w:val="20"/>
        </w:numPr>
        <w:rPr>
          <w:rFonts w:ascii="Arial" w:cs="Arial" w:eastAsia="Arial" w:hAnsi="Arial"/>
          <w:sz w:val="18"/>
          <w:szCs w:val="18"/>
          <w:i w:val="1"/>
          <w:iCs w:val="1"/>
          <w:color w:val="auto"/>
        </w:rPr>
      </w:pPr>
      <w:r>
        <w:rPr>
          <w:rFonts w:ascii="Arial" w:cs="Arial" w:eastAsia="Arial" w:hAnsi="Arial"/>
          <w:sz w:val="18"/>
          <w:szCs w:val="18"/>
          <w:color w:val="auto"/>
        </w:rPr>
        <w:t>The average dollar amount of larger deal revenue transactions was approximately $308 thousand and $359 thousand for the six months ended September 30, 2021 and 2020, respectively, representing a 14% decrease. The prior year first half included a high seven figure transaction that significantly impacted the average dollar amount per transaction.</w:t>
      </w:r>
    </w:p>
    <w:p>
      <w:pPr>
        <w:spacing w:after="0" w:line="55" w:lineRule="exact"/>
        <w:rPr>
          <w:rFonts w:ascii="Arial" w:cs="Arial" w:eastAsia="Arial" w:hAnsi="Arial"/>
          <w:sz w:val="18"/>
          <w:szCs w:val="18"/>
          <w:i w:val="1"/>
          <w:iCs w:val="1"/>
          <w:color w:val="auto"/>
        </w:rPr>
      </w:pPr>
    </w:p>
    <w:p>
      <w:pPr>
        <w:ind w:left="640" w:right="20" w:hanging="159"/>
        <w:spacing w:after="0" w:line="272"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Services revenue represented 56% of our total revenue in the six months ended September 30, 2021 and 57% of our total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September 30, 2020. Services revenue increased $8.6 million primarily due to the following:</w:t>
      </w:r>
    </w:p>
    <w:p>
      <w:pPr>
        <w:spacing w:after="0" w:line="65" w:lineRule="exact"/>
        <w:rPr>
          <w:rFonts w:ascii="Arial" w:cs="Arial" w:eastAsia="Arial" w:hAnsi="Arial"/>
          <w:sz w:val="18"/>
          <w:szCs w:val="18"/>
          <w:i w:val="1"/>
          <w:iCs w:val="1"/>
          <w:color w:val="auto"/>
        </w:rPr>
      </w:pPr>
    </w:p>
    <w:p>
      <w:pPr>
        <w:ind w:left="1280" w:hanging="161"/>
        <w:spacing w:after="0"/>
        <w:tabs>
          <w:tab w:leader="none" w:pos="12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 increase of $10.2 million of other services revenue, driven primarily by the year over year increase in revenue from Metallic.</w:t>
      </w:r>
    </w:p>
    <w:p>
      <w:pPr>
        <w:spacing w:after="0" w:line="109" w:lineRule="exact"/>
        <w:rPr>
          <w:rFonts w:ascii="Arial" w:cs="Arial" w:eastAsia="Arial" w:hAnsi="Arial"/>
          <w:sz w:val="17"/>
          <w:szCs w:val="17"/>
          <w:color w:val="auto"/>
        </w:rPr>
      </w:pPr>
    </w:p>
    <w:p>
      <w:pPr>
        <w:ind w:left="1280" w:hanging="161"/>
        <w:spacing w:after="0"/>
        <w:tabs>
          <w:tab w:leader="none" w:pos="1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Partially offset by a decrease of $1.7 million in revenue from customer support agreements.</w:t>
      </w:r>
    </w:p>
    <w:p>
      <w:pPr>
        <w:spacing w:after="0" w:line="85" w:lineRule="exact"/>
        <w:rPr>
          <w:sz w:val="20"/>
          <w:szCs w:val="20"/>
          <w:color w:val="auto"/>
        </w:rPr>
      </w:pPr>
    </w:p>
    <w:p>
      <w:pPr>
        <w:jc w:val="both"/>
        <w:ind w:firstLine="437"/>
        <w:spacing w:after="0" w:line="266" w:lineRule="auto"/>
        <w:rPr>
          <w:sz w:val="20"/>
          <w:szCs w:val="20"/>
          <w:color w:val="auto"/>
        </w:rPr>
      </w:pPr>
      <w:r>
        <w:rPr>
          <w:rFonts w:ascii="Arial" w:cs="Arial" w:eastAsia="Arial" w:hAnsi="Arial"/>
          <w:sz w:val="17"/>
          <w:szCs w:val="17"/>
          <w:color w:val="auto"/>
        </w:rPr>
        <w:t>We track software and products revenue on a geographic basis. The geographic regions that are tracked are the Americas (United States, Canada, Latin America), EMEA (Europe, Middle East, Africa) and APJ (Australia, New Zealand, Southeast Asia, China, Japan). Americas, EMEA and APJ represented 61%, 28% and 11% of total software and products revenue, respectively, for the six months ended September 30, 2021. Software and products revenue increased year over year by 7% in both the Americas and EMEA and declined 2% in APJ.</w:t>
      </w:r>
    </w:p>
    <w:p>
      <w:pPr>
        <w:spacing w:after="0" w:line="140" w:lineRule="exact"/>
        <w:rPr>
          <w:sz w:val="20"/>
          <w:szCs w:val="20"/>
          <w:color w:val="auto"/>
        </w:rPr>
      </w:pPr>
    </w:p>
    <w:p>
      <w:pPr>
        <w:ind w:left="640" w:hanging="316"/>
        <w:spacing w:after="0" w:line="251" w:lineRule="auto"/>
        <w:tabs>
          <w:tab w:leader="none" w:pos="65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The increase in Americas software and products revenue was primarily the result of a 29% increase in transactions less than $0.1 million.</w:t>
      </w:r>
    </w:p>
    <w:p>
      <w:pPr>
        <w:spacing w:after="0" w:line="150" w:lineRule="exact"/>
        <w:rPr>
          <w:rFonts w:ascii="Arial" w:cs="Arial" w:eastAsia="Arial" w:hAnsi="Arial"/>
          <w:sz w:val="18"/>
          <w:szCs w:val="18"/>
          <w:i w:val="1"/>
          <w:iCs w:val="1"/>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EMEA software and products revenue increased as a result of a 14% increase in revenue on larger deal transactions.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in APJ was the result of a decrease in larger deal transactions.</w:t>
      </w:r>
    </w:p>
    <w:p>
      <w:pPr>
        <w:spacing w:after="0" w:line="244" w:lineRule="exact"/>
        <w:rPr>
          <w:sz w:val="20"/>
          <w:szCs w:val="20"/>
          <w:color w:val="auto"/>
        </w:rPr>
      </w:pPr>
    </w:p>
    <w:p>
      <w:pPr>
        <w:ind w:firstLine="437"/>
        <w:spacing w:after="0" w:line="251" w:lineRule="auto"/>
        <w:rPr>
          <w:sz w:val="20"/>
          <w:szCs w:val="20"/>
          <w:color w:val="auto"/>
        </w:rPr>
      </w:pPr>
      <w:r>
        <w:rPr>
          <w:rFonts w:ascii="Arial" w:cs="Arial" w:eastAsia="Arial" w:hAnsi="Arial"/>
          <w:sz w:val="18"/>
          <w:szCs w:val="18"/>
          <w:color w:val="auto"/>
        </w:rPr>
        <w:t>Our software and products revenue in EMEA and APJ is subject to changes in foreign exchange rates as more fully discussed above in the “Foreign Currency Exchange Rates’ Impact on Results of Operations” section.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00B2A9"/>
        </w:rPr>
        <w:t>Cost of Revenues and Gross Margin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225425</wp:posOffset>
            </wp:positionV>
            <wp:extent cx="5620385" cy="2995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0385" cy="299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hanging="318"/>
        <w:spacing w:after="0" w:line="27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Total cost of revenues increased $0.4 million, and represented 14% of our total revenues for the six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15% for the six months ended September 30, 2020.</w:t>
      </w:r>
    </w:p>
    <w:p>
      <w:pPr>
        <w:spacing w:after="0" w:line="34" w:lineRule="exact"/>
        <w:rPr>
          <w:sz w:val="20"/>
          <w:szCs w:val="20"/>
          <w:color w:val="auto"/>
        </w:rPr>
      </w:pPr>
    </w:p>
    <w:p>
      <w:pPr>
        <w:ind w:left="640" w:hanging="318"/>
        <w:spacing w:after="0" w:line="252"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software and products revenue decreased $8.6 million, and represented 3% of our total software and products revenue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September 30, 2021 compared to 9% for the six months ended September 30, 2020. The decrease is the result of reduced sales of hardware associated with our appliance as well as reduced software royalties associated with sales of HyperScale appliances and software. Beginning with the launch of HyperScale X in mid fiscal 2021, we began transitioning to a software only model. HyperScale X also has reduced software royalties relative to prior versions of HyperScale.</w:t>
      </w:r>
    </w:p>
    <w:p>
      <w:pPr>
        <w:spacing w:after="0" w:line="66" w:lineRule="exact"/>
        <w:rPr>
          <w:sz w:val="20"/>
          <w:szCs w:val="20"/>
          <w:color w:val="auto"/>
        </w:rPr>
      </w:pPr>
    </w:p>
    <w:p>
      <w:pPr>
        <w:ind w:left="640" w:hanging="318"/>
        <w:spacing w:after="0" w:line="254" w:lineRule="auto"/>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Cost of services revenue increased $9.0 million, representing 23% of our total services revenue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19% for the six months ended September 30, 2020. The increase in cost of services revenue is related to an increase in the cost of infrastructure related to Metallic, as well as an increase in employee compensation and related expenses compared to the prior year due to the temporary pay cuts enacted in the first half of 2021.</w:t>
      </w:r>
    </w:p>
    <w:p>
      <w:pPr>
        <w:sectPr>
          <w:pgSz w:w="11900" w:h="16838" w:orient="portrait"/>
          <w:cols w:equalWidth="0" w:num="1">
            <w:col w:w="11240"/>
          </w:cols>
          <w:pgMar w:left="320" w:top="8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00B2A9"/>
        </w:rPr>
        <w:t>Operating Expenses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65405</wp:posOffset>
            </wp:positionV>
            <wp:extent cx="5553075" cy="3214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5307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40" w:hanging="119"/>
        <w:spacing w:after="0" w:line="251" w:lineRule="auto"/>
        <w:rPr>
          <w:sz w:val="20"/>
          <w:szCs w:val="20"/>
          <w:color w:val="auto"/>
        </w:rPr>
      </w:pPr>
      <w:r>
        <w:rPr>
          <w:rFonts w:ascii="Arial" w:cs="Arial" w:eastAsia="Arial" w:hAnsi="Arial"/>
          <w:sz w:val="18"/>
          <w:szCs w:val="18"/>
          <w:color w:val="auto"/>
        </w:rPr>
        <w:t>– Sales and marketing expenses decreased $1.5 million, or 1%, primarily due to a decrease in employee compensation and related costs.</w:t>
      </w:r>
    </w:p>
    <w:p>
      <w:pPr>
        <w:spacing w:after="0" w:line="83" w:lineRule="exact"/>
        <w:rPr>
          <w:sz w:val="20"/>
          <w:szCs w:val="20"/>
          <w:color w:val="auto"/>
        </w:rPr>
      </w:pPr>
    </w:p>
    <w:p>
      <w:pPr>
        <w:ind w:left="440" w:right="20" w:hanging="119"/>
        <w:spacing w:after="0" w:line="251" w:lineRule="auto"/>
        <w:rPr>
          <w:sz w:val="20"/>
          <w:szCs w:val="20"/>
          <w:color w:val="auto"/>
        </w:rPr>
      </w:pPr>
      <w:r>
        <w:rPr>
          <w:rFonts w:ascii="Arial" w:cs="Arial" w:eastAsia="Arial" w:hAnsi="Arial"/>
          <w:sz w:val="18"/>
          <w:szCs w:val="18"/>
          <w:color w:val="auto"/>
        </w:rPr>
        <w:t>– Research and development expenses increased $11.8 million, or 19%, as a result of an increase in employee compensation and related expenses attributable to the expansion of our engineering group.</w:t>
      </w:r>
    </w:p>
    <w:p>
      <w:pPr>
        <w:spacing w:after="0" w:line="70" w:lineRule="exact"/>
        <w:rPr>
          <w:sz w:val="20"/>
          <w:szCs w:val="20"/>
          <w:color w:val="auto"/>
        </w:rPr>
      </w:pPr>
    </w:p>
    <w:p>
      <w:pPr>
        <w:ind w:left="1080" w:hanging="121"/>
        <w:spacing w:after="0"/>
        <w:tabs>
          <w:tab w:leader="none" w:pos="1080" w:val="left"/>
        </w:tabs>
        <w:numPr>
          <w:ilvl w:val="1"/>
          <w:numId w:val="23"/>
        </w:numPr>
        <w:rPr>
          <w:rFonts w:ascii="Arial" w:cs="Arial" w:eastAsia="Arial" w:hAnsi="Arial"/>
          <w:sz w:val="17"/>
          <w:szCs w:val="17"/>
          <w:color w:val="auto"/>
          <w:strike w:val="1"/>
        </w:rPr>
      </w:pPr>
      <w:r>
        <w:rPr>
          <w:rFonts w:ascii="Arial" w:cs="Arial" w:eastAsia="Arial" w:hAnsi="Arial"/>
          <w:sz w:val="17"/>
          <w:szCs w:val="17"/>
          <w:color w:val="auto"/>
        </w:rPr>
        <w:t>Increase in employee compensation included an increase in stock-based compensation of $4.1 million compared to prior year.</w:t>
      </w:r>
    </w:p>
    <w:p>
      <w:pPr>
        <w:spacing w:after="0" w:line="109" w:lineRule="exact"/>
        <w:rPr>
          <w:rFonts w:ascii="Arial" w:cs="Arial" w:eastAsia="Arial" w:hAnsi="Arial"/>
          <w:sz w:val="17"/>
          <w:szCs w:val="17"/>
          <w:color w:val="auto"/>
          <w:strike w:val="1"/>
        </w:rPr>
      </w:pPr>
    </w:p>
    <w:p>
      <w:pPr>
        <w:ind w:left="1080" w:hanging="121"/>
        <w:spacing w:after="0" w:line="251" w:lineRule="auto"/>
        <w:tabs>
          <w:tab w:leader="none" w:pos="1075" w:val="left"/>
        </w:tabs>
        <w:numPr>
          <w:ilvl w:val="1"/>
          <w:numId w:val="23"/>
        </w:numPr>
        <w:rPr>
          <w:rFonts w:ascii="Arial" w:cs="Arial" w:eastAsia="Arial" w:hAnsi="Arial"/>
          <w:sz w:val="18"/>
          <w:szCs w:val="18"/>
          <w:color w:val="auto"/>
          <w:strike w:val="1"/>
        </w:rPr>
      </w:pPr>
      <w:r>
        <w:rPr>
          <w:rFonts w:ascii="Arial" w:cs="Arial" w:eastAsia="Arial" w:hAnsi="Arial"/>
          <w:sz w:val="18"/>
          <w:szCs w:val="18"/>
          <w:color w:val="auto"/>
        </w:rPr>
        <w:t>Investing in research and development has been a priority for Commvault, and we anticipate continued spending related to the development of our data and information management software applications.</w:t>
      </w:r>
    </w:p>
    <w:p>
      <w:pPr>
        <w:spacing w:after="0" w:line="65" w:lineRule="exact"/>
        <w:rPr>
          <w:rFonts w:ascii="Arial" w:cs="Arial" w:eastAsia="Arial" w:hAnsi="Arial"/>
          <w:sz w:val="18"/>
          <w:szCs w:val="18"/>
          <w:color w:val="auto"/>
          <w:strike w:val="1"/>
        </w:rPr>
      </w:pPr>
    </w:p>
    <w:p>
      <w:pPr>
        <w:ind w:left="320"/>
        <w:spacing w:after="0"/>
        <w:rPr>
          <w:rFonts w:ascii="Arial" w:cs="Arial" w:eastAsia="Arial" w:hAnsi="Arial"/>
          <w:sz w:val="18"/>
          <w:szCs w:val="18"/>
          <w:color w:val="auto"/>
          <w:strike w:val="1"/>
        </w:rPr>
      </w:pP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increased $5.5 million, or 12%, primarily due to the following:</w:t>
      </w:r>
    </w:p>
    <w:p>
      <w:pPr>
        <w:spacing w:after="0" w:line="102" w:lineRule="exact"/>
        <w:rPr>
          <w:rFonts w:ascii="Arial" w:cs="Arial" w:eastAsia="Arial" w:hAnsi="Arial"/>
          <w:sz w:val="18"/>
          <w:szCs w:val="18"/>
          <w:color w:val="auto"/>
          <w:strike w:val="1"/>
        </w:rPr>
      </w:pPr>
    </w:p>
    <w:p>
      <w:pPr>
        <w:ind w:left="1080" w:hanging="121"/>
        <w:spacing w:after="0" w:line="251" w:lineRule="auto"/>
        <w:tabs>
          <w:tab w:leader="none" w:pos="1075"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in employee compensation and related expenses compared to the prior year due to the temporary pay cuts enacted in the first half of 2021.</w:t>
      </w:r>
    </w:p>
    <w:p>
      <w:pPr>
        <w:spacing w:after="0" w:line="83" w:lineRule="exact"/>
        <w:rPr>
          <w:rFonts w:ascii="Arial" w:cs="Arial" w:eastAsia="Arial" w:hAnsi="Arial"/>
          <w:sz w:val="18"/>
          <w:szCs w:val="18"/>
          <w:color w:val="auto"/>
        </w:rPr>
      </w:pPr>
    </w:p>
    <w:p>
      <w:pPr>
        <w:ind w:left="1080" w:hanging="121"/>
        <w:spacing w:after="0"/>
        <w:tabs>
          <w:tab w:leader="none" w:pos="108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General and administrative expenses include a $2.5 million settlement gain net against related legal expenses.</w:t>
      </w:r>
    </w:p>
    <w:p>
      <w:pPr>
        <w:spacing w:after="0" w:line="97" w:lineRule="exact"/>
        <w:rPr>
          <w:rFonts w:ascii="Arial" w:cs="Arial" w:eastAsia="Arial" w:hAnsi="Arial"/>
          <w:sz w:val="18"/>
          <w:szCs w:val="18"/>
          <w:b w:val="1"/>
          <w:bCs w:val="1"/>
          <w:color w:val="auto"/>
        </w:rPr>
      </w:pPr>
    </w:p>
    <w:p>
      <w:pPr>
        <w:ind w:left="1080" w:hanging="121"/>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Stock-based compensation increased $3.1 million compared to the prior year.</w:t>
      </w:r>
    </w:p>
    <w:p>
      <w:pPr>
        <w:spacing w:after="0" w:line="75" w:lineRule="exact"/>
        <w:rPr>
          <w:rFonts w:ascii="Arial" w:cs="Arial" w:eastAsia="Arial" w:hAnsi="Arial"/>
          <w:sz w:val="18"/>
          <w:szCs w:val="18"/>
          <w:color w:val="auto"/>
        </w:rPr>
      </w:pPr>
    </w:p>
    <w:p>
      <w:pPr>
        <w:ind w:left="440" w:hanging="119"/>
        <w:spacing w:after="0" w:line="241" w:lineRule="auto"/>
        <w:rPr>
          <w:rFonts w:ascii="Arial" w:cs="Arial" w:eastAsia="Arial" w:hAnsi="Arial"/>
          <w:sz w:val="18"/>
          <w:szCs w:val="18"/>
          <w:color w:val="auto"/>
        </w:rPr>
      </w:pP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Restructuring: Our restructuring plan is intended to increase efficiency in our sales, marketing and distribution functions as well as reduce costs across all functional areas. Restructuring expenses were $2.1 million and $8.1 million in the six months ended September 30, 2021 and 2020, respectively. These restructuring charges relate primarily to severance and related costs associated with headcount reductions. These charges include $0.4 million and $0.7 million in the six months ended September 30, 2021 and 2020, respectively, of stock-based compensation related to modifications of existing awards granted to certain employees included in the restructuring. We cannot guarantee the restructuring program will achieve its intended result. Risks associated with this restructuring program also include additional unexpected costs, adverse effects on employee morale and the failure to meet operational and growth targets due to the loss of key employees, any of which may impair our ability to achieve anticipated results of operations or otherwise harm our business.</w:t>
      </w:r>
    </w:p>
    <w:p>
      <w:pPr>
        <w:spacing w:after="0" w:line="200" w:lineRule="exact"/>
        <w:rPr>
          <w:sz w:val="20"/>
          <w:szCs w:val="20"/>
          <w:color w:val="auto"/>
        </w:rPr>
      </w:pPr>
    </w:p>
    <w:p>
      <w:pPr>
        <w:spacing w:after="0" w:line="3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58420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40"/>
          </w:cols>
          <w:pgMar w:left="520" w:top="969" w:right="339" w:bottom="1440" w:gutter="0" w:footer="0" w:header="0"/>
        </w:sectPr>
      </w:pPr>
    </w:p>
    <w:bookmarkStart w:id="27" w:name="page28"/>
    <w:bookmarkEnd w:id="27"/>
    <w:p>
      <w:pPr>
        <w:ind w:left="640" w:hanging="119"/>
        <w:spacing w:after="0" w:line="236" w:lineRule="auto"/>
        <w:rPr>
          <w:sz w:val="20"/>
          <w:szCs w:val="20"/>
          <w:color w:val="auto"/>
        </w:rPr>
      </w:pPr>
      <w:r>
        <w:rPr>
          <w:rFonts w:ascii="Arial" w:cs="Arial" w:eastAsia="Arial" w:hAnsi="Arial"/>
          <w:sz w:val="22"/>
          <w:szCs w:val="22"/>
          <w:i w:val="1"/>
          <w:iCs w:val="1"/>
          <w:color w:val="auto"/>
          <w:vertAlign w:val="superscript"/>
        </w:rPr>
        <w:t>–</w:t>
      </w:r>
      <w:r>
        <w:rPr>
          <w:rFonts w:ascii="Arial" w:cs="Arial" w:eastAsia="Arial" w:hAnsi="Arial"/>
          <w:sz w:val="18"/>
          <w:szCs w:val="18"/>
          <w:color w:val="auto"/>
        </w:rPr>
        <w:t xml:space="preserve"> Depreciation and amortization expense decreased $5.5 million, from $10.1 million in the six months ended September 30, 2020 to $4.6 million in the six months ended September 30, 2021, driven by the elimination of amortization of intangible assets related to Hedvig due to their impairment in the second quarter of fiscal 2021.</w:t>
      </w: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00B2A9"/>
        </w:rPr>
        <w:t>Income Tax Expense</w:t>
      </w:r>
    </w:p>
    <w:p>
      <w:pPr>
        <w:spacing w:after="0" w:line="116" w:lineRule="exact"/>
        <w:rPr>
          <w:sz w:val="20"/>
          <w:szCs w:val="20"/>
          <w:color w:val="auto"/>
        </w:rPr>
      </w:pPr>
    </w:p>
    <w:p>
      <w:pPr>
        <w:jc w:val="both"/>
        <w:ind w:firstLine="437"/>
        <w:spacing w:after="0" w:line="280" w:lineRule="auto"/>
        <w:rPr>
          <w:sz w:val="20"/>
          <w:szCs w:val="20"/>
          <w:color w:val="auto"/>
        </w:rPr>
      </w:pPr>
      <w:r>
        <w:rPr>
          <w:rFonts w:ascii="Arial" w:cs="Arial" w:eastAsia="Arial" w:hAnsi="Arial"/>
          <w:sz w:val="17"/>
          <w:szCs w:val="17"/>
          <w:color w:val="auto"/>
        </w:rPr>
        <w:t>Income tax expense was $2.6 million in the six months ended September 30, 2021 compared to expense of $4.2 million in the six months ended September 30, 2020. The income tax expense for the six months ended September 30, 2021 relates primarily to current foreign taxes.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Liquidity and Capital Resources</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As of September 30, 2021, our cash balance was $295.8 million. In recent fiscal years, our principal source of liquidity has been cash provided by operations.</w:t>
      </w:r>
    </w:p>
    <w:p>
      <w:pPr>
        <w:spacing w:after="0" w:line="15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As of September 30, 2021, the amount of cash and cash equivalents held outside of the United States by our foreign legal entities was approximately $172.7 million. These balances are dispersed across many international locations around the world. We believe that such dispersion meets the current and anticipated future liquidity needs of our foreign legal entities. In the event we needed to repatriate funds from outside of the United States, such repatriation would likely be subject to restrictions by local laws and/or tax consequences including foreign withholding taxes.</w:t>
      </w:r>
    </w:p>
    <w:p>
      <w:pPr>
        <w:spacing w:after="0" w:line="154"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During the six months ended September 30, 2021, we repurchased $180.1 million of our common stock (2,408 shares) under our share repurchase program. Our stock repurchase program has been funded by our existing cash and cash equivalent balances as well as cash flows provided by our operations.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September 30, 2021 we have repurchased $242.2 million of common stock.</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279" w:lineRule="exact"/>
        <w:rPr>
          <w:sz w:val="20"/>
          <w:szCs w:val="20"/>
          <w:color w:val="auto"/>
        </w:rPr>
      </w:pPr>
    </w:p>
    <w:tbl>
      <w:tblPr>
        <w:tblLayout w:type="fixed"/>
        <w:tblInd w:w="720" w:type="dxa"/>
        <w:tblCellMar>
          <w:top w:w="0" w:type="dxa"/>
          <w:left w:w="0" w:type="dxa"/>
          <w:bottom w:w="0" w:type="dxa"/>
          <w:right w:w="0" w:type="dxa"/>
        </w:tblCellMar>
      </w:tblPr>
      <w:tr>
        <w:trPr>
          <w:trHeight w:val="214"/>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6"/>
                <w:szCs w:val="16"/>
                <w:b w:val="1"/>
                <w:bCs w:val="1"/>
                <w:color w:val="auto"/>
              </w:rPr>
              <w:t>Six Months Ended September 30,</w:t>
            </w:r>
          </w:p>
        </w:tc>
      </w:tr>
      <w:tr>
        <w:trPr>
          <w:trHeight w:val="208"/>
        </w:trPr>
        <w:tc>
          <w:tcPr>
            <w:tcW w:w="6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r>
      <w:tr>
        <w:trPr>
          <w:trHeight w:val="20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63,270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42,242</w:t>
            </w:r>
          </w:p>
        </w:tc>
      </w:tr>
      <w:tr>
        <w:trPr>
          <w:trHeight w:val="209"/>
        </w:trPr>
        <w:tc>
          <w:tcPr>
            <w:tcW w:w="626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(4,699)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29,138</w:t>
            </w:r>
          </w:p>
        </w:tc>
      </w:tr>
      <w:tr>
        <w:trPr>
          <w:trHeight w:val="215"/>
        </w:trPr>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(156,831)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5,271</w:t>
            </w:r>
          </w:p>
        </w:tc>
      </w:tr>
      <w:tr>
        <w:trPr>
          <w:trHeight w:val="21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rate-changes in cash</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10,420</w:t>
            </w:r>
          </w:p>
        </w:tc>
      </w:tr>
      <w:tr>
        <w:trPr>
          <w:trHeight w:val="23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(101,430)</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87,071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1064895</wp:posOffset>
            </wp:positionH>
            <wp:positionV relativeFrom="page">
              <wp:posOffset>779145</wp:posOffset>
            </wp:positionV>
            <wp:extent cx="5553075" cy="1682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53075"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40" w:hanging="119"/>
        <w:spacing w:after="0" w:line="251" w:lineRule="auto"/>
        <w:rPr>
          <w:sz w:val="20"/>
          <w:szCs w:val="20"/>
          <w:color w:val="auto"/>
        </w:rPr>
      </w:pPr>
      <w:r>
        <w:rPr>
          <w:rFonts w:ascii="Arial" w:cs="Arial" w:eastAsia="Arial" w:hAnsi="Arial"/>
          <w:sz w:val="18"/>
          <w:szCs w:val="18"/>
          <w:color w:val="auto"/>
        </w:rPr>
        <w:t>– Net cash provided by operating activities was impacted by net income adjusted for the impact of non-cash charges, a decrease in accounts receivable, partially offset by a decrease in accrued liabilities.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Net cash used in investing activities was related to $2.7 million in the purchase of investments and $2.0 million of capital expenditures.</w:t>
      </w:r>
    </w:p>
    <w:p>
      <w:pPr>
        <w:spacing w:after="0" w:line="106" w:lineRule="exact"/>
        <w:rPr>
          <w:sz w:val="20"/>
          <w:szCs w:val="20"/>
          <w:color w:val="auto"/>
        </w:rPr>
      </w:pPr>
    </w:p>
    <w:p>
      <w:pPr>
        <w:ind w:left="640" w:hanging="119"/>
        <w:spacing w:after="0" w:line="271" w:lineRule="auto"/>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color w:val="auto"/>
        </w:rPr>
        <w:t>Net cash used in financing activities was the result of $180.1 million of repurchases of common shares partially offset by $23.3 million</w:t>
      </w:r>
      <w:r>
        <w:rPr>
          <w:rFonts w:ascii="Arial" w:cs="Arial" w:eastAsia="Arial" w:hAnsi="Arial"/>
          <w:sz w:val="19"/>
          <w:szCs w:val="19"/>
          <w:color w:val="auto"/>
        </w:rPr>
        <w:t xml:space="preserve"> </w:t>
      </w:r>
      <w:r>
        <w:rPr>
          <w:rFonts w:ascii="Arial" w:cs="Arial" w:eastAsia="Arial" w:hAnsi="Arial"/>
          <w:sz w:val="17"/>
          <w:szCs w:val="17"/>
          <w:color w:val="auto"/>
        </w:rPr>
        <w:t>of proceeds from the exercise of stock options.</w:t>
      </w:r>
    </w:p>
    <w:p>
      <w:pPr>
        <w:spacing w:after="0" w:line="171"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Working capital decreased $91.5 million from $234.4 million as of March 31, 2021 to $142.9 million as of September 30, 2021. The net decrease in working capital is primarily the result of cash used for share repurchases during the quarter.</w:t>
      </w:r>
    </w:p>
    <w:p>
      <w:pPr>
        <w:spacing w:after="0" w:line="150"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Off-Balance Sheet Arrangements</w:t>
      </w:r>
    </w:p>
    <w:p>
      <w:pPr>
        <w:spacing w:after="0" w:line="107"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As of September 30, 2021, we did not have off-balance sheet financing arrangements, including any relationships with unconsolidated entities or financial partnerships, such as entities often referred to as structured finance or special purpose entities.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Indemnifications</w:t>
      </w:r>
    </w:p>
    <w:p>
      <w:pPr>
        <w:spacing w:after="0" w:line="120"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00B2A9"/>
        </w:rPr>
        <w:t>Impact of Recently Issued Accounting Standards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 Quantitative and Qualitative Disclosures about Market Risk</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Interest Rate Risk</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B2A9"/>
        </w:rPr>
        <w:t>Foreign Currency Risk</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116" w:lineRule="exact"/>
        <w:rPr>
          <w:sz w:val="20"/>
          <w:szCs w:val="20"/>
          <w:color w:val="auto"/>
        </w:rPr>
      </w:pPr>
    </w:p>
    <w:p>
      <w:pPr>
        <w:jc w:val="both"/>
        <w:ind w:firstLine="437"/>
        <w:spacing w:after="0" w:line="246" w:lineRule="auto"/>
        <w:rPr>
          <w:sz w:val="20"/>
          <w:szCs w:val="20"/>
          <w:color w:val="auto"/>
        </w:rPr>
      </w:pPr>
      <w:r>
        <w:rPr>
          <w:rFonts w:ascii="Arial" w:cs="Arial" w:eastAsia="Arial" w:hAnsi="Arial"/>
          <w:sz w:val="18"/>
          <w:szCs w:val="18"/>
          <w:color w:val="auto"/>
        </w:rPr>
        <w:t>As a global company, we face exposure to adverse movements in foreign currency exchange rates. Our international sales are generally denominated in foreign currencies and this revenue could be materially affected by currency fluctuations. Approximately 47% of our sales were outside the United States for the six months ended September 30, 2021.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116" w:lineRule="exact"/>
        <w:rPr>
          <w:sz w:val="20"/>
          <w:szCs w:val="20"/>
          <w:color w:val="auto"/>
        </w:rPr>
      </w:pPr>
    </w:p>
    <w:p>
      <w:pPr>
        <w:jc w:val="both"/>
        <w:ind w:firstLine="437"/>
        <w:spacing w:after="0" w:line="248"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53"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Operations. We recognized net foreign currency transaction losses of less than $0.1 million and $0.2 million for the three and six months ended September 30, 2021, respectively. We recognized net foreign currency transaction losses of approximately $1.2 million and $0.4 million for the three and six months ended September 30, 2020, respectively.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 Controls and Procedures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7" w:lineRule="exact"/>
        <w:rPr>
          <w:sz w:val="20"/>
          <w:szCs w:val="20"/>
          <w:color w:val="auto"/>
        </w:rPr>
      </w:pPr>
    </w:p>
    <w:p>
      <w:pPr>
        <w:jc w:val="both"/>
        <w:ind w:firstLine="437"/>
        <w:spacing w:after="0" w:line="247"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our disclosure controls and procedures, as defined in Rules 13a-15(e) and 15d-15(e) of the Securities Exchange Act of 1934, as of September 30, 2021. Based on that evaluation, the Chief Executive Officer and Chief Financial Officer concluded that our disclosure controls and procedures were effective as of September 30, 2021.</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0" w:lineRule="exact"/>
        <w:rPr>
          <w:sz w:val="20"/>
          <w:szCs w:val="20"/>
          <w:color w:val="auto"/>
        </w:rPr>
      </w:pPr>
    </w:p>
    <w:p>
      <w:pPr>
        <w:jc w:val="both"/>
        <w:ind w:firstLine="437"/>
        <w:spacing w:after="0" w:line="251" w:lineRule="auto"/>
        <w:rPr>
          <w:sz w:val="20"/>
          <w:szCs w:val="20"/>
          <w:color w:val="auto"/>
        </w:rPr>
      </w:pPr>
      <w:r>
        <w:rPr>
          <w:rFonts w:ascii="Arial" w:cs="Arial" w:eastAsia="Arial" w:hAnsi="Arial"/>
          <w:sz w:val="18"/>
          <w:szCs w:val="18"/>
          <w:color w:val="auto"/>
        </w:rPr>
        <w:t>There was no change in our internal control over financial reporting that occurred during the second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0" w:name="page31"/>
    <w:bookmarkEnd w:id="30"/>
    <w:p>
      <w:pPr>
        <w:ind w:left="20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107" w:lineRule="exact"/>
        <w:rPr>
          <w:sz w:val="20"/>
          <w:szCs w:val="20"/>
          <w:color w:val="auto"/>
        </w:rPr>
      </w:pPr>
    </w:p>
    <w:p>
      <w:pPr>
        <w:jc w:val="both"/>
        <w:ind w:firstLine="437"/>
        <w:spacing w:after="0" w:line="262"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8"/>
          <w:szCs w:val="18"/>
          <w:b w:val="1"/>
          <w:bCs w:val="1"/>
          <w:color w:val="00B2A9"/>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 Legal Proceedings</w:t>
      </w:r>
    </w:p>
    <w:p>
      <w:pPr>
        <w:spacing w:after="0" w:line="186" w:lineRule="exact"/>
        <w:rPr>
          <w:sz w:val="20"/>
          <w:szCs w:val="20"/>
          <w:color w:val="auto"/>
        </w:rPr>
      </w:pPr>
    </w:p>
    <w:p>
      <w:pPr>
        <w:jc w:val="both"/>
        <w:ind w:right="100" w:firstLine="437"/>
        <w:spacing w:after="0" w:line="247" w:lineRule="auto"/>
        <w:rPr>
          <w:sz w:val="20"/>
          <w:szCs w:val="20"/>
          <w:color w:val="auto"/>
        </w:rPr>
      </w:pPr>
      <w:r>
        <w:rPr>
          <w:rFonts w:ascii="Arial" w:cs="Arial" w:eastAsia="Arial" w:hAnsi="Arial"/>
          <w:sz w:val="18"/>
          <w:szCs w:val="18"/>
          <w:color w:val="auto"/>
        </w:rPr>
        <w:t>From time to time, we are subject to claims in legal proceedings arising in the normal course of business. We do not believe that we are currently party to any pending legal action that could reasonably be expected to have a material adverse effect on our business or operating results. Please refer to Part I, “Item 1A. Risk Factors” in our Annual Report on Form 10-K for the year ended March 31, 2021 for additional information.</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1A. Risk Factors</w:t>
      </w:r>
    </w:p>
    <w:p>
      <w:pPr>
        <w:spacing w:after="0" w:line="120" w:lineRule="exact"/>
        <w:rPr>
          <w:sz w:val="20"/>
          <w:szCs w:val="20"/>
          <w:color w:val="auto"/>
        </w:rPr>
      </w:pPr>
    </w:p>
    <w:p>
      <w:pPr>
        <w:jc w:val="both"/>
        <w:ind w:right="100" w:firstLine="437"/>
        <w:spacing w:after="0" w:line="246"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March 31, 2021,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2. Unregistered Sale of Equity Securities and Use of Proceeds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39" w:lineRule="exact"/>
        <w:rPr>
          <w:sz w:val="20"/>
          <w:szCs w:val="20"/>
          <w:color w:val="auto"/>
        </w:rPr>
      </w:pPr>
    </w:p>
    <w:p>
      <w:pPr>
        <w:jc w:val="both"/>
        <w:ind w:right="100" w:firstLine="437"/>
        <w:spacing w:after="0" w:line="251" w:lineRule="auto"/>
        <w:rPr>
          <w:sz w:val="20"/>
          <w:szCs w:val="20"/>
          <w:color w:val="auto"/>
        </w:rPr>
      </w:pPr>
      <w:r>
        <w:rPr>
          <w:rFonts w:ascii="Arial" w:cs="Arial" w:eastAsia="Arial" w:hAnsi="Arial"/>
          <w:sz w:val="18"/>
          <w:szCs w:val="18"/>
          <w:color w:val="auto"/>
        </w:rPr>
        <w:t>During the three months ended September 30, 2021, we repurchased $90.0 million of common stock, or 1,158,900 shares, under our share repurchase program. A summary of our repurchases of common stock is as follows:</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Total number of</w:t>
            </w: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ind w:left="441"/>
              <w:spacing w:after="0"/>
              <w:rPr>
                <w:sz w:val="20"/>
                <w:szCs w:val="20"/>
                <w:color w:val="auto"/>
              </w:rPr>
            </w:pPr>
            <w:r>
              <w:rPr>
                <w:rFonts w:ascii="Arial" w:cs="Arial" w:eastAsia="Arial" w:hAnsi="Arial"/>
                <w:sz w:val="16"/>
                <w:szCs w:val="16"/>
                <w:b w:val="1"/>
                <w:bCs w:val="1"/>
                <w:color w:val="auto"/>
                <w:w w:val="98"/>
              </w:rPr>
              <w:t>Approximate</w:t>
            </w: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9"/>
              </w:rPr>
              <w:t>dollar value of shar</w:t>
            </w: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9"/>
              </w:rPr>
              <w:t>shares purchased as</w:t>
            </w:r>
          </w:p>
        </w:tc>
        <w:tc>
          <w:tcPr>
            <w:tcW w:w="420" w:type="dxa"/>
            <w:vAlign w:val="bottom"/>
          </w:tcPr>
          <w:p>
            <w:pPr>
              <w:spacing w:after="0"/>
              <w:rPr>
                <w:sz w:val="13"/>
                <w:szCs w:val="13"/>
                <w:color w:val="auto"/>
              </w:rPr>
            </w:pPr>
          </w:p>
        </w:tc>
        <w:tc>
          <w:tcPr>
            <w:tcW w:w="1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price paid</w:t>
            </w:r>
          </w:p>
        </w:tc>
        <w:tc>
          <w:tcPr>
            <w:tcW w:w="420" w:type="dxa"/>
            <w:vAlign w:val="bottom"/>
          </w:tcPr>
          <w:p>
            <w:pPr>
              <w:spacing w:after="0"/>
              <w:rPr>
                <w:sz w:val="13"/>
                <w:szCs w:val="13"/>
                <w:color w:val="auto"/>
              </w:rPr>
            </w:pPr>
          </w:p>
        </w:tc>
        <w:tc>
          <w:tcPr>
            <w:tcW w:w="160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96"/>
              </w:rPr>
              <w:t>Total dollar value of</w:t>
            </w:r>
          </w:p>
        </w:tc>
        <w:tc>
          <w:tcPr>
            <w:tcW w:w="100" w:type="dxa"/>
            <w:vAlign w:val="bottom"/>
          </w:tcPr>
          <w:p>
            <w:pPr>
              <w:spacing w:after="0"/>
              <w:rPr>
                <w:sz w:val="13"/>
                <w:szCs w:val="13"/>
                <w:color w:val="auto"/>
              </w:rPr>
            </w:pPr>
          </w:p>
        </w:tc>
        <w:tc>
          <w:tcPr>
            <w:tcW w:w="1480" w:type="dxa"/>
            <w:vAlign w:val="bottom"/>
          </w:tcPr>
          <w:p>
            <w:pPr>
              <w:jc w:val="center"/>
              <w:ind w:left="121"/>
              <w:spacing w:after="0" w:line="159" w:lineRule="exact"/>
              <w:rPr>
                <w:sz w:val="20"/>
                <w:szCs w:val="20"/>
                <w:color w:val="auto"/>
              </w:rPr>
            </w:pPr>
            <w:r>
              <w:rPr>
                <w:rFonts w:ascii="Arial" w:cs="Arial" w:eastAsia="Arial" w:hAnsi="Arial"/>
                <w:sz w:val="16"/>
                <w:szCs w:val="16"/>
                <w:b w:val="1"/>
                <w:bCs w:val="1"/>
                <w:color w:val="auto"/>
                <w:w w:val="99"/>
              </w:rPr>
              <w:t>that may yet be</w:t>
            </w:r>
          </w:p>
        </w:tc>
        <w:tc>
          <w:tcPr>
            <w:tcW w:w="0" w:type="dxa"/>
            <w:vAlign w:val="bottom"/>
          </w:tcPr>
          <w:p>
            <w:pPr>
              <w:spacing w:after="0"/>
              <w:rPr>
                <w:sz w:val="1"/>
                <w:szCs w:val="1"/>
                <w:color w:val="auto"/>
              </w:rPr>
            </w:pPr>
          </w:p>
        </w:tc>
      </w:tr>
      <w:tr>
        <w:trPr>
          <w:trHeight w:val="159"/>
        </w:trPr>
        <w:tc>
          <w:tcPr>
            <w:tcW w:w="3500" w:type="dxa"/>
            <w:vAlign w:val="bottom"/>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3"/>
                <w:szCs w:val="13"/>
                <w:color w:val="auto"/>
              </w:rPr>
            </w:pPr>
          </w:p>
        </w:tc>
        <w:tc>
          <w:tcPr>
            <w:tcW w:w="17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9"/>
              </w:rPr>
              <w:t>part of publicly</w:t>
            </w:r>
          </w:p>
        </w:tc>
        <w:tc>
          <w:tcPr>
            <w:tcW w:w="42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8"/>
              </w:rPr>
              <w:t>purchased under t</w:t>
            </w:r>
          </w:p>
        </w:tc>
        <w:tc>
          <w:tcPr>
            <w:tcW w:w="0" w:type="dxa"/>
            <w:vAlign w:val="bottom"/>
          </w:tcPr>
          <w:p>
            <w:pPr>
              <w:spacing w:after="0"/>
              <w:rPr>
                <w:sz w:val="1"/>
                <w:szCs w:val="1"/>
                <w:color w:val="auto"/>
              </w:rPr>
            </w:pPr>
          </w:p>
        </w:tc>
      </w:tr>
      <w:tr>
        <w:trPr>
          <w:trHeight w:val="212"/>
        </w:trPr>
        <w:tc>
          <w:tcPr>
            <w:tcW w:w="3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announced programs</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purchases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ind w:left="121"/>
              <w:spacing w:after="0"/>
              <w:rPr>
                <w:sz w:val="20"/>
                <w:szCs w:val="20"/>
                <w:color w:val="auto"/>
              </w:rPr>
            </w:pPr>
            <w:r>
              <w:rPr>
                <w:rFonts w:ascii="Arial" w:cs="Arial" w:eastAsia="Arial" w:hAnsi="Arial"/>
                <w:sz w:val="16"/>
                <w:szCs w:val="16"/>
                <w:b w:val="1"/>
                <w:bCs w:val="1"/>
                <w:color w:val="auto"/>
                <w:w w:val="98"/>
              </w:rPr>
              <w:t>program</w:t>
            </w:r>
          </w:p>
        </w:tc>
        <w:tc>
          <w:tcPr>
            <w:tcW w:w="0" w:type="dxa"/>
            <w:vAlign w:val="bottom"/>
          </w:tcPr>
          <w:p>
            <w:pPr>
              <w:spacing w:after="0"/>
              <w:rPr>
                <w:sz w:val="1"/>
                <w:szCs w:val="1"/>
                <w:color w:val="auto"/>
              </w:rPr>
            </w:pPr>
          </w:p>
        </w:tc>
      </w:tr>
      <w:tr>
        <w:trPr>
          <w:trHeight w:val="205"/>
        </w:trPr>
        <w:tc>
          <w:tcPr>
            <w:tcW w:w="3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July 2021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398,600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31,194,940</w:t>
            </w:r>
          </w:p>
        </w:tc>
        <w:tc>
          <w:tcPr>
            <w:tcW w:w="158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0"/>
        </w:trPr>
        <w:tc>
          <w:tcPr>
            <w:tcW w:w="3600" w:type="dxa"/>
            <w:vAlign w:val="bottom"/>
            <w:gridSpan w:val="2"/>
          </w:tcPr>
          <w:p>
            <w:pPr>
              <w:ind w:left="340"/>
              <w:spacing w:after="0"/>
              <w:rPr>
                <w:sz w:val="20"/>
                <w:szCs w:val="20"/>
                <w:color w:val="auto"/>
              </w:rPr>
            </w:pPr>
            <w:r>
              <w:rPr>
                <w:rFonts w:ascii="Arial" w:cs="Arial" w:eastAsia="Arial" w:hAnsi="Arial"/>
                <w:sz w:val="16"/>
                <w:szCs w:val="16"/>
                <w:color w:val="auto"/>
              </w:rPr>
              <w:t>August 2021</w:t>
            </w:r>
          </w:p>
        </w:tc>
        <w:tc>
          <w:tcPr>
            <w:tcW w:w="1660" w:type="dxa"/>
            <w:vAlign w:val="bottom"/>
          </w:tcPr>
          <w:p>
            <w:pPr>
              <w:jc w:val="right"/>
              <w:spacing w:after="0"/>
              <w:rPr>
                <w:sz w:val="20"/>
                <w:szCs w:val="20"/>
                <w:color w:val="auto"/>
              </w:rPr>
            </w:pPr>
            <w:r>
              <w:rPr>
                <w:rFonts w:ascii="Arial" w:cs="Arial" w:eastAsia="Arial" w:hAnsi="Arial"/>
                <w:sz w:val="16"/>
                <w:szCs w:val="16"/>
                <w:color w:val="auto"/>
              </w:rPr>
              <w:t>425,500</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76.76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32,661,456</w:t>
            </w:r>
          </w:p>
        </w:tc>
        <w:tc>
          <w:tcPr>
            <w:tcW w:w="1580" w:type="dxa"/>
            <w:vAlign w:val="bottom"/>
            <w:gridSpan w:val="2"/>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2"/>
        </w:trPr>
        <w:tc>
          <w:tcPr>
            <w:tcW w:w="3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September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78.22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26,187,390</w:t>
            </w:r>
          </w:p>
        </w:tc>
        <w:tc>
          <w:tcPr>
            <w:tcW w:w="158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05"/>
        </w:trPr>
        <w:tc>
          <w:tcPr>
            <w:tcW w:w="3600" w:type="dxa"/>
            <w:vAlign w:val="bottom"/>
            <w:gridSpan w:val="2"/>
          </w:tcPr>
          <w:p>
            <w:pPr>
              <w:ind w:left="340"/>
              <w:spacing w:after="0"/>
              <w:rPr>
                <w:sz w:val="20"/>
                <w:szCs w:val="20"/>
                <w:color w:val="auto"/>
              </w:rPr>
            </w:pPr>
            <w:r>
              <w:rPr>
                <w:rFonts w:ascii="Arial" w:cs="Arial" w:eastAsia="Arial" w:hAnsi="Arial"/>
                <w:sz w:val="16"/>
                <w:szCs w:val="16"/>
                <w:color w:val="auto"/>
              </w:rPr>
              <w:t>Three months ended September 30, 2021</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1,158,900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77.70</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90,043,786</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both"/>
        <w:ind w:left="320" w:right="100" w:firstLine="4"/>
        <w:spacing w:after="0" w:line="24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has approved, and we intend to execute, a capital allocation policy that provides for the repurchase of $200 million of our common stock for the period from February 1, 2021 through the end of our 2022 fiscal year, plus the use of approximately 75% of our fiscal 2022 free cash flow for additional repurchases during fiscal year 2022. Since February 1, 2021 through September 30, 2021 we have repurchased $242.2 million of common stock.</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3. Defaults upon Senior Securities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00B2A9"/>
        </w:rPr>
        <w:t>Item 4. Mine Safety Disclosures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81" w:lineRule="exact"/>
        <w:rPr>
          <w:sz w:val="20"/>
          <w:szCs w:val="20"/>
          <w:color w:val="auto"/>
        </w:rPr>
      </w:pPr>
    </w:p>
    <w:p>
      <w:pPr>
        <w:jc w:val="center"/>
        <w:ind w:right="9240"/>
        <w:spacing w:after="0"/>
        <w:rPr>
          <w:sz w:val="20"/>
          <w:szCs w:val="20"/>
          <w:color w:val="auto"/>
        </w:rPr>
      </w:pPr>
      <w:r>
        <w:rPr>
          <w:rFonts w:ascii="Arial" w:cs="Arial" w:eastAsia="Arial" w:hAnsi="Arial"/>
          <w:sz w:val="17"/>
          <w:szCs w:val="17"/>
          <w:b w:val="1"/>
          <w:bCs w:val="1"/>
          <w:color w:val="00B2A9"/>
        </w:rPr>
        <w:t>Item 5. Other Information</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3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B2A9"/>
        </w:rPr>
        <w:t>Item 6. Exhibits</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6"/>
                <w:szCs w:val="16"/>
                <w:b w:val="1"/>
                <w:bCs w:val="1"/>
                <w:color w:val="auto"/>
              </w:rPr>
              <w:t>Exhibit No.</w:t>
            </w:r>
          </w:p>
        </w:tc>
        <w:tc>
          <w:tcPr>
            <w:tcW w:w="466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Commvault Systems, Inc. Omnibus Incentive Plan (as amended by the Fifth Amendment Thereof)</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50">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1</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51">
              <w:r>
                <w:rPr>
                  <w:rFonts w:ascii="Arial" w:cs="Arial" w:eastAsia="Arial" w:hAnsi="Arial"/>
                  <w:sz w:val="16"/>
                  <w:szCs w:val="16"/>
                  <w:color w:val="0000FF"/>
                  <w:w w:val="96"/>
                </w:rPr>
                <w:t>31.</w:t>
              </w:r>
              <w:r>
                <w:rPr>
                  <w:rFonts w:ascii="Arial" w:cs="Arial" w:eastAsia="Arial" w:hAnsi="Arial"/>
                  <w:sz w:val="16"/>
                  <w:szCs w:val="16"/>
                  <w:u w:val="single" w:color="auto"/>
                  <w:color w:val="0000FF"/>
                  <w:w w:val="96"/>
                </w:rPr>
                <w:t>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5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Executive Officer Pursuant to Section 906 of the Sarbanes-Oxley Act of 2002</w:t>
            </w:r>
          </w:p>
        </w:tc>
      </w:tr>
      <w:tr>
        <w:trPr>
          <w:trHeight w:val="192"/>
        </w:trPr>
        <w:tc>
          <w:tcPr>
            <w:tcW w:w="320" w:type="dxa"/>
            <w:vAlign w:val="bottom"/>
            <w:tcBorders>
              <w:bottom w:val="single" w:sz="8" w:color="0000FF"/>
            </w:tcBorders>
            <w:gridSpan w:val="2"/>
          </w:tcPr>
          <w:p>
            <w:pPr>
              <w:spacing w:after="0"/>
              <w:rPr>
                <w:rFonts w:ascii="Arial" w:cs="Arial" w:eastAsia="Arial" w:hAnsi="Arial"/>
                <w:sz w:val="16"/>
                <w:szCs w:val="16"/>
                <w:color w:val="0000FF"/>
                <w:w w:val="96"/>
              </w:rPr>
            </w:pPr>
            <w:hyperlink w:anchor="page53">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Certification of Chief Financial Officer Pursuant to Section 906 of the Sarbanes-Oxley Act of 2002</w:t>
            </w:r>
          </w:p>
        </w:tc>
      </w:tr>
      <w:tr>
        <w:trPr>
          <w:trHeight w:val="194"/>
        </w:trPr>
        <w:tc>
          <w:tcPr>
            <w:tcW w:w="1080" w:type="dxa"/>
            <w:vAlign w:val="bottom"/>
            <w:gridSpan w:val="4"/>
          </w:tcPr>
          <w:p>
            <w:pPr>
              <w:spacing w:after="0"/>
              <w:rPr>
                <w:sz w:val="20"/>
                <w:szCs w:val="20"/>
                <w:color w:val="auto"/>
              </w:rPr>
            </w:pPr>
            <w:r>
              <w:rPr>
                <w:rFonts w:ascii="Arial" w:cs="Arial" w:eastAsia="Arial" w:hAnsi="Arial"/>
                <w:sz w:val="16"/>
                <w:szCs w:val="16"/>
                <w:color w:val="auto"/>
              </w:rPr>
              <w:t>101.INS</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w w:val="99"/>
              </w:rPr>
              <w:t>XBRL Instance Document - the instance document does not appear in the Interactive Data File because its XBRL tags are embedded within</w:t>
            </w:r>
          </w:p>
        </w:tc>
      </w:tr>
      <w:tr>
        <w:trPr>
          <w:trHeight w:val="192"/>
        </w:trPr>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the Inline XBRL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101.SCH</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101.CAL</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101.DEF</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101.LAB</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212"/>
        </w:trPr>
        <w:tc>
          <w:tcPr>
            <w:tcW w:w="1080" w:type="dxa"/>
            <w:vAlign w:val="bottom"/>
            <w:gridSpan w:val="4"/>
          </w:tcPr>
          <w:p>
            <w:pPr>
              <w:spacing w:after="0"/>
              <w:rPr>
                <w:sz w:val="20"/>
                <w:szCs w:val="20"/>
                <w:color w:val="auto"/>
              </w:rPr>
            </w:pPr>
            <w:r>
              <w:rPr>
                <w:rFonts w:ascii="Arial" w:cs="Arial" w:eastAsia="Arial" w:hAnsi="Arial"/>
                <w:sz w:val="16"/>
                <w:szCs w:val="16"/>
                <w:color w:val="auto"/>
              </w:rPr>
              <w:t>101.PRE</w:t>
            </w:r>
          </w:p>
        </w:tc>
        <w:tc>
          <w:tcPr>
            <w:tcW w:w="9920" w:type="dxa"/>
            <w:vAlign w:val="bottom"/>
            <w:gridSpan w:val="3"/>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p>
    <w:p>
      <w:pPr>
        <w:ind w:left="1180" w:hanging="115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222222"/>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031" w:right="5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Signatures</w:t>
      </w:r>
    </w:p>
    <w:p>
      <w:pPr>
        <w:spacing w:after="0" w:line="120" w:lineRule="exact"/>
        <w:rPr>
          <w:sz w:val="20"/>
          <w:szCs w:val="20"/>
          <w:color w:val="auto"/>
        </w:rPr>
      </w:pPr>
    </w:p>
    <w:p>
      <w:pPr>
        <w:ind w:right="400" w:firstLine="437"/>
        <w:spacing w:after="0" w:line="25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6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980" w:type="dxa"/>
            <w:vAlign w:val="bottom"/>
          </w:tcPr>
          <w:p>
            <w:pPr>
              <w:ind w:left="680"/>
              <w:spacing w:after="0"/>
              <w:rPr>
                <w:sz w:val="20"/>
                <w:szCs w:val="20"/>
                <w:color w:val="auto"/>
              </w:rPr>
            </w:pPr>
            <w:r>
              <w:rPr>
                <w:rFonts w:ascii="Arial" w:cs="Arial" w:eastAsia="Arial" w:hAnsi="Arial"/>
                <w:sz w:val="18"/>
                <w:szCs w:val="18"/>
                <w:color w:val="auto"/>
              </w:rPr>
              <w:t>Commvault Systems, Inc.</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160"/>
              <w:spacing w:after="0"/>
              <w:rPr>
                <w:sz w:val="20"/>
                <w:szCs w:val="20"/>
                <w:color w:val="auto"/>
              </w:rPr>
            </w:pPr>
            <w:r>
              <w:rPr>
                <w:rFonts w:ascii="Arial" w:cs="Arial" w:eastAsia="Arial" w:hAnsi="Arial"/>
                <w:sz w:val="18"/>
                <w:szCs w:val="18"/>
                <w:color w:val="auto"/>
              </w:rPr>
              <w:t>October 27, 2021</w:t>
            </w:r>
          </w:p>
        </w:tc>
        <w:tc>
          <w:tcPr>
            <w:tcW w:w="334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Sanjay Mirchandani</w:t>
            </w:r>
          </w:p>
        </w:tc>
      </w:tr>
      <w:tr>
        <w:trPr>
          <w:trHeight w:val="206"/>
        </w:trPr>
        <w:tc>
          <w:tcPr>
            <w:tcW w:w="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340" w:type="dxa"/>
            <w:vAlign w:val="bottom"/>
          </w:tcPr>
          <w:p>
            <w:pPr>
              <w:ind w:left="2740"/>
              <w:spacing w:after="0" w:line="205" w:lineRule="exact"/>
              <w:rPr>
                <w:sz w:val="20"/>
                <w:szCs w:val="20"/>
                <w:color w:val="auto"/>
              </w:rPr>
            </w:pPr>
            <w:r>
              <w:rPr>
                <w:rFonts w:ascii="Arial" w:cs="Arial" w:eastAsia="Arial" w:hAnsi="Arial"/>
                <w:sz w:val="18"/>
                <w:szCs w:val="18"/>
                <w:color w:val="auto"/>
              </w:rPr>
              <w:t>Sanjay</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Mirchandani</w:t>
            </w: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320" w:type="dxa"/>
            <w:vAlign w:val="bottom"/>
            <w:gridSpan w:val="2"/>
          </w:tcPr>
          <w:p>
            <w:pPr>
              <w:ind w:left="2740"/>
              <w:spacing w:after="0"/>
              <w:rPr>
                <w:sz w:val="20"/>
                <w:szCs w:val="20"/>
                <w:color w:val="auto"/>
              </w:rPr>
            </w:pPr>
            <w:r>
              <w:rPr>
                <w:rFonts w:ascii="Arial" w:cs="Arial" w:eastAsia="Arial" w:hAnsi="Arial"/>
                <w:sz w:val="18"/>
                <w:szCs w:val="18"/>
                <w:color w:val="auto"/>
              </w:rPr>
              <w:t>Director, President and Chief Executive Officer</w:t>
            </w:r>
          </w:p>
        </w:tc>
      </w:tr>
      <w:tr>
        <w:trPr>
          <w:trHeight w:val="491"/>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160"/>
              <w:spacing w:after="0"/>
              <w:rPr>
                <w:sz w:val="20"/>
                <w:szCs w:val="20"/>
                <w:color w:val="auto"/>
              </w:rPr>
            </w:pPr>
            <w:r>
              <w:rPr>
                <w:rFonts w:ascii="Arial" w:cs="Arial" w:eastAsia="Arial" w:hAnsi="Arial"/>
                <w:sz w:val="18"/>
                <w:szCs w:val="18"/>
                <w:color w:val="auto"/>
              </w:rPr>
              <w:t>October 27, 2021</w:t>
            </w:r>
          </w:p>
        </w:tc>
        <w:tc>
          <w:tcPr>
            <w:tcW w:w="334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Carolan</w:t>
            </w:r>
          </w:p>
        </w:tc>
      </w:tr>
      <w:tr>
        <w:trPr>
          <w:trHeight w:val="206"/>
        </w:trPr>
        <w:tc>
          <w:tcPr>
            <w:tcW w:w="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340" w:type="dxa"/>
            <w:vAlign w:val="bottom"/>
          </w:tcPr>
          <w:p>
            <w:pPr>
              <w:ind w:left="2740"/>
              <w:spacing w:after="0" w:line="205" w:lineRule="exact"/>
              <w:rPr>
                <w:sz w:val="20"/>
                <w:szCs w:val="20"/>
                <w:color w:val="auto"/>
              </w:rPr>
            </w:pPr>
            <w:r>
              <w:rPr>
                <w:rFonts w:ascii="Arial" w:cs="Arial" w:eastAsia="Arial" w:hAnsi="Arial"/>
                <w:sz w:val="18"/>
                <w:szCs w:val="18"/>
                <w:color w:val="auto"/>
              </w:rPr>
              <w:t>Brian</w:t>
            </w:r>
          </w:p>
        </w:tc>
        <w:tc>
          <w:tcPr>
            <w:tcW w:w="3980" w:type="dxa"/>
            <w:vAlign w:val="bottom"/>
          </w:tcPr>
          <w:p>
            <w:pPr>
              <w:spacing w:after="0" w:line="206" w:lineRule="exact"/>
              <w:rPr>
                <w:sz w:val="20"/>
                <w:szCs w:val="20"/>
                <w:color w:val="auto"/>
              </w:rPr>
            </w:pPr>
            <w:r>
              <w:rPr>
                <w:rFonts w:ascii="Arial" w:cs="Arial" w:eastAsia="Arial" w:hAnsi="Arial"/>
                <w:sz w:val="18"/>
                <w:szCs w:val="18"/>
                <w:color w:val="auto"/>
              </w:rPr>
              <w:t>Carolan</w:t>
            </w: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320" w:type="dxa"/>
            <w:vAlign w:val="bottom"/>
            <w:gridSpan w:val="2"/>
          </w:tcPr>
          <w:p>
            <w:pPr>
              <w:ind w:left="2740"/>
              <w:spacing w:after="0"/>
              <w:rPr>
                <w:sz w:val="20"/>
                <w:szCs w:val="20"/>
                <w:color w:val="auto"/>
              </w:rPr>
            </w:pPr>
            <w:r>
              <w:rPr>
                <w:rFonts w:ascii="Arial" w:cs="Arial" w:eastAsia="Arial" w:hAnsi="Arial"/>
                <w:sz w:val="18"/>
                <w:szCs w:val="18"/>
                <w:color w:val="auto"/>
              </w:rPr>
              <w:t>Vice President and Chief Financial Officer</w:t>
            </w:r>
          </w:p>
        </w:tc>
      </w:tr>
      <w:tr>
        <w:trPr>
          <w:trHeight w:val="848"/>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40" w:type="dxa"/>
            <w:vAlign w:val="bottom"/>
          </w:tcPr>
          <w:p>
            <w:pPr>
              <w:ind w:left="1640"/>
              <w:spacing w:after="0"/>
              <w:rPr>
                <w:sz w:val="20"/>
                <w:szCs w:val="20"/>
                <w:color w:val="auto"/>
              </w:rPr>
            </w:pPr>
            <w:r>
              <w:rPr>
                <w:rFonts w:ascii="Arial" w:cs="Arial" w:eastAsia="Arial" w:hAnsi="Arial"/>
                <w:sz w:val="18"/>
                <w:szCs w:val="18"/>
                <w:color w:val="auto"/>
              </w:rPr>
              <w:t>32</w:t>
            </w:r>
          </w:p>
        </w:tc>
        <w:tc>
          <w:tcPr>
            <w:tcW w:w="3980" w:type="dxa"/>
            <w:vAlign w:val="bottom"/>
          </w:tcPr>
          <w:p>
            <w:pPr>
              <w:spacing w:after="0"/>
              <w:rPr>
                <w:sz w:val="24"/>
                <w:szCs w:val="24"/>
                <w:color w:val="auto"/>
              </w:rPr>
            </w:pPr>
          </w:p>
        </w:tc>
      </w:tr>
    </w:tbl>
    <w:p>
      <w:pPr>
        <w:sectPr>
          <w:pgSz w:w="11900" w:h="16838" w:orient="portrait"/>
          <w:cols w:equalWidth="0" w:num="1">
            <w:col w:w="11200"/>
          </w:cols>
          <w:pgMar w:left="320" w:top="1031" w:right="379" w:bottom="1440" w:gutter="0" w:footer="0" w:header="0"/>
        </w:sectPr>
      </w:pPr>
    </w:p>
    <w:bookmarkStart w:id="34" w:name="page35"/>
    <w:bookmarkEnd w:id="34"/>
    <w:p>
      <w:pPr>
        <w:ind w:left="4380"/>
        <w:spacing w:after="0"/>
        <w:rPr>
          <w:sz w:val="20"/>
          <w:szCs w:val="20"/>
          <w:color w:val="auto"/>
        </w:rPr>
      </w:pPr>
      <w:r>
        <w:rPr>
          <w:rFonts w:ascii="Arial" w:cs="Arial" w:eastAsia="Arial" w:hAnsi="Arial"/>
          <w:sz w:val="18"/>
          <w:szCs w:val="18"/>
          <w:b w:val="1"/>
          <w:bCs w:val="1"/>
          <w:color w:val="auto"/>
        </w:rPr>
        <w:t>COMMVAULT SYSTEMS, INC.</w:t>
      </w:r>
    </w:p>
    <w:p>
      <w:pPr>
        <w:spacing w:after="0" w:line="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OMNIBUS INCENTIVE PLAN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Through the Fifth Amendment Thereof)</w:t>
      </w:r>
    </w:p>
    <w:p>
      <w:pPr>
        <w:spacing w:after="0" w:line="200" w:lineRule="exact"/>
        <w:rPr>
          <w:sz w:val="20"/>
          <w:szCs w:val="20"/>
          <w:color w:val="auto"/>
        </w:rPr>
      </w:pPr>
    </w:p>
    <w:p>
      <w:pPr>
        <w:spacing w:after="0" w:line="315" w:lineRule="exact"/>
        <w:rPr>
          <w:sz w:val="20"/>
          <w:szCs w:val="20"/>
          <w:color w:val="auto"/>
        </w:rPr>
      </w:pPr>
    </w:p>
    <w:p>
      <w:pPr>
        <w:ind w:firstLine="642"/>
        <w:spacing w:after="0" w:line="343" w:lineRule="auto"/>
        <w:tabs>
          <w:tab w:leader="none" w:pos="945"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Commvault Systems, Inc. (the “Company”) has established the Commvault Systems, Inc. Omnibus Incentive Plan (the “Plan”) to (a) attract and retain employees, directors and other persons providing services to the Company and its Related Companies (as defined herein); (b) advance the interests of the Company and its stockholders by providing employees, directors and other persons providing services to the Company and its Related Companies, upon whose judgment, initiative and efforts the Company largely depend, with appropriate incentives to perform in a superior manner and achieve long-range goals, (c) to provide incentive compensation opportunities that are competitive with other similar companies, and (d) to further align the interests of Participants’ (as defined herein) with those of the Company’s stockholders, and to thereby promote the long-term financial interests of the Company and the Related Companies, including the growth in value of the Company’s equity and long-term stockholder return.</w:t>
      </w:r>
    </w:p>
    <w:p>
      <w:pPr>
        <w:spacing w:after="0" w:line="155" w:lineRule="exact"/>
        <w:rPr>
          <w:rFonts w:ascii="Arial" w:cs="Arial" w:eastAsia="Arial" w:hAnsi="Arial"/>
          <w:sz w:val="15"/>
          <w:szCs w:val="15"/>
          <w:color w:val="auto"/>
        </w:rPr>
      </w:pPr>
    </w:p>
    <w:p>
      <w:pPr>
        <w:ind w:left="960" w:hanging="31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the Plan, the following defined terms have the meanings indicated below:</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has the meaning set forth in subsection 9.8.</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any award permitted to be granted pursuant to the provisions of the Plan.</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Cash Incentive Award</w:t>
      </w:r>
      <w:r>
        <w:rPr>
          <w:rFonts w:ascii="Arial" w:cs="Arial" w:eastAsia="Arial" w:hAnsi="Arial"/>
          <w:sz w:val="15"/>
          <w:szCs w:val="15"/>
          <w:color w:val="auto"/>
        </w:rPr>
        <w:t>” has the meaning set forth in subsection 7.1(b).</w:t>
      </w:r>
    </w:p>
    <w:p>
      <w:pPr>
        <w:spacing w:after="0" w:line="244" w:lineRule="exact"/>
        <w:rPr>
          <w:sz w:val="20"/>
          <w:szCs w:val="20"/>
          <w:color w:val="auto"/>
        </w:rPr>
      </w:pPr>
    </w:p>
    <w:p>
      <w:pPr>
        <w:ind w:firstLine="636"/>
        <w:spacing w:after="0" w:line="282"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Cause</w:t>
      </w:r>
      <w:r>
        <w:rPr>
          <w:rFonts w:ascii="Arial" w:cs="Arial" w:eastAsia="Arial" w:hAnsi="Arial"/>
          <w:sz w:val="18"/>
          <w:szCs w:val="18"/>
          <w:color w:val="auto"/>
        </w:rPr>
        <w:t>” means, unless otherwise provided by the Committee or as set forth in a separate agreement between the Company and the Participant, a Participant’s termination of employment or other services for gross negligence, personal dishonesty, incompetence, willful misconduct, any breach of fiduciary duty involving personal profit, intentional failure to perform stated duties, or the willful violation of any law, rule or regulation (other than traffic violations or similar offenses).</w:t>
      </w:r>
    </w:p>
    <w:p>
      <w:pPr>
        <w:spacing w:after="0" w:line="193" w:lineRule="exact"/>
        <w:rPr>
          <w:sz w:val="20"/>
          <w:szCs w:val="20"/>
          <w:color w:val="auto"/>
        </w:rPr>
      </w:pPr>
    </w:p>
    <w:p>
      <w:pPr>
        <w:ind w:right="560" w:firstLine="636"/>
        <w:spacing w:after="0" w:line="295"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specific provision of the Code includes the successor provision(s) and the regulations promulgated.</w:t>
      </w:r>
    </w:p>
    <w:p>
      <w:pPr>
        <w:spacing w:after="0" w:line="18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has the meaning specified in subsection 3.1.</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has the meaning set forth in Section 1.</w:t>
      </w:r>
    </w:p>
    <w:p>
      <w:pPr>
        <w:spacing w:after="0" w:line="244" w:lineRule="exact"/>
        <w:rPr>
          <w:sz w:val="20"/>
          <w:szCs w:val="20"/>
          <w:color w:val="auto"/>
        </w:rPr>
      </w:pPr>
    </w:p>
    <w:p>
      <w:pPr>
        <w:ind w:right="40" w:firstLine="636"/>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unless otherwise provided by the Committee, that an individual is unable to engage in any substantial gainful activity by reason of any medically determinable physical or mental impairment which can be expected to result in death or which has lasted or can be expected to last for a continuous period of not less than twelve (12) months. Whether an individual has a “Disability” shall be determined in a manner that is consistent with Code Section 22(e)(3). Notwithstanding the foregoing, if a Participant has an employment</w:t>
      </w:r>
    </w:p>
    <w:p>
      <w:pPr>
        <w:sectPr>
          <w:pgSz w:w="11900" w:h="16838" w:orient="portrait"/>
          <w:cols w:equalWidth="0" w:num="1">
            <w:col w:w="11240"/>
          </w:cols>
          <w:pgMar w:left="320" w:top="1433" w:right="339" w:bottom="1440" w:gutter="0" w:footer="0" w:header="0"/>
        </w:sectPr>
      </w:pPr>
    </w:p>
    <w:bookmarkStart w:id="35" w:name="page36"/>
    <w:bookmarkEnd w:id="35"/>
    <w:p>
      <w:pPr>
        <w:ind w:right="100"/>
        <w:spacing w:after="0" w:line="295" w:lineRule="auto"/>
        <w:rPr>
          <w:sz w:val="20"/>
          <w:szCs w:val="20"/>
          <w:color w:val="auto"/>
        </w:rPr>
      </w:pPr>
      <w:r>
        <w:rPr>
          <w:rFonts w:ascii="Arial" w:cs="Arial" w:eastAsia="Arial" w:hAnsi="Arial"/>
          <w:sz w:val="18"/>
          <w:szCs w:val="18"/>
          <w:color w:val="auto"/>
        </w:rPr>
        <w:t>agreement with the Company or Related Company and such employment agreement defines “disability”, then “Disability used herein shall have the meaning as set forth in such employment agreement.</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has the meaning set forth in subsection 9.1.</w:t>
      </w:r>
    </w:p>
    <w:p>
      <w:pPr>
        <w:spacing w:after="0" w:line="244" w:lineRule="exact"/>
        <w:rPr>
          <w:sz w:val="20"/>
          <w:szCs w:val="20"/>
          <w:color w:val="auto"/>
        </w:rPr>
      </w:pPr>
    </w:p>
    <w:p>
      <w:pPr>
        <w:ind w:firstLine="636"/>
        <w:spacing w:after="0" w:line="282"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means any officer, director or other employee of the Company or a Related Company, consultants, independent contractors or agents of the Company or a Related Company, and persons who are expected to become officers, employees, directors, consultants, independent contractors or agents of the Company or a Related Company (but effective no earlier than the date on which such Person begins to provide services to the Company or a Related Company), including, in each case, Outside Directors.</w:t>
      </w:r>
    </w:p>
    <w:p>
      <w:pPr>
        <w:spacing w:after="0" w:line="193" w:lineRule="exact"/>
        <w:rPr>
          <w:sz w:val="20"/>
          <w:szCs w:val="20"/>
          <w:color w:val="auto"/>
        </w:rPr>
      </w:pPr>
    </w:p>
    <w:p>
      <w:pPr>
        <w:ind w:right="80" w:firstLine="636"/>
        <w:spacing w:after="0" w:line="295"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Any reference to a specific provision of the Exchange Act includes the successor provision(s) and the regulations promulgated thereunder.</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Expiration Date</w:t>
      </w:r>
      <w:r>
        <w:rPr>
          <w:rFonts w:ascii="Arial" w:cs="Arial" w:eastAsia="Arial" w:hAnsi="Arial"/>
          <w:sz w:val="15"/>
          <w:szCs w:val="15"/>
          <w:color w:val="auto"/>
        </w:rPr>
        <w:t>” has the meaning set forth in subsection 6.10 of the Plan.</w:t>
      </w:r>
    </w:p>
    <w:p>
      <w:pPr>
        <w:spacing w:after="0" w:line="244"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of a share of Common Stock means, as of any date, the value determined in accordance with the following rules:</w:t>
      </w:r>
    </w:p>
    <w:p>
      <w:pPr>
        <w:spacing w:after="0" w:line="244" w:lineRule="exact"/>
        <w:rPr>
          <w:sz w:val="20"/>
          <w:szCs w:val="20"/>
          <w:color w:val="auto"/>
        </w:rPr>
      </w:pPr>
    </w:p>
    <w:p>
      <w:pPr>
        <w:ind w:left="1280" w:right="20" w:hanging="638"/>
        <w:spacing w:after="0" w:line="286" w:lineRule="auto"/>
        <w:tabs>
          <w:tab w:leader="none" w:pos="10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Common Stock is at the time listed or admitted to trading on any stock exchange, then the Fair Market Value shall be the closing price per share of Common Stock on such date on the principal exchange on which the Common Stock is then listed or admitted to trading or, if no such sale is reported on that date, on the last preceding date on which a sale was so reported.</w:t>
      </w:r>
    </w:p>
    <w:p>
      <w:pPr>
        <w:spacing w:after="0" w:line="187" w:lineRule="exact"/>
        <w:rPr>
          <w:rFonts w:ascii="Arial" w:cs="Arial" w:eastAsia="Arial" w:hAnsi="Arial"/>
          <w:sz w:val="18"/>
          <w:szCs w:val="18"/>
          <w:color w:val="auto"/>
        </w:rPr>
      </w:pPr>
    </w:p>
    <w:p>
      <w:pPr>
        <w:jc w:val="both"/>
        <w:ind w:left="1280" w:right="40" w:hanging="638"/>
        <w:spacing w:after="0" w:line="367" w:lineRule="auto"/>
        <w:tabs>
          <w:tab w:leader="none" w:pos="1027" w:val="left"/>
        </w:tabs>
        <w:numPr>
          <w:ilvl w:val="0"/>
          <w:numId w:val="29"/>
        </w:numPr>
        <w:rPr>
          <w:rFonts w:ascii="Arial" w:cs="Arial" w:eastAsia="Arial" w:hAnsi="Arial"/>
          <w:sz w:val="15"/>
          <w:szCs w:val="15"/>
          <w:color w:val="auto"/>
        </w:rPr>
      </w:pPr>
      <w:r>
        <w:rPr>
          <w:rFonts w:ascii="Arial" w:cs="Arial" w:eastAsia="Arial" w:hAnsi="Arial"/>
          <w:sz w:val="15"/>
          <w:szCs w:val="15"/>
          <w:color w:val="auto"/>
        </w:rPr>
        <w:t>If the Common Stock is not at the time listed or admitted to trading on a stock exchange, the Fair Market Value shall be the closing average of the closing bid and asked price of a share of Common Stock on the date in question in the over-the-counter market, as such price is reported in a publication of general circulation selected by the Committee and regularly reporting the market price of Common Stock in such market.</w:t>
      </w:r>
    </w:p>
    <w:p>
      <w:pPr>
        <w:spacing w:after="0" w:line="136" w:lineRule="exact"/>
        <w:rPr>
          <w:rFonts w:ascii="Arial" w:cs="Arial" w:eastAsia="Arial" w:hAnsi="Arial"/>
          <w:sz w:val="15"/>
          <w:szCs w:val="15"/>
          <w:color w:val="auto"/>
        </w:rPr>
      </w:pPr>
    </w:p>
    <w:p>
      <w:pPr>
        <w:ind w:left="1280" w:right="100" w:hanging="638"/>
        <w:spacing w:after="0" w:line="295" w:lineRule="auto"/>
        <w:tabs>
          <w:tab w:leader="none" w:pos="10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Common Stock is not listed or admitted to trading on any stock exchange or traded in the over-the-counter market, the Fair Market Value shall be as determined by the Committee in good faith.</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Full Value Award</w:t>
      </w:r>
      <w:r>
        <w:rPr>
          <w:rFonts w:ascii="Arial" w:cs="Arial" w:eastAsia="Arial" w:hAnsi="Arial"/>
          <w:sz w:val="15"/>
          <w:szCs w:val="15"/>
          <w:color w:val="auto"/>
        </w:rPr>
        <w:t>” has the meaning set forth in subsection 7.1(a).</w:t>
      </w:r>
    </w:p>
    <w:p>
      <w:pPr>
        <w:spacing w:after="0" w:line="244" w:lineRule="exact"/>
        <w:rPr>
          <w:sz w:val="20"/>
          <w:szCs w:val="20"/>
          <w:color w:val="auto"/>
        </w:rPr>
      </w:pPr>
    </w:p>
    <w:p>
      <w:pPr>
        <w:ind w:right="200" w:firstLine="636"/>
        <w:spacing w:after="0" w:line="295"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satisfy the requirements applicable to an “incentive stock option” described in Code Section 422.</w:t>
      </w:r>
    </w:p>
    <w:p>
      <w:pPr>
        <w:spacing w:after="0" w:line="180"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Non-Qualified Stock Option</w:t>
      </w:r>
      <w:r>
        <w:rPr>
          <w:rFonts w:ascii="Arial" w:cs="Arial" w:eastAsia="Arial" w:hAnsi="Arial"/>
          <w:sz w:val="15"/>
          <w:szCs w:val="15"/>
          <w:color w:val="auto"/>
        </w:rPr>
        <w:t>” means an Option that is not intended to be an Incentive Stock Option.</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has the meaning set forth in subsection 6.1(a) of the Plan.</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Outside Director</w:t>
      </w:r>
      <w:r>
        <w:rPr>
          <w:rFonts w:ascii="Arial" w:cs="Arial" w:eastAsia="Arial" w:hAnsi="Arial"/>
          <w:sz w:val="15"/>
          <w:szCs w:val="15"/>
          <w:color w:val="auto"/>
        </w:rPr>
        <w:t>” means a director of the Company who is not an officer or employee of the Company or the Related Companies.</w:t>
      </w:r>
    </w:p>
    <w:p>
      <w:pPr>
        <w:sectPr>
          <w:pgSz w:w="11900" w:h="16838" w:orient="portrait"/>
          <w:cols w:equalWidth="0" w:num="1">
            <w:col w:w="11220"/>
          </w:cols>
          <w:pgMar w:left="320" w:top="1412" w:right="359" w:bottom="1440" w:gutter="0" w:footer="0" w:header="0"/>
        </w:sectPr>
      </w:pPr>
    </w:p>
    <w:bookmarkStart w:id="36" w:name="page37"/>
    <w:bookmarkEnd w:id="36"/>
    <w:p>
      <w:pPr>
        <w:ind w:left="640"/>
        <w:spacing w:after="0"/>
        <w:tabs>
          <w:tab w:leader="none" w:pos="11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Individual who receives an Award under the Plan as described in Section 5.</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Performance-Based Compensation</w:t>
      </w:r>
      <w:r>
        <w:rPr>
          <w:rFonts w:ascii="Arial" w:cs="Arial" w:eastAsia="Arial" w:hAnsi="Arial"/>
          <w:sz w:val="15"/>
          <w:szCs w:val="15"/>
          <w:color w:val="auto"/>
        </w:rPr>
        <w:t>” has the meaning set forth in subsection 7.3.</w:t>
      </w:r>
    </w:p>
    <w:p>
      <w:pPr>
        <w:spacing w:after="0" w:line="244" w:lineRule="exact"/>
        <w:rPr>
          <w:sz w:val="20"/>
          <w:szCs w:val="20"/>
          <w:color w:val="auto"/>
        </w:rPr>
      </w:pPr>
    </w:p>
    <w:p>
      <w:pPr>
        <w:ind w:firstLine="636"/>
        <w:spacing w:after="0" w:line="335" w:lineRule="auto"/>
        <w:rPr>
          <w:sz w:val="20"/>
          <w:szCs w:val="20"/>
          <w:color w:val="auto"/>
        </w:rPr>
      </w:pPr>
      <w:r>
        <w:rPr>
          <w:rFonts w:ascii="Arial" w:cs="Arial" w:eastAsia="Arial" w:hAnsi="Arial"/>
          <w:sz w:val="15"/>
          <w:szCs w:val="15"/>
          <w:color w:val="auto"/>
        </w:rPr>
        <w:t>2.23 “</w:t>
      </w:r>
      <w:r>
        <w:rPr>
          <w:rFonts w:ascii="Arial" w:cs="Arial" w:eastAsia="Arial" w:hAnsi="Arial"/>
          <w:sz w:val="15"/>
          <w:szCs w:val="15"/>
          <w:u w:val="single" w:color="auto"/>
          <w:color w:val="auto"/>
        </w:rPr>
        <w:t>Performance Criteria</w:t>
      </w:r>
      <w:r>
        <w:rPr>
          <w:rFonts w:ascii="Arial" w:cs="Arial" w:eastAsia="Arial" w:hAnsi="Arial"/>
          <w:sz w:val="15"/>
          <w:szCs w:val="15"/>
          <w:color w:val="auto"/>
        </w:rPr>
        <w:t>” means one or more of the following criteria (i) earnings including operating income, net operating income, earnings before or after taxes, earnings before or after interest, depreciation, amortization, or extraordinary or special items or book value per share (which may exclude nonrecurring items) or net earnings; (ii) pre-tax income or after-tax income; (iii) earnings per share (basic or diluted); (iv) operating profit; (v) revenue, revenue growth or rate of revenue growth; (vi) return on assets (gross or net), return on investment (including cash flow return on investment), return on capital (including return on total capital or return on invested capital), or return on equity; (vii) returns on sales or revenues; (viii) operating expenses; (ix) stock price appreciation; (x) cash flow (before or after dividends), free cash flow, cash flow return on investment (discounted or otherwise), net cash provided by operations, cash flow in excess of cost of capital or cash flow per share (before or after dividends); (xi) implementation or completion of critical projects or processes; (xii) economic value created; (xiii) cumulative earnings per share growth; (xiv) operating margin or profit margin; (xv) stock price or total stockholder return;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and other legal matters, information technology, and goals relating to contributions, dispositions, acquisitions, development and development related activity, capital markets activity and credit ratings, joint ventures and other private capital activity including generating incentive and other fees and raising equity commitments, and other transactions, and budget comparisons; (xviii) personal professional objectives, including any of the foregoing performance targets, the implementation of policies and plans, the negotiation of transactions, the development of long term business goals, formation and reorganization of joint ventures and other private capital activity including generating incentive and other fees and raising equity commitments, research or development collaborations, and the completion of other corporate transactions; (xix) economic value added (or an equivalent metric); (xx) stock price performance; (xxi) improvement in or attainment of expense levels or working capital levels; (xxii) operating metrics including projects added, construction value added, active projects and number of organizations, (xxiii) contract value or bookings, or (xxiv) any combination of, or a specified increase in, any of the foregoing. Where applicable, the performance targets may be expressed in terms of attaining a specified level of the particular criteria or the attainment of a percentage increase or decrease in the particular criteria, and may be applied to one or more of the Company, a Related Company, or a division or strategic business unit of the Company, or may be applied to the performance of the Company relative to a market index, a group of other companies or a combination thereof, all as determined by the Committee. The performance targets may include a threshold level of performance below which no payment will be made (or no vesting will occur), levels of performance at which specified payments will be made (or specified vesting will occur), and a maximum level of performance above which no additional payment will be made (or at which full vesting will occur).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has the meaning set forth in Section 1.</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Prior Plan</w:t>
      </w:r>
      <w:r>
        <w:rPr>
          <w:rFonts w:ascii="Arial" w:cs="Arial" w:eastAsia="Arial" w:hAnsi="Arial"/>
          <w:sz w:val="15"/>
          <w:szCs w:val="15"/>
          <w:color w:val="auto"/>
        </w:rPr>
        <w:t>” means the Commvault Systems, Inc. Long-Term Stock Incentive Plan.</w:t>
      </w:r>
    </w:p>
    <w:p>
      <w:pPr>
        <w:spacing w:after="0" w:line="244" w:lineRule="exact"/>
        <w:rPr>
          <w:sz w:val="20"/>
          <w:szCs w:val="20"/>
          <w:color w:val="auto"/>
        </w:rPr>
      </w:pPr>
    </w:p>
    <w:p>
      <w:pPr>
        <w:ind w:right="40" w:firstLine="636"/>
        <w:spacing w:after="0" w:line="309" w:lineRule="auto"/>
        <w:rPr>
          <w:sz w:val="20"/>
          <w:szCs w:val="20"/>
          <w:color w:val="auto"/>
        </w:rPr>
      </w:pPr>
      <w:r>
        <w:rPr>
          <w:rFonts w:ascii="Arial" w:cs="Arial" w:eastAsia="Arial" w:hAnsi="Arial"/>
          <w:sz w:val="17"/>
          <w:szCs w:val="17"/>
          <w:color w:val="auto"/>
        </w:rPr>
        <w:t>2.26 “</w:t>
      </w:r>
      <w:r>
        <w:rPr>
          <w:rFonts w:ascii="Arial" w:cs="Arial" w:eastAsia="Arial" w:hAnsi="Arial"/>
          <w:sz w:val="17"/>
          <w:szCs w:val="17"/>
          <w:u w:val="single" w:color="auto"/>
          <w:color w:val="auto"/>
        </w:rPr>
        <w:t>Related Company</w:t>
      </w:r>
      <w:r>
        <w:rPr>
          <w:rFonts w:ascii="Arial" w:cs="Arial" w:eastAsia="Arial" w:hAnsi="Arial"/>
          <w:sz w:val="17"/>
          <w:szCs w:val="17"/>
          <w:color w:val="auto"/>
        </w:rPr>
        <w:t>” shall mean any corporation, partnership, joint venture or other entity during any period in which (i) the Company, directly or indirectly, owns at least 50% of the combined voting power of all classes of stock of such entity or at least 50% of the ownership interests in such entity or (ii) such entity, directly or indirectly, owns at least 50% of the combined voting power of all classes of stock of the Company.</w:t>
      </w:r>
    </w:p>
    <w:p>
      <w:pPr>
        <w:sectPr>
          <w:pgSz w:w="11900" w:h="16838" w:orient="portrait"/>
          <w:cols w:equalWidth="0" w:num="1">
            <w:col w:w="11240"/>
          </w:cols>
          <w:pgMar w:left="320" w:top="1412" w:right="339" w:bottom="1440" w:gutter="0" w:footer="0" w:header="0"/>
        </w:sectPr>
      </w:pPr>
    </w:p>
    <w:bookmarkStart w:id="37" w:name="page38"/>
    <w:bookmarkEnd w:id="37"/>
    <w:p>
      <w:pPr>
        <w:ind w:firstLine="636"/>
        <w:spacing w:after="0" w:line="309" w:lineRule="auto"/>
        <w:rPr>
          <w:sz w:val="20"/>
          <w:szCs w:val="20"/>
          <w:color w:val="auto"/>
        </w:rPr>
      </w:pPr>
      <w:r>
        <w:rPr>
          <w:rFonts w:ascii="Arial" w:cs="Arial" w:eastAsia="Arial" w:hAnsi="Arial"/>
          <w:sz w:val="17"/>
          <w:szCs w:val="17"/>
          <w:color w:val="auto"/>
        </w:rPr>
        <w:t>2.27 “</w:t>
      </w:r>
      <w:r>
        <w:rPr>
          <w:rFonts w:ascii="Arial" w:cs="Arial" w:eastAsia="Arial" w:hAnsi="Arial"/>
          <w:sz w:val="17"/>
          <w:szCs w:val="17"/>
          <w:u w:val="single" w:color="auto"/>
          <w:color w:val="auto"/>
        </w:rPr>
        <w:t>SAR</w:t>
      </w:r>
      <w:r>
        <w:rPr>
          <w:rFonts w:ascii="Arial" w:cs="Arial" w:eastAsia="Arial" w:hAnsi="Arial"/>
          <w:sz w:val="17"/>
          <w:szCs w:val="17"/>
          <w:color w:val="auto"/>
        </w:rPr>
        <w:t>” or “</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the grant of an Award under the Plan that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pacing w:after="0" w:line="172"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United States Securities and Exchange Commission.</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Stockholders’ Meeting</w:t>
      </w:r>
      <w:r>
        <w:rPr>
          <w:rFonts w:ascii="Arial" w:cs="Arial" w:eastAsia="Arial" w:hAnsi="Arial"/>
          <w:sz w:val="15"/>
          <w:szCs w:val="15"/>
          <w:color w:val="auto"/>
        </w:rPr>
        <w:t>” means the first regular annual meeting of the Company’s stockholders that occurs after the Effective Date.</w:t>
      </w:r>
    </w:p>
    <w:p>
      <w:pPr>
        <w:spacing w:after="0" w:line="244" w:lineRule="exact"/>
        <w:rPr>
          <w:sz w:val="20"/>
          <w:szCs w:val="20"/>
          <w:color w:val="auto"/>
        </w:rPr>
      </w:pPr>
    </w:p>
    <w:p>
      <w:pPr>
        <w:ind w:left="640"/>
        <w:spacing w:after="0"/>
        <w:tabs>
          <w:tab w:leader="none" w:pos="110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a corporation that is a subsidiary of the Company within the meaning of Code Section 424(f).</w:t>
      </w:r>
    </w:p>
    <w:p>
      <w:pPr>
        <w:spacing w:after="0" w:line="244" w:lineRule="exact"/>
        <w:rPr>
          <w:sz w:val="20"/>
          <w:szCs w:val="20"/>
          <w:color w:val="auto"/>
        </w:rPr>
      </w:pPr>
    </w:p>
    <w:p>
      <w:pPr>
        <w:ind w:right="300" w:firstLine="636"/>
        <w:spacing w:after="0" w:line="355" w:lineRule="auto"/>
        <w:rPr>
          <w:sz w:val="20"/>
          <w:szCs w:val="20"/>
          <w:color w:val="auto"/>
        </w:rPr>
      </w:pPr>
      <w:r>
        <w:rPr>
          <w:rFonts w:ascii="Arial" w:cs="Arial" w:eastAsia="Arial" w:hAnsi="Arial"/>
          <w:sz w:val="15"/>
          <w:szCs w:val="15"/>
          <w:color w:val="auto"/>
        </w:rPr>
        <w:t>2.31 “</w:t>
      </w:r>
      <w:r>
        <w:rPr>
          <w:rFonts w:ascii="Arial" w:cs="Arial" w:eastAsia="Arial" w:hAnsi="Arial"/>
          <w:sz w:val="15"/>
          <w:szCs w:val="15"/>
          <w:u w:val="single" w:color="auto"/>
          <w:color w:val="auto"/>
        </w:rPr>
        <w:t>Substitute Award</w:t>
      </w:r>
      <w:r>
        <w:rPr>
          <w:rFonts w:ascii="Arial" w:cs="Arial" w:eastAsia="Arial" w:hAnsi="Arial"/>
          <w:sz w:val="15"/>
          <w:szCs w:val="15"/>
          <w:color w:val="auto"/>
        </w:rPr>
        <w:t>” means an Award granted or shares of Common Stock issued by the Company in assumption of, or in substitution or exchange for, an award previously granted, or the right or obligation to make a future award, in all cases by a company acquired by the Company or any Related Company or with which the Company or any Related Company combines. In no event shall the issuance of Substitute Awards change the terms of such previously granted awards such that the change, if applied to a current Award, would be prohibited under subsection 6.8.</w:t>
      </w:r>
    </w:p>
    <w:p>
      <w:pPr>
        <w:spacing w:after="0" w:line="145" w:lineRule="exact"/>
        <w:rPr>
          <w:sz w:val="20"/>
          <w:szCs w:val="20"/>
          <w:color w:val="auto"/>
        </w:rPr>
      </w:pPr>
    </w:p>
    <w:p>
      <w:pPr>
        <w:ind w:right="140" w:firstLine="636"/>
        <w:spacing w:after="0" w:line="349" w:lineRule="auto"/>
        <w:rPr>
          <w:sz w:val="20"/>
          <w:szCs w:val="20"/>
          <w:color w:val="auto"/>
        </w:rPr>
      </w:pPr>
      <w:r>
        <w:rPr>
          <w:rFonts w:ascii="Arial" w:cs="Arial" w:eastAsia="Arial" w:hAnsi="Arial"/>
          <w:sz w:val="15"/>
          <w:szCs w:val="15"/>
          <w:color w:val="auto"/>
        </w:rPr>
        <w:t>2.32 “</w:t>
      </w:r>
      <w:r>
        <w:rPr>
          <w:rFonts w:ascii="Arial" w:cs="Arial" w:eastAsia="Arial" w:hAnsi="Arial"/>
          <w:sz w:val="15"/>
          <w:szCs w:val="15"/>
          <w:u w:val="single" w:color="auto"/>
          <w:color w:val="auto"/>
        </w:rPr>
        <w:t>Termination Date</w:t>
      </w:r>
      <w:r>
        <w:rPr>
          <w:rFonts w:ascii="Arial" w:cs="Arial" w:eastAsia="Arial" w:hAnsi="Arial"/>
          <w:sz w:val="15"/>
          <w:szCs w:val="15"/>
          <w:color w:val="auto"/>
        </w:rPr>
        <w:t>” means the date on which a Participant both ceases to be an employee of the Company and the Related Companies and ceases to perform material services for the Company and the Related Companies (whether as a director or otherwise), regardless of the reason for the cessation; provided that a “Termination Date” shall not be considered to have occurred during the period in which the reason for the cessation of services is a leave of absence approved by the Company or the Related Company which was the recipient of the Participant’s services; and provided further that, with respect to an Outside Director, “Termination Date” means date on which the Outside Director’s service as an Outside Director terminates for any reason.</w:t>
      </w:r>
    </w:p>
    <w:p>
      <w:pPr>
        <w:spacing w:after="0" w:line="150" w:lineRule="exact"/>
        <w:rPr>
          <w:sz w:val="20"/>
          <w:szCs w:val="20"/>
          <w:color w:val="auto"/>
        </w:rPr>
      </w:pPr>
    </w:p>
    <w:p>
      <w:pPr>
        <w:ind w:left="960" w:hanging="318"/>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44" w:lineRule="exact"/>
        <w:rPr>
          <w:sz w:val="20"/>
          <w:szCs w:val="20"/>
          <w:color w:val="auto"/>
        </w:rPr>
      </w:pPr>
    </w:p>
    <w:p>
      <w:pPr>
        <w:ind w:right="380" w:firstLine="636"/>
        <w:spacing w:after="0" w:line="28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The authority to control and manage the operation and administration of the Plan shall be vested in the committee described in subsection 3.2 (the “Committee”) in accordance with this Section 3. If the Committee does not exist, or for any other reason determined by the Board, the Board may take any action under the Plan that would otherwise be the responsibility of the Committee.</w:t>
      </w:r>
    </w:p>
    <w:p>
      <w:pPr>
        <w:spacing w:after="0" w:line="188" w:lineRule="exact"/>
        <w:rPr>
          <w:sz w:val="20"/>
          <w:szCs w:val="20"/>
          <w:color w:val="auto"/>
        </w:rPr>
      </w:pPr>
    </w:p>
    <w:p>
      <w:pPr>
        <w:ind w:right="160" w:firstLine="636"/>
        <w:spacing w:after="0" w:line="346"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Selection of Committee</w:t>
      </w:r>
      <w:r>
        <w:rPr>
          <w:rFonts w:ascii="Arial" w:cs="Arial" w:eastAsia="Arial" w:hAnsi="Arial"/>
          <w:sz w:val="15"/>
          <w:szCs w:val="15"/>
          <w:color w:val="auto"/>
        </w:rPr>
        <w:t>. So long as the Company is subject to Section 16 of the Exchange Act, the Committee shall be selected by the Board and shall consist of not fewer than two members of the Board or such greater number as may be required for compliance with Rule 16b-3 issued under the Exchange Act and shall be comprised of persons who are independent for purposes of applicable stock exchange listing requirements. Any Award granted under the Plan which is intended to constitute Performance-Based Compensation (including Options and SARs) shall be granted by a Committee consisting solely of two or more “outside directors” within the meaning of Code Section 162(m) and applicable regulations. Notwithstanding any other provision of the Plan to the contrary, with respect to any Awards to Outside Directors, the Committee shall be the Board.</w:t>
      </w:r>
    </w:p>
    <w:p>
      <w:pPr>
        <w:spacing w:after="0" w:line="151" w:lineRule="exact"/>
        <w:rPr>
          <w:sz w:val="20"/>
          <w:szCs w:val="20"/>
          <w:color w:val="auto"/>
        </w:rPr>
      </w:pPr>
    </w:p>
    <w:p>
      <w:pPr>
        <w:ind w:right="460" w:firstLine="636"/>
        <w:spacing w:after="0" w:line="29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The authority to manage and control the operation and administration of the Plan shall be vested in the Committee, subject to the following:</w:t>
      </w:r>
    </w:p>
    <w:p>
      <w:pPr>
        <w:sectPr>
          <w:pgSz w:w="11900" w:h="16838" w:orient="portrait"/>
          <w:cols w:equalWidth="0" w:num="1">
            <w:col w:w="11240"/>
          </w:cols>
          <w:pgMar w:left="320" w:top="1412" w:right="339" w:bottom="1440" w:gutter="0" w:footer="0" w:header="0"/>
        </w:sectPr>
      </w:pPr>
    </w:p>
    <w:bookmarkStart w:id="38" w:name="page39"/>
    <w:bookmarkEnd w:id="38"/>
    <w:p>
      <w:pPr>
        <w:ind w:left="1280" w:right="40" w:hanging="638"/>
        <w:spacing w:after="0" w:line="298" w:lineRule="auto"/>
        <w:tabs>
          <w:tab w:leader="none" w:pos="10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will have the authority and discretion to (i) select Eligible Individuals who will receive Awards under the Plan, (ii) determine the time or times of receipt of Awards, (iii) determine the types of Awards and the number of shares of Common Stock covered by the Awards, (iv) establish the terms, conditions, performance targets, restrictions, and other provisions of Awards, (v) modify the terms of, cancel or suspend Awards, (vi) reissue or repurchase Awards, and (vii) accelerate the exercisability or vesting of any Award. In making such Award determinations, the Committee may take into account the nature of services rendered by the respective employee, the individual’s present and potential contribution to the Company’s or a Related Company’s success and such other factors as the Committee deems relevant.</w:t>
      </w:r>
    </w:p>
    <w:p>
      <w:pPr>
        <w:spacing w:after="0" w:line="182" w:lineRule="exact"/>
        <w:rPr>
          <w:rFonts w:ascii="Arial" w:cs="Arial" w:eastAsia="Arial" w:hAnsi="Arial"/>
          <w:sz w:val="17"/>
          <w:szCs w:val="17"/>
          <w:color w:val="auto"/>
        </w:rPr>
      </w:pPr>
    </w:p>
    <w:p>
      <w:pPr>
        <w:ind w:left="1280" w:right="240" w:hanging="638"/>
        <w:spacing w:after="0" w:line="282" w:lineRule="auto"/>
        <w:tabs>
          <w:tab w:leader="none" w:pos="10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provisions of the Plan, the Committee will have the authority and discretion to determine the extent to which Awards under the Plan will be structured to conform to the requirements applicable to Performance-Based Compensation, and to take such action, establish such procedures, and impose such restrictions at the time such Awards are granted as the Committee determines to be necessary or appropriate to conform to such requirements.</w:t>
      </w:r>
    </w:p>
    <w:p>
      <w:pPr>
        <w:spacing w:after="0" w:line="193" w:lineRule="exact"/>
        <w:rPr>
          <w:rFonts w:ascii="Arial" w:cs="Arial" w:eastAsia="Arial" w:hAnsi="Arial"/>
          <w:sz w:val="18"/>
          <w:szCs w:val="18"/>
          <w:color w:val="auto"/>
        </w:rPr>
      </w:pPr>
    </w:p>
    <w:p>
      <w:pPr>
        <w:ind w:left="1280" w:right="20" w:hanging="638"/>
        <w:spacing w:after="0" w:line="309" w:lineRule="auto"/>
        <w:tabs>
          <w:tab w:leader="none" w:pos="1017"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will have the authority and discretion to conclusively interpret the Plan, to establish, amend and rescind any rules and regulations relating to the Plan, to determine the terms and provisions of any agreements made pursuant to the Plan and to make all other determinations that may be necessary or advisable for the administration of the Plan.</w:t>
      </w:r>
    </w:p>
    <w:p>
      <w:pPr>
        <w:spacing w:after="0" w:line="172" w:lineRule="exact"/>
        <w:rPr>
          <w:rFonts w:ascii="Arial" w:cs="Arial" w:eastAsia="Arial" w:hAnsi="Arial"/>
          <w:sz w:val="17"/>
          <w:szCs w:val="17"/>
          <w:color w:val="auto"/>
        </w:rPr>
      </w:pPr>
    </w:p>
    <w:p>
      <w:pPr>
        <w:ind w:left="1020" w:hanging="378"/>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interpretation of the Plan by the Committee and any decision made by it under the Plan is final and binding on all persons.</w:t>
      </w:r>
    </w:p>
    <w:p>
      <w:pPr>
        <w:spacing w:after="0" w:line="243" w:lineRule="exact"/>
        <w:rPr>
          <w:rFonts w:ascii="Arial" w:cs="Arial" w:eastAsia="Arial" w:hAnsi="Arial"/>
          <w:sz w:val="18"/>
          <w:szCs w:val="18"/>
          <w:color w:val="auto"/>
        </w:rPr>
      </w:pPr>
    </w:p>
    <w:p>
      <w:pPr>
        <w:ind w:left="1280" w:right="20" w:hanging="638"/>
        <w:spacing w:after="0" w:line="286" w:lineRule="auto"/>
        <w:tabs>
          <w:tab w:leader="none" w:pos="10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expressly provided in the Plan, where the Committee is authorized to make a determination with respect to any Award, such determination shall be made at the time the Award is made, except that the Committee may reserve the authority to have such determination made by the Committee in the future.</w:t>
      </w:r>
    </w:p>
    <w:p>
      <w:pPr>
        <w:spacing w:after="0" w:line="188" w:lineRule="exact"/>
        <w:rPr>
          <w:sz w:val="20"/>
          <w:szCs w:val="20"/>
          <w:color w:val="auto"/>
        </w:rPr>
      </w:pPr>
    </w:p>
    <w:p>
      <w:pPr>
        <w:jc w:val="both"/>
        <w:ind w:right="100" w:firstLine="636"/>
        <w:spacing w:after="0" w:line="367"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Delegation by Committee</w:t>
      </w:r>
      <w:r>
        <w:rPr>
          <w:rFonts w:ascii="Arial" w:cs="Arial" w:eastAsia="Arial" w:hAnsi="Arial"/>
          <w:sz w:val="15"/>
          <w:szCs w:val="15"/>
          <w:color w:val="auto"/>
        </w:rPr>
        <w:t>. Except to the extent prohibited by applicable law or the rules of any stock exchange on which the Common Stock is listed,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w:t>
      </w:r>
    </w:p>
    <w:p>
      <w:pPr>
        <w:spacing w:after="0" w:line="136" w:lineRule="exact"/>
        <w:rPr>
          <w:sz w:val="20"/>
          <w:szCs w:val="20"/>
          <w:color w:val="auto"/>
        </w:rPr>
      </w:pPr>
    </w:p>
    <w:p>
      <w:pPr>
        <w:ind w:right="40" w:firstLine="636"/>
        <w:spacing w:after="0" w:line="349"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Information to be Furnished to Committee</w:t>
      </w:r>
      <w:r>
        <w:rPr>
          <w:rFonts w:ascii="Arial" w:cs="Arial" w:eastAsia="Arial" w:hAnsi="Arial"/>
          <w:sz w:val="15"/>
          <w:szCs w:val="15"/>
          <w:color w:val="auto"/>
        </w:rPr>
        <w:t>. The Company and the Related Companies shall furnish the Committee such data and information as may be required for it to discharge its duties. The records of the Company and the Related Companies as to an employee’s or Participant’s employment or provision of services, termination of employment or cessation of the provision of services, leave of absence, reemployment and compensation shall be conclusive on all persons unless determined to be incorrect. Participants and other persons entitled to benefits under the Plan must furnish the Committee such evidence, data or information as the Committee consider desirable to carry out the terms of the Plan.</w:t>
      </w:r>
    </w:p>
    <w:p>
      <w:pPr>
        <w:spacing w:after="0" w:line="150" w:lineRule="exact"/>
        <w:rPr>
          <w:sz w:val="20"/>
          <w:szCs w:val="20"/>
          <w:color w:val="auto"/>
        </w:rPr>
      </w:pPr>
    </w:p>
    <w:p>
      <w:pPr>
        <w:ind w:firstLine="636"/>
        <w:spacing w:after="0" w:line="29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Limitation on Liability and Indemnification of Committee</w:t>
      </w:r>
      <w:r>
        <w:rPr>
          <w:rFonts w:ascii="Arial" w:cs="Arial" w:eastAsia="Arial" w:hAnsi="Arial"/>
          <w:sz w:val="18"/>
          <w:szCs w:val="18"/>
          <w:color w:val="auto"/>
        </w:rPr>
        <w:t>. No member or authorized delegate of the Committee shall be liable to any person for any action taken or omitted in connection with the administration of</w:t>
      </w:r>
    </w:p>
    <w:p>
      <w:pPr>
        <w:sectPr>
          <w:pgSz w:w="11900" w:h="16838" w:orient="portrait"/>
          <w:cols w:equalWidth="0" w:num="1">
            <w:col w:w="11240"/>
          </w:cols>
          <w:pgMar w:left="320" w:top="1412" w:right="339" w:bottom="1440" w:gutter="0" w:footer="0" w:header="0"/>
        </w:sectPr>
      </w:pPr>
    </w:p>
    <w:bookmarkStart w:id="39" w:name="page40"/>
    <w:bookmarkEnd w:id="39"/>
    <w:p>
      <w:pPr>
        <w:ind w:right="20"/>
        <w:spacing w:after="0" w:line="343" w:lineRule="auto"/>
        <w:rPr>
          <w:sz w:val="20"/>
          <w:szCs w:val="20"/>
          <w:color w:val="auto"/>
        </w:rPr>
      </w:pPr>
      <w:r>
        <w:rPr>
          <w:rFonts w:ascii="Arial" w:cs="Arial" w:eastAsia="Arial" w:hAnsi="Arial"/>
          <w:sz w:val="15"/>
          <w:szCs w:val="15"/>
          <w:color w:val="auto"/>
        </w:rPr>
        <w:t>the Plan unless attributable to his own fraud or willful misconduct; nor shall the Company or any Related Company be liable to any person for any such action unless attributable to fraud or willful misconduct on the part of a director or employee of the Company or Related Company. The Committee, the individual members thereof, and persons acting as the authorized delegates of the Committee under the Plan, shall be indemnified by the Company against any and all liabilities, losses, costs and expenses (including legal fees and expenses) of whatsoever kind and nature which may be imposed on, incurred by or asserted against the Committee or its members or authorized delegates by reason of the performance of a Committee function if the Committee or its members or authorized delegates did not act dishonestly or in willful violation of the law or regulation under which such liability, loss, cost or expense arises. This indemnification shall not duplicate but may supplement any coverage available under any applicable insurance.</w:t>
      </w:r>
    </w:p>
    <w:p>
      <w:pPr>
        <w:spacing w:after="0" w:line="156"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STOCK RESERVED AND LIMITATIONS.</w:t>
      </w:r>
    </w:p>
    <w:p>
      <w:pPr>
        <w:spacing w:after="0" w:line="244" w:lineRule="exact"/>
        <w:rPr>
          <w:sz w:val="20"/>
          <w:szCs w:val="20"/>
          <w:color w:val="auto"/>
        </w:rPr>
      </w:pPr>
    </w:p>
    <w:p>
      <w:pPr>
        <w:ind w:right="100" w:firstLine="636"/>
        <w:spacing w:after="0" w:line="29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Shares and Other Amounts Subject to the Plan</w:t>
      </w:r>
      <w:r>
        <w:rPr>
          <w:rFonts w:ascii="Arial" w:cs="Arial" w:eastAsia="Arial" w:hAnsi="Arial"/>
          <w:sz w:val="18"/>
          <w:szCs w:val="18"/>
          <w:color w:val="auto"/>
        </w:rPr>
        <w:t>. The shares of Common Stock for which Awards may be granted under the Plan shall be subject to the following:</w:t>
      </w:r>
    </w:p>
    <w:p>
      <w:pPr>
        <w:spacing w:after="0" w:line="180" w:lineRule="exact"/>
        <w:rPr>
          <w:sz w:val="20"/>
          <w:szCs w:val="20"/>
          <w:color w:val="auto"/>
        </w:rPr>
      </w:pPr>
    </w:p>
    <w:p>
      <w:pPr>
        <w:ind w:left="1280" w:right="280" w:hanging="638"/>
        <w:spacing w:after="0" w:line="286" w:lineRule="auto"/>
        <w:tabs>
          <w:tab w:leader="none" w:pos="101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of Common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87" w:lineRule="exact"/>
        <w:rPr>
          <w:rFonts w:ascii="Arial" w:cs="Arial" w:eastAsia="Arial" w:hAnsi="Arial"/>
          <w:sz w:val="18"/>
          <w:szCs w:val="18"/>
          <w:color w:val="auto"/>
        </w:rPr>
      </w:pPr>
    </w:p>
    <w:p>
      <w:pPr>
        <w:ind w:left="1280" w:hanging="638"/>
        <w:spacing w:after="0" w:line="298" w:lineRule="auto"/>
        <w:tabs>
          <w:tab w:leader="none" w:pos="1027"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Subject to the provisions of subsection 4.2, the number of shares of Common Stock which may be issued with respect to Awards under the Plan shall be equal to 10,050,000. Except as otherwise provided herein, any shares of Common Stock subject to an Award under the Plan which for any reason is forfeited, expires or is terminated without issuance of shares of Common Stock (including shares that are attributable to Awards that are settled in cash) and shares of Stock that are withheld in payment of taxes payable with respect to the vesting or settlement of a Full Value Award shall thereafter be available for further grants under the Plan. Shares of Stock that are tendered or withheld in payment of the Exercise Price of an Option or shares of Stock that are withheld in payment of taxes payable with respect to the exercise of an Option or SAR shall not be available for further grants under the Plan.</w:t>
      </w:r>
    </w:p>
    <w:p>
      <w:pPr>
        <w:spacing w:after="0" w:line="182" w:lineRule="exact"/>
        <w:rPr>
          <w:rFonts w:ascii="Arial" w:cs="Arial" w:eastAsia="Arial" w:hAnsi="Arial"/>
          <w:sz w:val="17"/>
          <w:szCs w:val="17"/>
          <w:color w:val="auto"/>
        </w:rPr>
      </w:pPr>
    </w:p>
    <w:p>
      <w:pPr>
        <w:ind w:left="1280" w:right="40" w:hanging="638"/>
        <w:spacing w:after="0" w:line="295" w:lineRule="auto"/>
        <w:tabs>
          <w:tab w:leader="none" w:pos="10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Substitute Awards shall not reduce the number of shares of Common Stock that may be issued under the Plan or that may be covered by Awards granted to any one Participant during any period pursuant to subsections 4.1(g) and 4.1(h).</w:t>
      </w:r>
    </w:p>
    <w:p>
      <w:pPr>
        <w:spacing w:after="0" w:line="180" w:lineRule="exact"/>
        <w:rPr>
          <w:rFonts w:ascii="Arial" w:cs="Arial" w:eastAsia="Arial" w:hAnsi="Arial"/>
          <w:sz w:val="18"/>
          <w:szCs w:val="18"/>
          <w:color w:val="auto"/>
        </w:rPr>
      </w:pPr>
    </w:p>
    <w:p>
      <w:pPr>
        <w:ind w:left="1280" w:right="200" w:hanging="638"/>
        <w:spacing w:after="0" w:line="355" w:lineRule="auto"/>
        <w:tabs>
          <w:tab w:leader="none" w:pos="1027"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Except as expressly provided by the terms of this Plan, the issue by the Company of stock of any class, or securities convertible into shares of stock of any class, for cash or property or for labor or services, either upon direct sale, upon the exercise of rights or warrants to subscribe therefor or upon conversion of stock or obligations of the Company convertible into such stock or other securities, shall not affect, and no adjustment by reason thereof, shall be made with respect to Awards then outstanding hereunder.</w:t>
      </w:r>
    </w:p>
    <w:p>
      <w:pPr>
        <w:spacing w:after="0" w:line="145" w:lineRule="exact"/>
        <w:rPr>
          <w:rFonts w:ascii="Arial" w:cs="Arial" w:eastAsia="Arial" w:hAnsi="Arial"/>
          <w:sz w:val="15"/>
          <w:szCs w:val="15"/>
          <w:color w:val="auto"/>
        </w:rPr>
      </w:pPr>
    </w:p>
    <w:p>
      <w:pPr>
        <w:ind w:left="1020" w:hanging="37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in Common Stock.</w:t>
      </w:r>
    </w:p>
    <w:p>
      <w:pPr>
        <w:sectPr>
          <w:pgSz w:w="11900" w:h="16838" w:orient="portrait"/>
          <w:cols w:equalWidth="0" w:num="1">
            <w:col w:w="11240"/>
          </w:cols>
          <w:pgMar w:left="320" w:top="1412" w:right="339" w:bottom="1440" w:gutter="0" w:footer="0" w:header="0"/>
        </w:sectPr>
      </w:pPr>
    </w:p>
    <w:bookmarkStart w:id="40" w:name="page41"/>
    <w:bookmarkEnd w:id="40"/>
    <w:p>
      <w:pPr>
        <w:ind w:left="638" w:right="40" w:hanging="638"/>
        <w:spacing w:after="0" w:line="282" w:lineRule="auto"/>
        <w:tabs>
          <w:tab w:leader="none" w:pos="3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terms and conditions of the Plan, the maximum number of shares of Common Stock that may be delivered to Participants and their beneficiaries with respect to Incentive Stock Options under the Plan shall be 3,550,000; provided, however, that to the extent that shares not delivered must be counted against this limit as a condition of satisfying the rules applicable to Incentive Stock Options, such rules shall apply to the limit on Incentive Stock Options granted under the Plan.</w:t>
      </w:r>
    </w:p>
    <w:p>
      <w:pPr>
        <w:spacing w:after="0" w:line="193" w:lineRule="exact"/>
        <w:rPr>
          <w:rFonts w:ascii="Arial" w:cs="Arial" w:eastAsia="Arial" w:hAnsi="Arial"/>
          <w:sz w:val="18"/>
          <w:szCs w:val="18"/>
          <w:color w:val="auto"/>
        </w:rPr>
      </w:pPr>
    </w:p>
    <w:p>
      <w:pPr>
        <w:ind w:left="638" w:right="40" w:hanging="638"/>
        <w:spacing w:after="0" w:line="343" w:lineRule="auto"/>
        <w:tabs>
          <w:tab w:leader="none" w:pos="38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maximum number of shares of Common Stock that may be covered by Awards granted to any one Participant during any one calendar-year period pursuant to Section 6 (relating to Options and SARs) shall be 500,000 shares if such awards are intended to constitute Performance-Based Compensation. For purposes of this subsection 4.1(g), if an Option is in tandem with an SAR, such that the exercise of the Option or SAR with respect to a share of Common Stock cancels the tandem SAR or Option right, respectively, with respect to such share, the tandem Option and SAR rights with respect to each share of Common Stock shall be counted as covering only one share of Common Stock for purposes of applying the limitations of this subsection 4.1(g). For purposes of the Plan, it will be assumed that the grant of any Option or SAR is intended to constitute Performance-Based Compensation unless the Committee specified otherwise.</w:t>
      </w:r>
    </w:p>
    <w:p>
      <w:pPr>
        <w:spacing w:after="0" w:line="155" w:lineRule="exact"/>
        <w:rPr>
          <w:rFonts w:ascii="Arial" w:cs="Arial" w:eastAsia="Arial" w:hAnsi="Arial"/>
          <w:sz w:val="15"/>
          <w:szCs w:val="15"/>
          <w:color w:val="auto"/>
        </w:rPr>
      </w:pPr>
    </w:p>
    <w:p>
      <w:pPr>
        <w:jc w:val="both"/>
        <w:ind w:left="638" w:right="200" w:hanging="638"/>
        <w:spacing w:after="0" w:line="282" w:lineRule="auto"/>
        <w:tabs>
          <w:tab w:leader="none" w:pos="3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Full Value Awards that are intended to be Performance-Based Compensation, no more than 250,000 shares of Common Stock may be delivered pursuant to such Awards granted to any one Participant during any one calendar year period (regardless of whether settlement of the Award is to occur prior to, at the time of, or after the time of vesting); provided that Awards described in this 4.1(h) shall be subject to the following:</w:t>
      </w:r>
    </w:p>
    <w:p>
      <w:pPr>
        <w:spacing w:after="0" w:line="193" w:lineRule="exact"/>
        <w:rPr>
          <w:rFonts w:ascii="Arial" w:cs="Arial" w:eastAsia="Arial" w:hAnsi="Arial"/>
          <w:sz w:val="18"/>
          <w:szCs w:val="18"/>
          <w:color w:val="auto"/>
        </w:rPr>
      </w:pPr>
    </w:p>
    <w:p>
      <w:pPr>
        <w:ind w:left="1278" w:hanging="642"/>
        <w:spacing w:after="0" w:line="286" w:lineRule="auto"/>
        <w:tabs>
          <w:tab w:leader="none" w:pos="9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Awards are denominated in Common Stock but an equivalent amount of cash is delivered in lieu of delivery of shares of Common Stock, the foregoing limit shall be applied based on the methodology used by the Committee to convert the number of shares of Common Stock into cash.</w:t>
      </w:r>
    </w:p>
    <w:p>
      <w:pPr>
        <w:spacing w:after="0" w:line="187" w:lineRule="exact"/>
        <w:rPr>
          <w:rFonts w:ascii="Arial" w:cs="Arial" w:eastAsia="Arial" w:hAnsi="Arial"/>
          <w:sz w:val="18"/>
          <w:szCs w:val="18"/>
          <w:color w:val="auto"/>
        </w:rPr>
      </w:pPr>
    </w:p>
    <w:p>
      <w:pPr>
        <w:ind w:left="1278" w:right="560" w:hanging="642"/>
        <w:spacing w:after="0" w:line="402" w:lineRule="auto"/>
        <w:tabs>
          <w:tab w:leader="none" w:pos="1034" w:val="left"/>
        </w:tabs>
        <w:numPr>
          <w:ilvl w:val="1"/>
          <w:numId w:val="33"/>
        </w:numPr>
        <w:rPr>
          <w:rFonts w:ascii="Arial" w:cs="Arial" w:eastAsia="Arial" w:hAnsi="Arial"/>
          <w:sz w:val="15"/>
          <w:szCs w:val="15"/>
          <w:color w:val="auto"/>
        </w:rPr>
      </w:pPr>
      <w:r>
        <w:rPr>
          <w:rFonts w:ascii="Arial" w:cs="Arial" w:eastAsia="Arial" w:hAnsi="Arial"/>
          <w:sz w:val="15"/>
          <w:szCs w:val="15"/>
          <w:color w:val="auto"/>
        </w:rPr>
        <w:t>If delivery of Common Stock or cash is deferred until after the Common Stock has been earned, any adjustment in the amount delivered to reflect actual or deemed investment experience after the date the Common Stock is earned shall be disregarded.</w:t>
      </w:r>
    </w:p>
    <w:p>
      <w:pPr>
        <w:spacing w:after="0" w:line="111" w:lineRule="exact"/>
        <w:rPr>
          <w:rFonts w:ascii="Arial" w:cs="Arial" w:eastAsia="Arial" w:hAnsi="Arial"/>
          <w:sz w:val="15"/>
          <w:szCs w:val="15"/>
          <w:color w:val="auto"/>
        </w:rPr>
      </w:pPr>
    </w:p>
    <w:p>
      <w:pPr>
        <w:ind w:left="638" w:right="340" w:hanging="638"/>
        <w:spacing w:after="0" w:line="367" w:lineRule="auto"/>
        <w:tabs>
          <w:tab w:leader="none" w:pos="345" w:val="left"/>
        </w:tabs>
        <w:numPr>
          <w:ilvl w:val="0"/>
          <w:numId w:val="33"/>
        </w:numPr>
        <w:rPr>
          <w:rFonts w:ascii="Arial" w:cs="Arial" w:eastAsia="Arial" w:hAnsi="Arial"/>
          <w:sz w:val="15"/>
          <w:szCs w:val="15"/>
          <w:color w:val="auto"/>
        </w:rPr>
      </w:pPr>
      <w:r>
        <w:rPr>
          <w:rFonts w:ascii="Arial" w:cs="Arial" w:eastAsia="Arial" w:hAnsi="Arial"/>
          <w:sz w:val="15"/>
          <w:szCs w:val="15"/>
          <w:color w:val="auto"/>
        </w:rPr>
        <w:t>For Cash Incentive Awards that are intended to be Performance-Based Compensation, the maximum amount payable to any Participant with respect to any twelve (12) month performance period shall equal $2,500,000 (pro rated for performance periods that are greater or lesser than twelve (12) months); provided that Awards described in this subsection 4.1(i), shall be subject to the following:</w:t>
      </w:r>
    </w:p>
    <w:p>
      <w:pPr>
        <w:spacing w:after="0" w:line="136" w:lineRule="exact"/>
        <w:rPr>
          <w:rFonts w:ascii="Arial" w:cs="Arial" w:eastAsia="Arial" w:hAnsi="Arial"/>
          <w:sz w:val="15"/>
          <w:szCs w:val="15"/>
          <w:color w:val="auto"/>
        </w:rPr>
      </w:pPr>
    </w:p>
    <w:p>
      <w:pPr>
        <w:ind w:left="1278" w:right="340" w:hanging="642"/>
        <w:spacing w:after="0" w:line="286" w:lineRule="auto"/>
        <w:tabs>
          <w:tab w:leader="none" w:pos="9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Awards are denominated in cash but an equivalent amount of Common Stock is delivered in lieu of delivery of cash, the foregoing limit shall be applied to the cash based on the methodology used by the Committee to convert the cash into Common Stock.</w:t>
      </w:r>
    </w:p>
    <w:p>
      <w:pPr>
        <w:spacing w:after="0" w:line="187" w:lineRule="exact"/>
        <w:rPr>
          <w:rFonts w:ascii="Arial" w:cs="Arial" w:eastAsia="Arial" w:hAnsi="Arial"/>
          <w:sz w:val="18"/>
          <w:szCs w:val="18"/>
          <w:color w:val="auto"/>
        </w:rPr>
      </w:pPr>
    </w:p>
    <w:p>
      <w:pPr>
        <w:ind w:left="1278" w:right="320" w:hanging="642"/>
        <w:spacing w:after="0" w:line="327" w:lineRule="auto"/>
        <w:tabs>
          <w:tab w:leader="none" w:pos="1034" w:val="left"/>
        </w:tabs>
        <w:numPr>
          <w:ilvl w:val="1"/>
          <w:numId w:val="33"/>
        </w:numPr>
        <w:rPr>
          <w:rFonts w:ascii="Arial" w:cs="Arial" w:eastAsia="Arial" w:hAnsi="Arial"/>
          <w:sz w:val="17"/>
          <w:szCs w:val="17"/>
          <w:color w:val="auto"/>
        </w:rPr>
      </w:pPr>
      <w:r>
        <w:rPr>
          <w:rFonts w:ascii="Arial" w:cs="Arial" w:eastAsia="Arial" w:hAnsi="Arial"/>
          <w:sz w:val="17"/>
          <w:szCs w:val="17"/>
          <w:color w:val="auto"/>
        </w:rPr>
        <w:t>If delivery of Common Stock or cash is deferred until after cash has been earned, any adjustment in the amount delivered to reflect actual or deemed investment experience after the date the cash is earned shall be disregarded.</w:t>
      </w:r>
    </w:p>
    <w:p>
      <w:pPr>
        <w:sectPr>
          <w:pgSz w:w="11900" w:h="16838" w:orient="portrait"/>
          <w:cols w:equalWidth="0" w:num="1">
            <w:col w:w="10598"/>
          </w:cols>
          <w:pgMar w:left="962" w:top="1412" w:right="339" w:bottom="1440" w:gutter="0" w:footer="0" w:header="0"/>
        </w:sectPr>
      </w:pPr>
    </w:p>
    <w:bookmarkStart w:id="41" w:name="page42"/>
    <w:bookmarkEnd w:id="41"/>
    <w:p>
      <w:pPr>
        <w:ind w:left="1280" w:right="40" w:hanging="638"/>
        <w:spacing w:after="0" w:line="286" w:lineRule="auto"/>
        <w:tabs>
          <w:tab w:leader="none" w:pos="9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any Award to an Outside Director, in no event shall the dollar value of the Award granted to any Outside Director for any calendar year (determined as of the date of grant) exceed $500,000, except for the initial year of directorship in which the dollar value shall not exceed $1,000,000.</w:t>
      </w:r>
    </w:p>
    <w:p>
      <w:pPr>
        <w:spacing w:after="0" w:line="188" w:lineRule="exact"/>
        <w:rPr>
          <w:sz w:val="20"/>
          <w:szCs w:val="20"/>
          <w:color w:val="auto"/>
        </w:rPr>
      </w:pPr>
    </w:p>
    <w:p>
      <w:pPr>
        <w:ind w:firstLine="636"/>
        <w:spacing w:after="0" w:line="338"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Adjustments to Shares of Common Stock</w:t>
      </w:r>
      <w:r>
        <w:rPr>
          <w:rFonts w:ascii="Arial" w:cs="Arial" w:eastAsia="Arial" w:hAnsi="Arial"/>
          <w:sz w:val="15"/>
          <w:szCs w:val="15"/>
          <w:color w:val="auto"/>
        </w:rPr>
        <w:t>. In the event of a stock dividend, stock split, reverse stock split, extraordinary cash dividend, recapitalization, reorganization, merger, consolidation, split-up, spin-off, exchange of shares, sale of assets or subsidiaries, combination, or other corporate transaction that affects the Common Stock such that the Committee determines, in its sole discretion, that an adjustment is warranted in order to preserve the benefits or prevent the enlargement of benefits of Awards under the Plan, the Committee shall, in the manner it determines equitable in its sole discretion, (a) adjust the number and kind of shares which may be delivered under the Plan (including adjustments to the number and kind of shares that may be granted to an individual during any specified time as described in subsection 4.1); (b) adjust the number and kind of shares subject to outstanding Awards; (c) adjust the Exercise Price of outstanding Options and SARs; and (d) make any other adjustments that the Committee determines to be equitable (which may include, without limitation, (i) replacement of Awards with other awards which the Committee determines have comparable value and which are based on stock of a company resulting from the transaction, and (ii) cancellation of the Award in return for cash payment of the current value of the Award, determined as though the Award is fully vested at the time of payment, provided that in the case of an Option or SAR, the amount of such payment may be the excess of value of the shares of Common Stock subject to the Option or SAR at the time of the transaction over the exercise price).</w:t>
      </w:r>
    </w:p>
    <w:p>
      <w:pPr>
        <w:spacing w:after="0" w:line="163" w:lineRule="exact"/>
        <w:rPr>
          <w:sz w:val="20"/>
          <w:szCs w:val="20"/>
          <w:color w:val="auto"/>
        </w:rPr>
      </w:pPr>
    </w:p>
    <w:p>
      <w:pPr>
        <w:ind w:right="40" w:firstLine="642"/>
        <w:spacing w:after="0" w:line="280" w:lineRule="auto"/>
        <w:tabs>
          <w:tab w:leader="none" w:pos="9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PARTICIPATION. For purposes of the Plan, a “Participant” is any person to whom an Award is granted under the Plan. Subject to the terms and conditions of the Plan, the Committee shall determine and designate, from time to time, from among the Eligible Individuals those persons who will be granted one or more Awards under the Plan and, subject to the terms and conditions of the Plan, a Participant may be granted any Award permitted under the provisions of the Plan and more than one Award may be granted to a Participant. Except as otherwise agreed by the Company and the Participant, or except as otherwise provided in the Plan, an Award under the Plan shall not affect any previous Award under the Plan or an award under any other plan maintained by the Company or the Related Companies.</w:t>
      </w:r>
    </w:p>
    <w:p>
      <w:pPr>
        <w:spacing w:after="0" w:line="194" w:lineRule="exact"/>
        <w:rPr>
          <w:rFonts w:ascii="Arial" w:cs="Arial" w:eastAsia="Arial" w:hAnsi="Arial"/>
          <w:sz w:val="18"/>
          <w:szCs w:val="18"/>
          <w:color w:val="auto"/>
        </w:rPr>
      </w:pPr>
    </w:p>
    <w:p>
      <w:pPr>
        <w:ind w:left="960" w:hanging="318"/>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STOCK OPTIONS AND STOCK APPRECIATION RIGHTS</w:t>
      </w:r>
    </w:p>
    <w:p>
      <w:pPr>
        <w:spacing w:after="0" w:line="24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244" w:lineRule="exact"/>
        <w:rPr>
          <w:sz w:val="20"/>
          <w:szCs w:val="20"/>
          <w:color w:val="auto"/>
        </w:rPr>
      </w:pPr>
    </w:p>
    <w:p>
      <w:pPr>
        <w:ind w:left="1280" w:right="140" w:hanging="638"/>
        <w:spacing w:after="0" w:line="301" w:lineRule="auto"/>
        <w:tabs>
          <w:tab w:leader="none" w:pos="101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grant of an “Option” under the Plan entitles the Participant to purchase shares of Common Stock at an Exercise Price established by the Committee at the time the Option is granted. Options granted under this Section 6 may be either Incentive Stock Options or Non-Qualified Stock Options, as determined in the discretion of the Committee; provided, however, that Incentive Stock Options may only be granted to employees of the Company or a Subsidiary. An Option will be deemed to be a Non-Qualified Stock Option unless it is specifically designated by the Committee as an Incentive Stock Option.</w:t>
      </w:r>
    </w:p>
    <w:p>
      <w:pPr>
        <w:spacing w:after="0" w:line="178" w:lineRule="exact"/>
        <w:rPr>
          <w:rFonts w:ascii="Arial" w:cs="Arial" w:eastAsia="Arial" w:hAnsi="Arial"/>
          <w:sz w:val="17"/>
          <w:szCs w:val="17"/>
          <w:color w:val="auto"/>
        </w:rPr>
      </w:pPr>
    </w:p>
    <w:p>
      <w:pPr>
        <w:ind w:left="1280" w:right="240" w:hanging="638"/>
        <w:spacing w:after="0" w:line="367" w:lineRule="auto"/>
        <w:tabs>
          <w:tab w:leader="none" w:pos="1017"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grant of a “Stock Appreciation Right” or “SAR” entitles the Participant to receive, in cash or shares of Common Stock (as determined in accordance with the terms of the Plan) value equal to the excess of: (i) the Fair Market Value of a specified number of shares of Common Stock at the time of exercise; over (ii) an Exercise Price established by the Committee at the time of grant.</w:t>
      </w:r>
    </w:p>
    <w:p>
      <w:pPr>
        <w:sectPr>
          <w:pgSz w:w="11900" w:h="16838" w:orient="portrait"/>
          <w:cols w:equalWidth="0" w:num="1">
            <w:col w:w="11220"/>
          </w:cols>
          <w:pgMar w:left="320" w:top="1412" w:right="359" w:bottom="1440" w:gutter="0" w:footer="0" w:header="0"/>
        </w:sectPr>
      </w:pPr>
    </w:p>
    <w:bookmarkStart w:id="42" w:name="page43"/>
    <w:bookmarkEnd w:id="42"/>
    <w:p>
      <w:pPr>
        <w:ind w:right="40" w:firstLine="636"/>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Eligibility</w:t>
      </w:r>
      <w:r>
        <w:rPr>
          <w:rFonts w:ascii="Arial" w:cs="Arial" w:eastAsia="Arial" w:hAnsi="Arial"/>
          <w:sz w:val="18"/>
          <w:szCs w:val="18"/>
          <w:color w:val="auto"/>
        </w:rPr>
        <w:t>. The Committee shall designate the Participants to whom Options or SARs are to be granted under this Section 6 and shall determine the number of shares of Common Stock subject to each such Option or SAR and the other terms and conditions thereof, not inconsistent with the Plan. Without limiting the generality of the foregoing, the Committee may not grant dividend equivalents (current or deferred) with respect to any Option or SAR granted under the Plan.</w:t>
      </w:r>
    </w:p>
    <w:p>
      <w:pPr>
        <w:spacing w:after="0" w:line="193" w:lineRule="exact"/>
        <w:rPr>
          <w:sz w:val="20"/>
          <w:szCs w:val="20"/>
          <w:color w:val="auto"/>
        </w:rPr>
      </w:pPr>
    </w:p>
    <w:p>
      <w:pPr>
        <w:ind w:right="40" w:firstLine="636"/>
        <w:spacing w:after="0" w:line="34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Limits on Incentive Stock Options</w:t>
      </w:r>
      <w:r>
        <w:rPr>
          <w:rFonts w:ascii="Arial" w:cs="Arial" w:eastAsia="Arial" w:hAnsi="Arial"/>
          <w:sz w:val="15"/>
          <w:szCs w:val="15"/>
          <w:color w:val="auto"/>
        </w:rPr>
        <w:t>. If the Committee grants Incentive Stock Options, then to the extent that the aggregate fair market value of shares of Common Stock with respect to which Incentive Stock Options are exercisable for the first time by any individual during any calendar year (under all plans of the Company and all Subsidiaries) exceeds $100,000, such Options shall be treated as Non-Qualified Stock Options to the extent required by Code Section 422. Any Option that is intended to constitute an Incentive Stock Option shall satisfy any other requirements of Code Section 422 and, to the extent such Option does not satisfy such requirements, the Option shall be treated as a Non-Qualified Stock Option.</w:t>
      </w:r>
    </w:p>
    <w:p>
      <w:pPr>
        <w:spacing w:after="0" w:line="150" w:lineRule="exact"/>
        <w:rPr>
          <w:sz w:val="20"/>
          <w:szCs w:val="20"/>
          <w:color w:val="auto"/>
        </w:rPr>
      </w:pPr>
    </w:p>
    <w:p>
      <w:pPr>
        <w:ind w:right="220" w:firstLine="636"/>
        <w:spacing w:after="0" w:line="28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an Option or SAR shall be established by the Committee at the time the Option or SAR is granted; provided, however, that in no event shall such price be less than 100% of the Fair Market Value of a share of Common Stock on such date (or, if greater, the par value of a share of Common Stock on such date).</w:t>
      </w:r>
    </w:p>
    <w:p>
      <w:pPr>
        <w:spacing w:after="0" w:line="188" w:lineRule="exact"/>
        <w:rPr>
          <w:sz w:val="20"/>
          <w:szCs w:val="20"/>
          <w:color w:val="auto"/>
        </w:rPr>
      </w:pPr>
    </w:p>
    <w:p>
      <w:pPr>
        <w:ind w:right="720" w:firstLine="636"/>
        <w:spacing w:after="0" w:line="29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Exercise/Vesting</w:t>
      </w:r>
      <w:r>
        <w:rPr>
          <w:rFonts w:ascii="Arial" w:cs="Arial" w:eastAsia="Arial" w:hAnsi="Arial"/>
          <w:sz w:val="18"/>
          <w:szCs w:val="18"/>
          <w:color w:val="auto"/>
        </w:rPr>
        <w:t>. Except as otherwise expressly provided in the Plan, an Option or SAR granted under the Plan shall be exercisable in accordance with the following:</w:t>
      </w:r>
    </w:p>
    <w:p>
      <w:pPr>
        <w:spacing w:after="0" w:line="180" w:lineRule="exact"/>
        <w:rPr>
          <w:sz w:val="20"/>
          <w:szCs w:val="20"/>
          <w:color w:val="auto"/>
        </w:rPr>
      </w:pPr>
    </w:p>
    <w:p>
      <w:pPr>
        <w:ind w:left="1280" w:right="760" w:hanging="638"/>
        <w:spacing w:after="0" w:line="367" w:lineRule="auto"/>
        <w:tabs>
          <w:tab w:leader="none" w:pos="1013"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terms and conditions relating to exercise and vesting of an Option or SAR shall be established by the Committee to the extent not inconsistent with the Plan, and may include, without limitation, conditions relating to completion of a specified period of service, achievement of performance standards prior to exercise or the achievement of stock ownership guidelines by the Participant.</w:t>
      </w:r>
    </w:p>
    <w:p>
      <w:pPr>
        <w:spacing w:after="0" w:line="136" w:lineRule="exact"/>
        <w:rPr>
          <w:rFonts w:ascii="Arial" w:cs="Arial" w:eastAsia="Arial" w:hAnsi="Arial"/>
          <w:sz w:val="15"/>
          <w:szCs w:val="15"/>
          <w:color w:val="auto"/>
        </w:rPr>
      </w:pPr>
    </w:p>
    <w:p>
      <w:pPr>
        <w:ind w:left="1280" w:right="660" w:hanging="638"/>
        <w:spacing w:after="0" w:line="295" w:lineRule="auto"/>
        <w:tabs>
          <w:tab w:leader="none" w:pos="10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Option or SAR may be exercised by a Participant prior to the date on which it is exercisable (or vested) or after the Expiration Date applicable thereto.</w:t>
      </w:r>
    </w:p>
    <w:p>
      <w:pPr>
        <w:spacing w:after="0" w:line="18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u w:val="single" w:color="auto"/>
          <w:color w:val="auto"/>
        </w:rPr>
        <w:t>Payment of Exercise Price</w:t>
      </w:r>
      <w:r>
        <w:rPr>
          <w:rFonts w:ascii="Arial" w:cs="Arial" w:eastAsia="Arial" w:hAnsi="Arial"/>
          <w:sz w:val="15"/>
          <w:szCs w:val="15"/>
          <w:color w:val="auto"/>
        </w:rPr>
        <w:t>. The payment of the Exercise Price of an Option granted under this Section 6 shall be subject to the following:</w:t>
      </w:r>
    </w:p>
    <w:p>
      <w:pPr>
        <w:spacing w:after="0" w:line="244" w:lineRule="exact"/>
        <w:rPr>
          <w:sz w:val="20"/>
          <w:szCs w:val="20"/>
          <w:color w:val="auto"/>
        </w:rPr>
      </w:pPr>
    </w:p>
    <w:p>
      <w:pPr>
        <w:ind w:left="1280" w:hanging="638"/>
        <w:spacing w:after="0" w:line="349" w:lineRule="auto"/>
        <w:tabs>
          <w:tab w:leader="none" w:pos="1017"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Subject to the following provisions of this subsection 6.6, the full Exercise Price of each share of Common Stock purchased upon the exercise of any Option shall be paid at the time of such exercise (except that, in the case of an exercise through the use of cash equivalents, payment may be made as soon as practicable after the exercise) and, as soon as practicable thereafter, a certificate representing the shares of Common Stock so purchased shall be delivered to the person entitled thereto or shares of Common Stock so purchased shall otherwise be registered in the name of the Participant on the records of the Company’s transfer agent and credited to the Participant’s account.</w:t>
      </w:r>
    </w:p>
    <w:p>
      <w:pPr>
        <w:spacing w:after="0" w:line="150" w:lineRule="exact"/>
        <w:rPr>
          <w:rFonts w:ascii="Arial" w:cs="Arial" w:eastAsia="Arial" w:hAnsi="Arial"/>
          <w:sz w:val="15"/>
          <w:szCs w:val="15"/>
          <w:color w:val="auto"/>
        </w:rPr>
      </w:pPr>
    </w:p>
    <w:p>
      <w:pPr>
        <w:ind w:left="1280" w:hanging="638"/>
        <w:spacing w:after="0" w:line="282" w:lineRule="auto"/>
        <w:tabs>
          <w:tab w:leader="none" w:pos="1027"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applicable law, the Exercise Price shall be payable in cash or cash equivalents, by tendering, by actual delivery or by attestation, shares of Common Stock valued at Fair Market Value as of the day of exercise or by a combination thereof; provided, however, that shares of Common Stock may not be used to pay any portion of the Exercise Price unless the holder thereof has good title, free and clear of all liens and encumbrances.</w:t>
      </w:r>
    </w:p>
    <w:p>
      <w:pPr>
        <w:sectPr>
          <w:pgSz w:w="11900" w:h="16838" w:orient="portrait"/>
          <w:cols w:equalWidth="0" w:num="1">
            <w:col w:w="11240"/>
          </w:cols>
          <w:pgMar w:left="320" w:top="1412" w:right="339" w:bottom="1440" w:gutter="0" w:footer="0" w:header="0"/>
        </w:sectPr>
      </w:pPr>
    </w:p>
    <w:bookmarkStart w:id="43" w:name="page44"/>
    <w:bookmarkEnd w:id="43"/>
    <w:p>
      <w:pPr>
        <w:ind w:right="40" w:firstLine="636"/>
        <w:spacing w:after="0" w:line="282"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Post-Exercise Limitations</w:t>
      </w:r>
      <w:r>
        <w:rPr>
          <w:rFonts w:ascii="Arial" w:cs="Arial" w:eastAsia="Arial" w:hAnsi="Arial"/>
          <w:sz w:val="18"/>
          <w:szCs w:val="18"/>
          <w:color w:val="auto"/>
        </w:rPr>
        <w:t>. The Committee, in its discretion, may impose such restrictions on shares of Common Stock acquired pursuant to the exercise of an Option as it determines to be desirable, including, without limitation, restrictions relating to disposition of the shares and forfeiture restrictions based on service, performance, Common Stock ownership by the Participant, conformity with the Company’s recoupment or clawback policies and such other factors as the Committee determines to be appropriate.</w:t>
      </w:r>
    </w:p>
    <w:p>
      <w:pPr>
        <w:spacing w:after="0" w:line="193" w:lineRule="exact"/>
        <w:rPr>
          <w:sz w:val="20"/>
          <w:szCs w:val="20"/>
          <w:color w:val="auto"/>
        </w:rPr>
      </w:pPr>
    </w:p>
    <w:p>
      <w:pPr>
        <w:ind w:right="20" w:firstLine="636"/>
        <w:spacing w:after="0" w:line="29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No Repricing</w:t>
      </w:r>
      <w:r>
        <w:rPr>
          <w:rFonts w:ascii="Arial" w:cs="Arial" w:eastAsia="Arial" w:hAnsi="Arial"/>
          <w:sz w:val="17"/>
          <w:szCs w:val="17"/>
          <w:color w:val="auto"/>
        </w:rPr>
        <w:t>. Except for either adjustments pursuant to subsection 4.2 (relating to the adjustment of shares), or reductions of the Exercise Price approved by the Company’s stockholders, the Exercise Price for any outstanding Option or SAR may not be decreased after the date of grant nor may an outstanding Option or SAR granted under the Plan be surrendered to the Company as consideration for the grant of a replacement Option or SAR with a lower exercise price or a Full Value Award. Except as approved by the Company’s stockholders, in no event shall any Option or SAR granted under the Plan be surrendered to the Company in consideration for a cash payment if, at the time of such surrender, the Exercise Price of the Option or SAR is greater than the then current Fair Market Value of a share of Common Stock.</w:t>
      </w:r>
    </w:p>
    <w:p>
      <w:pPr>
        <w:spacing w:after="0" w:line="182" w:lineRule="exact"/>
        <w:rPr>
          <w:sz w:val="20"/>
          <w:szCs w:val="20"/>
          <w:color w:val="auto"/>
        </w:rPr>
      </w:pPr>
    </w:p>
    <w:p>
      <w:pPr>
        <w:ind w:right="40" w:firstLine="636"/>
        <w:spacing w:after="0" w:line="346"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Tandem Grants of Options and SARs</w:t>
      </w:r>
      <w:r>
        <w:rPr>
          <w:rFonts w:ascii="Arial" w:cs="Arial" w:eastAsia="Arial" w:hAnsi="Arial"/>
          <w:sz w:val="15"/>
          <w:szCs w:val="15"/>
          <w:color w:val="auto"/>
        </w:rPr>
        <w:t>. An Option may but need not be in tandem with an SAR, and an SAR may but need not be in tandem with an Option (in either case, regardless of whether the original award was granted under this Plan or another plan or arrangement). If an Option is in tandem with an SAR, the exercise price of both the Option and SAR shall be the same, and the exercise of the corresponding tandem SAR or Option shall cancel the corresponding tandem SAR or Option with respect to such share. If an SAR is in tandem with an Option but is granted after the grant of the Option, or if an Option is in tandem with an SAR but is granted after the grant of the SAR, the later granted tandem Award shall have the same exercise price as the earlier granted Award, but in no event less than the Fair Market Value of a share of Common Stock at the time of such grant.</w:t>
      </w:r>
    </w:p>
    <w:p>
      <w:pPr>
        <w:spacing w:after="0" w:line="151" w:lineRule="exact"/>
        <w:rPr>
          <w:sz w:val="20"/>
          <w:szCs w:val="20"/>
          <w:color w:val="auto"/>
        </w:rPr>
      </w:pPr>
    </w:p>
    <w:p>
      <w:pPr>
        <w:ind w:right="40" w:firstLine="636"/>
        <w:spacing w:after="0" w:line="282"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Expiration Date</w:t>
      </w:r>
      <w:r>
        <w:rPr>
          <w:rFonts w:ascii="Arial" w:cs="Arial" w:eastAsia="Arial" w:hAnsi="Arial"/>
          <w:sz w:val="18"/>
          <w:szCs w:val="18"/>
          <w:color w:val="auto"/>
        </w:rPr>
        <w:t>. The “Expiration Date” with respect to an Option or SAR means the date established as the Expiration Date by the Committee at the time of the grant (as the same may be modified in accordance with the terms of the Plan); provided, however, that the Expiration Date with respect to any Option or SAR shall not be later than the earliest to occur of the ten-year anniversary of the date on which the Option or SAR is granted or the following dates, unless the following dates are determined otherwise by the Committee:</w:t>
      </w:r>
    </w:p>
    <w:p>
      <w:pPr>
        <w:spacing w:after="0" w:line="186" w:lineRule="exact"/>
        <w:rPr>
          <w:sz w:val="20"/>
          <w:szCs w:val="20"/>
          <w:color w:val="auto"/>
        </w:rPr>
      </w:pPr>
    </w:p>
    <w:p>
      <w:pPr>
        <w:ind w:left="1280" w:right="180" w:hanging="638"/>
        <w:spacing w:after="0" w:line="250" w:lineRule="auto"/>
        <w:tabs>
          <w:tab w:leader="none" w:pos="10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Participant’s Termination Date occurs by any reason other than termination for Cause, the thirtieth (30</w:t>
      </w:r>
      <w:r>
        <w:rPr>
          <w:rFonts w:ascii="Arial" w:cs="Arial" w:eastAsia="Arial" w:hAnsi="Arial"/>
          <w:sz w:val="22"/>
          <w:szCs w:val="22"/>
          <w:color w:val="auto"/>
          <w:vertAlign w:val="superscript"/>
        </w:rPr>
        <w:t>th</w:t>
      </w:r>
      <w:r>
        <w:rPr>
          <w:rFonts w:ascii="Arial" w:cs="Arial" w:eastAsia="Arial" w:hAnsi="Arial"/>
          <w:sz w:val="18"/>
          <w:szCs w:val="18"/>
          <w:color w:val="auto"/>
        </w:rPr>
        <w:t>) day after the Termination Date; or</w:t>
      </w:r>
    </w:p>
    <w:p>
      <w:pPr>
        <w:spacing w:after="0" w:line="217" w:lineRule="exact"/>
        <w:rPr>
          <w:rFonts w:ascii="Arial" w:cs="Arial" w:eastAsia="Arial" w:hAnsi="Arial"/>
          <w:sz w:val="18"/>
          <w:szCs w:val="18"/>
          <w:color w:val="auto"/>
        </w:rPr>
      </w:pPr>
    </w:p>
    <w:p>
      <w:pPr>
        <w:ind w:left="1020" w:hanging="378"/>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of Cause, the Termination Date.</w:t>
      </w:r>
    </w:p>
    <w:p>
      <w:pPr>
        <w:spacing w:after="0" w:line="244"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color w:val="auto"/>
        </w:rPr>
        <w:t>In no event shall the Expiration Date of an Option or SAR be later than the ten-year anniversary of the date on which the Option or SAR is granted (or such shorter period required by law or the rules of any stock exchange on which the Common Stock is listed).</w:t>
      </w:r>
    </w:p>
    <w:p>
      <w:pPr>
        <w:spacing w:after="0" w:line="180" w:lineRule="exact"/>
        <w:rPr>
          <w:sz w:val="20"/>
          <w:szCs w:val="20"/>
          <w:color w:val="auto"/>
        </w:rPr>
      </w:pPr>
    </w:p>
    <w:p>
      <w:pPr>
        <w:ind w:left="640" w:right="5700" w:firstLine="2"/>
        <w:spacing w:after="0" w:line="522" w:lineRule="auto"/>
        <w:tabs>
          <w:tab w:leader="none" w:pos="9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FULL VALUE AWARDS AND CASH INCENTIVE AWARDS. 7.1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 w:lineRule="exact"/>
        <w:rPr>
          <w:sz w:val="20"/>
          <w:szCs w:val="20"/>
          <w:color w:val="auto"/>
        </w:rPr>
      </w:pPr>
    </w:p>
    <w:p>
      <w:pPr>
        <w:ind w:left="1280" w:hanging="638"/>
        <w:spacing w:after="0" w:line="282" w:lineRule="auto"/>
        <w:tabs>
          <w:tab w:leader="none" w:pos="10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“Full Value Award” is a grant of one or more shares of Common Stock or a right to receive one or more shares of Common Stock in the future (including restricted stock, restricted stock units, deferred stock units, performance stock and performance stock units). Such grants may be subject to such conditions, restrictions and contingencies, as determined by the Committee, including provisions relating to dividend or dividend equivalent rights and deferred payment or settlement.</w:t>
      </w:r>
    </w:p>
    <w:p>
      <w:pPr>
        <w:sectPr>
          <w:pgSz w:w="11900" w:h="16838" w:orient="portrait"/>
          <w:cols w:equalWidth="0" w:num="1">
            <w:col w:w="11240"/>
          </w:cols>
          <w:pgMar w:left="320" w:top="1412" w:right="339" w:bottom="1440" w:gutter="0" w:footer="0" w:header="0"/>
        </w:sectPr>
      </w:pPr>
    </w:p>
    <w:bookmarkStart w:id="44" w:name="page45"/>
    <w:bookmarkEnd w:id="44"/>
    <w:p>
      <w:pPr>
        <w:ind w:left="1280" w:right="20"/>
        <w:spacing w:after="0" w:line="295" w:lineRule="auto"/>
        <w:rPr>
          <w:sz w:val="20"/>
          <w:szCs w:val="20"/>
          <w:color w:val="auto"/>
        </w:rPr>
      </w:pPr>
      <w:r>
        <w:rPr>
          <w:rFonts w:ascii="Arial" w:cs="Arial" w:eastAsia="Arial" w:hAnsi="Arial"/>
          <w:sz w:val="18"/>
          <w:szCs w:val="18"/>
          <w:color w:val="auto"/>
        </w:rPr>
        <w:t>Notwithstanding the foregoing, no dividends or dividend equivalent rights will be paid or settled on performance-based awards that have not been earned based on the performance criteria established.</w:t>
      </w:r>
    </w:p>
    <w:p>
      <w:pPr>
        <w:spacing w:after="0" w:line="180" w:lineRule="exact"/>
        <w:rPr>
          <w:sz w:val="20"/>
          <w:szCs w:val="20"/>
          <w:color w:val="auto"/>
        </w:rPr>
      </w:pPr>
    </w:p>
    <w:p>
      <w:pPr>
        <w:ind w:left="1280" w:right="140" w:hanging="638"/>
        <w:spacing w:after="0" w:line="355" w:lineRule="auto"/>
        <w:tabs>
          <w:tab w:leader="none" w:pos="1017"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“Cash Incentive Award” is the grant of a right to receive a payment of cash (or in the discretion of the Committee, shares of Common Stock having value equivalent to the cash otherwise payable) that is contingent on achievement of performance objectives over a specified period established by the Committee. The grant of Cash Incentive Awards may also be subject to such other conditions, restrictions and contingencies, as determined by the Committee, including provisions relating to deferred payment.</w:t>
      </w:r>
    </w:p>
    <w:p>
      <w:pPr>
        <w:spacing w:after="0" w:line="145" w:lineRule="exact"/>
        <w:rPr>
          <w:sz w:val="20"/>
          <w:szCs w:val="20"/>
          <w:color w:val="auto"/>
        </w:rPr>
      </w:pPr>
    </w:p>
    <w:p>
      <w:pPr>
        <w:ind w:firstLine="636"/>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Special Vesting Rules</w:t>
      </w:r>
      <w:r>
        <w:rPr>
          <w:rFonts w:ascii="Arial" w:cs="Arial" w:eastAsia="Arial" w:hAnsi="Arial"/>
          <w:sz w:val="18"/>
          <w:szCs w:val="18"/>
          <w:color w:val="auto"/>
        </w:rPr>
        <w:t>. Except for awards granted under the Plan with respect to, shares of Stock which do not exceed, in the aggregate, five percent of the total number of shares of Stock reserved for issuance pursuant to subsection 4.1(b), a Participant’s right to become vested in a Full Value Award, an Option or SAR is conditioned on the completion of a specified period of service with the Company or the Related Companies of at least one year, except if accelerated in the event of the Participant’s death or Disability.</w:t>
      </w:r>
    </w:p>
    <w:p>
      <w:pPr>
        <w:spacing w:after="0" w:line="193" w:lineRule="exact"/>
        <w:rPr>
          <w:sz w:val="20"/>
          <w:szCs w:val="20"/>
          <w:color w:val="auto"/>
        </w:rPr>
      </w:pPr>
    </w:p>
    <w:p>
      <w:pPr>
        <w:ind w:right="80" w:firstLine="636"/>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The Committee may designate a Full Value Award or Cash Incentive Award granted to any Participant as “Performance-Based Compensation” within the meaning of Code Section 162(m) and regulations thereunder. To the extent required by Code Section 162(m), any Full Value Award or Cash Incentive Award so designated shall be conditioned on the achievement of one or more performance targets as determined by the Committee and the following additional requirements shall apply:</w:t>
      </w:r>
    </w:p>
    <w:p>
      <w:pPr>
        <w:spacing w:after="0" w:line="193" w:lineRule="exact"/>
        <w:rPr>
          <w:sz w:val="20"/>
          <w:szCs w:val="20"/>
          <w:color w:val="auto"/>
        </w:rPr>
      </w:pPr>
    </w:p>
    <w:p>
      <w:pPr>
        <w:ind w:left="1280" w:right="320" w:hanging="638"/>
        <w:spacing w:after="0" w:line="346" w:lineRule="auto"/>
        <w:tabs>
          <w:tab w:leader="none" w:pos="101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performance targets established for the performance period established by the Committee shall be objective (as that term is described in regulations under Code Section 162(m)), and shall be established in writing by the Committee not later than ninety (90) days after the beginning of the performance period (but in no event after 25% of the performance period has elapsed), and while the outcome as to the performance targets is substantially uncertain. The performance targets established by the Committee may be with respect to corporate performance, operating group or sub-group performance, individual company performance, other group or individual performance, or division performance, and shall be based on one or more of the Performance Criteria.</w:t>
      </w:r>
    </w:p>
    <w:p>
      <w:pPr>
        <w:spacing w:after="0" w:line="151" w:lineRule="exact"/>
        <w:rPr>
          <w:rFonts w:ascii="Arial" w:cs="Arial" w:eastAsia="Arial" w:hAnsi="Arial"/>
          <w:sz w:val="15"/>
          <w:szCs w:val="15"/>
          <w:color w:val="auto"/>
        </w:rPr>
      </w:pPr>
    </w:p>
    <w:p>
      <w:pPr>
        <w:ind w:left="1280" w:right="60" w:hanging="638"/>
        <w:spacing w:after="0" w:line="282" w:lineRule="auto"/>
        <w:tabs>
          <w:tab w:leader="none" w:pos="10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Participant otherwise entitled to receive a Full Value Award or Cash Incentive Award for any performance period shall not receive a settlement or payment of the Award until the Committee has determined that the applicable performance target(s) have been attained. To the extent that the Committee exercises discretion in making the determination required by this subsection 7.3(b), such exercise of discretion may not result in an increase in the amount of the payment.</w:t>
      </w:r>
    </w:p>
    <w:p>
      <w:pPr>
        <w:spacing w:after="0" w:line="193" w:lineRule="exact"/>
        <w:rPr>
          <w:rFonts w:ascii="Arial" w:cs="Arial" w:eastAsia="Arial" w:hAnsi="Arial"/>
          <w:sz w:val="18"/>
          <w:szCs w:val="18"/>
          <w:color w:val="auto"/>
        </w:rPr>
      </w:pPr>
    </w:p>
    <w:p>
      <w:pPr>
        <w:ind w:left="1280" w:right="240" w:hanging="638"/>
        <w:spacing w:after="0" w:line="286" w:lineRule="auto"/>
        <w:tabs>
          <w:tab w:leader="none" w:pos="10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Participant’s employment terminates because of death or Disability, or if a change in control occurs prior to the Participant’s Termination Date, the Participant’s Cash Incentive Award may, to the extent provided by the Committee, become vested without regard to whether the Cash Incentive Award would be Performance-Based Compensation.</w:t>
      </w:r>
    </w:p>
    <w:p>
      <w:pPr>
        <w:spacing w:after="0" w:line="187" w:lineRule="exact"/>
        <w:rPr>
          <w:rFonts w:ascii="Arial" w:cs="Arial" w:eastAsia="Arial" w:hAnsi="Arial"/>
          <w:sz w:val="18"/>
          <w:szCs w:val="18"/>
          <w:color w:val="auto"/>
        </w:rPr>
      </w:pPr>
    </w:p>
    <w:p>
      <w:pPr>
        <w:ind w:left="1280" w:right="540" w:hanging="638"/>
        <w:spacing w:after="0" w:line="295" w:lineRule="auto"/>
        <w:tabs>
          <w:tab w:leader="none" w:pos="1017"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Full Value Award designated as Performance-Based Compensation shall not vest prior to the first anniversary of the date on which it is granted (subject to acceleration of vesting, to the extent</w:t>
      </w:r>
    </w:p>
    <w:p>
      <w:pPr>
        <w:sectPr>
          <w:pgSz w:w="11900" w:h="16838" w:orient="portrait"/>
          <w:cols w:equalWidth="0" w:num="1">
            <w:col w:w="11240"/>
          </w:cols>
          <w:pgMar w:left="320" w:top="1412" w:right="339" w:bottom="1440" w:gutter="0" w:footer="0" w:header="0"/>
        </w:sectPr>
      </w:pPr>
    </w:p>
    <w:bookmarkStart w:id="45" w:name="page46"/>
    <w:bookmarkEnd w:id="45"/>
    <w:p>
      <w:pPr>
        <w:ind w:left="1280"/>
        <w:spacing w:after="0"/>
        <w:rPr>
          <w:sz w:val="20"/>
          <w:szCs w:val="20"/>
          <w:color w:val="auto"/>
        </w:rPr>
      </w:pPr>
      <w:r>
        <w:rPr>
          <w:rFonts w:ascii="Arial" w:cs="Arial" w:eastAsia="Arial" w:hAnsi="Arial"/>
          <w:sz w:val="18"/>
          <w:szCs w:val="18"/>
          <w:color w:val="auto"/>
        </w:rPr>
        <w:t>provided by the Committee, in the event of the Participant’s death, Disability or change in control).</w:t>
      </w:r>
    </w:p>
    <w:p>
      <w:pPr>
        <w:spacing w:after="0" w:line="244" w:lineRule="exact"/>
        <w:rPr>
          <w:sz w:val="20"/>
          <w:szCs w:val="20"/>
          <w:color w:val="auto"/>
        </w:rPr>
      </w:pPr>
    </w:p>
    <w:p>
      <w:pPr>
        <w:spacing w:after="0" w:line="297" w:lineRule="auto"/>
        <w:rPr>
          <w:sz w:val="20"/>
          <w:szCs w:val="20"/>
          <w:color w:val="auto"/>
        </w:rPr>
      </w:pPr>
      <w:r>
        <w:rPr>
          <w:rFonts w:ascii="Arial" w:cs="Arial" w:eastAsia="Arial" w:hAnsi="Arial"/>
          <w:sz w:val="17"/>
          <w:szCs w:val="17"/>
          <w:color w:val="auto"/>
        </w:rPr>
        <w:t>Nothing in this Section 7 shall preclude the Committee from granting Full Value Awards or Cash Incentive Awards under the Plan or the Committee, the Company or any Related Company from granting any Cash Incentive Awards outside of the Plan that are not intended to be Performance-Based Compensation; provided, however, that, at the time of grant of Full Value Awards or Cash Incentive Awards by the Committee, the Committee shall designate whether such Awards are intended to constitute Performance-Based Compensation. To the extent that the provisions of this Section 7 reflect the requirements applicable to Performance-Based Compensation, such provisions shall not apply to the portion of the Award, if any, that is not intended to constitute Performance-Based Compensation. Without limiting the generality of the foregoing, Options and SARs granted under the Plan shall be assumed to constitute Performance-Based Compensation provided that the requirements of section 162(m) of the Code are met with respect thereto and provided that the Committee does not make a determination to the contrary.</w:t>
      </w:r>
    </w:p>
    <w:p>
      <w:pPr>
        <w:spacing w:after="0" w:line="185"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7"/>
          <w:szCs w:val="17"/>
          <w:color w:val="auto"/>
        </w:rPr>
        <w:t>CHANGE IN CONTROL.</w:t>
      </w:r>
    </w:p>
    <w:p>
      <w:pPr>
        <w:spacing w:after="0" w:line="244" w:lineRule="exact"/>
        <w:rPr>
          <w:sz w:val="20"/>
          <w:szCs w:val="20"/>
          <w:color w:val="auto"/>
        </w:rPr>
      </w:pPr>
    </w:p>
    <w:p>
      <w:pPr>
        <w:ind w:right="60" w:firstLine="636"/>
        <w:spacing w:after="0" w:line="29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Section 8, the term “Change in Control” means (a) the acquisition by any person, entity or group of persons or entities, directly or indirectly, acting in concert of securities representing fifty percent (50%) or more of the combined voting power of the Company’s then outstanding securities, whether acquired in one transaction or a series of transactions, (b) a merger, consolidation or similar transaction which results in the Company’s shareholders immediately prior to such transaction not holding securities representing fifty percent (50%) or more of the total voting power of the outstanding securities of the surviving corporation, or (c) a sale of all or substantially all of the Company’s assets (other than to an entity owned by the Company or under common ownership with the Company).</w:t>
      </w:r>
    </w:p>
    <w:p>
      <w:pPr>
        <w:spacing w:after="0" w:line="182" w:lineRule="exact"/>
        <w:rPr>
          <w:sz w:val="20"/>
          <w:szCs w:val="20"/>
          <w:color w:val="auto"/>
        </w:rPr>
      </w:pPr>
    </w:p>
    <w:p>
      <w:pPr>
        <w:ind w:right="140" w:firstLine="636"/>
        <w:spacing w:after="0" w:line="355"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Vesting of Awards Upon Change in Control</w:t>
      </w:r>
      <w:r>
        <w:rPr>
          <w:rFonts w:ascii="Arial" w:cs="Arial" w:eastAsia="Arial" w:hAnsi="Arial"/>
          <w:sz w:val="15"/>
          <w:szCs w:val="15"/>
          <w:color w:val="auto"/>
        </w:rPr>
        <w:t>. Subject to the provisions of subsection 4.2 (relating to the adjustment of shares), if a Change in Control occurs prior to the date on which an Award is vested and prior to the Participant’s separation from service, if such Award remains outstanding following the Change in Control (whether by substitution with another award or otherwise), and if the Participant’s service is involuntarily terminated by the Company or a Related Company (or any successor thereto), other than for cause, on or within two years following the Change in Control, then:</w:t>
      </w:r>
    </w:p>
    <w:p>
      <w:pPr>
        <w:spacing w:after="0" w:line="145" w:lineRule="exact"/>
        <w:rPr>
          <w:sz w:val="20"/>
          <w:szCs w:val="20"/>
          <w:color w:val="auto"/>
        </w:rPr>
      </w:pPr>
    </w:p>
    <w:p>
      <w:pPr>
        <w:ind w:left="1000" w:hanging="35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outstanding Options (regardless of whether in tandem with SARs) shall become fully exercisable.</w:t>
      </w:r>
    </w:p>
    <w:p>
      <w:pPr>
        <w:spacing w:after="0" w:line="243" w:lineRule="exact"/>
        <w:rPr>
          <w:rFonts w:ascii="Arial" w:cs="Arial" w:eastAsia="Arial" w:hAnsi="Arial"/>
          <w:sz w:val="18"/>
          <w:szCs w:val="18"/>
          <w:color w:val="auto"/>
        </w:rPr>
      </w:pPr>
    </w:p>
    <w:p>
      <w:pPr>
        <w:ind w:left="1020" w:hanging="378"/>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outstanding SARs (regardless of whether in tandem with Options) shall become fully exercisable.</w:t>
      </w:r>
    </w:p>
    <w:p>
      <w:pPr>
        <w:spacing w:after="0" w:line="243" w:lineRule="exact"/>
        <w:rPr>
          <w:rFonts w:ascii="Arial" w:cs="Arial" w:eastAsia="Arial" w:hAnsi="Arial"/>
          <w:sz w:val="18"/>
          <w:szCs w:val="18"/>
          <w:color w:val="auto"/>
        </w:rPr>
      </w:pPr>
    </w:p>
    <w:p>
      <w:pPr>
        <w:ind w:right="120" w:firstLine="642"/>
        <w:spacing w:after="0" w:line="402" w:lineRule="auto"/>
        <w:tabs>
          <w:tab w:leader="none" w:pos="999" w:val="left"/>
        </w:tabs>
        <w:numPr>
          <w:ilvl w:val="0"/>
          <w:numId w:val="44"/>
        </w:numPr>
        <w:rPr>
          <w:rFonts w:ascii="Arial" w:cs="Arial" w:eastAsia="Arial" w:hAnsi="Arial"/>
          <w:sz w:val="15"/>
          <w:szCs w:val="15"/>
          <w:color w:val="auto"/>
        </w:rPr>
      </w:pPr>
      <w:r>
        <w:rPr>
          <w:rFonts w:ascii="Arial" w:cs="Arial" w:eastAsia="Arial" w:hAnsi="Arial"/>
          <w:sz w:val="15"/>
          <w:szCs w:val="15"/>
          <w:color w:val="auto"/>
        </w:rPr>
        <w:t>All Full Value Awards shall become fully vested and the Committee shall determine the extent to which performance conditions are met taking into account actual performance and/or the passage of time, in accordance with the terms of the Plan and the applicable Award Agreement.</w:t>
      </w:r>
    </w:p>
    <w:p>
      <w:pPr>
        <w:spacing w:after="0" w:line="111"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Notwithstanding anything in this Plan or any Award Agreement to the contrary, to the extent any provision of this Plan or an Award Agreement would cause a payment of deferred compensation that is subject to Code Section 409A to be made upon the occurrence of a Change in Control, then such payment shall not be made unless such Change in Control also constitutes a “change in ownership”, “change in effective control” or “change in ownership of a substantial portion of the Company’s assets” within the meaning of Code Section 409A. In addition, if an Award does not remain outstanding following a Change in Control, the Committee shall determine the vesting and other</w:t>
      </w:r>
    </w:p>
    <w:p>
      <w:pPr>
        <w:sectPr>
          <w:pgSz w:w="11900" w:h="16838" w:orient="portrait"/>
          <w:cols w:equalWidth="0" w:num="1">
            <w:col w:w="11220"/>
          </w:cols>
          <w:pgMar w:left="320" w:top="141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terms and conditions of the Award in connection with the Change in Control in accordance with the terms of the Plan.</w:t>
      </w:r>
    </w:p>
    <w:p>
      <w:pPr>
        <w:spacing w:after="0" w:line="244"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7"/>
          <w:szCs w:val="17"/>
          <w:color w:val="auto"/>
        </w:rPr>
        <w:t>MISCELLANEOUS.</w:t>
      </w:r>
    </w:p>
    <w:p>
      <w:pPr>
        <w:spacing w:after="0" w:line="244" w:lineRule="exact"/>
        <w:rPr>
          <w:sz w:val="20"/>
          <w:szCs w:val="20"/>
          <w:color w:val="auto"/>
        </w:rPr>
      </w:pPr>
    </w:p>
    <w:p>
      <w:pPr>
        <w:ind w:firstLine="636"/>
        <w:spacing w:after="0" w:line="29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Effective Date and Effect on Prior Plan</w:t>
      </w:r>
      <w:r>
        <w:rPr>
          <w:rFonts w:ascii="Arial" w:cs="Arial" w:eastAsia="Arial" w:hAnsi="Arial"/>
          <w:sz w:val="17"/>
          <w:szCs w:val="17"/>
          <w:color w:val="auto"/>
        </w:rPr>
        <w:t>. This Plan shall be effective as of the date that it is approved by the Board (the date on which such approval is completed being referred to herein as the “Effective Date”); provided, however, that no Awards granted under the Plan after the Effective Date prior to the Stockholders’ Meeting will vest or become exercisable prior to the date of the Stockholders’ Meeting (and only if the Plan is approved by the stockholders at the Stockholders’ Meeting) and all such Awards shall be forfeited as of the date of the Stockholders’ Meeting if the Plan is not approved by the Company’s stockholders at the Stockholders Meeting. The Plan shall be unlimited in duration and, in the event of Plan termination, shall remain in effect as long as any shares of Common Stock awarded under it are outstanding and not fully vested; provided, however, that no new Awards will be made under the Plan on or after the tenth anniversary of the Effective Date. Any awards made under the Prior Plan prior to the Effective Date shall continue to be subject to the terms and conditions of the Prior Plan. Following the Effective Date and if the Plan is approved at the Stockholders’ Meeting, no further awards will be made under the Prior Plan.</w:t>
      </w:r>
    </w:p>
    <w:p>
      <w:pPr>
        <w:spacing w:after="0" w:line="18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Limit on Distribution</w:t>
      </w:r>
      <w:r>
        <w:rPr>
          <w:rFonts w:ascii="Arial" w:cs="Arial" w:eastAsia="Arial" w:hAnsi="Arial"/>
          <w:sz w:val="15"/>
          <w:szCs w:val="15"/>
          <w:color w:val="auto"/>
        </w:rPr>
        <w:t>. Distribution of Common Stock or other amounts under the Plan shall be subject to the following:</w:t>
      </w:r>
    </w:p>
    <w:p>
      <w:pPr>
        <w:spacing w:after="0" w:line="244" w:lineRule="exact"/>
        <w:rPr>
          <w:sz w:val="20"/>
          <w:szCs w:val="20"/>
          <w:color w:val="auto"/>
        </w:rPr>
      </w:pPr>
    </w:p>
    <w:p>
      <w:pPr>
        <w:ind w:left="1280" w:right="60" w:hanging="638"/>
        <w:spacing w:after="0" w:line="286" w:lineRule="auto"/>
        <w:tabs>
          <w:tab w:leader="none" w:pos="1017"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any other provision of the Plan, the Company shall have no liability to deliver any Common Stock under the Plan or make any other distribution of benefits under the Plan unless such delivery or distribution would comply with all applicable laws and the applicable requirements of any securities exchange or similar entity.</w:t>
      </w:r>
    </w:p>
    <w:p>
      <w:pPr>
        <w:spacing w:after="0" w:line="187" w:lineRule="exact"/>
        <w:rPr>
          <w:rFonts w:ascii="Arial" w:cs="Arial" w:eastAsia="Arial" w:hAnsi="Arial"/>
          <w:sz w:val="18"/>
          <w:szCs w:val="18"/>
          <w:color w:val="auto"/>
        </w:rPr>
      </w:pPr>
    </w:p>
    <w:p>
      <w:pPr>
        <w:ind w:left="1280" w:hanging="638"/>
        <w:spacing w:after="0" w:line="367" w:lineRule="auto"/>
        <w:tabs>
          <w:tab w:leader="none" w:pos="1027"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case of a Participant who is subject to Section 16(a) and 16(b) of the Exchange Act, the Committee may, at any time, add such conditions and limitations to any Award to such Participant, or any feature of any such Award, as the Committee, in its sole discretion, deems necessary or desirable to comply with Section 16(a) or 16(b) and the rules and regulations thereunder or to obtain any exemption therefrom.</w:t>
      </w:r>
    </w:p>
    <w:p>
      <w:pPr>
        <w:spacing w:after="0" w:line="136" w:lineRule="exact"/>
        <w:rPr>
          <w:rFonts w:ascii="Arial" w:cs="Arial" w:eastAsia="Arial" w:hAnsi="Arial"/>
          <w:sz w:val="15"/>
          <w:szCs w:val="15"/>
          <w:color w:val="auto"/>
        </w:rPr>
      </w:pPr>
    </w:p>
    <w:p>
      <w:pPr>
        <w:ind w:left="1280" w:hanging="638"/>
        <w:spacing w:after="0" w:line="286" w:lineRule="auto"/>
        <w:tabs>
          <w:tab w:leader="none" w:pos="10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certificates to reflect the transfer of Common Stock, the transfer of such Common Stock may be effected on a non-certificated basis, to the extent not prohibited by applicable law or the rules of any stock exchange on which the Common Stock is listed.</w:t>
      </w:r>
    </w:p>
    <w:p>
      <w:pPr>
        <w:spacing w:after="0" w:line="188" w:lineRule="exact"/>
        <w:rPr>
          <w:sz w:val="20"/>
          <w:szCs w:val="20"/>
          <w:color w:val="auto"/>
        </w:rPr>
      </w:pPr>
    </w:p>
    <w:p>
      <w:pPr>
        <w:jc w:val="both"/>
        <w:ind w:right="220" w:firstLine="636"/>
        <w:spacing w:after="0" w:line="30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Liability for Cash Payments</w:t>
      </w:r>
      <w:r>
        <w:rPr>
          <w:rFonts w:ascii="Arial" w:cs="Arial" w:eastAsia="Arial" w:hAnsi="Arial"/>
          <w:sz w:val="17"/>
          <w:szCs w:val="17"/>
          <w:color w:val="auto"/>
        </w:rPr>
        <w:t>. Subject to the provisions of this Section 8, each Related Company shall be liable for payment of cash due under the Plan with respect to any Participant to the extent that such payment is attributable to the services rendered for that Related Company by the Participant. Any disputes relating to liability of a Related Company for cash payments shall be resolved by the Committee.</w:t>
      </w:r>
    </w:p>
    <w:p>
      <w:pPr>
        <w:spacing w:after="0" w:line="172" w:lineRule="exact"/>
        <w:rPr>
          <w:sz w:val="20"/>
          <w:szCs w:val="20"/>
          <w:color w:val="auto"/>
        </w:rPr>
      </w:pPr>
    </w:p>
    <w:p>
      <w:pPr>
        <w:jc w:val="both"/>
        <w:ind w:right="100" w:firstLine="636"/>
        <w:spacing w:after="0" w:line="281"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Withholding</w:t>
      </w:r>
      <w:r>
        <w:rPr>
          <w:rFonts w:ascii="Arial" w:cs="Arial" w:eastAsia="Arial" w:hAnsi="Arial"/>
          <w:sz w:val="18"/>
          <w:szCs w:val="18"/>
          <w:color w:val="auto"/>
        </w:rPr>
        <w:t>. All Awards and other payments under the Plan are subject to withholding of all applicable taxes, which withholding obligations may be satisfied, with the consent of the Committee, through the surrender of Common Stock which the Participant already owns or to which a Participant is otherwise entitled under the Plan; provided, however, previously-owned Common Stock that has been held by the Participant or Common Stock to which the Participant is entitled under the Plan may only be used to satisfy the minimum tax withholding required by applicable law (or other rates that will not have a negative accounting impact).</w:t>
      </w:r>
    </w:p>
    <w:p>
      <w:pPr>
        <w:sectPr>
          <w:pgSz w:w="11900" w:h="16838" w:orient="portrait"/>
          <w:cols w:equalWidth="0" w:num="1">
            <w:col w:w="11220"/>
          </w:cols>
          <w:pgMar w:left="320" w:top="1412" w:right="359" w:bottom="1440" w:gutter="0" w:footer="0" w:header="0"/>
        </w:sectPr>
      </w:pPr>
    </w:p>
    <w:bookmarkStart w:id="47" w:name="page48"/>
    <w:bookmarkEnd w:id="47"/>
    <w:p>
      <w:pPr>
        <w:ind w:right="40" w:firstLine="636"/>
        <w:spacing w:after="0" w:line="298"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Transferability</w:t>
      </w:r>
      <w:r>
        <w:rPr>
          <w:rFonts w:ascii="Arial" w:cs="Arial" w:eastAsia="Arial" w:hAnsi="Arial"/>
          <w:sz w:val="17"/>
          <w:szCs w:val="17"/>
          <w:color w:val="auto"/>
        </w:rPr>
        <w:t>. Awards under the Plan are not transferable except as designated by the Participant by will or by the laws of descent and distribution or, if provided by the Committee, pursuant to a qualified domestic relations order (within the meaning of the Code and applicable rules thereunder). To the extent that Participant who receives an Award under the Plan has the right to exercise such Award, the Award may be exercised during the lifetime of the Participant only by the Participant. Notwithstanding the foregoing provisions of this subsection 9.5, if provided by the Committee, Awards may be transferred to or for the benefit of the Participant’s family (including, without limitation, to a trust or partnership for the benefit of a Participant’s family), subject to such procedures as the Committee may establish. In no event shall an Incentive Stock Option be transferable to the extent that such transferability would violate the requirements applicable to such option under Code Section 422.</w:t>
      </w:r>
    </w:p>
    <w:p>
      <w:pPr>
        <w:spacing w:after="0" w:line="183" w:lineRule="exact"/>
        <w:rPr>
          <w:sz w:val="20"/>
          <w:szCs w:val="20"/>
          <w:color w:val="auto"/>
        </w:rPr>
      </w:pPr>
    </w:p>
    <w:p>
      <w:pPr>
        <w:ind w:right="60" w:firstLine="636"/>
        <w:spacing w:after="0" w:line="28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document required to be filed with the Committee under the Plan will be properly filed if delivered or mailed by registered mail, postage prepaid, to the Committee, in care of the Company or the Related Company, as applicable, at its principal executive offices. The Committee may, by advance written notice to affected persons, revise such notice procedure from time to time. Any notice required under the Plan (other than a notice of election) may be waived by the person entitled to notice.</w:t>
      </w:r>
    </w:p>
    <w:p>
      <w:pPr>
        <w:spacing w:after="0" w:line="193" w:lineRule="exact"/>
        <w:rPr>
          <w:sz w:val="20"/>
          <w:szCs w:val="20"/>
          <w:color w:val="auto"/>
        </w:rPr>
      </w:pPr>
    </w:p>
    <w:p>
      <w:pPr>
        <w:ind w:right="20" w:firstLine="636"/>
        <w:spacing w:after="0" w:line="367"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Form and Time of Elections</w:t>
      </w:r>
      <w:r>
        <w:rPr>
          <w:rFonts w:ascii="Arial" w:cs="Arial" w:eastAsia="Arial" w:hAnsi="Arial"/>
          <w:sz w:val="15"/>
          <w:szCs w:val="15"/>
          <w:color w:val="auto"/>
        </w:rPr>
        <w:t>. Unless otherwise specified herein, each election required or permitted to be made by any Participant or other person entitled to benefits under the Plan, and any permitted modification or revocation thereof, shall be in writing filed with the applicable Committee at such times, in such form, and subject to such restrictions and limitations, not inconsistent with the terms of the Plan, as the Committee shall require.</w:t>
      </w:r>
    </w:p>
    <w:p>
      <w:pPr>
        <w:spacing w:after="0" w:line="136" w:lineRule="exact"/>
        <w:rPr>
          <w:sz w:val="20"/>
          <w:szCs w:val="20"/>
          <w:color w:val="auto"/>
        </w:rPr>
      </w:pPr>
    </w:p>
    <w:p>
      <w:pPr>
        <w:jc w:val="both"/>
        <w:ind w:firstLine="636"/>
        <w:spacing w:after="0" w:line="30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Agreement With the Company</w:t>
      </w:r>
      <w:r>
        <w:rPr>
          <w:rFonts w:ascii="Arial" w:cs="Arial" w:eastAsia="Arial" w:hAnsi="Arial"/>
          <w:sz w:val="17"/>
          <w:szCs w:val="17"/>
          <w:color w:val="auto"/>
        </w:rPr>
        <w:t>. At the time of an Award to a Participant under the Plan, the Committee may require a Participant to enter into an agreement with the Company (the “Agreement”), in a form specified by the Committee, agreeing to the terms and conditions of the Plan and to such additional terms and conditions, not inconsistent with the Plan, as the Committee may, in its sole discretion, prescribe.</w:t>
      </w:r>
    </w:p>
    <w:p>
      <w:pPr>
        <w:spacing w:after="0" w:line="172"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5"/>
          <w:szCs w:val="15"/>
          <w:u w:val="single" w:color="auto"/>
          <w:color w:val="auto"/>
        </w:rPr>
        <w:t>Limitation of Implied Rights</w:t>
      </w:r>
      <w:r>
        <w:rPr>
          <w:rFonts w:ascii="Arial" w:cs="Arial" w:eastAsia="Arial" w:hAnsi="Arial"/>
          <w:sz w:val="15"/>
          <w:szCs w:val="15"/>
          <w:color w:val="auto"/>
        </w:rPr>
        <w:t>.</w:t>
      </w:r>
    </w:p>
    <w:p>
      <w:pPr>
        <w:spacing w:after="0" w:line="244" w:lineRule="exact"/>
        <w:rPr>
          <w:sz w:val="20"/>
          <w:szCs w:val="20"/>
          <w:color w:val="auto"/>
        </w:rPr>
      </w:pPr>
    </w:p>
    <w:p>
      <w:pPr>
        <w:ind w:left="1280" w:right="120" w:hanging="638"/>
        <w:spacing w:after="0" w:line="299" w:lineRule="auto"/>
        <w:tabs>
          <w:tab w:leader="none" w:pos="1017"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Neither a Participant nor any other person shall, by reason of the Plan, acquire any right in or title to any assets, funds or property of the Company or any Related Company whatsoever, including, without limitation, any specific funds, assets, or other property which the Company or any Related Company, in its sole discretion, may set aside in anticipation of a liability under the Plan. A Participant shall have only a contractual right to the amounts, if any, payable under the Plan, unsecured by any assets of the Company and any Related Company. Nothing contained in the Plan shall constitute a guarantee by the Company or any Related Company that the assets of such companies shall be sufficient to pay any benefits to any person.</w:t>
      </w:r>
    </w:p>
    <w:p>
      <w:pPr>
        <w:spacing w:after="0" w:line="181" w:lineRule="exact"/>
        <w:rPr>
          <w:rFonts w:ascii="Arial" w:cs="Arial" w:eastAsia="Arial" w:hAnsi="Arial"/>
          <w:sz w:val="17"/>
          <w:szCs w:val="17"/>
          <w:color w:val="auto"/>
        </w:rPr>
      </w:pPr>
    </w:p>
    <w:p>
      <w:pPr>
        <w:ind w:left="1280" w:right="40" w:hanging="638"/>
        <w:spacing w:after="0" w:line="349" w:lineRule="auto"/>
        <w:tabs>
          <w:tab w:leader="none" w:pos="102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Plan does not constitute a contract of employment or continued service, and selection as a Participant will not give any employee the right to be retained in the employ or service of the Company or any Related Company, nor any right or claim to any benefit under the Plan, unless such right or claim has specifically accrued under the terms of the Plan. Except as otherwise provided in the Plan, no Award under the Plan shall confer upon the holder thereof any right as a stockholder of the Company prior to the date on which he fulfills all service requirements and other conditions for receipt of such rights and shares of Common Stock are registered in his name.</w:t>
      </w:r>
    </w:p>
    <w:p>
      <w:pPr>
        <w:sectPr>
          <w:pgSz w:w="11900" w:h="16838" w:orient="portrait"/>
          <w:cols w:equalWidth="0" w:num="1">
            <w:col w:w="11240"/>
          </w:cols>
          <w:pgMar w:left="320" w:top="1412" w:right="339" w:bottom="1440" w:gutter="0" w:footer="0" w:header="0"/>
        </w:sectPr>
      </w:pPr>
    </w:p>
    <w:bookmarkStart w:id="48" w:name="page49"/>
    <w:bookmarkEnd w:id="48"/>
    <w:p>
      <w:pPr>
        <w:ind w:right="60" w:firstLine="636"/>
        <w:spacing w:after="0" w:line="295"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80" w:lineRule="exact"/>
        <w:rPr>
          <w:sz w:val="20"/>
          <w:szCs w:val="20"/>
          <w:color w:val="auto"/>
        </w:rPr>
      </w:pPr>
    </w:p>
    <w:p>
      <w:pPr>
        <w:ind w:right="80" w:firstLine="636"/>
        <w:spacing w:after="0" w:line="301"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Action by the Company or Related Company</w:t>
      </w:r>
      <w:r>
        <w:rPr>
          <w:rFonts w:ascii="Arial" w:cs="Arial" w:eastAsia="Arial" w:hAnsi="Arial"/>
          <w:sz w:val="17"/>
          <w:szCs w:val="17"/>
          <w:color w:val="auto"/>
        </w:rPr>
        <w:t>. Any action required or permitted to be taken by the Company or any Related Company shall be by resolution of its board of directors or governing body or by action of one or more members of the board or governing body (including a committee of the board or governing body) who are duly authorized to act for the board or, in the case of any Related Company which is a partnership, by action of its general partner or a person or persons authorized by the general partner, or (except to the extent prohibited by applicable law or the rules of any stock exchange on which the Common Stock is listed) by a duly authorized officer of the Company.</w:t>
      </w:r>
    </w:p>
    <w:p>
      <w:pPr>
        <w:spacing w:after="0" w:line="179" w:lineRule="exact"/>
        <w:rPr>
          <w:sz w:val="20"/>
          <w:szCs w:val="20"/>
          <w:color w:val="auto"/>
        </w:rPr>
      </w:pPr>
    </w:p>
    <w:p>
      <w:pPr>
        <w:ind w:right="300" w:firstLine="636"/>
        <w:spacing w:after="0" w:line="295"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80" w:lineRule="exact"/>
        <w:rPr>
          <w:sz w:val="20"/>
          <w:szCs w:val="20"/>
          <w:color w:val="auto"/>
        </w:rPr>
      </w:pPr>
    </w:p>
    <w:p>
      <w:pPr>
        <w:ind w:right="200" w:firstLine="636"/>
        <w:spacing w:after="0" w:line="29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Applicable Law</w:t>
      </w:r>
      <w:r>
        <w:rPr>
          <w:rFonts w:ascii="Arial" w:cs="Arial" w:eastAsia="Arial" w:hAnsi="Arial"/>
          <w:sz w:val="18"/>
          <w:szCs w:val="18"/>
          <w:color w:val="auto"/>
        </w:rPr>
        <w:t>. The provisions of the Plan shall be construed in accordance with the laws of the State of Delaware, without giving effect to choice of law principles.</w:t>
      </w:r>
    </w:p>
    <w:p>
      <w:pPr>
        <w:spacing w:after="0" w:line="180" w:lineRule="exact"/>
        <w:rPr>
          <w:sz w:val="20"/>
          <w:szCs w:val="20"/>
          <w:color w:val="auto"/>
        </w:rPr>
      </w:pPr>
    </w:p>
    <w:p>
      <w:pPr>
        <w:ind w:right="20" w:firstLine="636"/>
        <w:spacing w:after="0" w:line="346" w:lineRule="auto"/>
        <w:rPr>
          <w:sz w:val="20"/>
          <w:szCs w:val="20"/>
          <w:color w:val="auto"/>
        </w:rPr>
      </w:pPr>
      <w:r>
        <w:rPr>
          <w:rFonts w:ascii="Arial" w:cs="Arial" w:eastAsia="Arial" w:hAnsi="Arial"/>
          <w:sz w:val="15"/>
          <w:szCs w:val="15"/>
          <w:color w:val="auto"/>
        </w:rPr>
        <w:t xml:space="preserve">9.14 </w:t>
      </w:r>
      <w:r>
        <w:rPr>
          <w:rFonts w:ascii="Arial" w:cs="Arial" w:eastAsia="Arial" w:hAnsi="Arial"/>
          <w:sz w:val="15"/>
          <w:szCs w:val="15"/>
          <w:u w:val="single" w:color="auto"/>
          <w:color w:val="auto"/>
        </w:rPr>
        <w:t>Foreign Employees</w:t>
      </w:r>
      <w:r>
        <w:rPr>
          <w:rFonts w:ascii="Arial" w:cs="Arial" w:eastAsia="Arial" w:hAnsi="Arial"/>
          <w:sz w:val="15"/>
          <w:szCs w:val="15"/>
          <w:color w:val="auto"/>
        </w:rPr>
        <w:t>. Notwithstanding any other provision of the Plan to the contrary, the Committee may grant Awards to eligible persons who are foreign nationals on such terms and conditions different from those specified in the Plan as may, in the judgment of the Committee, be necessary or desirable to foster and promote achievement of the purposes of the Plan. In furtherance of such purposes, the Committee may make such modifications, amendments, procedures and subplans as may be necessary or advisable to comply with provisions of laws in other countries or jurisdictions in which the Company or a Related Company operates or has employees. The foregoing provisions of this subsection 9.14 shall not be applied to increase the share limitations of Section 4 or to otherwise change any provision of the Plan that would otherwise require the approval of the Company’s stockholders.</w:t>
      </w:r>
    </w:p>
    <w:p>
      <w:pPr>
        <w:spacing w:after="0" w:line="15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TERMINATION AND AMENDMENT OF THE PLAN</w:t>
      </w:r>
    </w:p>
    <w:p>
      <w:pPr>
        <w:spacing w:after="0" w:line="244" w:lineRule="exact"/>
        <w:rPr>
          <w:sz w:val="20"/>
          <w:szCs w:val="20"/>
          <w:color w:val="auto"/>
        </w:rPr>
      </w:pPr>
    </w:p>
    <w:p>
      <w:pPr>
        <w:ind w:firstLine="636"/>
        <w:spacing w:after="0" w:line="339" w:lineRule="auto"/>
        <w:rPr>
          <w:sz w:val="20"/>
          <w:szCs w:val="20"/>
          <w:color w:val="auto"/>
        </w:rPr>
      </w:pPr>
      <w:r>
        <w:rPr>
          <w:rFonts w:ascii="Arial" w:cs="Arial" w:eastAsia="Arial" w:hAnsi="Arial"/>
          <w:sz w:val="15"/>
          <w:szCs w:val="15"/>
          <w:color w:val="auto"/>
        </w:rPr>
        <w:t>The Board may, at any time, amend or terminate the Plan, and the Board or the Committee may amend any Agreement,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(or the Committee, if applicable); and further provided that adjustments pursuant to subsection 4.2 shall not be subject to the foregoing limitations of this Section 9; and further provided that the provisions of subsection 6.8 (relating to Option and SAR repricing) cannot be amended unless the amendment is approved by the Company’s stockholders; and provided further that, no other amendment shall be made to the Plan without the approval of the Company’s stockholders if such approval is required by law or the rules of any stock exchange on which the Common Stock is listed. It is the intention of the Company that, to the extent that any provisions of this Plan or any Awards granted hereunder are subject to Code Section 409A, the Plan and the Awards comply with the requirements of Code Section 409A and that the Board shall have the authority to amend the Plan or any Award as it deems necessary or desirable to conform to Code Section 409A without regard to the foregoing provisions (other than the provisions requiring stockholder approval). Notwithstanding the foregoing, the Company does not guarantee that Awards under the Plan will comply with Code Section 409A and the Committee is under no obligation to make any changes to any Award to cause such compliance.</w:t>
      </w:r>
    </w:p>
    <w:p>
      <w:pPr>
        <w:sectPr>
          <w:pgSz w:w="11900" w:h="16838" w:orient="portrait"/>
          <w:cols w:equalWidth="0" w:num="1">
            <w:col w:w="11240"/>
          </w:cols>
          <w:pgMar w:left="320" w:top="1412"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Sanjay Mirchandani, certify that:</w:t>
      </w:r>
    </w:p>
    <w:p>
      <w:pPr>
        <w:spacing w:after="0" w:line="217" w:lineRule="exact"/>
        <w:rPr>
          <w:sz w:val="20"/>
          <w:szCs w:val="20"/>
          <w:color w:val="auto"/>
        </w:rPr>
      </w:pPr>
    </w:p>
    <w:p>
      <w:pPr>
        <w:ind w:left="640" w:hanging="634"/>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ectPr>
          <w:pgSz w:w="11900" w:h="16838" w:orient="portrait"/>
          <w:cols w:equalWidth="0" w:num="1">
            <w:col w:w="11240"/>
          </w:cols>
          <w:pgMar w:left="320" w:top="872"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17" w:lineRule="exact"/>
        <w:rPr>
          <w:sz w:val="20"/>
          <w:szCs w:val="20"/>
          <w:color w:val="auto"/>
        </w:rPr>
      </w:pPr>
    </w:p>
    <w:p>
      <w:pPr>
        <w:ind w:left="640" w:hanging="634"/>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17"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jc w:val="both"/>
        <w:ind w:left="640" w:right="20" w:hanging="634"/>
        <w:spacing w:after="0" w:line="280" w:lineRule="auto"/>
        <w:tabs>
          <w:tab w:leader="none" w:pos="6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7"/>
          <w:szCs w:val="17"/>
          <w:color w:val="auto"/>
        </w:rPr>
      </w:pPr>
    </w:p>
    <w:p>
      <w:pPr>
        <w:jc w:val="both"/>
        <w:ind w:left="640" w:hanging="634"/>
        <w:spacing w:after="0" w:line="260" w:lineRule="auto"/>
        <w:tabs>
          <w:tab w:leader="none" w:pos="6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24" w:lineRule="exact"/>
        <w:rPr>
          <w:rFonts w:ascii="Arial" w:cs="Arial" w:eastAsia="Arial" w:hAnsi="Arial"/>
          <w:sz w:val="17"/>
          <w:szCs w:val="17"/>
          <w:color w:val="auto"/>
        </w:rPr>
      </w:pPr>
    </w:p>
    <w:p>
      <w:pPr>
        <w:jc w:val="both"/>
        <w:ind w:left="1280" w:hanging="320"/>
        <w:spacing w:after="0" w:line="245" w:lineRule="auto"/>
        <w:tabs>
          <w:tab w:leader="none" w:pos="12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jc w:val="both"/>
        <w:ind w:left="1280" w:hanging="320"/>
        <w:spacing w:after="0" w:line="245" w:lineRule="auto"/>
        <w:tabs>
          <w:tab w:leader="none" w:pos="1274"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1280" w:hanging="320"/>
        <w:spacing w:after="0" w:line="248" w:lineRule="auto"/>
        <w:tabs>
          <w:tab w:leader="none" w:pos="12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2" w:lineRule="exact"/>
        <w:rPr>
          <w:rFonts w:ascii="Arial" w:cs="Arial" w:eastAsia="Arial" w:hAnsi="Arial"/>
          <w:sz w:val="18"/>
          <w:szCs w:val="18"/>
          <w:color w:val="auto"/>
        </w:rPr>
      </w:pPr>
    </w:p>
    <w:p>
      <w:pPr>
        <w:jc w:val="both"/>
        <w:ind w:left="640" w:hanging="634"/>
        <w:spacing w:after="0" w:line="248" w:lineRule="auto"/>
        <w:tabs>
          <w:tab w:leader="none" w:pos="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13" w:lineRule="exact"/>
        <w:rPr>
          <w:rFonts w:ascii="Arial" w:cs="Arial" w:eastAsia="Arial" w:hAnsi="Arial"/>
          <w:sz w:val="18"/>
          <w:szCs w:val="18"/>
          <w:color w:val="auto"/>
        </w:rPr>
      </w:pPr>
    </w:p>
    <w:p>
      <w:pPr>
        <w:jc w:val="both"/>
        <w:ind w:left="1280" w:hanging="320"/>
        <w:spacing w:after="0" w:line="245" w:lineRule="auto"/>
        <w:tabs>
          <w:tab w:leader="none" w:pos="12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1280" w:hanging="320"/>
        <w:spacing w:after="0" w:line="251" w:lineRule="auto"/>
        <w:tabs>
          <w:tab w:leader="none" w:pos="12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3810</wp:posOffset>
            </wp:positionV>
            <wp:extent cx="32137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373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ectPr>
          <w:pgSz w:w="11900" w:h="16838" w:orient="portrait"/>
          <w:cols w:equalWidth="0" w:num="1">
            <w:col w:w="11240"/>
          </w:cols>
          <w:pgMar w:left="320" w:top="872"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connection with the Quarterly Report of Commvault Systems, Inc. (the “Company”) on Form 10-Q for the period ended September 30, 2021 as filed with the Securities and Exchange Commission (the “Report”), I, Sanjay Mirchandani, Director, President and Chief Executive Officer of the Company, certify, pursuant to 18 U.S.C. § 1350, as adopted pursuant to § 906 of the Sarbanes-Oxley Act of 2002, that:</w:t>
      </w:r>
    </w:p>
    <w:p>
      <w:pPr>
        <w:spacing w:after="0" w:line="96" w:lineRule="exact"/>
        <w:rPr>
          <w:sz w:val="20"/>
          <w:szCs w:val="20"/>
          <w:color w:val="auto"/>
        </w:rPr>
      </w:pPr>
    </w:p>
    <w:p>
      <w:pPr>
        <w:ind w:left="560" w:hanging="316"/>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Sanjay Mirchandani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President and 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p>
      <w:pPr>
        <w:sectPr>
          <w:pgSz w:w="11900" w:h="16838" w:orient="portrait"/>
          <w:cols w:equalWidth="0" w:num="1">
            <w:col w:w="11240"/>
          </w:cols>
          <w:pgMar w:left="320" w:top="872"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of Commvault Systems, Inc. (the “Company”) on Form 10-Q for the period ended September 30,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2021 as filed with the Securities and Exchange Commission (the “Report”), I, Brian Carolan, Vice President and Chief Financial Officer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 1350, as adopted pursuant to § 906 of the Sarbanes-Oxley Act of 2002, that:</w:t>
      </w:r>
    </w:p>
    <w:p>
      <w:pPr>
        <w:spacing w:after="0" w:line="124" w:lineRule="exact"/>
        <w:rPr>
          <w:sz w:val="20"/>
          <w:szCs w:val="20"/>
          <w:color w:val="auto"/>
        </w:rPr>
      </w:pPr>
    </w:p>
    <w:p>
      <w:pPr>
        <w:ind w:left="560" w:hanging="316"/>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 w:lineRule="exact"/>
        <w:rPr>
          <w:rFonts w:ascii="Arial" w:cs="Arial" w:eastAsia="Arial" w:hAnsi="Arial"/>
          <w:sz w:val="18"/>
          <w:szCs w:val="18"/>
          <w:color w:val="auto"/>
        </w:rPr>
      </w:pPr>
    </w:p>
    <w:p>
      <w:pPr>
        <w:ind w:left="560" w:hanging="316"/>
        <w:spacing w:after="0" w:line="251" w:lineRule="auto"/>
        <w:tabs>
          <w:tab w:leader="none" w:pos="5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074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741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Carolan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and Chief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October 27, 2021</w:t>
      </w:r>
    </w:p>
    <w:sectPr>
      <w:pgSz w:w="11900" w:h="16838" w:orient="portrait"/>
      <w:cols w:equalWidth="0" w:num="1">
        <w:col w:w="11240"/>
      </w:cols>
      <w:pgMar w:left="320" w:top="8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6"/>
    </w:lvl>
  </w:abstractNum>
  <w:abstractNum w:abstractNumId="8">
    <w:nsid w:val="3A95F874"/>
    <w:multiLevelType w:val="hybridMultilevel"/>
    <w:lvl w:ilvl="0">
      <w:lvlJc w:val="left"/>
      <w:lvlText w:val="%1."/>
      <w:numFmt w:val="decimal"/>
      <w:start w:val="7"/>
    </w:lvl>
  </w:abstractNum>
  <w:abstractNum w:abstractNumId="9">
    <w:nsid w:val="8138641"/>
    <w:multiLevelType w:val="hybridMultilevel"/>
    <w:lvl w:ilvl="0">
      <w:lvlJc w:val="left"/>
      <w:lvlText w:val="%1."/>
      <w:numFmt w:val="decimal"/>
      <w:start w:val="8"/>
    </w:lvl>
  </w:abstractNum>
  <w:abstractNum w:abstractNumId="10">
    <w:nsid w:val="1E7FF521"/>
    <w:multiLevelType w:val="hybridMultilevel"/>
    <w:lvl w:ilvl="0">
      <w:lvlJc w:val="left"/>
      <w:lvlText w:val="%1."/>
      <w:numFmt w:val="decimal"/>
      <w:start w:val="9"/>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endash "/>
      <w:numFmt w:val="bullet"/>
      <w:start w:val="1"/>
    </w:lvl>
  </w:abstractNum>
  <w:abstractNum w:abstractNumId="17">
    <w:nsid w:val="614FD4A1"/>
    <w:multiLevelType w:val="hybridMultilevel"/>
    <w:lvl w:ilvl="0">
      <w:lvlJc w:val="left"/>
      <w:lvlText w:val="\endash "/>
      <w:numFmt w:val="bullet"/>
      <w:start w:val="1"/>
    </w:lvl>
    <w:lvl w:ilvl="1">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endash "/>
      <w:numFmt w:val="bullet"/>
      <w:start w:val="1"/>
    </w:lvl>
  </w:abstractNum>
  <w:abstractNum w:abstractNumId="22">
    <w:nsid w:val="3804823E"/>
    <w:multiLevelType w:val="hybridMultilevel"/>
    <w:lvl w:ilvl="0">
      <w:lvlJc w:val="left"/>
      <w:lvlText w:val="\endash "/>
      <w:numFmt w:val="bullet"/>
      <w:start w:val="1"/>
    </w:lvl>
    <w:lvl w:ilvl="1">
      <w:lvlJc w:val="left"/>
      <w:lvlText w:val="•"/>
      <w:numFmt w:val="bullet"/>
      <w:start w:val="1"/>
    </w:lvl>
  </w:abstractNum>
  <w:abstractNum w:abstractNumId="23">
    <w:nsid w:val="77465F01"/>
    <w:multiLevelType w:val="hybridMultilevel"/>
    <w:lvl w:ilvl="0">
      <w:lvlJc w:val="left"/>
      <w:lvlText w:val="\endash "/>
      <w:numFmt w:val="bullet"/>
      <w:start w:val="1"/>
    </w:lvl>
  </w:abstractNum>
  <w:abstractNum w:abstractNumId="24">
    <w:nsid w:val="7724C67E"/>
    <w:multiLevelType w:val="hybridMultilevel"/>
    <w:lvl w:ilvl="0">
      <w:lvlJc w:val="left"/>
      <w:lvlText w:val="\endash "/>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04"/>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decimal"/>
      <w:start w:val="3"/>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6"/>
    </w:lvl>
    <w:lvl w:ilvl="1">
      <w:lvlJc w:val="left"/>
      <w:lvlText w:val="(%2)"/>
      <w:numFmt w:val="lowerRoman"/>
      <w:start w:val="1"/>
    </w:lvl>
  </w:abstractNum>
  <w:abstractNum w:abstractNumId="33">
    <w:nsid w:val="70A64E2A"/>
    <w:multiLevelType w:val="hybridMultilevel"/>
    <w:lvl w:ilvl="0">
      <w:lvlJc w:val="left"/>
      <w:lvlText w:val="(%1)"/>
      <w:numFmt w:val="lowerLetter"/>
      <w:start w:val="10"/>
    </w:lvl>
  </w:abstractNum>
  <w:abstractNum w:abstractNumId="34">
    <w:nsid w:val="6A2342EC"/>
    <w:multiLevelType w:val="hybridMultilevel"/>
    <w:lvl w:ilvl="0">
      <w:lvlJc w:val="left"/>
      <w:lvlText w:val="%1."/>
      <w:numFmt w:val="decimal"/>
      <w:start w:val="5"/>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decimal"/>
      <w:start w:val="7"/>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2021-10-27T14:06:31Z</dcterms:created>
  <dcterms:modified xsi:type="dcterms:W3CDTF">2021-10-27T14:06:31Z</dcterms:modified>
</cp:coreProperties>
</file>