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463550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3"/>
              </w:rPr>
              <w:t>Delaware</w:t>
            </w:r>
          </w:p>
        </w:tc>
        <w:tc>
          <w:tcPr>
            <w:tcW w:w="50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9"/>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4"/>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Tinton Falls, New Jersey</w:t>
            </w:r>
          </w:p>
        </w:tc>
        <w:tc>
          <w:tcPr>
            <w:tcW w:w="5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Arial" w:cs="Arial" w:eastAsia="Arial" w:hAnsi="Arial"/>
                <w:sz w:val="16"/>
                <w:szCs w:val="16"/>
                <w:b w:val="1"/>
                <w:bCs w:val="1"/>
                <w:color w:val="auto"/>
              </w:rPr>
              <w:t>(732) 870-4000</w:t>
            </w:r>
          </w:p>
        </w:tc>
        <w:tc>
          <w:tcPr>
            <w:tcW w:w="1900" w:type="dxa"/>
            <w:vAlign w:val="bottom"/>
          </w:tcPr>
          <w:p>
            <w:pPr>
              <w:spacing w:after="0"/>
              <w:rPr>
                <w:sz w:val="19"/>
                <w:szCs w:val="19"/>
                <w:color w:val="auto"/>
              </w:rPr>
            </w:pPr>
          </w:p>
        </w:tc>
      </w:tr>
      <w:tr>
        <w:trPr>
          <w:trHeight w:val="164"/>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1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8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560"/>
              <w:spacing w:after="0"/>
              <w:rPr>
                <w:sz w:val="20"/>
                <w:szCs w:val="20"/>
                <w:color w:val="auto"/>
              </w:rPr>
            </w:pPr>
            <w:r>
              <w:rPr>
                <w:rFonts w:ascii="Arial" w:cs="Arial" w:eastAsia="Arial" w:hAnsi="Arial"/>
                <w:sz w:val="14"/>
                <w:szCs w:val="14"/>
                <w:color w:val="auto"/>
              </w:rPr>
              <w:t>x</w:t>
            </w:r>
          </w:p>
        </w:tc>
        <w:tc>
          <w:tcPr>
            <w:tcW w:w="3460" w:type="dxa"/>
            <w:vAlign w:val="bottom"/>
          </w:tcPr>
          <w:p>
            <w:pPr>
              <w:ind w:left="13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88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560"/>
              <w:spacing w:after="0"/>
              <w:rPr>
                <w:sz w:val="20"/>
                <w:szCs w:val="20"/>
                <w:color w:val="auto"/>
              </w:rPr>
            </w:pPr>
            <w:r>
              <w:rPr>
                <w:rFonts w:ascii="Arial" w:cs="Arial" w:eastAsia="Arial" w:hAnsi="Arial"/>
                <w:sz w:val="14"/>
                <w:szCs w:val="14"/>
                <w:color w:val="auto"/>
              </w:rPr>
              <w:t>o (Do not check if smaller reporting company)</w:t>
            </w:r>
          </w:p>
        </w:tc>
        <w:tc>
          <w:tcPr>
            <w:tcW w:w="3460" w:type="dxa"/>
            <w:vAlign w:val="bottom"/>
          </w:tcPr>
          <w:p>
            <w:pPr>
              <w:ind w:left="13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8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3460" w:type="dxa"/>
            <w:vAlign w:val="bottom"/>
          </w:tcPr>
          <w:p>
            <w:pPr>
              <w:ind w:left="13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716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460" w:type="dxa"/>
            <w:vAlign w:val="bottom"/>
          </w:tcPr>
          <w:p>
            <w:pPr>
              <w:ind w:left="80"/>
              <w:spacing w:after="0"/>
              <w:rPr>
                <w:sz w:val="20"/>
                <w:szCs w:val="20"/>
                <w:color w:val="auto"/>
              </w:rPr>
            </w:pPr>
            <w:r>
              <w:rPr>
                <w:rFonts w:ascii="Arial" w:cs="Arial" w:eastAsia="Arial" w:hAnsi="Arial"/>
                <w:sz w:val="14"/>
                <w:szCs w:val="14"/>
                <w:color w:val="auto"/>
              </w:rPr>
              <w:t>No x</w:t>
            </w:r>
          </w:p>
        </w:tc>
        <w:tc>
          <w:tcPr>
            <w:tcW w:w="620" w:type="dxa"/>
            <w:vAlign w:val="bottom"/>
          </w:tcPr>
          <w:p>
            <w:pPr>
              <w:spacing w:after="0"/>
              <w:rPr>
                <w:sz w:val="24"/>
                <w:szCs w:val="24"/>
                <w:color w:val="auto"/>
              </w:rPr>
            </w:pPr>
          </w:p>
        </w:tc>
      </w:tr>
      <w:tr>
        <w:trPr>
          <w:trHeight w:val="362"/>
        </w:trPr>
        <w:tc>
          <w:tcPr>
            <w:tcW w:w="7160" w:type="dxa"/>
            <w:vAlign w:val="bottom"/>
            <w:gridSpan w:val="2"/>
          </w:tcPr>
          <w:p>
            <w:pPr>
              <w:spacing w:after="0"/>
              <w:rPr>
                <w:sz w:val="20"/>
                <w:szCs w:val="20"/>
                <w:color w:val="auto"/>
              </w:rPr>
            </w:pPr>
            <w:r>
              <w:rPr>
                <w:rFonts w:ascii="Arial" w:cs="Arial" w:eastAsia="Arial" w:hAnsi="Arial"/>
                <w:sz w:val="14"/>
                <w:szCs w:val="14"/>
                <w:color w:val="auto"/>
              </w:rPr>
              <w:t>As of July 24, 2017, there were 45,517,141 shares of the registrant’s common stock, $0.01 par value, outstanding.</w:t>
            </w:r>
          </w:p>
        </w:tc>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320"/>
          </w:cols>
          <w:pgMar w:left="24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8"/>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June 30, 2017 and March 31, 2017 (as adjusted)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20" w:type="dxa"/>
            <w:vAlign w:val="bottom"/>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Statements of Loss for the three months ended June 30, 2017 and 2016 (as adjusted)</w:t>
              </w:r>
            </w:hyperlink>
          </w:p>
        </w:tc>
        <w:tc>
          <w:tcPr>
            <w:tcW w:w="1020" w:type="dxa"/>
            <w:vAlign w:val="bottom"/>
            <w:gridSpan w:val="3"/>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74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 for the three months ended June 30, 2017 and 2016</w:t>
              </w:r>
            </w:hyperlink>
          </w:p>
        </w:tc>
        <w:tc>
          <w:tcPr>
            <w:tcW w:w="100" w:type="dxa"/>
            <w:vAlign w:val="bottom"/>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2"/>
              </w:rPr>
            </w:pPr>
            <w:hyperlink w:anchor="page5">
              <w:r>
                <w:rPr>
                  <w:rFonts w:ascii="Arial" w:cs="Arial" w:eastAsia="Arial" w:hAnsi="Arial"/>
                  <w:sz w:val="18"/>
                  <w:szCs w:val="18"/>
                  <w:color w:val="0000EE"/>
                  <w:w w:val="82"/>
                </w:rPr>
                <w:t>(as adjusted)</w:t>
              </w:r>
            </w:hyperlink>
          </w:p>
        </w:tc>
        <w:tc>
          <w:tcPr>
            <w:tcW w:w="7860" w:type="dxa"/>
            <w:vAlign w:val="bottom"/>
            <w:tcBorders>
              <w:top w:val="single" w:sz="8" w:color="0000EE"/>
            </w:tcBorders>
            <w:gridSpan w:val="14"/>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for the three months ended June 30, 2017</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40" w:type="dxa"/>
            <w:vAlign w:val="bottom"/>
            <w:gridSpan w:val="18"/>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Unaudited Consolidated Statements of Cash Flows for the three months ended June 30, 2017 and 2016 (as adjusted)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2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520" w:type="dxa"/>
            <w:vAlign w:val="bottom"/>
            <w:gridSpan w:val="2"/>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tcPr>
          <w:p>
            <w:pPr>
              <w:spacing w:after="0"/>
              <w:rPr>
                <w:sz w:val="21"/>
                <w:szCs w:val="21"/>
                <w:color w:val="auto"/>
              </w:rPr>
            </w:pPr>
          </w:p>
        </w:tc>
        <w:tc>
          <w:tcPr>
            <w:tcW w:w="2420" w:type="dxa"/>
            <w:vAlign w:val="bottom"/>
            <w:gridSpan w:val="6"/>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710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20" w:type="dxa"/>
            <w:vAlign w:val="bottom"/>
          </w:tcPr>
          <w:p>
            <w:pPr>
              <w:spacing w:after="0"/>
              <w:rPr>
                <w:sz w:val="21"/>
                <w:szCs w:val="21"/>
                <w:color w:val="auto"/>
              </w:rPr>
            </w:pPr>
          </w:p>
        </w:tc>
      </w:tr>
      <w:tr>
        <w:trPr>
          <w:trHeight w:val="574"/>
        </w:trPr>
        <w:tc>
          <w:tcPr>
            <w:tcW w:w="9940" w:type="dxa"/>
            <w:vAlign w:val="bottom"/>
            <w:gridSpan w:val="2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4600" w:type="dxa"/>
            <w:vAlign w:val="bottom"/>
            <w:gridSpan w:val="8"/>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Mine Safety Disclosures</w:t>
              </w:r>
            </w:hyperlink>
          </w:p>
        </w:tc>
        <w:tc>
          <w:tcPr>
            <w:tcW w:w="540" w:type="dxa"/>
            <w:vAlign w:val="bottom"/>
            <w:tcBorders>
              <w:top w:val="single" w:sz="8" w:color="0000EE"/>
            </w:tcBorders>
          </w:tcPr>
          <w:p>
            <w:pPr>
              <w:spacing w:after="0"/>
              <w:rPr>
                <w:sz w:val="21"/>
                <w:szCs w:val="21"/>
                <w:color w:val="auto"/>
              </w:rPr>
            </w:pPr>
          </w:p>
        </w:tc>
        <w:tc>
          <w:tcPr>
            <w:tcW w:w="656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Other Information</w:t>
              </w:r>
            </w:hyperlink>
          </w:p>
        </w:tc>
        <w:tc>
          <w:tcPr>
            <w:tcW w:w="7560" w:type="dxa"/>
            <w:vAlign w:val="bottom"/>
            <w:gridSpan w:val="1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SIGNATURES</w:t>
              </w:r>
            </w:hyperlink>
          </w:p>
        </w:tc>
        <w:tc>
          <w:tcPr>
            <w:tcW w:w="8840" w:type="dxa"/>
            <w:vAlign w:val="bottom"/>
            <w:gridSpan w:val="1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c>
          <w:tcPr>
            <w:tcW w:w="20" w:type="dxa"/>
            <w:vAlign w:val="bottom"/>
          </w:tcPr>
          <w:p>
            <w:pPr>
              <w:spacing w:after="0"/>
              <w:rPr>
                <w:sz w:val="24"/>
                <w:szCs w:val="24"/>
                <w:color w:val="auto"/>
              </w:rPr>
            </w:pPr>
          </w:p>
        </w:tc>
      </w:tr>
      <w:tr>
        <w:trPr>
          <w:trHeight w:val="588"/>
        </w:trPr>
        <w:tc>
          <w:tcPr>
            <w:tcW w:w="980" w:type="dxa"/>
            <w:vAlign w:val="bottom"/>
            <w:tcBorders>
              <w:bottom w:val="single" w:sz="8" w:color="0000EE"/>
            </w:tcBorders>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Exhibit Index</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c>
          <w:tcPr>
            <w:tcW w:w="20" w:type="dxa"/>
            <w:vAlign w:val="bottom"/>
          </w:tcPr>
          <w:p>
            <w:pPr>
              <w:spacing w:after="0"/>
              <w:rPr>
                <w:sz w:val="24"/>
                <w:szCs w:val="24"/>
                <w:color w:val="auto"/>
              </w:rPr>
            </w:pPr>
          </w:p>
        </w:tc>
      </w:tr>
      <w:tr>
        <w:trPr>
          <w:trHeight w:val="291"/>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31.1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31.2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32.1</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32.2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ectPr>
          <w:pgSz w:w="11900" w:h="16838" w:orient="portrait"/>
          <w:cols w:equalWidth="0" w:num="1">
            <w:col w:w="10600"/>
          </w:cols>
          <w:pgMar w:left="240" w:top="125"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March 31, 2017</w:t>
            </w:r>
          </w:p>
        </w:tc>
      </w:tr>
      <w:tr>
        <w:trPr>
          <w:trHeight w:val="232"/>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As adjusted -</w:t>
            </w:r>
          </w:p>
        </w:tc>
      </w:t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See Note 2</w:t>
            </w:r>
          </w:p>
        </w:tc>
      </w:tr>
      <w:tr>
        <w:trPr>
          <w:trHeight w:val="230"/>
        </w:trPr>
        <w:tc>
          <w:tcPr>
            <w:tcW w:w="836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349,522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329,491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120,693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131,357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140,084</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636,841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606,059</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50,228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132,319</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commissions cost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29,953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30,378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860,811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829,878</w:t>
            </w:r>
          </w:p>
        </w:tc>
      </w:tr>
      <w:tr>
        <w:trPr>
          <w:trHeight w:val="67"/>
        </w:trPr>
        <w:tc>
          <w:tcPr>
            <w:tcW w:w="8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2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78,701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217,539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209,099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287,216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287,917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4,226</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Preferred stock, $0.01 par value: 50,000 shares authorized, no shares issued and outstanding at June 30, 2017 and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7"/>
              </w:rPr>
              <w:t>Common stock, $0.01 par value: 250,000 shares authorized, 45,354 shares and 44,816 shares issued and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outstanding at June 30, 2017 and March 31, 2017, respectively</w:t>
            </w: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447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694,477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(215,677)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494,997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466,932</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829,878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Consolidated Statements of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9"/>
              </w:rPr>
              <w:t>Three Months Ended June 30,</w:t>
            </w:r>
          </w:p>
        </w:tc>
        <w:tc>
          <w:tcPr>
            <w:tcW w:w="0" w:type="dxa"/>
            <w:vAlign w:val="bottom"/>
          </w:tcPr>
          <w:p>
            <w:pPr>
              <w:spacing w:after="0"/>
              <w:rPr>
                <w:sz w:val="1"/>
                <w:szCs w:val="1"/>
                <w:color w:val="auto"/>
              </w:rPr>
            </w:pPr>
          </w:p>
        </w:tc>
      </w:tr>
      <w:tr>
        <w:trPr>
          <w:trHeight w:val="190"/>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32"/>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As Adjusted -</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See Note 2</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74,761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63,413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88,361</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165,972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151,774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130,779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92,731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19,228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148,672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134,007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affiliate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44,244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44,244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June 30,</w:t>
            </w:r>
          </w:p>
        </w:tc>
      </w:tr>
      <w:tr>
        <w:trPr>
          <w:trHeight w:val="190"/>
        </w:trPr>
        <w:tc>
          <w:tcPr>
            <w:tcW w:w="8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2016</w:t>
            </w:r>
          </w:p>
        </w:tc>
      </w:tr>
      <w:tr>
        <w:trPr>
          <w:trHeight w:val="232"/>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As Adjusted -</w:t>
            </w:r>
          </w:p>
        </w:tc>
      </w:tr>
      <w:tr>
        <w:trPr>
          <w:trHeight w:val="192"/>
        </w:trPr>
        <w:tc>
          <w:tcPr>
            <w:tcW w:w="8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See Note 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2,767</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(3,686)</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480" w:type="dxa"/>
            <w:vAlign w:val="bottom"/>
          </w:tcPr>
          <w:p>
            <w:pPr>
              <w:spacing w:after="0"/>
              <w:rPr>
                <w:sz w:val="6"/>
                <w:szCs w:val="6"/>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2017 - As Adjusted</w:t>
            </w:r>
          </w:p>
        </w:tc>
        <w:tc>
          <w:tcPr>
            <w:tcW w:w="9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44,816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694,477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Cumulative Effect of Adoption of ASU 2016-09</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w w:val="94"/>
              </w:rPr>
              <w:t>Share issuances related to stock-based compensation</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45,354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720,041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494,997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90"/>
        </w:trPr>
        <w:tc>
          <w:tcPr>
            <w:tcW w:w="7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32"/>
        </w:trPr>
        <w:tc>
          <w:tcPr>
            <w:tcW w:w="7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As Adjusted -</w:t>
            </w:r>
          </w:p>
        </w:tc>
        <w:tc>
          <w:tcPr>
            <w:tcW w:w="0" w:type="dxa"/>
            <w:vAlign w:val="bottom"/>
          </w:tcPr>
          <w:p>
            <w:pPr>
              <w:spacing w:after="0"/>
              <w:rPr>
                <w:sz w:val="1"/>
                <w:szCs w:val="1"/>
                <w:color w:val="auto"/>
              </w:rPr>
            </w:pPr>
          </w:p>
        </w:tc>
      </w:tr>
      <w:tr>
        <w:trPr>
          <w:trHeight w:val="192"/>
        </w:trPr>
        <w:tc>
          <w:tcPr>
            <w:tcW w:w="7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See Note 2</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Equity in income (loss) of affiliate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commissions cost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24,047</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Purchase of short-term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(33,299)</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24,438</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4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Excess tax benefits from stock-based compensation (see Note 2)</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329,491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288,107</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349,522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302,247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unaudited notes to consolidated financial statements</w:t>
      </w:r>
    </w:p>
    <w:p>
      <w:pPr>
        <w:sectPr>
          <w:pgSz w:w="11900" w:h="16838" w:orient="portrait"/>
          <w:cols w:equalWidth="0" w:num="1">
            <w:col w:w="10980"/>
          </w:cols>
          <w:pgMar w:left="240" w:top="12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80"/>
          </w:cols>
          <w:pgMar w:left="240" w:top="125" w:right="6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The Company also provides its customers with a broad range of professional and customer support services.</w:t>
      </w:r>
    </w:p>
    <w:p>
      <w:pPr>
        <w:spacing w:after="0" w:line="12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consolidated financial statements as of June 30, 2017 and for the three months ended June 30, 2017 and 2016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2017. The results reported in these financial statements should not necessarily be taken as indicative of results that may be expected for the entire fiscal year. The Company has early adopted the new revenue standard as of April 1, 2017 using the full retrospective method which required each prior reporting period presented to be adjusted beginning with this issuance of the Company’s financial statements.</w:t>
      </w:r>
    </w:p>
    <w:p>
      <w:pPr>
        <w:spacing w:after="0" w:line="124"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fiscal 2018 the Company adopted new accounting guidance related to revenue recognition and accounting for share-based compensation which is described below. The impact of this new guidance is described below. There have been no other significant changes in the Company’s accounting policies during the three months ended June 30, 2017 as compared to the significant accounting policies described in its Annual Report on Form 10-K for the year ended March 31, 2017.</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This standard replaced existing revenue recognition rules with a comprehensive revenue measurement and recognition standard and expanded disclosure requirements. The ASU also includes guidance regarding the accounting for contract acquisition costs, which includes sales commissions. The Company has early adopted the new standard as of April 1, 2017 using the full retrospective method which required each prior reporting period presented to be adjusted beginning with this issuance of the Company’s financial statements. The most significant impact of adopting the new standard related to the deferral of commission costs. A portion of sales commissions cost is now recorded as an asset and recognized as an operating expense over the time period that the Company expects to recover the costs.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color w:val="auto"/>
        </w:rPr>
        <w:t>Select adjusted unaudited financial statement information, which reflect the adoption of the ASU is below. The Company’s historical net cash flows are not impacted by this accounting change.</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6"/>
          </w:tcPr>
          <w:p>
            <w:pPr>
              <w:jc w:val="center"/>
              <w:ind w:right="1353"/>
              <w:spacing w:after="0"/>
              <w:rPr>
                <w:sz w:val="20"/>
                <w:szCs w:val="20"/>
                <w:color w:val="auto"/>
              </w:rPr>
            </w:pPr>
            <w:r>
              <w:rPr>
                <w:rFonts w:ascii="Arial" w:cs="Arial" w:eastAsia="Arial" w:hAnsi="Arial"/>
                <w:sz w:val="14"/>
                <w:szCs w:val="14"/>
                <w:b w:val="1"/>
                <w:bCs w:val="1"/>
                <w:color w:val="auto"/>
                <w:w w:val="93"/>
              </w:rPr>
              <w:t>Three Months Ended June 30, 2016</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Unaudited</w:t>
            </w: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7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4"/>
              </w:rPr>
              <w:t>Adjusted for Adoption of</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63,937</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63,413</w:t>
            </w: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88,361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151,774</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130,779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133,966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134,007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Equity in loss of affiliate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5"/>
          </w:tcPr>
          <w:p>
            <w:pPr>
              <w:jc w:val="center"/>
              <w:ind w:right="1473"/>
              <w:spacing w:after="0"/>
              <w:rPr>
                <w:sz w:val="20"/>
                <w:szCs w:val="20"/>
                <w:color w:val="auto"/>
              </w:rPr>
            </w:pPr>
            <w:r>
              <w:rPr>
                <w:rFonts w:ascii="Arial" w:cs="Arial" w:eastAsia="Arial" w:hAnsi="Arial"/>
                <w:sz w:val="14"/>
                <w:szCs w:val="14"/>
                <w:b w:val="1"/>
                <w:bCs w:val="1"/>
                <w:color w:val="auto"/>
                <w:w w:val="92"/>
              </w:rPr>
              <w:t>Unaudited Balance Sheet Data</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7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4"/>
              </w:rPr>
              <w:t>Adjusted for Adoption of</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132,761</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140,084</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598,736</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606,059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61,018</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50,228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Deferred commissions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30,378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30,378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802,967</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829,878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206,777</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209,099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285,595</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287,917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3,934</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(239,974)</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(215,677)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442,635</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802,967</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26,911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829,878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80" w:firstLine="180"/>
        <w:spacing w:after="0" w:line="26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simplifies the accounting for share-based payment transactions, including related accounting for income taxes, forfeitures, and classification in the statement of cash flows. The Company adopted the guidance prospectively effective April 1, 2017.</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firstLine="216"/>
        <w:spacing w:after="0" w:line="290" w:lineRule="auto"/>
        <w:rPr>
          <w:sz w:val="20"/>
          <w:szCs w:val="20"/>
          <w:color w:val="auto"/>
        </w:rPr>
      </w:pPr>
      <w:r>
        <w:rPr>
          <w:rFonts w:ascii="Arial" w:cs="Arial" w:eastAsia="Arial" w:hAnsi="Arial"/>
          <w:sz w:val="16"/>
          <w:szCs w:val="16"/>
          <w:color w:val="auto"/>
        </w:rPr>
        <w:t>The guidance requires excess tax benefits and tax deficiencies to be recorded as income tax benefit or expense in the statement of income when the awards vest or are settled, and eliminates the requirement to reclassify cash flows related to excess tax benefits from operating activities to financing activities on the statement of cash flows. In the three months ended June 30, 2017, the Company recognized $2,358 of such excess tax benefits, and, pursuant to the adopted guidance, net loss decreased by $2,358, or $0.05 per basic and diluted share. Amounts previously recorded to Additional paid-in capital related to excess tax benefits prior to April 1, 2017 remain in Stockholders' equity. Cash flows related to excess taxes prior to April 1, 2017 remain classified as financing cash flows. In addition, the standard allows the Company to repurchase more of an employee’s vesting shares for tax withholding purposes without triggering liability accounting, and provides an accounting policy election to account for forfeitures as they occur. The Company has elected to account for forfeitures as they occur. The cumulative impact of the election to account for forfeitures as they are incurred is included as an adjustment to accumulated deficit.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the Company's fiscal 2020, with early adoption permitted. A company will be required to recognize and measure leases at the beginning of the earliest period presented using a modified retrospective approach. The Company is currently assessing the impact the adoption of ASU 2016-02 will have on the financial statements.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17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Trade and other receivables are primarily comprised of trade receivables that are recorded at the invoice amount, net of an allowance for doubtful accounts, which is not material. Unbilled receivables represent amounts for which revenue has been recognized but which have not yet been invoiced to the customer. The current portion of unbilled receivables is included in Trade accounts receivable on the consolidated balance sheet. Long term unbilled receivables are included in Other assets.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Tax</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records revenue net of sales tax.</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revenues for all periods presented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Commissions Cost</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Sales commissions and related payroll taxes earned by the Company's employees are considered incremental and recoverable costs of obtaining a contract with a customer. The costs related to revenue that will be recognized in future periods is deferred and then amortized over a period of benefit that the Company has determined to be five years. The period of benefit was determined by taking into consideration customer contracts, technology and other factors. Amortization expense related to these costs is included in Sales and marketing expenses in the accompanying condensed consolidated statements of loss.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The value of deferred revenues will increase or decrease based on the timing of invoices and recognition of revenue.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ind w:right="480" w:firstLine="432"/>
        <w:spacing w:after="0" w:line="312" w:lineRule="auto"/>
        <w:rPr>
          <w:sz w:val="20"/>
          <w:szCs w:val="20"/>
          <w:color w:val="auto"/>
        </w:rPr>
      </w:pPr>
      <w:r>
        <w:rPr>
          <w:rFonts w:ascii="Arial" w:cs="Arial" w:eastAsia="Arial" w:hAnsi="Arial"/>
          <w:sz w:val="16"/>
          <w:szCs w:val="16"/>
          <w:color w:val="auto"/>
        </w:rPr>
        <w:t>During the first quarter of fiscal 2018, one of our Directors, Joseph F. Eazor, was hired as the CEO of Rackspace, Inc ("Rackspace"). Prior to his appointment as CEO, the Company completed the sale of $4,212 of software and related services to Rackspace. Total recognized revenue related to Rackspace in the first quarter of fiscal 2018 was $4,054. The outstanding accounts receivable from this customer as of June 30, 2017 is $4,032.</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approximately 36% and 34% of total revenues for the three months ended June 30, 2017 and 2016, respectively. Arrow accounted for approximately 33% of total accounts receivable as of June 30, 2017 and 40% of total accounts receivable as of March 31, 2017.</w:t>
      </w:r>
    </w:p>
    <w:p>
      <w:pPr>
        <w:spacing w:after="0" w:line="127"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Sales through the Company’s distribution agreement with Avnet Technology Solutions ("Avnet") totaled 12% of total revenues for the three months ended June 30, 2017. Avnet accounted for approximately 13% of total accounts receivable as of June 30, 2017 and 12% of total accounts receivable as of March 31, 2017.</w:t>
      </w:r>
    </w:p>
    <w:p>
      <w:pPr>
        <w:spacing w:after="0" w:line="127" w:lineRule="exact"/>
        <w:rPr>
          <w:sz w:val="20"/>
          <w:szCs w:val="20"/>
          <w:color w:val="auto"/>
        </w:rPr>
      </w:pPr>
    </w:p>
    <w:p>
      <w:pPr>
        <w:ind w:right="460" w:firstLine="432"/>
        <w:spacing w:after="0" w:line="259" w:lineRule="auto"/>
        <w:rPr>
          <w:sz w:val="20"/>
          <w:szCs w:val="20"/>
          <w:color w:val="auto"/>
        </w:rPr>
      </w:pPr>
      <w:r>
        <w:rPr>
          <w:rFonts w:ascii="Arial" w:cs="Arial" w:eastAsia="Arial" w:hAnsi="Arial"/>
          <w:sz w:val="18"/>
          <w:szCs w:val="18"/>
          <w:color w:val="auto"/>
        </w:rPr>
        <w:t>The Company has an original equipment manufacturer agreement with Hitachi Data Systems ("HDS") for them to market, sell and support the Company's software applications and services on a stand-alone basis and/or incorporate the Company's software applications into their own hardware products. HDS accounted for 11% of total revenues for the three months ended June 30, 2017. HDS accounted for approximately 12% of total accounts receivable as of June 30, 2017.</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13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composition of the Company’s financial assets measured at fair value at June 30, 2017 and March 31, 2017:</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88,554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88,554</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131,774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131,774</w:t>
            </w:r>
          </w:p>
        </w:tc>
      </w:tr>
      <w:tr>
        <w:trPr>
          <w:trHeight w:val="554"/>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70,190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70,190</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120,989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120,989</w:t>
            </w: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60" w:firstLine="500"/>
        <w:spacing w:after="0" w:line="264" w:lineRule="auto"/>
        <w:rPr>
          <w:sz w:val="20"/>
          <w:szCs w:val="20"/>
          <w:color w:val="auto"/>
        </w:rPr>
      </w:pPr>
      <w:r>
        <w:rPr>
          <w:rFonts w:ascii="Arial" w:cs="Arial" w:eastAsia="Arial" w:hAnsi="Arial"/>
          <w:sz w:val="18"/>
          <w:szCs w:val="18"/>
          <w:color w:val="auto"/>
        </w:rPr>
        <w:t>The Company derives revenues from two primary sources: software licenses and services. Services include customer support (software updates and technical support), consulting, assessment and design services, installation services and customer education. A typical contract includes both licenses and services.</w:t>
      </w:r>
    </w:p>
    <w:p>
      <w:pPr>
        <w:spacing w:after="0" w:line="181" w:lineRule="exact"/>
        <w:rPr>
          <w:sz w:val="20"/>
          <w:szCs w:val="20"/>
          <w:color w:val="auto"/>
        </w:rPr>
      </w:pPr>
    </w:p>
    <w:p>
      <w:pPr>
        <w:ind w:right="60" w:firstLine="500"/>
        <w:spacing w:after="0" w:line="293"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The Company also sells term-based software licenses that expire, which are referred to as subscription arrangements. The Company does not customize its software for customers and installation services are not required. The software is delivered before related services are provided and is functional without professional services, updates and technical support. The Company has concluded that its software license is distinct as the customer can benefit from the software on its own. Software revenue is typically recognized when the software is delivered or made available for download to the Company’s customer. In addition, the Company has licensing arrangements with customers that are accounted for as usage-based royalties. Revenue from these arrangements is recognized as the usage occurs.</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are typically estimated using the residual approach. Standalone selling prices of services are typically estimated based on observable transactions when these services are sold on a standalone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Software Revenue</w:t>
      </w:r>
    </w:p>
    <w:p>
      <w:pPr>
        <w:sectPr>
          <w:pgSz w:w="11900" w:h="16838" w:orient="portrait"/>
          <w:cols w:equalWidth="0" w:num="1">
            <w:col w:w="11400"/>
          </w:cols>
          <w:pgMar w:left="240" w:top="125" w:right="259" w:bottom="1440" w:gutter="0" w:footer="0" w:header="0"/>
        </w:sectPr>
      </w:pPr>
    </w:p>
    <w:p>
      <w:pPr>
        <w:spacing w:after="0" w:line="6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297180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49" w:lineRule="exact"/>
        <w:rPr>
          <w:sz w:val="20"/>
          <w:szCs w:val="20"/>
          <w:color w:val="auto"/>
        </w:rPr>
      </w:pPr>
    </w:p>
    <w:p>
      <w:pPr>
        <w:sectPr>
          <w:pgSz w:w="11900" w:h="16838" w:orient="portrait"/>
          <w:cols w:equalWidth="0" w:num="2">
            <w:col w:w="5660" w:space="440"/>
            <w:col w:w="530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5"/>
          <w:szCs w:val="15"/>
          <w:i w:val="1"/>
          <w:iCs w:val="1"/>
          <w:color w:val="auto"/>
        </w:rPr>
        <w:t>Customer Support Revenue</w:t>
      </w:r>
    </w:p>
    <w:p>
      <w:pPr>
        <w:sectPr>
          <w:pgSz w:w="11900" w:h="16838" w:orient="portrait"/>
          <w:cols w:equalWidth="0" w:num="1">
            <w:col w:w="11400"/>
          </w:cols>
          <w:pgMar w:left="240" w:top="125" w:right="259" w:bottom="1440" w:gutter="0" w:footer="0" w:header="0"/>
          <w:type w:val="continuous"/>
        </w:sectPr>
      </w:pPr>
    </w:p>
    <w:p>
      <w:pPr>
        <w:spacing w:after="0" w:line="98"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5" w:right="259" w:bottom="1440" w:gutter="0" w:footer="0" w:header="0"/>
          <w:type w:val="continuous"/>
        </w:sectPr>
      </w:pPr>
    </w:p>
    <w:p>
      <w:pPr>
        <w:ind w:left="180"/>
        <w:spacing w:after="0"/>
        <w:tabs>
          <w:tab w:leader="none" w:pos="220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Professional Services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Professional</w:t>
            </w:r>
          </w:p>
        </w:tc>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work is performed (over time)</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(except for</w:t>
            </w:r>
          </w:p>
        </w:tc>
        <w:tc>
          <w:tcPr>
            <w:tcW w:w="3420" w:type="dxa"/>
            <w:vAlign w:val="bottom"/>
            <w:shd w:val="clear" w:color="auto" w:fill="CCEEFF"/>
          </w:tcPr>
          <w:p>
            <w:pPr>
              <w:spacing w:after="0"/>
              <w:rPr>
                <w:sz w:val="18"/>
                <w:szCs w:val="18"/>
                <w:color w:val="auto"/>
              </w:rPr>
            </w:pP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performed</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37"/>
        </w:trPr>
        <w:tc>
          <w:tcPr>
            <w:tcW w:w="1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education services)</w:t>
            </w:r>
          </w:p>
        </w:tc>
        <w:tc>
          <w:tcPr>
            <w:tcW w:w="34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r>
      <w:tr>
        <w:trPr>
          <w:trHeight w:val="229"/>
        </w:trPr>
        <w:tc>
          <w:tcPr>
            <w:tcW w:w="1900" w:type="dxa"/>
            <w:vAlign w:val="bottom"/>
          </w:tcPr>
          <w:p>
            <w:pPr>
              <w:ind w:left="160"/>
              <w:spacing w:after="0"/>
              <w:rPr>
                <w:sz w:val="20"/>
                <w:szCs w:val="20"/>
                <w:color w:val="auto"/>
              </w:rPr>
            </w:pPr>
            <w:r>
              <w:rPr>
                <w:rFonts w:ascii="Arial" w:cs="Arial" w:eastAsia="Arial" w:hAnsi="Arial"/>
                <w:sz w:val="18"/>
                <w:szCs w:val="18"/>
                <w:color w:val="auto"/>
              </w:rPr>
              <w:t>Education Services</w:t>
            </w:r>
          </w:p>
        </w:tc>
        <w:tc>
          <w:tcPr>
            <w:tcW w:w="3420" w:type="dxa"/>
            <w:vAlign w:val="bottom"/>
          </w:tcPr>
          <w:p>
            <w:pPr>
              <w:ind w:left="300"/>
              <w:spacing w:after="0"/>
              <w:rPr>
                <w:sz w:val="20"/>
                <w:szCs w:val="20"/>
                <w:color w:val="auto"/>
              </w:rPr>
            </w:pPr>
            <w:r>
              <w:rPr>
                <w:rFonts w:ascii="Arial" w:cs="Arial" w:eastAsia="Arial" w:hAnsi="Arial"/>
                <w:sz w:val="18"/>
                <w:szCs w:val="18"/>
                <w:color w:val="auto"/>
                <w:w w:val="99"/>
              </w:rPr>
              <w:t>When the class is taught (point in time)</w:t>
            </w:r>
          </w:p>
        </w:tc>
        <w:tc>
          <w:tcPr>
            <w:tcW w:w="3180" w:type="dxa"/>
            <w:vAlign w:val="bottom"/>
          </w:tcPr>
          <w:p>
            <w:pPr>
              <w:ind w:left="76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180" w:type="dxa"/>
            <w:vAlign w:val="bottom"/>
          </w:tcPr>
          <w:p>
            <w:pPr>
              <w:ind w:left="760"/>
              <w:spacing w:after="0"/>
              <w:rPr>
                <w:sz w:val="20"/>
                <w:szCs w:val="20"/>
                <w:color w:val="auto"/>
              </w:rPr>
            </w:pPr>
            <w:r>
              <w:rPr>
                <w:rFonts w:ascii="Arial" w:cs="Arial" w:eastAsia="Arial" w:hAnsi="Arial"/>
                <w:sz w:val="18"/>
                <w:szCs w:val="18"/>
                <w:color w:val="auto"/>
              </w:rPr>
              <w:t>performed</w:t>
            </w:r>
          </w:p>
        </w:tc>
        <w:tc>
          <w:tcPr>
            <w:tcW w:w="2880" w:type="dxa"/>
            <w:vAlign w:val="bottom"/>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486"/>
        </w:trPr>
        <w:tc>
          <w:tcPr>
            <w:tcW w:w="1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80" w:type="dxa"/>
            <w:vAlign w:val="bottom"/>
          </w:tcPr>
          <w:p>
            <w:pPr>
              <w:ind w:left="280"/>
              <w:spacing w:after="0"/>
              <w:rPr>
                <w:sz w:val="20"/>
                <w:szCs w:val="20"/>
                <w:color w:val="auto"/>
              </w:rPr>
            </w:pPr>
            <w:r>
              <w:rPr>
                <w:rFonts w:ascii="Arial" w:cs="Arial" w:eastAsia="Arial" w:hAnsi="Arial"/>
                <w:sz w:val="18"/>
                <w:szCs w:val="18"/>
                <w:color w:val="auto"/>
              </w:rPr>
              <w:t>10</w:t>
            </w:r>
          </w:p>
        </w:tc>
        <w:tc>
          <w:tcPr>
            <w:tcW w:w="28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7"/>
              </w:rPr>
              <w:t>Three Months Ended June 30, 2017</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8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Software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40,011</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23,772</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10,978</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74,761</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56,189</w:t>
            </w:r>
          </w:p>
        </w:tc>
        <w:tc>
          <w:tcPr>
            <w:tcW w:w="38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17,111</w:t>
            </w:r>
          </w:p>
        </w:tc>
        <w:tc>
          <w:tcPr>
            <w:tcW w:w="46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8,590</w:t>
            </w:r>
          </w:p>
        </w:tc>
        <w:tc>
          <w:tcPr>
            <w:tcW w:w="48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81,890</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4,861</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2,545</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1,915</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9,321</w:t>
            </w:r>
          </w:p>
        </w:tc>
      </w:tr>
      <w:tr>
        <w:trPr>
          <w:trHeight w:val="27"/>
        </w:trPr>
        <w:tc>
          <w:tcPr>
            <w:tcW w:w="302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101,061</w:t>
            </w:r>
          </w:p>
        </w:tc>
        <w:tc>
          <w:tcPr>
            <w:tcW w:w="380" w:type="dxa"/>
            <w:vAlign w:val="bottom"/>
            <w:tcBorders>
              <w:bottom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43,428</w:t>
            </w:r>
          </w:p>
        </w:tc>
        <w:tc>
          <w:tcPr>
            <w:tcW w:w="46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21,483</w:t>
            </w:r>
          </w:p>
        </w:tc>
        <w:tc>
          <w:tcPr>
            <w:tcW w:w="480" w:type="dxa"/>
            <w:vAlign w:val="bottom"/>
            <w:tcBorders>
              <w:bottom w:val="single" w:sz="8" w:color="auto"/>
            </w:tcBorders>
            <w:shd w:val="clear" w:color="auto" w:fill="BFE4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165,972</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7"/>
              </w:rPr>
              <w:t>Three Months Ended June 30, 2016</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Americas</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Software Revenue</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35,801</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17,633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9,979</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63,413</w:t>
            </w:r>
          </w:p>
        </w:tc>
      </w:tr>
      <w:tr>
        <w:trPr>
          <w:trHeight w:val="27"/>
        </w:trPr>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Customer Support Revenue</w:t>
            </w:r>
          </w:p>
        </w:tc>
        <w:tc>
          <w:tcPr>
            <w:tcW w:w="134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0"/>
              </w:rPr>
              <w:t>53,603</w:t>
            </w:r>
          </w:p>
        </w:tc>
        <w:tc>
          <w:tcPr>
            <w:tcW w:w="38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16,626</w:t>
            </w:r>
          </w:p>
        </w:tc>
        <w:tc>
          <w:tcPr>
            <w:tcW w:w="46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8,038</w:t>
            </w:r>
          </w:p>
        </w:tc>
        <w:tc>
          <w:tcPr>
            <w:tcW w:w="48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78,267</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1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6,025</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2,816</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1,253</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10,094</w:t>
            </w:r>
          </w:p>
        </w:tc>
      </w:tr>
      <w:tr>
        <w:trPr>
          <w:trHeight w:val="27"/>
        </w:trPr>
        <w:tc>
          <w:tcPr>
            <w:tcW w:w="3020" w:type="dxa"/>
            <w:vAlign w:val="bottom"/>
            <w:tcBorders>
              <w:bottom w:val="single" w:sz="8" w:color="BFE4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1340" w:type="dxa"/>
            <w:vAlign w:val="bottom"/>
            <w:tcBorders>
              <w:bottom w:val="single" w:sz="8" w:color="auto"/>
            </w:tcBorders>
            <w:shd w:val="clear" w:color="auto" w:fill="BFE4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0"/>
              </w:rPr>
              <w:t>95,429</w:t>
            </w:r>
          </w:p>
        </w:tc>
        <w:tc>
          <w:tcPr>
            <w:tcW w:w="380" w:type="dxa"/>
            <w:vAlign w:val="bottom"/>
            <w:tcBorders>
              <w:bottom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37,075</w:t>
            </w:r>
          </w:p>
        </w:tc>
        <w:tc>
          <w:tcPr>
            <w:tcW w:w="46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19,270</w:t>
            </w:r>
          </w:p>
        </w:tc>
        <w:tc>
          <w:tcPr>
            <w:tcW w:w="480" w:type="dxa"/>
            <w:vAlign w:val="bottom"/>
            <w:tcBorders>
              <w:bottom w:val="single" w:sz="8" w:color="auto"/>
            </w:tcBorders>
            <w:shd w:val="clear" w:color="auto" w:fill="BFE4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151,774</w:t>
            </w:r>
          </w:p>
        </w:tc>
      </w:tr>
      <w:tr>
        <w:trPr>
          <w:trHeight w:val="20"/>
        </w:trPr>
        <w:tc>
          <w:tcPr>
            <w:tcW w:w="3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some arrangements the Company allows customers to pay for term based software licenses over the term of the software license. The Company refers to these as subscription transactions.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Unbilled</w:t>
            </w:r>
          </w:p>
        </w:tc>
        <w:tc>
          <w:tcPr>
            <w:tcW w:w="2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Unbilled</w:t>
            </w:r>
          </w:p>
        </w:tc>
        <w:tc>
          <w:tcPr>
            <w:tcW w:w="28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Receivable</w:t>
            </w:r>
          </w:p>
        </w:tc>
        <w:tc>
          <w:tcPr>
            <w:tcW w:w="2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Receivable</w:t>
            </w:r>
          </w:p>
        </w:tc>
        <w:tc>
          <w:tcPr>
            <w:tcW w:w="28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Receivable</w:t>
            </w:r>
          </w:p>
        </w:tc>
        <w:tc>
          <w:tcPr>
            <w:tcW w:w="22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(current)</w:t>
            </w:r>
          </w:p>
        </w:tc>
        <w:tc>
          <w:tcPr>
            <w:tcW w:w="20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(long-term)</w:t>
            </w:r>
          </w:p>
        </w:tc>
        <w:tc>
          <w:tcPr>
            <w:tcW w:w="280" w:type="dxa"/>
            <w:vAlign w:val="bottom"/>
          </w:tcPr>
          <w:p>
            <w:pPr>
              <w:spacing w:after="0"/>
              <w:rPr>
                <w:sz w:val="20"/>
                <w:szCs w:val="20"/>
                <w:color w:val="auto"/>
              </w:rPr>
            </w:pPr>
          </w:p>
        </w:tc>
        <w:tc>
          <w:tcPr>
            <w:tcW w:w="1120" w:type="dxa"/>
            <w:vAlign w:val="bottom"/>
          </w:tcPr>
          <w:p>
            <w:pPr>
              <w:ind w:left="10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70,803</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(7,633)</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8,440</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4,201</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June 30, 2017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75,004</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decrease in accounts receivable is a result of the sequential decline in software revenue as well as customer support renewals which are more concentrated in the Company's fiscal fourth quarter. The increase in deferred revenue is primarily the result of an increase in deferred customer support revenue related to software revenue transactions and customer support renewals during the first quarter of fiscal 2018, most of which will be recognized over the course of the next twelve months.</w:t>
      </w:r>
    </w:p>
    <w:p>
      <w:pPr>
        <w:spacing w:after="0" w:line="187"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$78,932. The vast majority of this revenue consists of customer support arrangements. The amount of revenue recognized from performance obligations satisfied in prior periods was not material.</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5" w:right="3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June 30, 2017, approximately $14,840 of revenue may be recognized from remaining performance obligations, of which $687 was related to software. The Company expects the software to be recognized next quarter. The majority of this services revenue is related to other professional services which may be recognized over the next twelve months but is contingent upon a number of factors, including customers’ needs and schedules.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and Equipment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83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103,244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103,244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servers and other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35,274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14,912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1,335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w:t>
            </w:r>
          </w:p>
        </w:tc>
      </w:tr>
      <w:tr>
        <w:trPr>
          <w:trHeight w:val="237"/>
        </w:trPr>
        <w:tc>
          <w:tcPr>
            <w:tcW w:w="83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174,064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172,397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(40,078)</w:t>
            </w:r>
          </w:p>
        </w:tc>
      </w:tr>
      <w:tr>
        <w:trPr>
          <w:trHeight w:val="237"/>
        </w:trPr>
        <w:tc>
          <w:tcPr>
            <w:tcW w:w="83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131,209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132,319</w:t>
            </w:r>
          </w:p>
        </w:tc>
      </w:tr>
      <w:tr>
        <w:trPr>
          <w:trHeight w:val="27"/>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recorded depreciation and amortization expense of $2,709 and $2,439 for the three months ended June 30, 2017 and 2016, respectively.</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Net Income per Common Share</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13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diluted weighted average shares outstanding exclude outstanding stock options, restricted stock units, performance stock options, performance restricted stock units and shares to be purchased under the employee stock purchase plan totaling approximately 7,775 and 8,443 for the three months ended June 30, 2017 and 2016, respectively, because the effect would have been anti-dilutive.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 As of June 30, 2017, the Company is not aware of any asserted or unasserted claims, negotiations and legal actions for which a loss is considered reasonably possible of occurring and would require disclosure under the guidance.</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the Company made materially false and misleading statements, or failed to disclose material facts, regarding the Company's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the Company's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Discovery has commenced in this action and is ongoing.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As of June 30, 2017, the Company has not recorded an accrual for this matter as it has concluded the probability of a loss is remote.</w:t>
      </w:r>
    </w:p>
    <w:p>
      <w:pPr>
        <w:spacing w:after="0" w:line="17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On April 12, 2017, a shareholder derivative complaint was filed in the United States District Court for the District of New Jersey against the Company (nominally), certain of its executive officers, and certain of its current and former members of the board of directors. The complaint is entitled Murashko v. Hammer, et al. (Civ. No. 3:17-cv-02533-PGS-TJB). The action alleges that certain of the Company’s executive officers and board members breached their fiduciary duties to the Company by causing, or allowing, the Company to manipulate its financial results and conceal the state of its business prospects. The suit also alleges that through these breaches, the Company’s executive officers and board members unjustly enriched themselves at the expense of the Company. The suit asserts factual allegations similar to the allegations made in In re Commvault Systems, Inc. Securities Litigation (Master File No. 3:14-cv-05628-PGS-LHG), a securities litigation also pending in the United States District Court for the District of New Jersey. The allegations asserted in the shareholder derivate action purport to cover a period from 2013 through the present. As a derivative action, the complaint is brought nominally on behalf of the Company, and seeks compensatory damages, restitution, costs and expenses, as well as equitable or other relief.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As of June 30, 2017, the Company has not recorded an accrual for this matter as it has concluded the probability of a loss is remote.</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27, 2017, Realtime Data LLC d/b/a/ IXO (“Realtime”), a non-practicing entity, sued the Company and Spectra Logic Corporation in the Eastern District of Texas for alleged infringement of four patents: U.S. Patent Nos. 9,054,728, 7,415,530, 9,116,908, and 8,717,204. Realtime has sued numerous other companies for infringement of these and other patents. Realtime seeks monetary damages and an injunction. The Company has not yet answered the complaint.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The Company intends to defend itself vigorously. As of June 30, 2017, the Company has not recorded an accrual for this matter as it has concluded the probability of a loss is remote.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Revolving Credit Facility</w:t>
      </w:r>
    </w:p>
    <w:p>
      <w:pPr>
        <w:spacing w:after="0" w:line="17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June 30, 2014, the Company entered into a five-year $250,000 revolving credit facility (the “Credit Facility”).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the Company's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June 30, 2017, there were no borrowings under the Credit Facility and the Company was in compliance with all covenants.</w:t>
      </w:r>
    </w:p>
    <w:p>
      <w:pPr>
        <w:spacing w:after="0" w:line="11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 has deferred the expense related to debt issuance costs, which are classified as Other assets, and will amortize the costs into interest expense over the term of the Credit Facility. Unamortized amounts at June 30, 2017 were $505. The amortization of debt issuance costs was $63 in the three months ended June 30, 2017 and 2016.</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did not repurchase any of its shares during the three months ended June 30, 2017. As of June 30, 2017, $125,000 remained in the stock repurchase authorization that expires on March 31, 2018.</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On August 16, 2016, the Company’s Omnibus Incentive Plan (the “2016 Incentive Plan”) was approved by its shareholders. The 2016 Incentive Plan authorizes a broad range of awards including stock options, stock appreciation rights, full value awards (including restricted stock, restricted stock units, performance shares or units and other stock-based awards) and cash-based awards. The maximum number of shares of common stock that may be delivered under the 2016 Incentive Plan is equal to 2,800 shares.</w:t>
      </w:r>
    </w:p>
    <w:p>
      <w:pPr>
        <w:spacing w:after="0" w:line="13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and General and administrative expenses for the three months ended June 30, 2017 and 2016. Stock-based compensation is attributable to stock options, restricted stock units, performance based awards and the employee stock purchase plan.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7,671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7,120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17,340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As of June 30, 2017, there was approximately $99,267 of unrecognized stock-based compensation expense related to non-vested stock option and restricted stock unit awards that is expected to be recognized over a weighted average period of 1.36 years. The Company accounts for forfeitures as they occur. To the extent that awards are forfeitured, stock-based compensation will be different from the Company’s current estimate.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three months ended June 30, 2017 is as follows:</w:t>
      </w: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1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10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Outstanding as of March 31, 2017</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45.79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59.90</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Outstanding as of June 30, 2017</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45.59</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83,710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2017</w:t>
            </w: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gridSpan w:val="2"/>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44.78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79,222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The total intrinsic value of options exercised was $7,002 for the three months ended June 30, 2017 and $1,369 for the three months ended June 30, 2016. The Company’s policy is to issue new shares upon exercise of options as the Company does not hold shares in treasury.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three months ended June 30, 2017 is as follows: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2017</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2,396</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403</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June 30, 2017</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2,440</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weighted average fair value of restricted stock units awarded was $60.19 per unit during the three months ended June 30, 2017, and $46.88 per unit during the three months ended June 30, 2016. The weighted average fair value of awards includes the awards with a market condition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three months ended June 30, 2017, the Company granted 88 performance restricted stock units ("PSU") to certain executives. Vesting of these awards is contingent upon i) the Company meeting certain company-wide revenue and non-GAAP performance goals (performance-based) in fiscal 2017 and</w:t>
      </w:r>
    </w:p>
    <w:p>
      <w:pPr>
        <w:ind w:right="60" w:firstLine="8"/>
        <w:spacing w:after="0" w:line="295" w:lineRule="auto"/>
        <w:tabs>
          <w:tab w:leader="none" w:pos="20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customary service periods. The awards vest over three years and have a maximum potential to vest at 200% (176 shares) based on actual fiscal 2018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the three months ended June 30, 2017, the Company granted 88 market performance stock units to certain executives. The vesting of these awards is contingent upon the Company meeting certain total shareholder return ("TSR") levels as compared to a market index over the next three years. The awards vest in three annual tranches and have a maximum potential to vest at 200% (176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three months ended June 30, 2017 was $78.28. The awards are included in the restricted stock unit 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the six-month offering periods. An employee’s payroll deductions under the Purchase Plan are limited to 10% of the employee’s salary and employees may not purchase more than $25 of stock during any calendar year. As of June 30, 2017, 2,400 shares were reserved for future issuance under the Purchase Plan.</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Purchase Plan is considered compensatory and the fair value of the discount and look back provision are estimated using the Black-Scholes formula and recognized over the six month withholding period prior to purchase. The total expense associated with the Purchase Plan was $676 for the three months ended June 30, 2017 and $679 for the three months ended June 30, 2016.</w:t>
      </w:r>
    </w:p>
    <w:p>
      <w:pPr>
        <w:spacing w:after="0" w:line="1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Income tax benefit was $3,837 in the three months ended June 30, 2017. The income tax benefit in the three month period ended June 30, 2017 is primarily related to the $2,358 impact of excess tax benefits for exercised stock options and vested restricted stock units. In prior periods, excess tax benefits were accounted for as a component of equity. The income tax benefit also includes the favorable impact of research tax credits and was partially offset by the unfavorable impact of permanent book to tax differences.</w:t>
      </w:r>
    </w:p>
    <w:p>
      <w:pPr>
        <w:spacing w:after="0" w:line="133"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Income tax benefit was $695 in the three months ended June 30, 2016 The effective rate of the income tax benefit in the three month period is lower than the federal statutory rate due to the impact of unfavorable permanent differences, partially offset by the impact of research tax credits.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Unrecognized Tax Benefits</w:t>
      </w:r>
    </w:p>
    <w:p>
      <w:pPr>
        <w:spacing w:after="0" w:line="90"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A reconciliation of the beginning and ending amounts of unrecognized tax benefits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Additions for tax positions related to fiscal 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related to prior years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related to the expiration of statutes of limitations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9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All of the Company’s unrecognized tax benefits would favorably impact the effective tax rate if they were recognized. Components of the reserve are classified as either current or long-term in the Consolidated Balance Sheet based on when the Company expects each of the items to be settled. Unrecognized tax benefits and the related accrued interest and penalties totaling $1,434 are recorded as Other Liabilities on the Consolidated Balance Sheet, of</w:t>
      </w:r>
    </w:p>
    <w:p>
      <w:pPr>
        <w:ind w:right="80"/>
        <w:spacing w:after="0" w:line="261" w:lineRule="auto"/>
        <w:rPr>
          <w:sz w:val="20"/>
          <w:szCs w:val="20"/>
          <w:color w:val="auto"/>
        </w:rPr>
      </w:pPr>
      <w:r>
        <w:rPr>
          <w:rFonts w:ascii="Arial" w:cs="Arial" w:eastAsia="Arial" w:hAnsi="Arial"/>
          <w:sz w:val="18"/>
          <w:szCs w:val="18"/>
          <w:color w:val="auto"/>
        </w:rPr>
        <w:t>which $321 represents interest and penalties. The Company also has unrecognized tax benefits and related accrued interest and penalties totaling $1,146 as a reduction of Deferred Tax Assets on the Consolidated Balance Sheet, of which $96 represents interest and penalties.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Tax Items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as the United States, Australia, Canada, Germany, Netherlands and United Kingdom. The years subject to income tax examination in the Company’s foreign jurisdictions cover the maximum time period with respect to these jurisdictions. Due to net operating loss ("NOL") carryforwards, in some cases the tax years continue to remain subject to examination with respect to such NOLs.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2016.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9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We also provide our customers with a broad range of professional services that are delivered by our worldwide support and field operations. As of June 30, 2017, we had licensed our software applications to approximately 25,000 registered customers.</w:t>
      </w:r>
    </w:p>
    <w:p>
      <w:pPr>
        <w:spacing w:after="0" w:line="16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software licenses typically provide for a perpetual right to use our software and are sold on a per terabyte capacity basis, per-copy, as site licenses or as a solution set. Prior to fiscal 2018, an insignificant amount of our revenue has been sold under subscription, or term based, license arrangements. In these arrangements the customer has the right to use the software over a designated period of time. During fiscal 2018, we expect revenue from subscription arrangements to become a more significant portion of our total revenue compared to historical periods.</w:t>
      </w:r>
    </w:p>
    <w:p>
      <w:pPr>
        <w:spacing w:after="0" w:line="17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recent years, the majority of our software revenue has been sold on a capacity basis and we expect this to remain true in the near future. During the three months ended June 30, 2017, approximately 66% of software license revenue was sold on a capacity basis. This compares to approximately 69% of software license revenue was sold on a capacity basis during fiscal 2017. Software licenses sold on a capacity basis provide the customer with unlimited licenses of specified software products based on a defined level of terabytes of data under management. As a result, when we sell our platform through a capacity license, certain of the various functionalities discussed below are bundled into one capacity based price. Site licenses give the customer the additional right to deploy the software on a limited basis during a specified term.</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solution sets are generally sold on a per unit basis such as per virtual machine for our virtual machine backup, recovery and cloud management solution set; per mailbox for our email archive solution set, and per user for our endpoint data protection solution set. These solution sets are purpose-built offerings designed to accelerate private, public and hybrid cloud adoption that seamlessly integrate with our single platform software, offering a path towards holistic data management while allowing customers to utilize functionality that addresses the point solution requirements their business dictates. We primarily sell solution sets for virtual machine backup, recovery and cloud management; endpoint data protection; and email archive.</w:t>
      </w:r>
    </w:p>
    <w:p>
      <w:pPr>
        <w:spacing w:after="0" w:line="10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6"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We do not customize our software for a specific end-user customer. We sell our software applications to end-user customers both directly through our sales force and indirectly through our global network of value-added reseller partners, systems integrators, corporate resellers and original equipment manufacturers. Our software revenue was 45% and 42% of our total revenues for the three months ended June 30, 2017 and 2016, respectively.</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revenue from our existing customer base and approximately one-quarter of our software revenue from new customers. In addition, our total software revenue in any particular period is, to a certain extent, dependent upon our ability to generate revenues from large customer software deals, which we refer to as enterprise software transactions. Enterprise software transactions (transactions greater than $0.1 million) represented approximately 63% and 49% of our total software revenue in the three months ended June 30, 2017 and 2016, respectively.</w:t>
      </w:r>
    </w:p>
    <w:p>
      <w:pPr>
        <w:spacing w:after="0" w:line="134"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Software revenue generated through indirect distribution channels was 81% of total software revenue in the three months ended June 30, 2017 and was approximately 83% of total software revenue in the three months ended June 30, 2016. Software revenue generated through direct distribution channels was approximately 19% of total software revenue in the three months ended June 30, 2017 and was approximately 17% of total software revenue in the three months ended June 30, 2016. The dollar value of software revenue generated through indirect distribution channels increased approximately $7.9 million, or 15%, in the three months ended June 30, 2017 compared to the three months ended June 30, 2016. The dollar value of software revenue generated through direct distribution channels increased approximately $3.5 million, or 33%, in the three months ended June 30, 2017 compared to the three months ended June 30, 2016.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revenue generated through our direct distribution channels from time-to-time. We believe that the growth of our software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7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Our primary original equipment manufacturer agreement is with Hitachi Data Systems ("HDS") and allows them to market, sell and support our software applications and services on a stand-alone basis and/or incorporate our software applications into their own hardware products. Our original equipment manufacturer partners, including HDS, have no obligation to recommend or offer our software applications exclusively or at all, and they have no minimum sales requirements and can terminate our relationship at any time. Sales through our original equipment manufacturer agreements, accounted for approximately 10% of our total revenues for the three months ended June 30, 2017 and 15% of our total revenues for the three months ended June 30, 2016.</w:t>
      </w:r>
    </w:p>
    <w:p>
      <w:pPr>
        <w:spacing w:after="0" w:line="10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also have non-exclusive distribution agreements covering our North American commercial markets and our U.S. Federal Government market with Arrow Enterprise Computing Solutions, Inc. ("Arrow"), a subsidiary of Arrow Electronics, Inc., and Avnet Technology Solutions ("Avnet"), a subsidiary of Avnet, Inc. Pursuant to these distribution agreements, these distributors’ primary role is to enable a more efficient and effective distribution channel for our products and services by managing our reseller partners and leveraging their own industry experience. We generated approximately 36% of our total revenues through Arrow in the three months ended June 30, 2017, and approximately 34% in the three months ended June 30, 2016. We generated approximately 12% of our total revenues through Avnet in the three months ended June 30, 2017. If Arrow or Avnet were to discontinue or reduce the sales of our products or if our agreement with Arrow or Avnet was terminated, and if we were unable to take back the management of our reseller channel or find another North American distributor to replace Arrow or Avnet, then it could have a material adverse effect on our future business.</w:t>
      </w:r>
    </w:p>
    <w:p>
      <w:pPr>
        <w:spacing w:after="0" w:line="112"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services revenue was 55% of our total revenues for the three months ended June 30, 2017 and 58% of our total revenues for the three months ended June 30, 2016.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Sales outside the United States were approximately 45% of our total revenue for the three months ended June 30, 2017 and 43% of our total revenue for the three months ended June 30, 2016.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Using the average foreign currency exchange rates from the three months ended June 30, 2016 our software revenue would have been higher by $0.9 million, our services revenue would have been higher by $1.3 million, our cost of sales would have been higher by $0.1 million and our operating expenses would have been higher by $2.4 million from non-U.S. operations for the three months ended June 30, 2017.</w:t>
      </w:r>
    </w:p>
    <w:p>
      <w:pPr>
        <w:spacing w:after="0" w:line="11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gains of $0.1 million and $0.3 million in the three months ended June 30, 2017 and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Commissions Costs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includes changes to our critical accounting policies that have occurred in fiscal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account for revenue in accordance with ASC Topic 606, Revenue from Contracts with Customers. Our revenue recognition policies require us to make significant judgments and estimates. In applying our revenue recognition policy, we must determine which portions of our revenue are recognized currently (generally software revenue) and which portions must be deferred and recognized in future periods (generally services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80" w:firstLine="500"/>
        <w:spacing w:after="0" w:line="342" w:lineRule="auto"/>
        <w:rPr>
          <w:sz w:val="20"/>
          <w:szCs w:val="20"/>
          <w:color w:val="auto"/>
        </w:rPr>
      </w:pPr>
      <w:r>
        <w:rPr>
          <w:rFonts w:ascii="Arial" w:cs="Arial" w:eastAsia="Arial" w:hAnsi="Arial"/>
          <w:sz w:val="16"/>
          <w:szCs w:val="16"/>
          <w:color w:val="auto"/>
        </w:rPr>
        <w:t>We derive revenue from two primary sources: software licenses and services. Services include customer support (software updates and technical support), consulting, assessment and design services, installation services and customer education. A typical contract includes both licenses and services.</w:t>
      </w:r>
    </w:p>
    <w:p>
      <w:pPr>
        <w:spacing w:after="0" w:line="124" w:lineRule="exact"/>
        <w:rPr>
          <w:sz w:val="20"/>
          <w:szCs w:val="20"/>
          <w:color w:val="auto"/>
        </w:rPr>
      </w:pPr>
    </w:p>
    <w:p>
      <w:pPr>
        <w:ind w:right="120" w:firstLine="500"/>
        <w:spacing w:after="0" w:line="255" w:lineRule="auto"/>
        <w:rPr>
          <w:sz w:val="20"/>
          <w:szCs w:val="20"/>
          <w:color w:val="auto"/>
        </w:rPr>
      </w:pPr>
      <w:r>
        <w:rPr>
          <w:rFonts w:ascii="Arial" w:cs="Arial" w:eastAsia="Arial" w:hAnsi="Arial"/>
          <w:sz w:val="18"/>
          <w:szCs w:val="18"/>
          <w:color w:val="auto"/>
        </w:rPr>
        <w:t>Our software licenses typically provide for a perpetual right to use the Company’s software. We also sell term-based software licenses that expire, which we refer to as subscription arrangements. We do not customize its software for customers and installation services are not required. Our software is delivered before related services are provided and is functional without professional services, updates and technical support. We have concluded that our software license is distinct as the customer can benefit from the software on its own. Software revenue is typically recognized when the software is delivered or made available for download to our customer. We also have licensing arrangements with customers that are accounted for as usage-based royalties. Revenue from these arrangements is recognized as the usage occurs.</w:t>
      </w:r>
    </w:p>
    <w:p>
      <w:pPr>
        <w:spacing w:after="0" w:line="193"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are typically estimated using the residual approach. Standalone selling prices of services are typically estimated based on observable transactions when these services are sold on a standalone basis.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325" w:lineRule="exact"/>
        <w:rPr>
          <w:sz w:val="20"/>
          <w:szCs w:val="20"/>
          <w:color w:val="auto"/>
        </w:rPr>
      </w:pPr>
    </w:p>
    <w:p>
      <w:pPr>
        <w:ind w:left="380"/>
        <w:spacing w:after="0"/>
        <w:tabs>
          <w:tab w:leader="none" w:pos="3160" w:val="left"/>
          <w:tab w:leader="none" w:pos="6740" w:val="left"/>
          <w:tab w:leader="none" w:pos="898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60" w:val="left"/>
          <w:tab w:leader="none" w:pos="93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2123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Software Revenue</w:t>
      </w:r>
    </w:p>
    <w:p>
      <w:pPr>
        <w:sectPr>
          <w:pgSz w:w="11900" w:h="16838" w:orient="portrait"/>
          <w:cols w:equalWidth="0" w:num="1">
            <w:col w:w="11420"/>
          </w:cols>
          <w:pgMar w:left="240" w:top="125" w:right="239" w:bottom="1440" w:gutter="0" w:footer="0" w:header="0"/>
        </w:sectPr>
      </w:pPr>
    </w:p>
    <w:p>
      <w:pPr>
        <w:spacing w:after="0" w:line="63" w:lineRule="exact"/>
        <w:rPr>
          <w:sz w:val="20"/>
          <w:szCs w:val="20"/>
          <w:color w:val="auto"/>
        </w:rPr>
      </w:pPr>
    </w:p>
    <w:p>
      <w:pPr>
        <w:ind w:left="200"/>
        <w:spacing w:after="0"/>
        <w:tabs>
          <w:tab w:leader="none" w:pos="220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49" w:lineRule="exact"/>
        <w:rPr>
          <w:sz w:val="20"/>
          <w:szCs w:val="20"/>
          <w:color w:val="auto"/>
        </w:rPr>
      </w:pPr>
    </w:p>
    <w:p>
      <w:pPr>
        <w:sectPr>
          <w:pgSz w:w="11900" w:h="16838" w:orient="portrait"/>
          <w:cols w:equalWidth="0" w:num="2">
            <w:col w:w="5660" w:space="420"/>
            <w:col w:w="5340"/>
          </w:cols>
          <w:pgMar w:left="240" w:top="125" w:right="239" w:bottom="1440" w:gutter="0" w:footer="0" w:header="0"/>
          <w:type w:val="continuous"/>
        </w:sectPr>
      </w:pPr>
    </w:p>
    <w:p>
      <w:pPr>
        <w:ind w:left="60"/>
        <w:spacing w:after="0"/>
        <w:rPr>
          <w:sz w:val="20"/>
          <w:szCs w:val="20"/>
          <w:color w:val="auto"/>
        </w:rPr>
      </w:pPr>
      <w:r>
        <w:rPr>
          <w:rFonts w:ascii="Arial" w:cs="Arial" w:eastAsia="Arial" w:hAnsi="Arial"/>
          <w:sz w:val="15"/>
          <w:szCs w:val="15"/>
          <w:i w:val="1"/>
          <w:iCs w:val="1"/>
          <w:color w:val="auto"/>
        </w:rPr>
        <w:t>Customer Support Revenue</w:t>
      </w:r>
    </w:p>
    <w:p>
      <w:pPr>
        <w:sectPr>
          <w:pgSz w:w="11900" w:h="16838" w:orient="portrait"/>
          <w:cols w:equalWidth="0" w:num="1">
            <w:col w:w="11420"/>
          </w:cols>
          <w:pgMar w:left="240" w:top="125" w:right="239" w:bottom="1440" w:gutter="0" w:footer="0" w:header="0"/>
          <w:type w:val="continuous"/>
        </w:sectPr>
      </w:pPr>
    </w:p>
    <w:p>
      <w:pPr>
        <w:spacing w:after="0" w:line="98" w:lineRule="exact"/>
        <w:rPr>
          <w:sz w:val="20"/>
          <w:szCs w:val="20"/>
          <w:color w:val="auto"/>
        </w:rPr>
      </w:pPr>
    </w:p>
    <w:p>
      <w:pPr>
        <w:ind w:left="200"/>
        <w:spacing w:after="0"/>
        <w:tabs>
          <w:tab w:leader="none" w:pos="220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721233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60"/>
            <w:col w:w="5340"/>
          </w:cols>
          <w:pgMar w:left="240" w:top="125" w:right="239" w:bottom="1440" w:gutter="0" w:footer="0" w:header="0"/>
          <w:type w:val="continuous"/>
        </w:sectPr>
      </w:pPr>
    </w:p>
    <w:p>
      <w:pPr>
        <w:ind w:left="200"/>
        <w:spacing w:after="0"/>
        <w:tabs>
          <w:tab w:leader="none" w:pos="220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60"/>
            <w:col w:w="5340"/>
          </w:cols>
          <w:pgMar w:left="240" w:top="125" w:right="239" w:bottom="1440" w:gutter="0" w:footer="0" w:header="0"/>
          <w:type w:val="continuous"/>
        </w:sectPr>
      </w:pPr>
    </w:p>
    <w:p>
      <w:pPr>
        <w:ind w:left="60"/>
        <w:spacing w:after="0"/>
        <w:rPr>
          <w:sz w:val="20"/>
          <w:szCs w:val="20"/>
          <w:color w:val="auto"/>
        </w:rPr>
      </w:pPr>
      <w:r>
        <w:rPr>
          <w:rFonts w:ascii="Arial" w:cs="Arial" w:eastAsia="Arial" w:hAnsi="Arial"/>
          <w:sz w:val="18"/>
          <w:szCs w:val="18"/>
          <w:i w:val="1"/>
          <w:iCs w:val="1"/>
          <w:color w:val="auto"/>
        </w:rPr>
        <w:t>Professional Services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Professional</w:t>
            </w:r>
          </w:p>
        </w:tc>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work is performed (over time)</w:t>
            </w:r>
          </w:p>
        </w:tc>
        <w:tc>
          <w:tcPr>
            <w:tcW w:w="31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3"/>
              </w:rPr>
              <w:t>Within 90 days of services being</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(except for</w:t>
            </w:r>
          </w:p>
        </w:tc>
        <w:tc>
          <w:tcPr>
            <w:tcW w:w="3420" w:type="dxa"/>
            <w:vAlign w:val="bottom"/>
            <w:shd w:val="clear" w:color="auto" w:fill="CCEEFF"/>
          </w:tcPr>
          <w:p>
            <w:pPr>
              <w:spacing w:after="0"/>
              <w:rPr>
                <w:sz w:val="18"/>
                <w:szCs w:val="18"/>
                <w:color w:val="auto"/>
              </w:rPr>
            </w:pPr>
          </w:p>
        </w:tc>
        <w:tc>
          <w:tcPr>
            <w:tcW w:w="3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performed</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multiple performance obligations</w:t>
            </w:r>
          </w:p>
        </w:tc>
      </w:tr>
      <w:tr>
        <w:trPr>
          <w:trHeight w:val="237"/>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education services)</w:t>
            </w:r>
          </w:p>
        </w:tc>
        <w:tc>
          <w:tcPr>
            <w:tcW w:w="34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r>
      <w:tr>
        <w:trPr>
          <w:trHeight w:val="229"/>
        </w:trPr>
        <w:tc>
          <w:tcPr>
            <w:tcW w:w="1880" w:type="dxa"/>
            <w:vAlign w:val="bottom"/>
          </w:tcPr>
          <w:p>
            <w:pPr>
              <w:ind w:left="160"/>
              <w:spacing w:after="0"/>
              <w:rPr>
                <w:sz w:val="20"/>
                <w:szCs w:val="20"/>
                <w:color w:val="auto"/>
              </w:rPr>
            </w:pPr>
            <w:r>
              <w:rPr>
                <w:rFonts w:ascii="Arial" w:cs="Arial" w:eastAsia="Arial" w:hAnsi="Arial"/>
                <w:sz w:val="18"/>
                <w:szCs w:val="18"/>
                <w:color w:val="auto"/>
              </w:rPr>
              <w:t>Education Services</w:t>
            </w:r>
          </w:p>
        </w:tc>
        <w:tc>
          <w:tcPr>
            <w:tcW w:w="3420" w:type="dxa"/>
            <w:vAlign w:val="bottom"/>
          </w:tcPr>
          <w:p>
            <w:pPr>
              <w:ind w:left="300"/>
              <w:spacing w:after="0"/>
              <w:rPr>
                <w:sz w:val="20"/>
                <w:szCs w:val="20"/>
                <w:color w:val="auto"/>
              </w:rPr>
            </w:pPr>
            <w:r>
              <w:rPr>
                <w:rFonts w:ascii="Arial" w:cs="Arial" w:eastAsia="Arial" w:hAnsi="Arial"/>
                <w:sz w:val="18"/>
                <w:szCs w:val="18"/>
                <w:color w:val="auto"/>
                <w:w w:val="99"/>
              </w:rPr>
              <w:t>When the class is taught (point in time)</w:t>
            </w:r>
          </w:p>
        </w:tc>
        <w:tc>
          <w:tcPr>
            <w:tcW w:w="3180" w:type="dxa"/>
            <w:vAlign w:val="bottom"/>
          </w:tcPr>
          <w:p>
            <w:pPr>
              <w:ind w:left="740"/>
              <w:spacing w:after="0"/>
              <w:rPr>
                <w:sz w:val="20"/>
                <w:szCs w:val="20"/>
                <w:color w:val="auto"/>
              </w:rPr>
            </w:pPr>
            <w:r>
              <w:rPr>
                <w:rFonts w:ascii="Arial" w:cs="Arial" w:eastAsia="Arial" w:hAnsi="Arial"/>
                <w:sz w:val="18"/>
                <w:szCs w:val="18"/>
                <w:color w:val="auto"/>
                <w:w w:val="93"/>
              </w:rPr>
              <w:t>Within 90 days of services being</w:t>
            </w:r>
          </w:p>
        </w:tc>
        <w:tc>
          <w:tcPr>
            <w:tcW w:w="2880" w:type="dxa"/>
            <w:vAlign w:val="bottom"/>
          </w:tcPr>
          <w:p>
            <w:pPr>
              <w:ind w:left="6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8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180" w:type="dxa"/>
            <w:vAlign w:val="bottom"/>
          </w:tcPr>
          <w:p>
            <w:pPr>
              <w:ind w:left="740"/>
              <w:spacing w:after="0"/>
              <w:rPr>
                <w:sz w:val="20"/>
                <w:szCs w:val="20"/>
                <w:color w:val="auto"/>
              </w:rPr>
            </w:pPr>
            <w:r>
              <w:rPr>
                <w:rFonts w:ascii="Arial" w:cs="Arial" w:eastAsia="Arial" w:hAnsi="Arial"/>
                <w:sz w:val="18"/>
                <w:szCs w:val="18"/>
                <w:color w:val="auto"/>
              </w:rPr>
              <w:t>performed</w:t>
            </w:r>
          </w:p>
        </w:tc>
        <w:tc>
          <w:tcPr>
            <w:tcW w:w="2880" w:type="dxa"/>
            <w:vAlign w:val="bottom"/>
          </w:tcPr>
          <w:p>
            <w:pPr>
              <w:ind w:left="60"/>
              <w:spacing w:after="0"/>
              <w:rPr>
                <w:sz w:val="20"/>
                <w:szCs w:val="20"/>
                <w:color w:val="auto"/>
              </w:rPr>
            </w:pPr>
            <w:r>
              <w:rPr>
                <w:rFonts w:ascii="Arial" w:cs="Arial" w:eastAsia="Arial" w:hAnsi="Arial"/>
                <w:sz w:val="18"/>
                <w:szCs w:val="18"/>
                <w:color w:val="auto"/>
              </w:rPr>
              <w:t>multiple performance obligations</w:t>
            </w:r>
          </w:p>
        </w:tc>
      </w:tr>
      <w:tr>
        <w:trPr>
          <w:trHeight w:val="864"/>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80" w:type="dxa"/>
            <w:vAlign w:val="bottom"/>
          </w:tcPr>
          <w:p>
            <w:pPr>
              <w:ind w:left="280"/>
              <w:spacing w:after="0"/>
              <w:rPr>
                <w:sz w:val="20"/>
                <w:szCs w:val="20"/>
                <w:color w:val="auto"/>
              </w:rPr>
            </w:pPr>
            <w:r>
              <w:rPr>
                <w:rFonts w:ascii="Arial" w:cs="Arial" w:eastAsia="Arial" w:hAnsi="Arial"/>
                <w:sz w:val="18"/>
                <w:szCs w:val="18"/>
                <w:color w:val="auto"/>
              </w:rPr>
              <w:t>21</w:t>
            </w:r>
          </w:p>
        </w:tc>
        <w:tc>
          <w:tcPr>
            <w:tcW w:w="2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 and Accounting for Income Taxes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simplifies the accounting for share-based payment transactions, including related accounting for income taxes, forfeitures, and classification in the statement of cash flows. In connection with the adoption of this guidance we elected an accounting policy to account for forfeitures as they occur. The guidance also requires excess tax benefits and tax deficiencies to be recorded as income tax benefit or expense in the statement of income when the awards vest or are settled, and eliminates the requirement to reclassify cash flows related to excess tax benefits from operating activities to financing activities on the statement of cash flows.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Commissions Cost</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Sales commissions and related payroll taxes earned by our employees are considered incremental and recoverable costs of obtaining a contract with a customer. The costs related to revenue that will be recognized in future periods is deferred and then amortized over a period of benefit that we have determined to be five years. The period of benefit was determined by taking into consideration customer contracts, technology and other factors. Amortization expense related to these costs is included in Sales and marketing expenses in the accompanying condensed consolidated statements of income. If we were to change our estimate of the period of benefit of these deferred costs it would impact our results of operations.</w:t>
      </w:r>
    </w:p>
    <w:p>
      <w:pPr>
        <w:spacing w:after="0" w:line="11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There have been no other significant changes in our critical accounting policies and estimates during the three months ended June 30, 2017 as compared to the critical accounting policies and estimates disclosed in “Management’s Discussion and Analysis of Financial Condition and Results of Operations - Critical Accounting Policies” included in our Annual Report on Form 10-K for the year ended March 31, 2017. In addition, please see Note 2 of Notes to the Condensed Consolidated Financial Statements included in this Quarterly Report on Form 10-Q and Note 2 of the Notes to Consolidated Financial Statements included in our fiscal 2017 Annual Report on Form 10-K filed for a description of our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Total revenues increased $14.2 million, or 9%, from $151.8 million in the three months ended June 30, 2016 to $166.0 million in the three months ended June 30, 2017.</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Software Revenue. </w:t>
      </w:r>
      <w:r>
        <w:rPr>
          <w:rFonts w:ascii="Arial" w:cs="Arial" w:eastAsia="Arial" w:hAnsi="Arial"/>
          <w:sz w:val="18"/>
          <w:szCs w:val="18"/>
          <w:color w:val="auto"/>
        </w:rPr>
        <w:t>Software revenue increased $11.3 million, or 18%, from $63.4 million in the three months ended June 30, 2016 to $74.8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2017. Software revenue represented 45% of our total revenues in the three months ended June 30, 2017 as compared to 42% of total revenues in the three months ended June 30, 2016.</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track software revenue on a geographic basis. The geographic regions that are tracked are the Americas (United States, Canada, Latin America), EMEA (Europe, Middle East, Africa) and APAC (Australia, New Zealand, Southeast Asia, China). Americas, EMEA and APAC represented 53%, 32% and 15% of total software revenue, respectively, for the three months ended June 30, 2017. The year-over-year increase of software revenue in the Americas, EMEA and APAC was 12%, 35% and 10%, respectively.</w:t>
      </w:r>
    </w:p>
    <w:p>
      <w:pPr>
        <w:spacing w:after="0" w:line="133" w:lineRule="exact"/>
        <w:rPr>
          <w:sz w:val="20"/>
          <w:szCs w:val="20"/>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Americas software revenue for the three months ended June 30, 2017 was the result of an increase in enterprise transaction revenue driven by a higher average dollar value of enterprise revenue transactions.</w:t>
      </w:r>
    </w:p>
    <w:p>
      <w:pPr>
        <w:spacing w:after="0" w:line="11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EMEA software revenue increased as a result of a significant increase in enterprise transaction revenue. The significant increase in enterprise transaction revenue was driven by an increase in the average dollar value of such transactions. Year over year software revenue growth in EMEA was adversely impacted by changes in foreign exchange rates as the U.S. dollar strengthened against the Euro and British pound sterling. Using average foreign exchange rates from the first three months of fiscal 2017, fiscal 2018 EMEA software revenue would have increased 39% compared to an actual increase of 35%.</w:t>
      </w:r>
    </w:p>
    <w:p>
      <w:pPr>
        <w:spacing w:after="0" w:line="13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APAC software revenue was the result of an increase in enterprise transaction revenue driven by a higher average dollar value of enterprise revenue transactions.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software revenue in EMEA and APAC is subject to changes in foreign exchange rates as more fully discussed above in the “Foreign Currency Exchange Rates’ Impact on Results of Operations” section.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Software revenue derived from enterprise software transactions (transactions greater than $0.1 million) represented approximately 63% of our software revenue in the three months ended June 30, 2017 and approximately 49% of our software revenue in the three months ended June 30, 2016. Enterprise software transaction revenue increased by $15.6 million, or 50%, in the three months ended June 30, 2017 compared to the three months ended June 30, 2016. This increase was driven by a 59% increase in the average dollar amount of such transactions partially offset by a 6% decline in the number of transactions. The average sales price was approximately $375,000 in the three months ended June 30, 2017 and approximately $236,000 in the three months ended</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June 30, 2016. Software revenue derived from transactions less than $0.1 million decreased $4.2 million, or 13%, in the three months ended June 30, 2017 compared to the three months ended June 30, 2016.</w:t>
      </w:r>
    </w:p>
    <w:p>
      <w:pPr>
        <w:spacing w:after="0" w:line="13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$2.9 million, or 3%, from $88.4 million in the three months ended June 30, 2016 to $91.2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2017. Services revenue represented 55% of our total revenues in the three months ended June 30, 2017 and 58% in the three months ended June 30, 2016. The increase in services revenue is due to a $3.6 million increase in revenue from customer support agreements as a result of software sales to new customers and renewal agreements with our installed software base. The increase in customer support revenue was partially offset by a decline in other professional services revenue.</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Total cost of revenues increased $0.7 million, or 3%, from $21.0 million in the three months ended June 30, 2016 to $21.7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2017. The gross margin of our services revenue was 77% for both the three months ended June 30, 2017 and 2016. Overall, our services revenue has lower gross margins than our software revenue. The gross margin of our software revenue was approximately 99% for both the three months ended June 30, 2017 and 2016. An increase in the percentage of total revenues represented by services revenue may adversely affect our overall gross margins.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$7.2 million, or 8%, from $92.7 million in the three months ended June 30, 2016 to $99.9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three months ended June 30, 2017. The increase is primarily due to a $4.8 million increase in employee compensation and related expenses mainly attributable to the expansion of our sales force from the prior year and a $1.8 million increase in stock-based compensation. Sales and marketing expenses as a percentage of total revenues was 60% in the three months ended June 30, 2017 and 61% in the three months ended June 30, 2016.</w:t>
      </w:r>
    </w:p>
    <w:p>
      <w:pPr>
        <w:spacing w:after="0" w:line="10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$3.3 million, or 17%, from $19.2 million in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to $22.5 million in the three months ended June 30, 2017. The increase is due to salary and related expenses resulting from the expansion of our engineering group. Research and development expenses as a percentage of total revenues was 14% in the three months ended June 30, 2017 and 13% in the three months ended June 30, 2016. Investing in research and development has been a priority for Commvault, and we anticipate continued spending related to the development of our data and information management software applications.</w:t>
      </w:r>
    </w:p>
    <w:p>
      <w:pPr>
        <w:spacing w:after="0" w:line="119" w:lineRule="exact"/>
        <w:rPr>
          <w:sz w:val="20"/>
          <w:szCs w:val="20"/>
          <w:color w:val="auto"/>
        </w:rPr>
      </w:pPr>
    </w:p>
    <w:p>
      <w:pPr>
        <w:ind w:right="340" w:firstLine="432"/>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$3.9 million, or 20%, from $19.9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2016 to $23.9 million in the three months ended June 30, 2017. The increase is primarily the result of a $4.3 million increase in employee compensation and related expenses. Expenses in the three months ended June 30, 2017 includes approximately $0.1 million of net foreign currency transaction gains compared to $0.3 million of net foreign currency transaction gains in the three months ended June 30, 2016. General and administrative expenses as a percentage of total revenues increased to 14% in the three months ended June 30, 2017 from 13% in the three months ended June 30, 2016.</w:t>
      </w:r>
    </w:p>
    <w:p>
      <w:pPr>
        <w:spacing w:after="0" w:line="10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$0.3 million from $2.1 million in the three months ended June 30, 2016 to $2.4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June 30, 2017.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 (Benefit)</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Income tax benefit was $3.8 in the three months ended June 30, 2017. The income tax benefit in the three month period ended June 30, 2017 is primarily related to the $2.4 impact of excess tax benefits for exercised stock options and vested restricted stock units. The inclusion of excess tax benefits in the income tax benefit is the result of changes in accounting guidance effective April 1, 2017. In prior periods excess tax benefits were recorded as an adjustment to equity. The income tax benefit also includes the favorable impact of research tax credits and was partially offset by the unfavorable impact of permanent book to tax differences. Income tax benefit was $0.7 in the three months ended June 30, 2016 The effective rate of the income tax benefit in the three month period is lower than the federal statutory rate due to the impact of unfavorable permanent differences, partially offset by the impact of research tax credits.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June 30, 2017, our cash and cash equivalents balance of $349.5 million primarily consisted of cash and money market funds. In addition, as of June 30, 2017 we have short-term investments invested in U.S. Treasury Bills totaling $131.5 million. In recent fiscal years, our principal source of liquidity has been cash provided by operations.</w:t>
      </w:r>
    </w:p>
    <w:p>
      <w:pPr>
        <w:spacing w:after="0" w:line="12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of June 30, 2017, the amount of cash and cash equivalents held outside of the United States by our foreign legal entities was approximately $169 million. These balances are dispersed across many international locations around the world. We believe that such dispersion meets the current and anticipated future liquidity needs of our foreign legal entities. In addition, it is our intention to indefinitely reinvest undistributed earnings of our foreign legal entities. In the event we needed to repatriate funds from outside of the United States, such repatriation would likely be subject to restrictions by local laws and/or tax consequences including foreign withholding taxes or U.S. income taxes. It is not currently practical to estimate the legal restrictions or tax liability that would arise from such repatriations.</w:t>
      </w:r>
    </w:p>
    <w:p>
      <w:pPr>
        <w:spacing w:after="0" w:line="139"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We have a five-year $250 million revolving credit facility (the “Credit Facility”) that expires in June 2019.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actual leverage. The unused balance on the Credit Facility is also subject to a 0.25% annual interest charge subject to increases based on our actual leverage. As of June 30, 2017, there were no borrowings under the Credit Facility and we believe we are in compliance with all covenants.</w:t>
      </w:r>
    </w:p>
    <w:p>
      <w:pPr>
        <w:spacing w:after="0" w:line="128"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During the three months ended June 30, 2017, we did not repurchase any of common stock shares under our share repurchase program. As of June 30, 2017 there was $125.0 million remaining in the share repurchase program which expires March 31, 2018. Under our stock repurchase program, repurchased shares are constructively retired and returned to unissued status. Our stock repurchase program has been funded by our existing cash and cash equivalent balances as well as cash flows provided by our operations.</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 we believe is undervalued.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19,933</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24,047</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(12,247)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(9,894)</w:t>
            </w:r>
          </w:p>
        </w:tc>
      </w:tr>
      <w:tr>
        <w:trPr>
          <w:trHeight w:val="27"/>
        </w:trPr>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5,570</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1,842</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6,775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(1,855)</w:t>
            </w:r>
          </w:p>
        </w:tc>
      </w:tr>
      <w:tr>
        <w:trPr>
          <w:trHeight w:val="27"/>
        </w:trPr>
        <w:tc>
          <w:tcPr>
            <w:tcW w:w="4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20,031</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14,140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Net cash provided by operating activities was $19.9 million in the three months ended June 30, 2017 and $24.0 million in the three months ended June 30, 2016. In the three months ended June 30, 2017, cash provided by operating activities was primarily due to net loss adjusted for the impact of non-cash charges, collection of accounts receivable and an increase in deferred revenue. These amounts were partially offset by a decrease in Accrued liabilities and an increase in Other current assets. During the quarter we made a $3.0 million payment for software royalties related to our hyper-converged products and appliance strategy. We expect to utilize these prepaid royalties over the next year. Cash flow from operations in the three month period ended June 30, 2017 also includes $2.4 of excess tax benefits for exercised stock options and vested restricted stock units. In prior periods excess tax benefits were classified as financing activities. In the three months ended June 30, 2016, cash provided by operating activities was primarily due to net loss adjusted for the impact of non-cash charges and the collection of accounts receivable.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in investing activities was $12.2 million for the three months ended June 30, 2017 and $9.9 million in the three months ended June 30,</w:t>
      </w:r>
    </w:p>
    <w:p>
      <w:pPr>
        <w:spacing w:after="0" w:line="4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2016. In the three months ended June 30, 2017, cash used in investing activities was related to $10.8 million in net purchases of U.S. Treasury Bills and $1.5 million of capital expenditures. In the three months ended June 30, 2016, cash used in investing activities was related to $8.9 million in net purchases of U.S. Treasury Bills and $1.0 million of capital expenditures.</w:t>
      </w:r>
    </w:p>
    <w:p>
      <w:pPr>
        <w:spacing w:after="0" w:line="13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Net cash provided by financing activities was $5.6 million in the three months ended June 30, 2017 and $1.8 million in the three months ended June 30, 2016. The cash provided by financing activities in the three months ended June 30, 2017 was due to $5.6 million of proceeds from the exercise of stock options. The cash used in financing activities in the three months ended June 30, 2016 was due to $1.6 million of proceeds from the exercise of stock options and $0.3 million of excess tax benefits recognized as a result of the stock option exercises and restricted stock vesting. As a the result of the adoption of new accounting guidance, excess tax benefits are now included in cash from operating activities.</w:t>
      </w:r>
    </w:p>
    <w:p>
      <w:pPr>
        <w:spacing w:after="0" w:line="11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Working capital increased $31.5 million from $318.1 million as of March 31, 2017 to $349.6 million as of June 30, 2017. The net increase in working capital is due primarily to a net increase in cash and short-term investments that was a result of the cash flows generated from operations. 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including borrowing under our revolving credit facility,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640" w:firstLine="432"/>
        <w:spacing w:after="0" w:line="342" w:lineRule="auto"/>
        <w:rPr>
          <w:sz w:val="20"/>
          <w:szCs w:val="20"/>
          <w:color w:val="auto"/>
        </w:rPr>
      </w:pPr>
      <w:r>
        <w:rPr>
          <w:rFonts w:ascii="Arial" w:cs="Arial" w:eastAsia="Arial" w:hAnsi="Arial"/>
          <w:sz w:val="16"/>
          <w:szCs w:val="16"/>
          <w:color w:val="auto"/>
        </w:rPr>
        <w:t>As of June 30, 2017,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June 30, 2017,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a global company, we face exposure to adverse movements in foreign currency exchange rates. Our international sales are generally denominated in foreign currencies and this revenue could be materially affected by currency fluctuations. Approximately 45% of our sales were outside the United States for the three months ended June 30, 2017.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Loss. We recognized a net foreign currency transaction gain of $0.1 million in the three months ended June 30, 2017. We recognized net foreign currency transaction gain of $0.3 million in the three months ended June 30, 2016. The net foreign currency transaction gains and losses recorded in “General and administrative” expenses include settlement gains and losses on forward contracts disclosed below.</w:t>
      </w:r>
    </w:p>
    <w:p>
      <w:pPr>
        <w:spacing w:after="0" w:line="13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To date, we have selectively hedged our exposure to foreign currency transaction gains and losses on the balance sheet through the use of forward contracts, which were not designated as hedging instruments. The duration of forward contracts utilized for hedging our balance sheet exposure is generally one to three months. Gains and losses from these contracts are recorded in general and administrative expenses. As of June 30, 2017 and March 31, 2017, we did not have any forward contracts outstanding. We recorded net realized gains and losses of less than $0.1 million related to the settlement of forward exchange contracts in the three months ended June 30, 2017 and 2016. In the future, we may enter into additional foreign currency based hedging contracts to reduce our exposure to significant fluctuations in currency exchange rates on the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June 30, 2017. Based on that evaluation, the Chief Executive Officer and Chief Financial Officer concluded that our disclosure controls and procedures were effective as of June 30, 2017.</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adoption of ASC 606, Revenue from Contracts with Customers, required the implementation of new accounting processes, which changed the Company's internal controls over revenue recognition, contract acquisition costs (deferred commissions) and financial reporting. The Company has completed the design of these controls and they have been implemented as of April 1, 2017. There was no other significant changes in our internal control over financial reporting that occurred during the first quarter of fiscal 2018 that has materially affected, or is reasonably likely to materially affect, our internal control over financial reporting.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2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September 10, 2014, a purported class action complaint was filed in the United States District Court for the District of New Jersey against the Company, our Chief Executive Officer and our Chief Financial Officer. The case is captioned In re Commvault Systems, Inc. Securities Litigation (Master File No. 3:14-cv-05628-MAS-LHG). The suit alleges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our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Discovery has commenced in this action and is ongoing.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As of June 30, 2017, we have not recorded an accrual for this matter as we have concluded that the probability of a loss is remote.</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12, 2017, a shareholder derivative complaint was filed in the United States District Court for the District of New Jersey against us (nominally), certain of its executive officers, and certain of its current and former members of the board of directors. The complaint is entitled Murashko v. Hammer, et al. (Civ. No. 3:17-cv-02533-PGS-TJB). The action alleges that certain of our executive officers and board members breached their fiduciary duties to us by causing, or allowing, us to manipulate its financial results and conceal the state of its business prospects. The suit also alleges that through these breaches, our executive officers and board members unjustly enriched themselves at the expense of the company. The suit asserts factual allegations similar to the allegations made in In re Commvault Systems, Inc. Securities Litigation (Master File No. 3:14-cv-05628-PGS-LHG), a securities litigation also pending in the United States District Court for the District of New Jersey. The allegations asserted in the shareholder derivate action purport to cover a period from 2013 through the present. As a derivative action, the complaint is brought nominally on behalf of the company, and seeks compensatory damages, restitution, costs and expenses, as well as equitable or other relief. Due to the inherent uncertainties of litigation, we cannot accurately predict the ultimate outcome of this matter. We are unable at this time to determine whether the outcome of the litigation will have a material impact on its results of operations, financial condition or cash flows. As of June 30, 2017, we have not recorded an accrual for this matter as we have concluded the probability of a loss is remote.</w:t>
      </w:r>
    </w:p>
    <w:p>
      <w:pPr>
        <w:spacing w:after="0" w:line="18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February 27, 2017, Realtime Data LLC d/b/a/ IXO (“Realtime”), a non-practicing entity, sued us and Spectra Logic Corporation in the Eastern District of Texas for alleged infringement of four patents: U.S. Patent Nos. 9,054,728, 7,415,530, 9,116,908, and 8,717,204. Realtime has sued numerous other companies for infringement of these and other patents. Realtime seeks monetary damages and an injunction. We have not yet answered the complaint.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We intend to defend ourselves vigorously. As of June 30, 2017, we have not recorded an accrual for this matter as we have concluded that the probability of a loss is remote.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2017,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purchases of our common stock during the three months ended June 30, 2017.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list of exhibits filed herewith is included on the Exhibit Index, which immediately precedes such exhibits and is incorporated herein by reference.</w:t>
      </w: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240" w:top="125" w:right="5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ind w:left="220"/>
              <w:spacing w:after="0"/>
              <w:rPr>
                <w:sz w:val="20"/>
                <w:szCs w:val="20"/>
                <w:color w:val="auto"/>
              </w:rPr>
            </w:pPr>
            <w:r>
              <w:rPr>
                <w:rFonts w:ascii="Arial" w:cs="Arial" w:eastAsia="Arial" w:hAnsi="Arial"/>
                <w:sz w:val="18"/>
                <w:szCs w:val="18"/>
                <w:color w:val="auto"/>
              </w:rPr>
              <w:t>July 26, 2017</w:t>
            </w:r>
          </w:p>
        </w:tc>
        <w:tc>
          <w:tcPr>
            <w:tcW w:w="3540" w:type="dxa"/>
            <w:vAlign w:val="bottom"/>
          </w:tcPr>
          <w:p>
            <w:pPr>
              <w:ind w:left="300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N. Robert Hammer</w:t>
            </w:r>
          </w:p>
        </w:tc>
      </w:tr>
      <w:tr>
        <w:trPr>
          <w:trHeight w:val="27"/>
        </w:trPr>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N. Robert Hammer</w:t>
            </w:r>
          </w:p>
        </w:tc>
      </w:tr>
      <w:tr>
        <w:trPr>
          <w:trHeight w:val="269"/>
        </w:trPr>
        <w:tc>
          <w:tcPr>
            <w:tcW w:w="7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ind w:left="220"/>
              <w:spacing w:after="0"/>
              <w:rPr>
                <w:sz w:val="20"/>
                <w:szCs w:val="20"/>
                <w:color w:val="auto"/>
              </w:rPr>
            </w:pPr>
            <w:r>
              <w:rPr>
                <w:rFonts w:ascii="Arial" w:cs="Arial" w:eastAsia="Arial" w:hAnsi="Arial"/>
                <w:sz w:val="18"/>
                <w:szCs w:val="18"/>
                <w:color w:val="auto"/>
              </w:rPr>
              <w:t>July 26, 2017</w:t>
            </w:r>
          </w:p>
        </w:tc>
        <w:tc>
          <w:tcPr>
            <w:tcW w:w="3540" w:type="dxa"/>
            <w:vAlign w:val="bottom"/>
          </w:tcPr>
          <w:p>
            <w:pPr>
              <w:ind w:left="300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64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40" w:type="dxa"/>
            <w:vAlign w:val="bottom"/>
          </w:tcPr>
          <w:p>
            <w:pPr>
              <w:ind w:left="1840"/>
              <w:spacing w:after="0"/>
              <w:rPr>
                <w:sz w:val="20"/>
                <w:szCs w:val="20"/>
                <w:color w:val="auto"/>
              </w:rPr>
            </w:pPr>
            <w:r>
              <w:rPr>
                <w:rFonts w:ascii="Arial" w:cs="Arial" w:eastAsia="Arial" w:hAnsi="Arial"/>
                <w:sz w:val="18"/>
                <w:szCs w:val="18"/>
                <w:color w:val="auto"/>
              </w:rPr>
              <w:t>30</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220" w:type="dxa"/>
            <w:vAlign w:val="bottom"/>
            <w:gridSpan w:val="3"/>
          </w:tcPr>
          <w:p>
            <w:pPr>
              <w:ind w:left="3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0"/>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4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80" w:type="dxa"/>
            <w:vAlign w:val="bottom"/>
          </w:tcPr>
          <w:p>
            <w:pPr>
              <w:ind w:left="440"/>
              <w:spacing w:after="0" w:line="158" w:lineRule="exact"/>
              <w:rPr>
                <w:sz w:val="20"/>
                <w:szCs w:val="20"/>
                <w:color w:val="auto"/>
              </w:rPr>
            </w:pPr>
            <w:r>
              <w:rPr>
                <w:rFonts w:ascii="Arial" w:cs="Arial" w:eastAsia="Arial" w:hAnsi="Arial"/>
                <w:sz w:val="14"/>
                <w:szCs w:val="14"/>
                <w:b w:val="1"/>
                <w:bCs w:val="1"/>
                <w:color w:val="auto"/>
              </w:rPr>
              <w:t>No.</w:t>
            </w:r>
          </w:p>
        </w:tc>
        <w:tc>
          <w:tcPr>
            <w:tcW w:w="44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7220" w:type="dxa"/>
            <w:vAlign w:val="bottom"/>
            <w:gridSpan w:val="3"/>
            <w:vMerge w:val="restart"/>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37"/>
        </w:trPr>
        <w:tc>
          <w:tcPr>
            <w:tcW w:w="1080" w:type="dxa"/>
            <w:vAlign w:val="bottom"/>
          </w:tcPr>
          <w:p>
            <w:pPr>
              <w:ind w:left="180"/>
              <w:spacing w:after="0"/>
              <w:rPr>
                <w:sz w:val="20"/>
                <w:szCs w:val="20"/>
                <w:color w:val="auto"/>
              </w:rPr>
            </w:pPr>
            <w:r>
              <w:rPr>
                <w:rFonts w:ascii="Arial" w:cs="Arial" w:eastAsia="Arial" w:hAnsi="Arial"/>
                <w:sz w:val="18"/>
                <w:szCs w:val="18"/>
                <w:color w:val="auto"/>
              </w:rPr>
              <w:t>31.1</w:t>
            </w:r>
          </w:p>
        </w:tc>
        <w:tc>
          <w:tcPr>
            <w:tcW w:w="72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31.2</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32.1</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32.2</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101.INS</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101.CAL</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101.LAB</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080" w:type="dxa"/>
            <w:vAlign w:val="bottom"/>
          </w:tcPr>
          <w:p>
            <w:pPr>
              <w:spacing w:after="0"/>
              <w:rPr>
                <w:sz w:val="24"/>
                <w:szCs w:val="24"/>
                <w:color w:val="auto"/>
              </w:rPr>
            </w:pPr>
          </w:p>
        </w:tc>
        <w:tc>
          <w:tcPr>
            <w:tcW w:w="5140" w:type="dxa"/>
            <w:vAlign w:val="bottom"/>
            <w:gridSpan w:val="2"/>
          </w:tcPr>
          <w:p>
            <w:pPr>
              <w:ind w:left="4540"/>
              <w:spacing w:after="0"/>
              <w:rPr>
                <w:sz w:val="20"/>
                <w:szCs w:val="20"/>
                <w:color w:val="auto"/>
              </w:rPr>
            </w:pPr>
            <w:r>
              <w:rPr>
                <w:rFonts w:ascii="Arial" w:cs="Arial" w:eastAsia="Arial" w:hAnsi="Arial"/>
                <w:sz w:val="18"/>
                <w:szCs w:val="18"/>
                <w:color w:val="auto"/>
              </w:rPr>
              <w:t>31</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2017</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2017</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2017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26, 2017</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2017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26,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2019-12-29T05:41:34Z</dcterms:created>
  <dcterms:modified xsi:type="dcterms:W3CDTF">2019-12-29T05:41:34Z</dcterms:modified>
</cp:coreProperties>
</file>