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70" w:lineRule="exact"/>
        <w:rPr>
          <w:sz w:val="24"/>
          <w:szCs w:val="24"/>
          <w:color w:val="auto"/>
        </w:rPr>
      </w:pPr>
    </w:p>
    <w:p>
      <w:pPr>
        <w:ind w:left="1780" w:hanging="235"/>
        <w:spacing w:after="0"/>
        <w:tabs>
          <w:tab w:leader="none" w:pos="1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463550</wp:posOffset>
            </wp:positionV>
            <wp:extent cx="278701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3"/>
              </w:rPr>
              <w:t>Delaware</w:t>
            </w:r>
          </w:p>
        </w:tc>
        <w:tc>
          <w:tcPr>
            <w:tcW w:w="502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8"/>
              </w:rPr>
              <w:t>(State or other jurisdiction of</w:t>
            </w:r>
          </w:p>
        </w:tc>
        <w:tc>
          <w:tcPr>
            <w:tcW w:w="3120" w:type="dxa"/>
            <w:vAlign w:val="bottom"/>
          </w:tcPr>
          <w:p>
            <w:pPr>
              <w:spacing w:after="0"/>
              <w:rPr>
                <w:sz w:val="16"/>
                <w:szCs w:val="16"/>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9"/>
              </w:rPr>
              <w:t>incorporation or organization)</w:t>
            </w:r>
          </w:p>
        </w:tc>
        <w:tc>
          <w:tcPr>
            <w:tcW w:w="3120" w:type="dxa"/>
            <w:vAlign w:val="bottom"/>
          </w:tcPr>
          <w:p>
            <w:pPr>
              <w:spacing w:after="0"/>
              <w:rPr>
                <w:sz w:val="14"/>
                <w:szCs w:val="14"/>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89"/>
              </w:rPr>
              <w:t>Identification No.)</w:t>
            </w:r>
          </w:p>
        </w:tc>
      </w:tr>
      <w:tr>
        <w:trPr>
          <w:trHeight w:val="353"/>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4"/>
              </w:rPr>
              <w:t>1 Commvault Way</w:t>
            </w: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1"/>
              </w:rPr>
              <w:t>Tinton Falls, New Jersey</w:t>
            </w:r>
          </w:p>
        </w:tc>
        <w:tc>
          <w:tcPr>
            <w:tcW w:w="50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07724</w:t>
            </w:r>
          </w:p>
        </w:tc>
      </w:tr>
      <w:tr>
        <w:trPr>
          <w:trHeight w:val="206"/>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120" w:type="dxa"/>
            <w:vAlign w:val="bottom"/>
          </w:tcPr>
          <w:p>
            <w:pPr>
              <w:spacing w:after="0"/>
              <w:rPr>
                <w:sz w:val="17"/>
                <w:szCs w:val="17"/>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2400" w:type="dxa"/>
            <w:vAlign w:val="bottom"/>
          </w:tcPr>
          <w:p>
            <w:pPr>
              <w:spacing w:after="0"/>
              <w:rPr>
                <w:sz w:val="19"/>
                <w:szCs w:val="19"/>
                <w:color w:val="auto"/>
              </w:rPr>
            </w:pPr>
          </w:p>
        </w:tc>
        <w:tc>
          <w:tcPr>
            <w:tcW w:w="3120" w:type="dxa"/>
            <w:vAlign w:val="bottom"/>
          </w:tcPr>
          <w:p>
            <w:pPr>
              <w:jc w:val="right"/>
              <w:ind w:right="983"/>
              <w:spacing w:after="0"/>
              <w:rPr>
                <w:sz w:val="20"/>
                <w:szCs w:val="20"/>
                <w:color w:val="auto"/>
              </w:rPr>
            </w:pPr>
            <w:r>
              <w:rPr>
                <w:rFonts w:ascii="Arial" w:cs="Arial" w:eastAsia="Arial" w:hAnsi="Arial"/>
                <w:sz w:val="16"/>
                <w:szCs w:val="16"/>
                <w:b w:val="1"/>
                <w:bCs w:val="1"/>
                <w:color w:val="auto"/>
              </w:rPr>
              <w:t>(732) 870-4000</w:t>
            </w:r>
          </w:p>
        </w:tc>
        <w:tc>
          <w:tcPr>
            <w:tcW w:w="1900" w:type="dxa"/>
            <w:vAlign w:val="bottom"/>
          </w:tcPr>
          <w:p>
            <w:pPr>
              <w:spacing w:after="0"/>
              <w:rPr>
                <w:sz w:val="19"/>
                <w:szCs w:val="19"/>
                <w:color w:val="auto"/>
              </w:rPr>
            </w:pPr>
          </w:p>
        </w:tc>
      </w:tr>
      <w:tr>
        <w:trPr>
          <w:trHeight w:val="164"/>
        </w:trPr>
        <w:tc>
          <w:tcPr>
            <w:tcW w:w="2400" w:type="dxa"/>
            <w:vAlign w:val="bottom"/>
          </w:tcPr>
          <w:p>
            <w:pPr>
              <w:spacing w:after="0"/>
              <w:rPr>
                <w:sz w:val="14"/>
                <w:szCs w:val="14"/>
                <w:color w:val="auto"/>
              </w:rPr>
            </w:pPr>
          </w:p>
        </w:tc>
        <w:tc>
          <w:tcPr>
            <w:tcW w:w="502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38"/>
        </w:trPr>
        <w:tc>
          <w:tcPr>
            <w:tcW w:w="240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r>
    </w:tbl>
    <w:p>
      <w:pPr>
        <w:spacing w:after="0" w:line="319"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1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3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380" w:type="dxa"/>
            <w:vAlign w:val="bottom"/>
          </w:tcPr>
          <w:p>
            <w:pPr>
              <w:jc w:val="center"/>
              <w:ind w:right="348"/>
              <w:spacing w:after="0"/>
              <w:rPr>
                <w:sz w:val="20"/>
                <w:szCs w:val="20"/>
                <w:color w:val="auto"/>
              </w:rPr>
            </w:pPr>
            <w:r>
              <w:rPr>
                <w:rFonts w:ascii="Arial" w:cs="Arial" w:eastAsia="Arial" w:hAnsi="Arial"/>
                <w:sz w:val="14"/>
                <w:szCs w:val="14"/>
                <w:color w:val="auto"/>
                <w:w w:val="99"/>
              </w:rPr>
              <w:t>Accelerated filer o</w:t>
            </w:r>
          </w:p>
        </w:tc>
        <w:tc>
          <w:tcPr>
            <w:tcW w:w="2480" w:type="dxa"/>
            <w:vAlign w:val="bottom"/>
            <w:gridSpan w:val="2"/>
          </w:tcPr>
          <w:p>
            <w:pPr>
              <w:ind w:left="840"/>
              <w:spacing w:after="0"/>
              <w:rPr>
                <w:sz w:val="20"/>
                <w:szCs w:val="20"/>
                <w:color w:val="auto"/>
              </w:rPr>
            </w:pPr>
            <w:r>
              <w:rPr>
                <w:rFonts w:ascii="Arial" w:cs="Arial" w:eastAsia="Arial" w:hAnsi="Arial"/>
                <w:sz w:val="14"/>
                <w:szCs w:val="14"/>
                <w:color w:val="auto"/>
              </w:rPr>
              <w:t>Non-accelerated filer o</w:t>
            </w:r>
          </w:p>
        </w:tc>
        <w:tc>
          <w:tcPr>
            <w:tcW w:w="2880" w:type="dxa"/>
            <w:vAlign w:val="bottom"/>
          </w:tcPr>
          <w:p>
            <w:pPr>
              <w:ind w:left="1160"/>
              <w:spacing w:after="0"/>
              <w:rPr>
                <w:sz w:val="20"/>
                <w:szCs w:val="20"/>
                <w:color w:val="auto"/>
              </w:rPr>
            </w:pPr>
            <w:r>
              <w:rPr>
                <w:rFonts w:ascii="Arial" w:cs="Arial" w:eastAsia="Arial" w:hAnsi="Arial"/>
                <w:sz w:val="14"/>
                <w:szCs w:val="14"/>
                <w:color w:val="auto"/>
                <w:w w:val="94"/>
              </w:rPr>
              <w:t>Smaller reporting company o</w:t>
            </w:r>
          </w:p>
        </w:tc>
      </w:tr>
      <w:tr>
        <w:trPr>
          <w:trHeight w:val="200"/>
        </w:trPr>
        <w:tc>
          <w:tcPr>
            <w:tcW w:w="2300" w:type="dxa"/>
            <w:vAlign w:val="bottom"/>
          </w:tcPr>
          <w:p>
            <w:pPr>
              <w:ind w:left="140"/>
              <w:spacing w:after="0"/>
              <w:rPr>
                <w:sz w:val="20"/>
                <w:szCs w:val="20"/>
                <w:color w:val="auto"/>
              </w:rPr>
            </w:pPr>
            <w:r>
              <w:rPr>
                <w:rFonts w:ascii="Arial" w:cs="Arial" w:eastAsia="Arial" w:hAnsi="Arial"/>
                <w:sz w:val="14"/>
                <w:szCs w:val="14"/>
                <w:color w:val="auto"/>
              </w:rPr>
              <w:t>Emerging growth company o</w:t>
            </w:r>
          </w:p>
        </w:tc>
        <w:tc>
          <w:tcPr>
            <w:tcW w:w="2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36"/>
        </w:trPr>
        <w:tc>
          <w:tcPr>
            <w:tcW w:w="10040" w:type="dxa"/>
            <w:vAlign w:val="bottom"/>
            <w:gridSpan w:val="5"/>
          </w:tcPr>
          <w:p>
            <w:pPr>
              <w:ind w:left="14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w:t>
            </w:r>
          </w:p>
        </w:tc>
      </w:tr>
      <w:tr>
        <w:trPr>
          <w:trHeight w:val="182"/>
        </w:trPr>
        <w:tc>
          <w:tcPr>
            <w:tcW w:w="6640" w:type="dxa"/>
            <w:vAlign w:val="bottom"/>
            <w:gridSpan w:val="3"/>
          </w:tcPr>
          <w:p>
            <w:pPr>
              <w:ind w:left="140"/>
              <w:spacing w:after="0"/>
              <w:rPr>
                <w:sz w:val="20"/>
                <w:szCs w:val="20"/>
                <w:color w:val="auto"/>
              </w:rPr>
            </w:pPr>
            <w:r>
              <w:rPr>
                <w:rFonts w:ascii="Arial" w:cs="Arial" w:eastAsia="Arial" w:hAnsi="Arial"/>
                <w:sz w:val="14"/>
                <w:szCs w:val="14"/>
                <w:color w:val="auto"/>
                <w:w w:val="93"/>
              </w:rPr>
              <w:t>with any new or revised financial accounting standards provided pursuant to Section 13 (a) of the Exchange Act</w:t>
            </w:r>
          </w:p>
        </w:tc>
        <w:tc>
          <w:tcPr>
            <w:tcW w:w="520" w:type="dxa"/>
            <w:vAlign w:val="bottom"/>
          </w:tcPr>
          <w:p>
            <w:pPr>
              <w:ind w:left="40"/>
              <w:spacing w:after="0"/>
              <w:rPr>
                <w:sz w:val="20"/>
                <w:szCs w:val="20"/>
                <w:color w:val="auto"/>
              </w:rPr>
            </w:pPr>
            <w:r>
              <w:rPr>
                <w:rFonts w:ascii="Arial" w:cs="Arial" w:eastAsia="Arial" w:hAnsi="Arial"/>
                <w:sz w:val="14"/>
                <w:szCs w:val="14"/>
                <w:color w:val="auto"/>
              </w:rPr>
              <w:t>o</w:t>
            </w:r>
          </w:p>
        </w:tc>
        <w:tc>
          <w:tcPr>
            <w:tcW w:w="2880" w:type="dxa"/>
            <w:vAlign w:val="bottom"/>
          </w:tcPr>
          <w:p>
            <w:pPr>
              <w:spacing w:after="0"/>
              <w:rPr>
                <w:sz w:val="15"/>
                <w:szCs w:val="15"/>
                <w:color w:val="auto"/>
              </w:rPr>
            </w:pPr>
          </w:p>
        </w:tc>
      </w:tr>
      <w:tr>
        <w:trPr>
          <w:trHeight w:val="354"/>
        </w:trPr>
        <w:tc>
          <w:tcPr>
            <w:tcW w:w="6640" w:type="dxa"/>
            <w:vAlign w:val="bottom"/>
            <w:gridSpan w:val="3"/>
          </w:tcPr>
          <w:p>
            <w:pPr>
              <w:jc w:val="center"/>
              <w:ind w:right="28"/>
              <w:spacing w:after="0"/>
              <w:rPr>
                <w:sz w:val="20"/>
                <w:szCs w:val="20"/>
                <w:color w:val="auto"/>
              </w:rPr>
            </w:pPr>
            <w:r>
              <w:rPr>
                <w:rFonts w:ascii="Arial" w:cs="Arial" w:eastAsia="Arial" w:hAnsi="Arial"/>
                <w:sz w:val="14"/>
                <w:szCs w:val="14"/>
                <w:color w:val="auto"/>
                <w:w w:val="93"/>
              </w:rPr>
              <w:t>Indicate by check mark whether the registrant is a shell company (as defined in Rule 12b-2 of the Exchange Act).</w:t>
            </w:r>
          </w:p>
        </w:tc>
        <w:tc>
          <w:tcPr>
            <w:tcW w:w="5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880" w:type="dxa"/>
            <w:vAlign w:val="bottom"/>
          </w:tcPr>
          <w:p>
            <w:pPr>
              <w:ind w:left="80"/>
              <w:spacing w:after="0"/>
              <w:rPr>
                <w:sz w:val="20"/>
                <w:szCs w:val="20"/>
                <w:color w:val="auto"/>
              </w:rPr>
            </w:pPr>
            <w:r>
              <w:rPr>
                <w:rFonts w:ascii="Arial" w:cs="Arial" w:eastAsia="Arial" w:hAnsi="Arial"/>
                <w:sz w:val="14"/>
                <w:szCs w:val="14"/>
                <w:color w:val="auto"/>
              </w:rPr>
              <w:t>No x</w:t>
            </w:r>
          </w:p>
        </w:tc>
      </w:tr>
      <w:tr>
        <w:trPr>
          <w:trHeight w:val="362"/>
        </w:trPr>
        <w:tc>
          <w:tcPr>
            <w:tcW w:w="6640" w:type="dxa"/>
            <w:vAlign w:val="bottom"/>
            <w:gridSpan w:val="3"/>
          </w:tcPr>
          <w:p>
            <w:pPr>
              <w:jc w:val="center"/>
              <w:ind w:right="8"/>
              <w:spacing w:after="0"/>
              <w:rPr>
                <w:sz w:val="20"/>
                <w:szCs w:val="20"/>
                <w:color w:val="auto"/>
              </w:rPr>
            </w:pPr>
            <w:r>
              <w:rPr>
                <w:rFonts w:ascii="Arial" w:cs="Arial" w:eastAsia="Arial" w:hAnsi="Arial"/>
                <w:sz w:val="14"/>
                <w:szCs w:val="14"/>
                <w:color w:val="auto"/>
                <w:w w:val="92"/>
              </w:rPr>
              <w:t>As of July 23, 2018, there were 45,734,793 shares of the registrant’s common stock, $0.01 par value, outstanding.</w:t>
            </w:r>
          </w:p>
        </w:tc>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1320"/>
          </w:cols>
          <w:pgMar w:left="24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30"/>
        </w:trPr>
        <w:tc>
          <w:tcPr>
            <w:tcW w:w="9940" w:type="dxa"/>
            <w:vAlign w:val="bottom"/>
            <w:gridSpan w:val="17"/>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6"/>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100" w:type="dxa"/>
            <w:vAlign w:val="bottom"/>
          </w:tcPr>
          <w:p>
            <w:pPr>
              <w:spacing w:after="0"/>
              <w:rPr>
                <w:sz w:val="19"/>
                <w:szCs w:val="19"/>
                <w:color w:val="auto"/>
              </w:rPr>
            </w:pPr>
          </w:p>
        </w:tc>
        <w:tc>
          <w:tcPr>
            <w:tcW w:w="88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June 30, 2018 and March 31, 2018</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for the three months ended June 30, 2018 and 2017</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740" w:type="dxa"/>
            <w:vAlign w:val="bottom"/>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 for the three months ended June 30, 2018 and 2017</w:t>
              </w:r>
            </w:hyperlink>
          </w:p>
        </w:tc>
        <w:tc>
          <w:tcPr>
            <w:tcW w:w="100" w:type="dxa"/>
            <w:vAlign w:val="bottom"/>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74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Stockholders’ Equity for the three months ended June 30, 2018</w:t>
              </w:r>
            </w:hyperlink>
          </w:p>
        </w:tc>
        <w:tc>
          <w:tcPr>
            <w:tcW w:w="100" w:type="dxa"/>
            <w:vAlign w:val="bottom"/>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for the three months ended June 30, 2018 and 2017</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736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480" w:type="dxa"/>
            <w:vAlign w:val="bottom"/>
            <w:gridSpan w:val="2"/>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gridSpan w:val="2"/>
          </w:tcPr>
          <w:p>
            <w:pPr>
              <w:spacing w:after="0"/>
              <w:rPr>
                <w:sz w:val="21"/>
                <w:szCs w:val="21"/>
                <w:color w:val="auto"/>
              </w:rPr>
            </w:pPr>
          </w:p>
        </w:tc>
        <w:tc>
          <w:tcPr>
            <w:tcW w:w="2420" w:type="dxa"/>
            <w:vAlign w:val="bottom"/>
            <w:gridSpan w:val="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2">
              <w:r>
                <w:rPr>
                  <w:rFonts w:ascii="Arial" w:cs="Arial" w:eastAsia="Arial" w:hAnsi="Arial"/>
                  <w:sz w:val="18"/>
                  <w:szCs w:val="18"/>
                  <w:color w:val="0000EE"/>
                  <w:w w:val="86"/>
                </w:rPr>
                <w:t>Controls and Procedures</w:t>
              </w:r>
            </w:hyperlink>
          </w:p>
        </w:tc>
        <w:tc>
          <w:tcPr>
            <w:tcW w:w="710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c>
          <w:tcPr>
            <w:tcW w:w="20" w:type="dxa"/>
            <w:vAlign w:val="bottom"/>
          </w:tcPr>
          <w:p>
            <w:pPr>
              <w:spacing w:after="0"/>
              <w:rPr>
                <w:sz w:val="21"/>
                <w:szCs w:val="21"/>
                <w:color w:val="auto"/>
              </w:rPr>
            </w:pPr>
          </w:p>
        </w:tc>
      </w:tr>
      <w:tr>
        <w:trPr>
          <w:trHeight w:val="574"/>
        </w:trPr>
        <w:tc>
          <w:tcPr>
            <w:tcW w:w="9940" w:type="dxa"/>
            <w:vAlign w:val="bottom"/>
            <w:gridSpan w:val="17"/>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Legal Proceedings</w:t>
              </w:r>
            </w:hyperlink>
          </w:p>
        </w:tc>
        <w:tc>
          <w:tcPr>
            <w:tcW w:w="320" w:type="dxa"/>
            <w:vAlign w:val="bottom"/>
            <w:tcBorders>
              <w:top w:val="single" w:sz="8" w:color="0000EE"/>
            </w:tcBorders>
          </w:tcPr>
          <w:p>
            <w:pPr>
              <w:spacing w:after="0"/>
              <w:rPr>
                <w:sz w:val="21"/>
                <w:szCs w:val="21"/>
                <w:color w:val="auto"/>
              </w:rPr>
            </w:pPr>
          </w:p>
        </w:tc>
        <w:tc>
          <w:tcPr>
            <w:tcW w:w="722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84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 of Equity Securities and Use of Proceeds</w:t>
              </w:r>
            </w:hyperlink>
          </w:p>
        </w:tc>
        <w:tc>
          <w:tcPr>
            <w:tcW w:w="6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4600" w:type="dxa"/>
            <w:vAlign w:val="bottom"/>
            <w:gridSpan w:val="7"/>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Mine Safety Disclosures</w:t>
              </w:r>
            </w:hyperlink>
          </w:p>
        </w:tc>
        <w:tc>
          <w:tcPr>
            <w:tcW w:w="540" w:type="dxa"/>
            <w:vAlign w:val="bottom"/>
            <w:tcBorders>
              <w:top w:val="single" w:sz="8" w:color="0000EE"/>
            </w:tcBorders>
          </w:tcPr>
          <w:p>
            <w:pPr>
              <w:spacing w:after="0"/>
              <w:rPr>
                <w:sz w:val="21"/>
                <w:szCs w:val="21"/>
                <w:color w:val="auto"/>
              </w:rPr>
            </w:pPr>
          </w:p>
        </w:tc>
        <w:tc>
          <w:tcPr>
            <w:tcW w:w="6560" w:type="dxa"/>
            <w:vAlign w:val="bottom"/>
            <w:gridSpan w:val="9"/>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Other Information</w:t>
              </w:r>
            </w:hyperlink>
          </w:p>
        </w:tc>
        <w:tc>
          <w:tcPr>
            <w:tcW w:w="7560" w:type="dxa"/>
            <w:vAlign w:val="bottom"/>
            <w:gridSpan w:val="13"/>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60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80" w:type="dxa"/>
            <w:vAlign w:val="bottom"/>
            <w:gridSpan w:val="1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SIGNATURES</w:t>
              </w:r>
            </w:hyperlink>
          </w:p>
        </w:tc>
        <w:tc>
          <w:tcPr>
            <w:tcW w:w="8840" w:type="dxa"/>
            <w:vAlign w:val="bottom"/>
            <w:gridSpan w:val="16"/>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c>
          <w:tcPr>
            <w:tcW w:w="20" w:type="dxa"/>
            <w:vAlign w:val="bottom"/>
          </w:tcPr>
          <w:p>
            <w:pPr>
              <w:spacing w:after="0"/>
              <w:rPr>
                <w:sz w:val="24"/>
                <w:szCs w:val="24"/>
                <w:color w:val="auto"/>
              </w:rPr>
            </w:pPr>
          </w:p>
        </w:tc>
      </w:tr>
    </w:tbl>
    <w:p>
      <w:pPr>
        <w:sectPr>
          <w:pgSz w:w="11900" w:h="16838" w:orient="portrait"/>
          <w:cols w:equalWidth="0" w:num="1">
            <w:col w:w="10600"/>
          </w:cols>
          <w:pgMar w:left="240" w:top="125" w:right="10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300" w:type="dxa"/>
            <w:vAlign w:val="bottom"/>
          </w:tcPr>
          <w:p>
            <w:pPr>
              <w:jc w:val="right"/>
              <w:ind w:right="411"/>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30"/>
        </w:trPr>
        <w:tc>
          <w:tcPr>
            <w:tcW w:w="8120" w:type="dxa"/>
            <w:vAlign w:val="bottom"/>
          </w:tcPr>
          <w:p>
            <w:pPr>
              <w:ind w:left="368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351,912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330,784</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131,637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151,283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162,119</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633,668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646,788</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commissions cost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32,732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33,092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804,460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818,642</w:t>
            </w:r>
          </w:p>
        </w:tc>
      </w:tr>
      <w:tr>
        <w:trPr>
          <w:trHeight w:val="67"/>
        </w:trPr>
        <w:tc>
          <w:tcPr>
            <w:tcW w:w="8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79,471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82,299</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241,113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313,938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324,173</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2,430</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0"/>
              </w:rPr>
              <w:t>Preferred stock, $0.01 par value: 50,000 shares authorized, no shares issued and outstanding at June 30, 2018</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and March 31, 2018</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$0.01 par value: 250,000 shares authorized, 45,580 shares and 45,118 shares issued and</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 and March 31, 2018,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811,271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782,764</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(5,472)</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804,460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818,642</w:t>
            </w:r>
          </w:p>
        </w:tc>
      </w:tr>
      <w:tr>
        <w:trPr>
          <w:trHeight w:val="27"/>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83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75,050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74,761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91,211</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176,177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165,972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20,856</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21,661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144,311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99,909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22,545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23,851</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155,380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148,672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Equity in income of affiliate</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45,128</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45,128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June 30,</w:t>
            </w:r>
          </w:p>
        </w:tc>
      </w:tr>
      <w:tr>
        <w:trPr>
          <w:trHeight w:val="190"/>
        </w:trPr>
        <w:tc>
          <w:tcPr>
            <w:tcW w:w="8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80"/>
        </w:trPr>
        <w:tc>
          <w:tcPr>
            <w:tcW w:w="8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(13,736)</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2,767</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9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480" w:type="dxa"/>
            <w:vAlign w:val="bottom"/>
          </w:tcPr>
          <w:p>
            <w:pPr>
              <w:spacing w:after="0"/>
              <w:rPr>
                <w:sz w:val="6"/>
                <w:szCs w:val="6"/>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9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45,118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782,764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404,064</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18,004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18,004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Share issuances related to stock-based compensation</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13,398</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(25,015)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45,580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811,271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396,715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r>
      <w:tr>
        <w:trPr>
          <w:trHeight w:val="190"/>
        </w:trPr>
        <w:tc>
          <w:tcPr>
            <w:tcW w:w="7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80"/>
        </w:trPr>
        <w:tc>
          <w:tcPr>
            <w:tcW w:w="74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2,772</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19,564</w:t>
            </w: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of affiliate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Amortization of deferred commissions cost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4,601</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Trade accounts receivable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11,097</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assets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(9,225)</w:t>
            </w: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Deferred commissions cost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(3,610)</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(11,076)</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7,418</w:t>
            </w: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(44,072)</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Proceeds from maturity of short-term investments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33,299</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(12,247)</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5,570</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5,570</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Effects of exchange rate — changes in cash</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6,775</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20,031</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330,784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329,491</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351,912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349,522</w:t>
            </w:r>
          </w:p>
        </w:tc>
      </w:tr>
      <w:tr>
        <w:trPr>
          <w:trHeight w:val="27"/>
        </w:trPr>
        <w:tc>
          <w:tcPr>
            <w:tcW w:w="7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240" w:top="125" w:right="6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Commvault Systems, Inc. and its subsidiaries (“Commvault” or the “Company”) is a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In fiscal 2018 the Company also started selling appliances that integrate the Company's software with hardware and address a wide-range of business needs and use cases, ranging from support for remote or branch offices with limited IT staff up to large corporate data centers. The Company also provides its customers with a broad range of professional and customer support services.</w:t>
      </w:r>
    </w:p>
    <w:p>
      <w:pPr>
        <w:spacing w:after="0" w:line="129"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The consolidated financial statements as of June 30, 2018 and for the three months ended June 30, 2018 and 2017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2018. The results reported in these financial statements should not necessarily be taken as indicative of results that may be expected for the entire fiscal year.</w:t>
      </w:r>
    </w:p>
    <w:p>
      <w:pPr>
        <w:spacing w:after="0" w:line="104"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There have been no significant changes in the Company’s accounting policies during the three months ended June 30, 2018 as compared to the significant accounting policies described in its Annual Report on Form 10-K for the year ended March 31,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300" w:firstLine="180"/>
        <w:spacing w:after="0" w:line="259"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Company will adopt this ASU in fiscal 2020. The Company is currently assessing the impact the adoption of ASU 2016-02 will have on the financial statements.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During the first quarter of fiscal 2018, one of our Directors, Joseph F. Eazor, was hired as the CEO of Rackspace, Inc ("Rackspace"). Total recognized revenue related to Rackspace in the first three months of fiscal 2019 and 2018 was $480 and $4,054, respectively. The outstanding accounts receivable from this customer as of June 30, 2018 is $4,854.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approximately 37% and 36% of total revenues for the three months ended June 30, 2018 and 2017, respectively. Arrow accounted for approximately 33% of total accounts receivable as of June 30, 2018 and 38% of total accounts receivable as of March 31, 2018.</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composition of the Company’s financial assets measured at fair value at June 30, 2018 and March 31, 2018:</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2018</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42,552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42,552</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110,566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110,566</w:t>
            </w:r>
          </w:p>
        </w:tc>
      </w:tr>
      <w:tr>
        <w:trPr>
          <w:trHeight w:val="554"/>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43,545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43,545</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132,263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132,263</w:t>
            </w: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w:t>
      </w:r>
    </w:p>
    <w:p>
      <w:pPr>
        <w:spacing w:after="0" w:line="116"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The Company derives revenues from two primary sources: software and products, and services. Software and products revenue includes the Company's software and integrated appliances that combine the Company's software with hardware. Services include customer support (software updates and technical support), consulting, assessment and design services, installation services and customer education. A typical contract includes both licenses and services.</w:t>
      </w:r>
    </w:p>
    <w:p>
      <w:pPr>
        <w:spacing w:after="0" w:line="133" w:lineRule="exact"/>
        <w:rPr>
          <w:sz w:val="20"/>
          <w:szCs w:val="20"/>
          <w:color w:val="auto"/>
        </w:rPr>
      </w:pPr>
    </w:p>
    <w:p>
      <w:pPr>
        <w:ind w:right="160" w:firstLine="500"/>
        <w:spacing w:after="0" w:line="291" w:lineRule="auto"/>
        <w:rPr>
          <w:sz w:val="20"/>
          <w:szCs w:val="20"/>
          <w:color w:val="auto"/>
        </w:rPr>
      </w:pPr>
      <w:r>
        <w:rPr>
          <w:rFonts w:ascii="Arial" w:cs="Arial" w:eastAsia="Arial" w:hAnsi="Arial"/>
          <w:sz w:val="16"/>
          <w:szCs w:val="16"/>
          <w:color w:val="auto"/>
        </w:rPr>
        <w:t>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pacing w:after="0" w:line="1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contractors. Revenue related to other professional services and customer education services is typically recognized as the services are performed.</w:t>
      </w:r>
    </w:p>
    <w:p>
      <w:pPr>
        <w:spacing w:after="0" w:line="23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400"/>
          </w:cols>
          <w:pgMar w:left="240" w:top="125" w:right="259" w:bottom="1440" w:gutter="0" w:footer="0" w:header="0"/>
        </w:sectPr>
      </w:pPr>
    </w:p>
    <w:p>
      <w:pPr>
        <w:spacing w:after="0" w:line="7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4"/>
          <w:szCs w:val="14"/>
          <w:color w:val="auto"/>
        </w:rPr>
        <w:t>Upon shipment or made available for download (point in</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600"/>
        <w:spacing w:after="0" w:line="278" w:lineRule="auto"/>
        <w:rPr>
          <w:sz w:val="20"/>
          <w:szCs w:val="20"/>
          <w:color w:val="auto"/>
        </w:rPr>
      </w:pPr>
      <w:r>
        <w:rPr>
          <w:rFonts w:ascii="Arial" w:cs="Arial" w:eastAsia="Arial" w:hAnsi="Arial"/>
          <w:sz w:val="16"/>
          <w:szCs w:val="16"/>
          <w:color w:val="auto"/>
        </w:rPr>
        <w:t>Within 90 days of shipment except Residual approach for certain subscription licenses which are paid for over time</w:t>
      </w:r>
    </w:p>
    <w:p>
      <w:pPr>
        <w:spacing w:after="0" w:line="5" w:lineRule="exact"/>
        <w:rPr>
          <w:sz w:val="20"/>
          <w:szCs w:val="20"/>
          <w:color w:val="auto"/>
        </w:rPr>
      </w:pPr>
    </w:p>
    <w:p>
      <w:pPr>
        <w:sectPr>
          <w:pgSz w:w="11900" w:h="16838" w:orient="portrait"/>
          <w:cols w:equalWidth="0" w:num="2">
            <w:col w:w="5920" w:space="180"/>
            <w:col w:w="53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Appliances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When control of the appliances passes to the customer;</w:t>
            </w:r>
          </w:p>
        </w:tc>
        <w:tc>
          <w:tcPr>
            <w:tcW w:w="5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Within 90 days of delivery except for Residual approach</w:t>
            </w:r>
          </w:p>
        </w:tc>
      </w:tr>
      <w:tr>
        <w:trPr>
          <w:trHeight w:val="203"/>
        </w:trPr>
        <w:tc>
          <w:tcPr>
            <w:tcW w:w="2080" w:type="dxa"/>
            <w:vAlign w:val="bottom"/>
            <w:shd w:val="clear" w:color="auto" w:fill="CCEEFF"/>
          </w:tcPr>
          <w:p>
            <w:pPr>
              <w:spacing w:after="0"/>
              <w:rPr>
                <w:sz w:val="17"/>
                <w:szCs w:val="17"/>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typically upon delivery</w:t>
            </w:r>
          </w:p>
        </w:tc>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certain subscriptions which are paid</w:t>
            </w:r>
          </w:p>
        </w:tc>
        <w:tc>
          <w:tcPr>
            <w:tcW w:w="2880" w:type="dxa"/>
            <w:vAlign w:val="bottom"/>
            <w:shd w:val="clear" w:color="auto" w:fill="CCEEFF"/>
          </w:tcPr>
          <w:p>
            <w:pPr>
              <w:spacing w:after="0"/>
              <w:rPr>
                <w:sz w:val="17"/>
                <w:szCs w:val="17"/>
                <w:color w:val="auto"/>
              </w:rPr>
            </w:pP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over time</w:t>
            </w:r>
          </w:p>
        </w:tc>
        <w:tc>
          <w:tcPr>
            <w:tcW w:w="2880" w:type="dxa"/>
            <w:vAlign w:val="bottom"/>
            <w:tcBorders>
              <w:bottom w:val="single" w:sz="8" w:color="CCEEFF"/>
            </w:tcBorders>
            <w:shd w:val="clear" w:color="auto" w:fill="CCEEFF"/>
          </w:tcPr>
          <w:p>
            <w:pPr>
              <w:spacing w:after="0"/>
              <w:rPr>
                <w:sz w:val="19"/>
                <w:szCs w:val="19"/>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9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Software Updates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Observable in renewal transactions</w:t>
            </w: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tcBorders>
              <w:bottom w:val="single" w:sz="8" w:color="CCEEFF"/>
            </w:tcBorders>
            <w:shd w:val="clear" w:color="auto" w:fill="CCEEFF"/>
          </w:tcPr>
          <w:p>
            <w:pPr>
              <w:spacing w:after="0"/>
              <w:rPr>
                <w:sz w:val="19"/>
                <w:szCs w:val="19"/>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rPr>
              <w:t>Customer Support</w:t>
            </w:r>
          </w:p>
        </w:tc>
        <w:tc>
          <w:tcPr>
            <w:tcW w:w="3960" w:type="dxa"/>
            <w:vAlign w:val="bottom"/>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460" w:type="dxa"/>
            <w:vAlign w:val="bottom"/>
          </w:tcPr>
          <w:p>
            <w:pPr>
              <w:ind w:left="40"/>
              <w:spacing w:after="0"/>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80"/>
              <w:spacing w:after="0"/>
              <w:rPr>
                <w:sz w:val="20"/>
                <w:szCs w:val="20"/>
                <w:color w:val="auto"/>
              </w:rPr>
            </w:pPr>
            <w:r>
              <w:rPr>
                <w:rFonts w:ascii="Arial" w:cs="Arial" w:eastAsia="Arial" w:hAnsi="Arial"/>
                <w:sz w:val="16"/>
                <w:szCs w:val="16"/>
                <w:color w:val="auto"/>
              </w:rPr>
              <w:t>Observable in renewal transactions</w:t>
            </w:r>
          </w:p>
        </w:tc>
      </w:tr>
      <w:tr>
        <w:trPr>
          <w:trHeight w:val="206"/>
        </w:trPr>
        <w:tc>
          <w:tcPr>
            <w:tcW w:w="2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7"/>
                <w:szCs w:val="17"/>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3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Professional Services</w:t>
            </w:r>
          </w:p>
        </w:tc>
        <w:tc>
          <w:tcPr>
            <w:tcW w:w="396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w w:val="95"/>
              </w:rPr>
              <w:t>Other Professional Services</w:t>
            </w:r>
          </w:p>
        </w:tc>
        <w:tc>
          <w:tcPr>
            <w:tcW w:w="3960" w:type="dxa"/>
            <w:vAlign w:val="bottom"/>
          </w:tcPr>
          <w:p>
            <w:pPr>
              <w:ind w:left="120"/>
              <w:spacing w:after="0"/>
              <w:rPr>
                <w:sz w:val="20"/>
                <w:szCs w:val="20"/>
                <w:color w:val="auto"/>
              </w:rPr>
            </w:pPr>
            <w:r>
              <w:rPr>
                <w:rFonts w:ascii="Arial" w:cs="Arial" w:eastAsia="Arial" w:hAnsi="Arial"/>
                <w:sz w:val="16"/>
                <w:szCs w:val="16"/>
                <w:color w:val="auto"/>
              </w:rPr>
              <w:t>As work is performed (over time)</w:t>
            </w:r>
          </w:p>
        </w:tc>
        <w:tc>
          <w:tcPr>
            <w:tcW w:w="2460" w:type="dxa"/>
            <w:vAlign w:val="bottom"/>
          </w:tcPr>
          <w:p>
            <w:pPr>
              <w:ind w:left="40"/>
              <w:spacing w:after="0"/>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80"/>
              <w:spacing w:after="0"/>
              <w:rPr>
                <w:sz w:val="20"/>
                <w:szCs w:val="20"/>
                <w:color w:val="auto"/>
              </w:rPr>
            </w:pPr>
            <w:r>
              <w:rPr>
                <w:rFonts w:ascii="Arial" w:cs="Arial" w:eastAsia="Arial" w:hAnsi="Arial"/>
                <w:sz w:val="16"/>
                <w:szCs w:val="16"/>
                <w:color w:val="auto"/>
              </w:rPr>
              <w:t>Observable in transactions without</w:t>
            </w:r>
          </w:p>
        </w:tc>
      </w:tr>
      <w:tr>
        <w:trPr>
          <w:trHeight w:val="203"/>
        </w:trPr>
        <w:tc>
          <w:tcPr>
            <w:tcW w:w="2080" w:type="dxa"/>
            <w:vAlign w:val="bottom"/>
          </w:tcPr>
          <w:p>
            <w:pPr>
              <w:ind w:left="160"/>
              <w:spacing w:after="0"/>
              <w:rPr>
                <w:sz w:val="20"/>
                <w:szCs w:val="20"/>
                <w:color w:val="auto"/>
              </w:rPr>
            </w:pPr>
            <w:r>
              <w:rPr>
                <w:rFonts w:ascii="Arial" w:cs="Arial" w:eastAsia="Arial" w:hAnsi="Arial"/>
                <w:sz w:val="16"/>
                <w:szCs w:val="16"/>
                <w:color w:val="auto"/>
              </w:rPr>
              <w:t>(except for education</w:t>
            </w:r>
          </w:p>
        </w:tc>
        <w:tc>
          <w:tcPr>
            <w:tcW w:w="3960" w:type="dxa"/>
            <w:vAlign w:val="bottom"/>
          </w:tcPr>
          <w:p>
            <w:pPr>
              <w:spacing w:after="0"/>
              <w:rPr>
                <w:sz w:val="17"/>
                <w:szCs w:val="17"/>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performed</w:t>
            </w:r>
          </w:p>
        </w:tc>
        <w:tc>
          <w:tcPr>
            <w:tcW w:w="2880" w:type="dxa"/>
            <w:vAlign w:val="bottom"/>
          </w:tcPr>
          <w:p>
            <w:pPr>
              <w:ind w:left="80"/>
              <w:spacing w:after="0"/>
              <w:rPr>
                <w:sz w:val="20"/>
                <w:szCs w:val="20"/>
                <w:color w:val="auto"/>
              </w:rPr>
            </w:pPr>
            <w:r>
              <w:rPr>
                <w:rFonts w:ascii="Arial" w:cs="Arial" w:eastAsia="Arial" w:hAnsi="Arial"/>
                <w:sz w:val="16"/>
                <w:szCs w:val="16"/>
                <w:color w:val="auto"/>
              </w:rPr>
              <w:t>multiple performance obligations</w:t>
            </w:r>
          </w:p>
        </w:tc>
      </w:tr>
      <w:tr>
        <w:trPr>
          <w:trHeight w:val="206"/>
        </w:trPr>
        <w:tc>
          <w:tcPr>
            <w:tcW w:w="2080" w:type="dxa"/>
            <w:vAlign w:val="bottom"/>
          </w:tcPr>
          <w:p>
            <w:pPr>
              <w:ind w:left="160"/>
              <w:spacing w:after="0"/>
              <w:rPr>
                <w:sz w:val="20"/>
                <w:szCs w:val="20"/>
                <w:color w:val="auto"/>
              </w:rPr>
            </w:pPr>
            <w:r>
              <w:rPr>
                <w:rFonts w:ascii="Arial" w:cs="Arial" w:eastAsia="Arial" w:hAnsi="Arial"/>
                <w:sz w:val="16"/>
                <w:szCs w:val="16"/>
                <w:color w:val="auto"/>
              </w:rPr>
              <w:t>services)</w:t>
            </w:r>
          </w:p>
        </w:tc>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294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50"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Education Services</w:t>
      </w:r>
      <w:r>
        <w:rPr>
          <w:sz w:val="20"/>
          <w:szCs w:val="20"/>
          <w:color w:val="auto"/>
        </w:rPr>
        <w:tab/>
      </w:r>
      <w:r>
        <w:rPr>
          <w:rFonts w:ascii="Arial" w:cs="Arial" w:eastAsia="Arial" w:hAnsi="Arial"/>
          <w:sz w:val="14"/>
          <w:szCs w:val="14"/>
          <w:color w:val="auto"/>
        </w:rPr>
        <w:t>When the class is taught (point in time)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services being</w:t>
      </w:r>
      <w:r>
        <w:rPr>
          <w:sz w:val="20"/>
          <w:szCs w:val="20"/>
          <w:color w:val="auto"/>
        </w:rPr>
        <w:tab/>
      </w:r>
      <w:r>
        <w:rPr>
          <w:rFonts w:ascii="Arial" w:cs="Arial" w:eastAsia="Arial" w:hAnsi="Arial"/>
          <w:sz w:val="14"/>
          <w:szCs w:val="14"/>
          <w:color w:val="auto"/>
        </w:rPr>
        <w:t>Observable in transactions without</w:t>
      </w:r>
    </w:p>
    <w:p>
      <w:pPr>
        <w:spacing w:after="0" w:line="22" w:lineRule="exact"/>
        <w:rPr>
          <w:sz w:val="20"/>
          <w:szCs w:val="20"/>
          <w:color w:val="auto"/>
        </w:rPr>
      </w:pPr>
    </w:p>
    <w:p>
      <w:pPr>
        <w:spacing w:after="0"/>
        <w:tabs>
          <w:tab w:leader="none" w:pos="2480" w:val="left"/>
        </w:tabs>
        <w:rPr>
          <w:sz w:val="20"/>
          <w:szCs w:val="20"/>
          <w:color w:val="auto"/>
        </w:rPr>
      </w:pPr>
      <w:r>
        <w:rPr>
          <w:rFonts w:ascii="Arial" w:cs="Arial" w:eastAsia="Arial" w:hAnsi="Arial"/>
          <w:sz w:val="15"/>
          <w:szCs w:val="15"/>
          <w:color w:val="auto"/>
        </w:rPr>
        <w:t>performed</w:t>
      </w:r>
      <w:r>
        <w:rPr>
          <w:sz w:val="20"/>
          <w:szCs w:val="20"/>
          <w:color w:val="auto"/>
        </w:rPr>
        <w:tab/>
      </w:r>
      <w:r>
        <w:rPr>
          <w:rFonts w:ascii="Arial" w:cs="Arial" w:eastAsia="Arial" w:hAnsi="Arial"/>
          <w:sz w:val="15"/>
          <w:szCs w:val="15"/>
          <w:color w:val="auto"/>
        </w:rPr>
        <w:t>multiple performance obligations</w:t>
      </w:r>
    </w:p>
    <w:p>
      <w:pPr>
        <w:spacing w:after="0" w:line="200" w:lineRule="exact"/>
        <w:rPr>
          <w:sz w:val="20"/>
          <w:szCs w:val="20"/>
          <w:color w:val="auto"/>
        </w:rPr>
      </w:pPr>
    </w:p>
    <w:p>
      <w:pPr>
        <w:sectPr>
          <w:pgSz w:w="11900" w:h="16838" w:orient="portrait"/>
          <w:cols w:equalWidth="0" w:num="2">
            <w:col w:w="5380" w:space="720"/>
            <w:col w:w="5300"/>
          </w:cols>
          <w:pgMar w:left="240" w:top="125" w:right="259" w:bottom="1440" w:gutter="0" w:footer="0" w:header="0"/>
          <w:type w:val="continuous"/>
        </w:sectPr>
      </w:pP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 June 30, 2018</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6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42,116</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75,050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60,426</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20,359</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9,621</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90,406</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10,721</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108,327</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45,610</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22,240</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176,177</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2"/>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ind w:right="135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7"/>
              </w:rPr>
              <w:t>Three Months Ended June 30, 2017</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8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40,011</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74,761</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56,189</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17,111</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8,590</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81,890</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9,321</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101,061</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43,428</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21,483</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165,972</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some arrangements the Company allows customers to pay for term based software licenses and products over the term of the software license. The Company refers to these as subscription transactions.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4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Unbilled</w:t>
            </w:r>
          </w:p>
        </w:tc>
        <w:tc>
          <w:tcPr>
            <w:tcW w:w="2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Accounts</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4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Receivable</w:t>
            </w:r>
          </w:p>
        </w:tc>
        <w:tc>
          <w:tcPr>
            <w:tcW w:w="2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Receivable</w:t>
            </w:r>
          </w:p>
        </w:tc>
        <w:tc>
          <w:tcPr>
            <w:tcW w:w="22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(current)</w:t>
            </w:r>
          </w:p>
        </w:tc>
        <w:tc>
          <w:tcPr>
            <w:tcW w:w="24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(long-term)</w:t>
            </w:r>
          </w:p>
        </w:tc>
        <w:tc>
          <w:tcPr>
            <w:tcW w:w="2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84,661</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(11,362)</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(7,007)</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3,482</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June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88,143</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decrease in accounts receivable is primarily a result of a sequential decrease in software and products revenue relative to the fourth quarter of the prior year as well as a concentration of customer support renewals in the second half of the fiscal year. The decrease in deferred revenue is primarily the result of a strengthening of the U.S. dollar and a sequential decrease in deferred customer support revenue related to software and products revenue transactions and customer support renewals relative to the fourth quarter of fiscal 2018.</w:t>
      </w:r>
    </w:p>
    <w:p>
      <w:pPr>
        <w:spacing w:after="0" w:line="18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$90,237 for the three months ended June 30, 2018. The vast majority of this revenue consists of customer support arrangements. The amount of revenue recognized from performance obligations satisfied in prior periods was not significant.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to the amounts included in deferred revenue as of June 30, 2018, approximately $20,867 of revenue may be recognized from remaining performance obligations, of which $469 was related to software and products. The Company expects the software and products revenue to be recognized next quarter. The majority of the services revenue is related to other professional services which may be recognized over the next twelve months but is contingent upon a number of factors, including customers’ needs and schedules.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per Common Share</w:t>
      </w:r>
    </w:p>
    <w:p>
      <w:pPr>
        <w:spacing w:after="0" w:line="17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diluted weighted average shares outstanding exclude outstanding stock options, restricted stock units, performance stock options, performance restricted stock units and shares to be purchased under the employee stock purchase plan totaling approximately 6,274 and 7,775 for the three months ended June 30, 2018 and 2017, respectively, because the effect would have been anti-dilutive.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normal course of its business, the Company may be involved in various claims, negotiations and legal actions.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February 27, 2017, Realtime Data LLC d/b/a/ IXO (“Realtime”), a non-practicing entity, sued the Company and Spectra Logic Corporation in the Eastern District of Texas for alleged infringement of four patents: U.S. Patent Nos. 9,054,728, 7,415,530, 9,116,908, and 8,717,204. Realtime dismissed the case in Texas and refiled this case in the District of Delaware on July 10, 2017. Realtime has sued numerous other companies for infringement of these and other patents. Realtime seeks monetary damages and an injunction. The Company responded to the complaint by filing a motion to dismiss on the grounds that the patents are directed to patent-ineligible subject matter. The Court has not yet ruled on this motion.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The Company intends to defend itself vigorously. As of June 30, 2018, the Company has not recorded an accrual for this matter as it has concluded that the probability of loss is remote.</w:t>
      </w:r>
    </w:p>
    <w:p>
      <w:pPr>
        <w:spacing w:after="0" w:line="1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three months ended June 30, 2018, the company repurchased $25,015 of common stock (366 shares). As of June 30, 2018, $87,826 remained in the current stock repurchase authorization which expires on March 31, 2019.</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following table presents the stock-based compensation expense included in Cost of services revenue, Sales and marketing, Research and development and General and administrative expenses and Restructuring for the three months ended June 30, 2018 and 2017. Stock-based compensation is attributable to stock options, restricted stock units, performance based awards and the employee stock purchase plan.</w:t>
      </w:r>
    </w:p>
    <w:p>
      <w:pPr>
        <w:spacing w:after="0" w:line="319" w:lineRule="exact"/>
        <w:rPr>
          <w:sz w:val="20"/>
          <w:szCs w:val="20"/>
          <w:color w:val="auto"/>
        </w:rPr>
      </w:pPr>
    </w:p>
    <w:tbl>
      <w:tblPr>
        <w:tblLayout w:type="fixed"/>
        <w:tblInd w:w="1580"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9,440</w:t>
            </w:r>
          </w:p>
        </w:tc>
      </w:tr>
      <w:tr>
        <w:trPr>
          <w:trHeight w:val="27"/>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7,303</w:t>
            </w:r>
          </w:p>
        </w:tc>
      </w:tr>
      <w:tr>
        <w:trPr>
          <w:trHeight w:val="27"/>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18,004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19,564</w:t>
            </w:r>
          </w:p>
        </w:tc>
      </w:tr>
      <w:tr>
        <w:trPr>
          <w:trHeight w:val="27"/>
        </w:trPr>
        <w:tc>
          <w:tcPr>
            <w:tcW w:w="5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As of June 30, 2018, there was approximately $88,472 of unrecognized stock-based compensation expense related to non-vested stock option and restricted stock unit awards that is expected to be recognized over a weighted average period of 1.58 years. The Company accounts for forfeitures as they occur. To the extent that awards are forfeitured, stock-based compensation will be different from the Company’s current estimate.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three months ended June 30, 2018 is as follows:</w:t>
      </w: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0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1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10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Outstanding as of March 31, 2018</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expired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85.41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Outstanding as of June 30, 2018</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50.50</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78,513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2018</w:t>
            </w: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gridSpan w:val="2"/>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75,755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The total intrinsic value of options exercised was $16,760 for the three months ended June 30, 2018 and $7,002 for the three months ended June 30, 2017. The Company’s policy is to issue new shares upon exercise of options as the Company does not hold shares in treasury.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three months ended June 30, 2018 is as follows: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2018</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2,166</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335</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June 30, 2018</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weighted average fair value of restricted stock units awarded was $71.58 per unit during the three months ended June 30, 2018, and $60.19 per unit during the three months ended June 30, 2017. The weighted average fair value of awards includes the awards with a market condition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three months ended June 30, 2018, the Company granted 72 performance restricted stock units ("PSU") to certain executives. Vesting of these awards is contingent upon i) the Company meeting certain company-wide revenue and non-GAAP performance goals (performance-based) in fiscal 2019 and</w:t>
      </w:r>
    </w:p>
    <w:p>
      <w:pPr>
        <w:ind w:right="60" w:firstLine="8"/>
        <w:spacing w:after="0" w:line="295" w:lineRule="auto"/>
        <w:tabs>
          <w:tab w:leader="none" w:pos="20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customary service periods. The awards vest over three years and have a maximum potential to vest at 200% (144 shares) based on actual fiscal 2019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three months ended June 30, 2018, the Company granted 75 market performance stock units to certain executives. The vesting of these awards is contingent upon the Company meeting certain total shareholder return ("TSR") levels as compared to the Russell 3000 market index over the next three years. The awards vest in three annual tranches and have a maximum potential to vest at 200% (150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three months ended June 30, 2018 was $81.78. The awards are included in the restricted stock unit table.</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Income tax expense was $2,649 in the three months ended June 30, 2018 compared to a benefit of $3,837 in the three months ended June 30, 2017. In fiscal 2018 the Company determined that it is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tax expense for the three months ended June 30, 2018 relates primarily to current foreign taxes.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of U.S. Tax Reform</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Tax Cuts and Jobs Act (the "Act") was enacted on December 22, 2017. The Act reduces the US federal corporate tax rate from 35% to 21%, requires companies to pay a one-time transition tax on earnings of certain foreign subsidiaries that were previously tax deferred and creates new taxes on certain foreign sourced earnings. As of June 30, 2018, the Company has not completed the accounting for the tax effects of enactment of the Act; however, it has made a reasonable estimate of the effects on existing deferred tax balances. These amounts are provisional and subject to change. The most significant impact of the legislation for the Company was the reduction of the value of the Company's net deferred tax assets (which represent future tax benefits) as a result of lowering the U.S. corporate income tax rate from 35% to 21%. The Act also includes a requirement to pay a one-time transition tax on the cumulative value of earnings and profits that were previously not repatriated for U.S. income tax purposes. Based on analysis completed to date the one-time transition tax is expected to be zero.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19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Company also continues to evaluate the impact of the GILTI provisions under the Act which are complex and subject to continuing regulatory interpretation by the U.S. Internal Revenue Service (IRS). The Company is required to make an accounting policy election of either (1) treating taxes due on future U.S. inclusions in taxable income related to GILTI as a</w:t>
      </w:r>
    </w:p>
    <w:p>
      <w:pPr>
        <w:ind w:right="80"/>
        <w:spacing w:after="0" w:line="252" w:lineRule="auto"/>
        <w:rPr>
          <w:sz w:val="20"/>
          <w:szCs w:val="20"/>
          <w:color w:val="auto"/>
        </w:rPr>
      </w:pPr>
      <w:r>
        <w:rPr>
          <w:rFonts w:ascii="Arial" w:cs="Arial" w:eastAsia="Arial" w:hAnsi="Arial"/>
          <w:sz w:val="18"/>
          <w:szCs w:val="18"/>
          <w:color w:val="auto"/>
        </w:rPr>
        <w:t>current period expense when incurred (the “period cost method”) or (2) factoring such amounts into the Company’s measurement of its deferred taxes (the “deferred method”). The Company’s accounting policy election with respect to the new GILTI Tax rules will depend, in part, on analyzing its global income to determine whether it can reasonably estimate the tax impact. While the Company has included an estimate of GILTI in its estimated effective tax rate for fiscal 2019, it has not completed its analysis and has not determined which method to elect. Adjustments related to the amount of GILTI recorded in the financial statements may be required based on the outcome of this election. However, there is no impact on tax expense in the first quarter due to the valuation allowance recorded against deferred tax assets.</w:t>
      </w:r>
    </w:p>
    <w:p>
      <w:pPr>
        <w:spacing w:after="0" w:line="19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Act also requires other complex computations to be performed that were not previously required in U.S. tax law, judgments to be made in interpretation of the provisions of the Act, estimates in calculations, and the preparation and analysis of information not previously relevant or regularly produced. The U.S. Treasury Department, the IRS, and other standard-setting bodies could interpret or issue guidance on how provisions of the Act will be applied or otherwise administered that is different from our current interpretation.</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Restructuring</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fiscal 2019, the Company initiated a restructuring plan to increase efficiency in its sales, marketing and distribution functions as well as reduce costs across all functional areas. During the quarter the Company incurred total restructuring charges of $7,895. These restructuring charges relate primarily to severance and related costs associated with headcount reductions. These charges include $910 of stock-based compensation related to modifications of existing unvested awards granted to certain employees impacted by the restructuring plan.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activity in the Company’s restructuring accruals for the three months ended June 30, 2018 is summarized as follows:</w:t>
      </w:r>
    </w:p>
    <w:p>
      <w:pPr>
        <w:spacing w:after="0" w:line="200" w:lineRule="exact"/>
        <w:rPr>
          <w:sz w:val="20"/>
          <w:szCs w:val="20"/>
          <w:color w:val="auto"/>
        </w:rPr>
      </w:pPr>
    </w:p>
    <w:p>
      <w:pPr>
        <w:spacing w:after="0" w:line="202" w:lineRule="exact"/>
        <w:rPr>
          <w:sz w:val="20"/>
          <w:szCs w:val="20"/>
          <w:color w:val="auto"/>
        </w:rPr>
      </w:pPr>
    </w:p>
    <w:tbl>
      <w:tblPr>
        <w:tblLayout w:type="fixed"/>
        <w:tblInd w:w="2360" w:type="dxa"/>
        <w:tblCellMar>
          <w:top w:w="0" w:type="dxa"/>
          <w:left w:w="0" w:type="dxa"/>
          <w:bottom w:w="0" w:type="dxa"/>
          <w:right w:w="0" w:type="dxa"/>
        </w:tblCellMar>
      </w:tblPr>
      <w:tr>
        <w:trPr>
          <w:trHeight w:val="205"/>
        </w:trPr>
        <w:tc>
          <w:tcPr>
            <w:tcW w:w="5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7,895</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Balance at June 30, 2018</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3,319</w:t>
            </w:r>
          </w:p>
        </w:tc>
      </w:tr>
      <w:tr>
        <w:trPr>
          <w:trHeight w:val="27"/>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the outstanding restructuring accruals primarily relate to future severance payments.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12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2018.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Commvault is a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In fiscal 2018, we also started selling appliances that integrate the our software with hardware and address a wide-range of business needs and use cases, ranging from support for remote or branch offices with limited IT staff up to large corporate data centers. We also provide our customers with a broad range of professional services that are delivered by our worldwide support and field operations. As of June 30, 2018, we had licensed our software applications to approximately 27,000 registered customers.</w:t>
      </w:r>
    </w:p>
    <w:p>
      <w:pPr>
        <w:spacing w:after="0" w:line="17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Our software licenses typically provide for a perpetual right to use our software and are sold on a per terabyte capacity basis, per-copy, as site licenses or as a solution set. Prior to fiscal 2018, an insignificant amount of our revenue has been sold under subscription, or term based, license arrangements. In these arrangements the customer has the right to use the software over a designated period of time. We expect revenue from subscription arrangements to become a more significant portion of our total revenue compared to historical periods.</w:t>
      </w:r>
    </w:p>
    <w:p>
      <w:pPr>
        <w:spacing w:after="0" w:line="11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industry in which we currently operate continues to go through accelerating changes as the result of compounding data growth and the introduction of new technologies. We remain focused on both the data and information management trends in the marketplace and, in fact, a material portion of our existing research and development expenses are utilized toward the development of such new technologies.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derive a significant portion of our total revenues from sales of licenses of our software applications and products. We do not customize our software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43% and 45% of our total revenues for the three months ended June 30, 2018 and 2017, respectively.</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approximately 59% and 63% of our total software and products revenue in the three months ended June 30, 2018 and 2017, respectively.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6"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Software and products revenue generated through indirect distribution channels was 84% of total software and products revenue in the three months ended June 30, 2018 and was approximately 81% of total software revenue in the three months ended June 30, 2017. Software and products revenue generated through direct distribution channels was approximately 16% of total software and products revenue in the three months ended June 30, 2018 and was approximately 19% of total software revenue in the three months ended June 30, 2017. The dollar value of software and products revenue generated through indirect distribution channels increased approximately $2.3 million, or 4%, in the three months ended June 30, 2018 compared to the three months ended June 30, 2017. The dollar value of software and products revenue generated through direct distribution channels decreased approximately $2.0 million, or 14%, in the three months ended June 30, 2018 compared to the three months ended June 30, 2017.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8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primary original equipment manufacturer agreement is with Hitachi Vantara (formerly Hitachi Data Systems) ("Hitachi") and allows them to market, sell and support our software applications and services on a stand-alone basis and/or incorporate our software applications into their own hardware products. Our original equipment manufacturer partners, including Hitachi, have no obligation to recommend or offer our software applications exclusively or at all, and they have no minimum sales requirements and can terminate our relationship at any time. Sales through our original equipment manufacturer agreements, accounted for approximately 13% of our total revenues for the three months ended June 30, 2018 and 10% of our total revenues for the three months ended June 30, 2017.</w:t>
      </w:r>
    </w:p>
    <w:p>
      <w:pPr>
        <w:spacing w:after="0" w:line="13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also have non-exclusive distribution agreements covering our North American commercial markets and our U.S. Federal Government market with Arrow Enterprise Computing Solutions, Inc. ("Arrow"), a subsidiary of Arrow Electronics, Inc., and Tech Data Corporation ("Tech Data"). Pursuant to these distribution agreements, these distributors’ primary role is to enable a more efficient and effective distribution channel for our products and services by managing our reseller partners and leveraging their own industry experience. We generated approximately 37% of our total revenues through Arrow in the three months ended June 30, 2018 and approximately 36% in the three months ended June 30, 2017. If Arrow were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business.</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services revenue was 57% of our total revenues for the three months ended June 30, 2018 and 55% of our total revenues for the three months ended June 30, 2017.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installation services and customer education.</w:t>
      </w:r>
    </w:p>
    <w:p>
      <w:pPr>
        <w:spacing w:after="0" w:line="11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Most of our customer support agreements are priced as a percentage of the related net software purchased and are for a one year term. As the end of the annual period approaches, we pursue the renewal of the agreement with the customer. Historically, customer support renewals have represented a significant portion of our total revenue. Because of this characteristic of our business, if our customers choose not to renew their support agreements with us on beneficial terms, or at all, our business, operating results and financial condition could be harmed.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Sales outside the United States were approximately 46% of our total revenue for the three months ended June 30, 2018 and 45% of our total revenue for the three months ended June 30, 2017.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Using the average foreign currency exchange rates from the three months ended June 30, 2017 our software and products revenue would have been lower by $1.2 million, our services revenue would have been lower by $1.8 million, our cost of sales would have been lower by $0.9 million and our operating expenses would have been lower by $1.8 million from non-U.S. operations for the three months ended June 30, 2018.</w:t>
      </w:r>
    </w:p>
    <w:p>
      <w:pPr>
        <w:spacing w:after="0" w:line="11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gains of $0.5 million and $0.1 million in the three months ended June 30, 2018 and 2017,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Commissions Costs</w:t>
      </w:r>
    </w:p>
    <w:p>
      <w:pPr>
        <w:spacing w:after="0" w:line="18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There have been no significant changes in our critical accounting policies during the three months ended June 30, 2018 as compared to the critical accounting policies and estimates disclosed in “Management’s Discussion and Analysis of Financial Condition and Results of Operations - Critical Accounting Policies” included in our Annual Report on Form 10-K for the year ended March 31, 2018. In addition, please see Note 2 of Notes to the Condensed Consolidated Financial Statements included in this Quarterly Report on Form 10-Q and Note 2 of the Notes to Consolidated Financial Statements included in our fiscal 2018 Annual Report on Form 10-K filed for a description of our accounting policies.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compared to three months ended June 30, 2017</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Total revenues increased $10.2 million, or 6%, from $166.0 million in the three months ended June 30, 2017 to $176.2 million in the three months ended June 30, 2018.</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 xml:space="preserve">Software and Products Revenue. </w:t>
      </w:r>
      <w:r>
        <w:rPr>
          <w:rFonts w:ascii="Arial" w:cs="Arial" w:eastAsia="Arial" w:hAnsi="Arial"/>
          <w:sz w:val="18"/>
          <w:szCs w:val="18"/>
          <w:color w:val="auto"/>
        </w:rPr>
        <w:t>Software and products revenue increased $0.3 million, from $74.8 million in the three months ended June 30,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$75.1 million in the three months ended June 30, 2018. Software and products revenue represented 43% of our total revenues in the three months ended June 30, 2018 as compared to 45% of total revenues in the three months ended June 30, 2017.</w:t>
      </w:r>
    </w:p>
    <w:p>
      <w:pPr>
        <w:spacing w:after="0" w:line="127"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Americas, EMEA and APAC represented 56%, 29% and 15% of total software and products revenue, respectively, for the three months ended June 30, 2018. The year-over-year change in software and products revenue in the Americas increased 5%, EMEA decreased 7% and APAC deceased 1%.</w:t>
      </w:r>
    </w:p>
    <w:p>
      <w:pPr>
        <w:spacing w:after="0" w:line="70" w:lineRule="exact"/>
        <w:rPr>
          <w:sz w:val="20"/>
          <w:szCs w:val="20"/>
          <w:color w:val="auto"/>
        </w:rPr>
      </w:pPr>
    </w:p>
    <w:p>
      <w:pPr>
        <w:ind w:left="660" w:right="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the result of in increase in the number of enterprise revenue transactions and an increase in the total amount of non-enterprise transaction revenue. These increases were partially offset by a decline in the average size of enterprise revenue transactions.</w:t>
      </w:r>
    </w:p>
    <w:p>
      <w:pPr>
        <w:spacing w:after="0" w:line="127"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EMEA software and products revenue decreased as a result of a decline in enterprise transaction revenue driven by a decrease in the average size of these transactions. This decrease was partially offset by an increase in both the number of enterprise revenue transactions and an increase in total revenue from non-enterprise revenue transactions. Using the average foreign currency exchange rates from the three months ended June 30, 2017, EMEA software and products revenue would have been lower by $1.0 million.</w:t>
      </w:r>
    </w:p>
    <w:p>
      <w:pPr>
        <w:spacing w:after="0" w:line="117"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APAC software and products revenue decreased by 1% versus the prior year. The decline in revenue was the result of a decline in the average size of enterprise revenue transactions that was partially offset by an increase in revenue from non-enterprise revenue transactions.</w:t>
      </w:r>
    </w:p>
    <w:p>
      <w:pPr>
        <w:spacing w:after="0" w:line="92" w:lineRule="exact"/>
        <w:rPr>
          <w:rFonts w:ascii="Arial" w:cs="Arial" w:eastAsia="Arial" w:hAnsi="Arial"/>
          <w:sz w:val="17"/>
          <w:szCs w:val="17"/>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software and products revenue in EMEA and APAC is subject to changes in foreign exchange rates as more fully discussed above in the “Foreign Currency Exchange Rates’ Impact on Results of Operations” section.</w:t>
      </w:r>
    </w:p>
    <w:p>
      <w:pPr>
        <w:spacing w:after="0" w:line="11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Software and products revenue derived from enterprise transactions (transactions greater than $0.1 million) represented approximately 59% of our software and products revenue in the three months ended June 30, 2018 and approximately 63% of our software and products revenue in the three months ended June 30, 2017. Enterprise transaction revenue decreased by $2.7 million, or 6%, in the three months ended June 30, 2018 compared to the three months ended June 30, 2017. This decrease was driven by a 35% decrease in the average dollar amount of such transactions partially offset by a 46% increase in the number of transactions. The average sales price was approximately $243,000 in the three months ended June 30, 2018 and approximately $375,000 in the three months ended June 30, 2017. Software and products revenue derived from transactions less than $0.1 million increased $3.0 million, or 11%, in the three months ended June 30, 2018 compared to the three months ended June 30, 2017.</w:t>
      </w:r>
    </w:p>
    <w:p>
      <w:pPr>
        <w:spacing w:after="0" w:line="12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i w:val="1"/>
          <w:iCs w:val="1"/>
          <w:color w:val="auto"/>
        </w:rPr>
        <w:t xml:space="preserve">Services Revenue. </w:t>
      </w:r>
      <w:r>
        <w:rPr>
          <w:rFonts w:ascii="Arial" w:cs="Arial" w:eastAsia="Arial" w:hAnsi="Arial"/>
          <w:sz w:val="17"/>
          <w:szCs w:val="17"/>
          <w:color w:val="auto"/>
        </w:rPr>
        <w:t>Services revenue increased $9.9 million, or 11%, from $91.2 million in the three months ended June 30, 2017 to $101.1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2018. Services revenue represented 57% of our total revenues in the three months ended June 30, 2018 and 55% in the three months ended June 30, 2017. The increase in services revenue is due to a $8.5 million increase in revenue from customer support agreements as a result of software sales to new customers and renewal agreements with our installed software base.</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Cost of Software and Products Revenues</w:t>
      </w:r>
      <w:r>
        <w:rPr>
          <w:rFonts w:ascii="Arial" w:cs="Arial" w:eastAsia="Arial" w:hAnsi="Arial"/>
          <w:sz w:val="16"/>
          <w:szCs w:val="16"/>
          <w:color w:val="auto"/>
        </w:rPr>
        <w:t>. Total cost of software and products revenues increased $3.3 million, from $0.8 million in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2017 to $4.1 million in the three months ended June 30, 2018. Cost of software and product revenue represented 5% of software and product revenue in the three months ended June 30, 2018 compared to 1% in the three months ended June 30, 2017.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increase.</w:t>
      </w:r>
    </w:p>
    <w:p>
      <w:pPr>
        <w:spacing w:after="0" w:line="10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i w:val="1"/>
          <w:iCs w:val="1"/>
          <w:color w:val="auto"/>
        </w:rPr>
        <w:t>Cost of Services Revenues</w:t>
      </w:r>
      <w:r>
        <w:rPr>
          <w:rFonts w:ascii="Arial" w:cs="Arial" w:eastAsia="Arial" w:hAnsi="Arial"/>
          <w:sz w:val="18"/>
          <w:szCs w:val="18"/>
          <w:color w:val="auto"/>
        </w:rPr>
        <w:t>. Total cost of services revenues increased $2.6 million, or 13%, from $20.9 million in the three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to $23.5 million in the three months ended June 30, 2018. The gross margin of our services revenue was 77% for both the three months ended June 30, 2018 and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decreased $2.3 million, or 2%, from $99.9 million in the three months ended June 30, 2017 to $97.6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three months ended June 30, 2018. The decrease is primarily the result of a decline in expenses related to our annual sales meeting which occurred in Q1 of fiscal 2018 but will occur in Q2 of fiscal 2019, along with reductions in travel expenses. Sales and marketing expenses as a percentage of total revenues was 55% in the three months ended June 30, 2018 and 60% in the three months ended June 30, 2017.</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$2.2 million, or 10%, from $22.5 million in the three months ended June 30,</w:t>
      </w:r>
    </w:p>
    <w:p>
      <w:pPr>
        <w:spacing w:after="0" w:line="4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2017 to $24.8 million in the three months ended June 30, 2018. The increase is due to salary and related expenses resulting from the expansion of our engineering group. Research and development expenses as a percentage of total revenues was 14% in both the three months ended June 30, 2018 and 2017. Investing in research and development has been a priority for Commvault, and we anticipate continued spending related to the development of our data and information management software applications.</w:t>
      </w:r>
    </w:p>
    <w:p>
      <w:pPr>
        <w:spacing w:after="0" w:line="13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decreased $1.3 million, or 5%, from $23.9 million in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to $22.5 million in the three months ended June 30, 2018. The decrease is primarily the result of a $2.7 million decrease in stock-based compensation as well as a reduction in other employee related expenses. This decrease was partially offset by costs related to a non-routine shareholder matter. The costs are for professional fees related to our settlement agreement with the shareholder and consulting fees incurred with the operational review which was agreed to as part of the settlement. Expenses in the three months ended June 30, 2018 also includes approximately $0.5 million of net foreign currency transaction gains compared to $0.1 million of net foreign currency transaction gains in the three months ended June 30, 2017. General and administrative expenses as a percentage of total revenues was 13% in the three months ended June 30, 2018 and 14% in the three months ended June 30, 2017.</w:t>
      </w:r>
    </w:p>
    <w:p>
      <w:pPr>
        <w:spacing w:after="0" w:line="11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In fiscal 2019 we initiated a restructuring plan to increase efficiency in our sales, marketing and distribution functions as well as reduce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across all functional areas. As part of this strategic initiative, our workforce was reduced by approximately 4%. During the quarter we incurred total restructuring charges of $7.9 million. These restructuring charges relate primarily to severance and related costs associated with headcount reductions. These charges include $0.9 million of stock-based compensation related to modifications of existing awards granted to certain employees included in the restructuring.</w:t>
      </w:r>
    </w:p>
    <w:p>
      <w:pPr>
        <w:spacing w:after="0" w:line="13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$0.2 million from $2.4 million in the three months ended June 30, 2017 to $2.5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June 30,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Income tax expense was $2.6 million in the three months ended June 30, 2018 compared to a benefit of $3.8 million in the three months ended June 30, 2017. In fiscal 2018 we determined that it is more likely than not that we will not realize the benefits of our gross deferred tax assets and therefore we recorded a valuation allowance to reduce the carrying value of gross deferred tax assets, net of the impact of the reversal of taxable temporary differences, to zero. The tax expense for the three months ended June 30, 2018 relates primarily to current foreign taxes.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As of June 30, 2018, our cash and cash equivalents balance of $351.9 million primarily consisted of cash and money market funds. In addition, as of June 30, 2018 we have short-term investments invested in U.S. Treasury Bills totaling $109.8 million. In recent fiscal years, our principal source of liquidity has been cash provided by operations.</w:t>
      </w:r>
    </w:p>
    <w:p>
      <w:pPr>
        <w:spacing w:after="0" w:line="12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As of June 30, 2018, the amount of cash and cash equivalents held outside of the United States by our foreign legal entities was approximately $197 million. These balances are dispersed across many international locations around the world. In the event we repatriated funds from outside of the United States, such repatriation could be subject to restrictions by local laws and/or tax consequences including foreign withholding taxes. As a result of recent corporate tax reform in the United States, we are obligated to pay a one time income tax on the cumulative total of any foreign earnings which have not been repatriated. We currently estimate this one time tax to be zero. Prospectively, we believe that as a result of this tax reform, we will likely be able to repatriate foreign earnings without paying U.S. income tax. However, we will remain subject to restrictions by local laws and/or tax consequences including foreign withholding taxes.</w:t>
      </w:r>
    </w:p>
    <w:p>
      <w:pPr>
        <w:spacing w:after="0" w:line="135"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During the three months ended June 30, 2018, we repurchased $25.0 million of common stock shares under our share repurchase program. As of June 30, 2018, $87.8 million remains authorized through March 31, 2019. Under our stock repurchase program, repurchased shares are constructively retired and returned to unissued status. Our stock repurchase program has been funded by our existing cash and cash equivalent balances as well as cash flows provided by our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24,770</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19,933</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18,362</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(12,247)</w:t>
            </w:r>
          </w:p>
        </w:tc>
      </w:tr>
      <w:tr>
        <w:trPr>
          <w:trHeight w:val="27"/>
        </w:trPr>
        <w:tc>
          <w:tcPr>
            <w:tcW w:w="4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(11,617)</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(10,387)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6,775</w:t>
            </w:r>
          </w:p>
        </w:tc>
      </w:tr>
      <w:tr>
        <w:trPr>
          <w:trHeight w:val="27"/>
        </w:trPr>
        <w:tc>
          <w:tcPr>
            <w:tcW w:w="4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21,128</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20,031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cash provided by operating activities was $24.8 million in the three months ended June 30, 2018 and $19.9 million in the three months ended June 30, 2017. In the three months ended June 30, 2018, cash provided by operating activities was primarily due to net loss adjusted for the impact of non-cash charges, collection of accounts receivable, and an increase in deferred revenue and a decrease in other current assets. These amounts were partially offset by a decrease in accrued liabilities. In the three months ended June 30, 2017, cash provided by operating activities was primarily due to net loss adjusted for the impact of non-cash charges, collection of accounts receivable and an increase in deferred revenue. These amounts were partially offset by a decrease in accrued liabilities and an increase in other current assets which included a $3.0 million payment for software royalties related to our hyper-converged products and appliance strategy.</w:t>
      </w:r>
    </w:p>
    <w:p>
      <w:pPr>
        <w:spacing w:after="0" w:line="13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Net cash provided by (used in) investing activities was $18.4 million for the three months ended June 30, 2018 and ($12.2 million) in the three months ended June 30, 2017. In the three months ended June 30, 2018, cash provided by investing activities was related to $21.9 million in net proceeds from the maturity of U.S. Treasury Bills, which was partially offset by $3.5 million of capital expenditures. In the three months ended June 30, 2017, cash used in investing activities was related to $10.8 million in net purchases of U.S. Treasury Bills and $1.5 million of capital expenditures.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Net cash provided by (used in) financing activities was ($11.6 million) in the three months ended June 30, 2018 and $5.6 million in the three months ended June 30, 2017. The cash used in financing activities in the three months ended June 30, 2018 was the result of $25.0 million of repurchases of common shares partially offset by $13.4 million of proceeds from the exercise of stock options. The cash provided by financing activities in the three months ended June 30, 2017 was due to proceeds from the exercise of stock options.</w:t>
      </w:r>
    </w:p>
    <w:p>
      <w:pPr>
        <w:spacing w:after="0" w:line="1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Working capital decreased $2.9 million from $322.6 million as of March 31, 2018 to $319.7 million as of June 30, 2018. The net decrease in working capital is due primarily to our use of cash to repurchase common shares offset by cash flow from operations and proceeds from the exercise of stock options . 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As of June 30, 2018,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June 30, 2018,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As a global company, we face exposure to adverse movements in foreign currency exchange rates. Our international sales are generally denominated in foreign currencies and this revenue could be materially affected by currency fluctuations. Approximately 46% of our sales were outside the United States for the three months ended June 30, 2018.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a net foreign currency transaction gains of $0.5 million in the three months ended June 30, 2018. We recognized net foreign currency transaction gain of $0.1 million in the three months ended June 30, 2017. The net foreign currency transaction gains and losses recorded in “General and administrative” expenses include settlement gains and losses on forward contracts disclosed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June 30, 2018. Based on that evaluation, the Chief Executive Officer and Chief Financial Officer concluded that our disclosure controls and procedures were effective as of June 30, 2018.</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first quarter of fiscal 2019 that has materially affected, or is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disclosures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September 10, 2014, a purported class action complaint was filed in the United States District Court for the District of New Jersey against the Company, its Chief Executive Officer and its Chief Financial Officer. The case was captioned In re Commvault Systems, Inc. Securities Litigation (Master File No. 3:14-cv-05628-MAS-LHG). The suit alleged that we made materially false and misleading statements, or failed to disclose material facts, regarding our financial results, business, operations and prospects in violation of Sections 10(b) and 20(a) of the Securities Exchange Act of 1934 and Rule 10b-5 promulgated thereunder. The suit was purportedly brought on behalf of purchasers of our common stock during the period from May 7, 2013 through April 24, 2014, and sought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Thereafter, discovery commenced. On October 2, 2017, the parties entered into an agreement in principle to settle the action for $12.5 million. The parties signed a stipulation of settlement on November 30, 2017, which was filed with the court. On January 22, 2018, the court entered an order granting preliminary approval to the settlement, and, among other things, ordered that a final approval hearing be held. On May 14, 2018, the court held a final approval hearing on the settlement and shortly thereafter entered a final order approving the settlement of the action. The settlement amount has been funded solely by our insurers.</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27, 2017, Realtime Data LLC d/b/a/ IXO (“Realtime”), a non-practicing entity, sued us and Spectra Logic Corporation in the Eastern District of Texas for alleged infringement of four patents: U.S. Patent Nos. 9,054,728, 7,415,530, 9,116,908, and 8,717,204. Realtime dismissed the case in Texas and refiled this case in the District of Delaware on July 10, 2017. Realtime has sued numerous other companies for infringement of these and other patents. Realtime seeks monetary damages and an injunction. We responded to the complaint by filing a motion to dismiss on the grounds that the patents are directed to patent-ineligible subject matter. The Court has not yet ruled on this motion.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We intend to defend ourselves vigorously. As of June 30, 2018, we have not recorded an accrual for this matter as we have concluded that the probability of loss is remote.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2018,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recently implemented a restructuring program, which we cannot guarantee will achieve its intended result.</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the first quarter of fiscal 2019 we initiated a restructuring plan to increase efficiency in our sales, marketing and distribution functions while reducing costs across all functional areas.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During the first fiscal quarter of the fiscal 2019, we repurchased $25.0 million of common stock, or 365,546 shares, under our share repurchase program. A summary of our repurchases of common stock during the three months ended June 30, 2018 is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shares</w:t>
            </w: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purchased as</w:t>
            </w:r>
          </w:p>
        </w:tc>
        <w:tc>
          <w:tcPr>
            <w:tcW w:w="1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shares that may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part of publicly</w:t>
            </w:r>
          </w:p>
        </w:tc>
        <w:tc>
          <w:tcPr>
            <w:tcW w:w="15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shares</w:t>
            </w:r>
          </w:p>
        </w:tc>
        <w:tc>
          <w:tcPr>
            <w:tcW w:w="10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rPr>
              <w:t>Average price</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announced</w:t>
            </w:r>
          </w:p>
        </w:tc>
        <w:tc>
          <w:tcPr>
            <w:tcW w:w="1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2"/>
          </w:tcPr>
          <w:p>
            <w:pPr>
              <w:ind w:left="480"/>
              <w:spacing w:after="0"/>
              <w:rPr>
                <w:sz w:val="20"/>
                <w:szCs w:val="20"/>
                <w:color w:val="auto"/>
              </w:rPr>
            </w:pPr>
            <w:r>
              <w:rPr>
                <w:rFonts w:ascii="Arial" w:cs="Arial" w:eastAsia="Arial" w:hAnsi="Arial"/>
                <w:sz w:val="18"/>
                <w:szCs w:val="18"/>
                <w:b w:val="1"/>
                <w:bCs w:val="1"/>
                <w:color w:val="auto"/>
              </w:rPr>
              <w:t>Period</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purchased</w:t>
            </w:r>
          </w:p>
        </w:tc>
        <w:tc>
          <w:tcPr>
            <w:tcW w:w="10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rPr>
              <w:t>paid per share</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programs</w:t>
            </w:r>
          </w:p>
        </w:tc>
        <w:tc>
          <w:tcPr>
            <w:tcW w:w="12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program</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2018</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112,840,234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May 2018</w:t>
            </w:r>
          </w:p>
        </w:tc>
        <w:tc>
          <w:tcPr>
            <w:tcW w:w="1340" w:type="dxa"/>
            <w:vAlign w:val="bottom"/>
          </w:tcPr>
          <w:p>
            <w:pPr>
              <w:jc w:val="right"/>
              <w:spacing w:after="0"/>
              <w:rPr>
                <w:sz w:val="20"/>
                <w:szCs w:val="20"/>
                <w:color w:val="auto"/>
              </w:rPr>
            </w:pPr>
            <w:r>
              <w:rPr>
                <w:rFonts w:ascii="Arial" w:cs="Arial" w:eastAsia="Arial" w:hAnsi="Arial"/>
                <w:sz w:val="18"/>
                <w:szCs w:val="18"/>
                <w:color w:val="auto"/>
              </w:rPr>
              <w:t>365,546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365,546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87,825,639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2018</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87,825,639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Three months</w:t>
            </w: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ended June 30,</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00" w:type="dxa"/>
            <w:vAlign w:val="bottom"/>
            <w:gridSpan w:val="2"/>
          </w:tcPr>
          <w:p>
            <w:pPr>
              <w:ind w:left="12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365,546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365,546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3900" w:type="dxa"/>
            <w:vAlign w:val="bottom"/>
            <w:gridSpan w:val="6"/>
            <w:vMerge w:val="continue"/>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gridSpan w:val="3"/>
          </w:tcPr>
          <w:p>
            <w:pPr>
              <w:spacing w:after="0"/>
              <w:rPr>
                <w:sz w:val="20"/>
                <w:szCs w:val="20"/>
                <w:color w:val="auto"/>
              </w:rPr>
            </w:pPr>
            <w:r>
              <w:rPr>
                <w:rFonts w:ascii="Arial" w:cs="Arial" w:eastAsia="Arial" w:hAnsi="Arial"/>
                <w:sz w:val="18"/>
                <w:szCs w:val="18"/>
                <w:color w:val="auto"/>
              </w:rPr>
              <w:t>None</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Item 4. Mine Safety Disclosures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gridSpan w:val="6"/>
          </w:tcPr>
          <w:p>
            <w:pPr>
              <w:spacing w:after="0"/>
              <w:rPr>
                <w:sz w:val="20"/>
                <w:szCs w:val="20"/>
                <w:color w:val="auto"/>
              </w:rPr>
            </w:pPr>
            <w:r>
              <w:rPr>
                <w:rFonts w:ascii="Arial" w:cs="Arial" w:eastAsia="Arial" w:hAnsi="Arial"/>
                <w:sz w:val="18"/>
                <w:szCs w:val="18"/>
                <w:color w:val="auto"/>
              </w:rPr>
              <w:t>Not Applicable</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Item 5. Other Information</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gridSpan w:val="3"/>
          </w:tcPr>
          <w:p>
            <w:pPr>
              <w:spacing w:after="0"/>
              <w:rPr>
                <w:sz w:val="20"/>
                <w:szCs w:val="20"/>
                <w:color w:val="auto"/>
              </w:rPr>
            </w:pPr>
            <w:r>
              <w:rPr>
                <w:rFonts w:ascii="Arial" w:cs="Arial" w:eastAsia="Arial" w:hAnsi="Arial"/>
                <w:sz w:val="18"/>
                <w:szCs w:val="18"/>
                <w:color w:val="auto"/>
              </w:rPr>
              <w:t>None</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00" w:type="dxa"/>
            <w:vAlign w:val="bottom"/>
            <w:gridSpan w:val="2"/>
            <w:vMerge w:val="restart"/>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3"/>
                <w:szCs w:val="13"/>
                <w:color w:val="auto"/>
              </w:rPr>
            </w:pPr>
          </w:p>
        </w:tc>
        <w:tc>
          <w:tcPr>
            <w:tcW w:w="9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8"/>
              </w:rPr>
              <w:t>No.</w:t>
            </w: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720" w:type="dxa"/>
            <w:vAlign w:val="bottom"/>
            <w:gridSpan w:val="15"/>
            <w:vMerge w:val="restart"/>
          </w:tcPr>
          <w:p>
            <w:pPr>
              <w:ind w:left="20"/>
              <w:spacing w:after="0"/>
              <w:rPr>
                <w:sz w:val="20"/>
                <w:szCs w:val="20"/>
                <w:color w:val="auto"/>
              </w:rPr>
            </w:pPr>
            <w:r>
              <w:rPr>
                <w:rFonts w:ascii="Arial" w:cs="Arial" w:eastAsia="Arial" w:hAnsi="Arial"/>
                <w:sz w:val="18"/>
                <w:szCs w:val="18"/>
                <w:color w:val="auto"/>
                <w:w w:val="91"/>
              </w:rPr>
              <w:t>Letter Agreement, by and among Commvault Systems, Inc., Elliott Associates, L.P., Elliott International, L.P. and Elliott</w:t>
            </w:r>
          </w:p>
        </w:tc>
        <w:tc>
          <w:tcPr>
            <w:tcW w:w="0" w:type="dxa"/>
            <w:vAlign w:val="bottom"/>
          </w:tcPr>
          <w:p>
            <w:pPr>
              <w:spacing w:after="0"/>
              <w:rPr>
                <w:sz w:val="1"/>
                <w:szCs w:val="1"/>
                <w:color w:val="auto"/>
              </w:rPr>
            </w:pPr>
          </w:p>
        </w:tc>
      </w:tr>
      <w:tr>
        <w:trPr>
          <w:trHeight w:val="196"/>
        </w:trPr>
        <w:tc>
          <w:tcPr>
            <w:tcW w:w="480" w:type="dxa"/>
            <w:vAlign w:val="bottom"/>
            <w:gridSpan w:val="2"/>
          </w:tcPr>
          <w:p>
            <w:pPr>
              <w:ind w:left="180"/>
              <w:spacing w:after="0" w:line="196" w:lineRule="exact"/>
              <w:rPr>
                <w:rFonts w:ascii="Arial" w:cs="Arial" w:eastAsia="Arial" w:hAnsi="Arial"/>
                <w:sz w:val="18"/>
                <w:szCs w:val="18"/>
                <w:color w:val="0000FF"/>
                <w:w w:val="79"/>
              </w:rPr>
            </w:pPr>
            <w:hyperlink r:id="rId16">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600" w:type="dxa"/>
            <w:vAlign w:val="bottom"/>
          </w:tcPr>
          <w:p>
            <w:pPr>
              <w:spacing w:after="0"/>
              <w:rPr>
                <w:sz w:val="17"/>
                <w:szCs w:val="17"/>
                <w:color w:val="auto"/>
              </w:rPr>
            </w:pPr>
          </w:p>
        </w:tc>
        <w:tc>
          <w:tcPr>
            <w:tcW w:w="8720" w:type="dxa"/>
            <w:vAlign w:val="bottom"/>
            <w:gridSpan w:val="1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600" w:type="dxa"/>
            <w:vAlign w:val="bottom"/>
          </w:tcPr>
          <w:p>
            <w:pPr>
              <w:spacing w:after="0"/>
              <w:rPr>
                <w:sz w:val="19"/>
                <w:szCs w:val="19"/>
                <w:color w:val="auto"/>
              </w:rPr>
            </w:pPr>
          </w:p>
        </w:tc>
        <w:tc>
          <w:tcPr>
            <w:tcW w:w="4280" w:type="dxa"/>
            <w:vAlign w:val="bottom"/>
            <w:gridSpan w:val="5"/>
          </w:tcPr>
          <w:p>
            <w:pPr>
              <w:ind w:left="20"/>
              <w:spacing w:after="0"/>
              <w:rPr>
                <w:sz w:val="20"/>
                <w:szCs w:val="20"/>
                <w:color w:val="auto"/>
              </w:rPr>
            </w:pPr>
            <w:r>
              <w:rPr>
                <w:rFonts w:ascii="Arial" w:cs="Arial" w:eastAsia="Arial" w:hAnsi="Arial"/>
                <w:sz w:val="18"/>
                <w:szCs w:val="18"/>
                <w:color w:val="auto"/>
                <w:w w:val="95"/>
              </w:rPr>
              <w:t>International Capital Advisors Inc., dated April 30, 2018.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ind w:left="18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600" w:type="dxa"/>
            <w:vAlign w:val="bottom"/>
          </w:tcPr>
          <w:p>
            <w:pPr>
              <w:spacing w:after="0"/>
              <w:rPr>
                <w:sz w:val="19"/>
                <w:szCs w:val="19"/>
                <w:color w:val="auto"/>
              </w:rPr>
            </w:pPr>
          </w:p>
        </w:tc>
        <w:tc>
          <w:tcPr>
            <w:tcW w:w="7320" w:type="dxa"/>
            <w:vAlign w:val="bottom"/>
            <w:gridSpan w:val="13"/>
          </w:tcPr>
          <w:p>
            <w:pPr>
              <w:ind w:left="20"/>
              <w:spacing w:after="0"/>
              <w:rPr>
                <w:sz w:val="20"/>
                <w:szCs w:val="20"/>
                <w:color w:val="auto"/>
              </w:rPr>
            </w:pPr>
            <w:r>
              <w:rPr>
                <w:rFonts w:ascii="Arial" w:cs="Arial" w:eastAsia="Arial" w:hAnsi="Arial"/>
                <w:sz w:val="18"/>
                <w:szCs w:val="18"/>
                <w:color w:val="auto"/>
                <w:w w:val="93"/>
              </w:rPr>
              <w:t>Certification of Chief Executive Officer Pursuant to Section 302 of the Sarbanes-Oxley Act of 2002</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7200" w:type="dxa"/>
            <w:vAlign w:val="bottom"/>
            <w:gridSpan w:val="12"/>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600" w:type="dxa"/>
            <w:vAlign w:val="bottom"/>
          </w:tcPr>
          <w:p>
            <w:pPr>
              <w:spacing w:after="0"/>
              <w:rPr>
                <w:sz w:val="21"/>
                <w:szCs w:val="21"/>
                <w:color w:val="auto"/>
              </w:rPr>
            </w:pPr>
          </w:p>
        </w:tc>
        <w:tc>
          <w:tcPr>
            <w:tcW w:w="7320" w:type="dxa"/>
            <w:vAlign w:val="bottom"/>
            <w:gridSpan w:val="13"/>
          </w:tcPr>
          <w:p>
            <w:pPr>
              <w:ind w:left="20"/>
              <w:spacing w:after="0"/>
              <w:rPr>
                <w:sz w:val="20"/>
                <w:szCs w:val="20"/>
                <w:color w:val="auto"/>
              </w:rPr>
            </w:pPr>
            <w:r>
              <w:rPr>
                <w:rFonts w:ascii="Arial" w:cs="Arial" w:eastAsia="Arial" w:hAnsi="Arial"/>
                <w:sz w:val="18"/>
                <w:szCs w:val="18"/>
                <w:color w:val="auto"/>
                <w:w w:val="93"/>
              </w:rPr>
              <w:t>Certification of Chief Executive Officer Pursuant to Section 906 of the Sarbanes-Oxley Act of 2002</w:t>
            </w: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7200" w:type="dxa"/>
            <w:vAlign w:val="bottom"/>
            <w:gridSpan w:val="12"/>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28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4280" w:type="dxa"/>
            <w:vAlign w:val="bottom"/>
            <w:gridSpan w:val="5"/>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5740" w:type="dxa"/>
            <w:vAlign w:val="bottom"/>
            <w:gridSpan w:val="10"/>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4380" w:type="dxa"/>
            <w:vAlign w:val="bottom"/>
            <w:gridSpan w:val="6"/>
          </w:tcPr>
          <w:p>
            <w:pPr>
              <w:ind w:left="20"/>
              <w:spacing w:after="0"/>
              <w:rPr>
                <w:sz w:val="20"/>
                <w:szCs w:val="20"/>
                <w:color w:val="auto"/>
              </w:rPr>
            </w:pPr>
            <w:r>
              <w:rPr>
                <w:rFonts w:ascii="Arial" w:cs="Arial" w:eastAsia="Arial" w:hAnsi="Arial"/>
                <w:sz w:val="18"/>
                <w:szCs w:val="18"/>
                <w:color w:val="auto"/>
                <w:w w:val="93"/>
              </w:rPr>
              <w:t>XBRL Taxonomy Extension Definition Linkbase Document</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4280" w:type="dxa"/>
            <w:vAlign w:val="bottom"/>
            <w:gridSpan w:val="5"/>
          </w:tcPr>
          <w:p>
            <w:pPr>
              <w:ind w:left="20"/>
              <w:spacing w:after="0"/>
              <w:rPr>
                <w:sz w:val="20"/>
                <w:szCs w:val="20"/>
                <w:color w:val="auto"/>
              </w:rPr>
            </w:pPr>
            <w:r>
              <w:rPr>
                <w:rFonts w:ascii="Arial" w:cs="Arial" w:eastAsia="Arial" w:hAnsi="Arial"/>
                <w:sz w:val="18"/>
                <w:szCs w:val="18"/>
                <w:color w:val="auto"/>
                <w:w w:val="97"/>
              </w:rPr>
              <w:t>XBRL Taxonomy Extension Label Linkbase Document</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5740" w:type="dxa"/>
            <w:vAlign w:val="bottom"/>
            <w:gridSpan w:val="10"/>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348"/>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40" w:type="dxa"/>
            <w:vAlign w:val="bottom"/>
          </w:tcPr>
          <w:p>
            <w:pPr>
              <w:ind w:left="220"/>
              <w:spacing w:after="0"/>
              <w:rPr>
                <w:sz w:val="20"/>
                <w:szCs w:val="20"/>
                <w:color w:val="auto"/>
              </w:rPr>
            </w:pPr>
            <w:r>
              <w:rPr>
                <w:rFonts w:ascii="Arial" w:cs="Arial" w:eastAsia="Arial" w:hAnsi="Arial"/>
                <w:sz w:val="18"/>
                <w:szCs w:val="18"/>
                <w:color w:val="auto"/>
              </w:rPr>
              <w:t>July 25, 2018</w:t>
            </w:r>
          </w:p>
        </w:tc>
        <w:tc>
          <w:tcPr>
            <w:tcW w:w="3540" w:type="dxa"/>
            <w:vAlign w:val="bottom"/>
          </w:tcPr>
          <w:p>
            <w:pPr>
              <w:ind w:left="300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N. Robert Hammer</w:t>
            </w:r>
          </w:p>
        </w:tc>
      </w:tr>
      <w:tr>
        <w:trPr>
          <w:trHeight w:val="27"/>
        </w:trPr>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N. Robert Hammer</w:t>
            </w:r>
          </w:p>
        </w:tc>
      </w:tr>
      <w:tr>
        <w:trPr>
          <w:trHeight w:val="269"/>
        </w:trPr>
        <w:tc>
          <w:tcPr>
            <w:tcW w:w="7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Chairman, 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40" w:type="dxa"/>
            <w:vAlign w:val="bottom"/>
          </w:tcPr>
          <w:p>
            <w:pPr>
              <w:ind w:left="220"/>
              <w:spacing w:after="0"/>
              <w:rPr>
                <w:sz w:val="20"/>
                <w:szCs w:val="20"/>
                <w:color w:val="auto"/>
              </w:rPr>
            </w:pPr>
            <w:r>
              <w:rPr>
                <w:rFonts w:ascii="Arial" w:cs="Arial" w:eastAsia="Arial" w:hAnsi="Arial"/>
                <w:sz w:val="18"/>
                <w:szCs w:val="18"/>
                <w:color w:val="auto"/>
              </w:rPr>
              <w:t>July 25, 2018</w:t>
            </w:r>
          </w:p>
        </w:tc>
        <w:tc>
          <w:tcPr>
            <w:tcW w:w="3540" w:type="dxa"/>
            <w:vAlign w:val="bottom"/>
          </w:tcPr>
          <w:p>
            <w:pPr>
              <w:ind w:left="300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64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40" w:type="dxa"/>
            <w:vAlign w:val="bottom"/>
          </w:tcPr>
          <w:p>
            <w:pPr>
              <w:ind w:left="1840"/>
              <w:spacing w:after="0"/>
              <w:rPr>
                <w:sz w:val="20"/>
                <w:szCs w:val="20"/>
                <w:color w:val="auto"/>
              </w:rPr>
            </w:pPr>
            <w:r>
              <w:rPr>
                <w:rFonts w:ascii="Arial" w:cs="Arial" w:eastAsia="Arial" w:hAnsi="Arial"/>
                <w:sz w:val="18"/>
                <w:szCs w:val="18"/>
                <w:color w:val="auto"/>
              </w:rPr>
              <w:t>24</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2018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2018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6" Type="http://schemas.openxmlformats.org/officeDocument/2006/relationships/hyperlink" Target="http://www.sec.gov/Archives/edgar/data/1169561/000116956118000016/elliott-cvltsettlement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2019-12-28T21:17:29Z</dcterms:created>
  <dcterms:modified xsi:type="dcterms:W3CDTF">2019-12-28T21:17:29Z</dcterms:modified>
</cp:coreProperties>
</file>