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COMMVAULT SYSTEMS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#204166102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#204166102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468,057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4,528,331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4,528,331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10.283%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#204166102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4,528,331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4,528,331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10.283%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COMMVAULT SYSTEMS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 Crescent Place</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Oceanport, NJ</w:t>
      </w:r>
      <w:r>
        <w:rPr>
          <w:sz w:val="20"/>
          <w:szCs w:val="20"/>
          <w:color w:val="auto"/>
        </w:rPr>
        <w:tab/>
      </w:r>
      <w:r>
        <w:rPr>
          <w:rFonts w:ascii="Courier New" w:cs="Courier New" w:eastAsia="Courier New" w:hAnsi="Courier New"/>
          <w:sz w:val="16"/>
          <w:szCs w:val="16"/>
          <w:color w:val="auto"/>
        </w:rPr>
        <w:t>07757-0900</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204166102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4,528,331</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10.283%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468,057</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4,528,331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COMMVAULT SYSTEMS</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COMMVAULT SYSTEMS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09,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4,054,024 shares or 9.206% of the Common Stock outstanding of COMMVAULT</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SYSTEMS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4,054,024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9,900 shares or 0.022% of the outstanding Common Stock of the COMMVAULT</w:t>
      </w:r>
    </w:p>
    <w:p>
      <w:pPr>
        <w:spacing w:after="0" w:line="6" w:lineRule="exact"/>
        <w:rPr>
          <w:sz w:val="20"/>
          <w:szCs w:val="20"/>
          <w:color w:val="auto"/>
        </w:rPr>
      </w:pPr>
    </w:p>
    <w:p>
      <w:pPr>
        <w:ind w:right="4619"/>
        <w:spacing w:after="0" w:line="290" w:lineRule="auto"/>
        <w:rPr>
          <w:sz w:val="20"/>
          <w:szCs w:val="20"/>
          <w:color w:val="auto"/>
        </w:rPr>
      </w:pPr>
      <w:r>
        <w:rPr>
          <w:rFonts w:ascii="Courier New" w:cs="Courier New" w:eastAsia="Courier New" w:hAnsi="Courier New"/>
          <w:sz w:val="16"/>
          <w:szCs w:val="16"/>
          <w:color w:val="auto"/>
        </w:rPr>
        <w:t>SYSTEMS INC as a result of its serving as investment manager of institutional accounts owning such shares.</w:t>
      </w:r>
    </w:p>
    <w:p>
      <w:pPr>
        <w:spacing w:after="0" w:line="170"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9,900 shares and sole power to vote or to direct the voting of 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464,407 shares or 1.055%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4099"/>
        <w:spacing w:after="0" w:line="290" w:lineRule="auto"/>
        <w:rPr>
          <w:sz w:val="20"/>
          <w:szCs w:val="20"/>
          <w:color w:val="auto"/>
        </w:rPr>
      </w:pPr>
      <w:r>
        <w:rPr>
          <w:rFonts w:ascii="Courier New" w:cs="Courier New" w:eastAsia="Courier New" w:hAnsi="Courier New"/>
          <w:sz w:val="16"/>
          <w:szCs w:val="16"/>
          <w:color w:val="auto"/>
        </w:rPr>
        <w:t>of the total votes which may be cast by all holders of FIL voting stock. FMR LLC and FIL are separate and independent</w:t>
      </w:r>
    </w:p>
    <w:p>
      <w:pPr>
        <w:sectPr>
          <w:pgSz w:w="11900" w:h="16838" w:orient="portrait"/>
          <w:cols w:equalWidth="0" w:num="1">
            <w:col w:w="10219"/>
          </w:cols>
          <w:pgMar w:left="240" w:top="136" w:right="1440" w:bottom="0" w:gutter="0" w:footer="0" w:header="0"/>
        </w:sectPr>
      </w:pPr>
    </w:p>
    <w:bookmarkStart w:id="3" w:name="page4"/>
    <w:bookmarkEnd w:id="3"/>
    <w:p>
      <w:pPr>
        <w:ind w:right="3579"/>
        <w:spacing w:after="0" w:line="235" w:lineRule="auto"/>
        <w:rPr>
          <w:sz w:val="20"/>
          <w:szCs w:val="20"/>
          <w:color w:val="auto"/>
        </w:rPr>
      </w:pPr>
      <w:r>
        <w:rPr>
          <w:rFonts w:ascii="Courier New" w:cs="Courier New" w:eastAsia="Courier New" w:hAnsi="Courier New"/>
          <w:sz w:val="18"/>
          <w:szCs w:val="18"/>
          <w:color w:val="auto"/>
        </w:rPr>
        <w:t>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09, 2011, agree</w:t>
      </w:r>
    </w:p>
    <w:p>
      <w:pPr>
        <w:spacing w:after="0" w:line="4" w:lineRule="exact"/>
        <w:rPr>
          <w:sz w:val="20"/>
          <w:szCs w:val="20"/>
          <w:color w:val="auto"/>
        </w:rPr>
      </w:pPr>
    </w:p>
    <w:p>
      <w:pPr>
        <w:ind w:right="3479"/>
        <w:spacing w:after="0"/>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COMMVAULT SYSTEMS INC at July 31, 2011.</w:t>
      </w:r>
    </w:p>
    <w:p>
      <w:pPr>
        <w:spacing w:after="0" w:line="39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2019-12-10T22:44:31Z</dcterms:created>
  <dcterms:modified xsi:type="dcterms:W3CDTF">2019-12-10T22:44:31Z</dcterms:modified>
</cp:coreProperties>
</file>