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028.xml.htm"/>
      <w:bookmarkStart w:id="1" w:name="kswkform4_17883800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Mirchandani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COMMVAULT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TINTON FALLS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COMMVAULT SYSTEMS INC</w:t>
              </w:r>
            </w:hyperlink>
            <w:r>
              <w:rPr/>
              <w:t xml:space="preserve"> [ </w:t>
            </w:r>
            <w:r>
              <w:rPr>
                <w:rFonts w:ascii="Times;serif" w:hAnsi="Times;serif"/>
                <w:color w:val="0000FF"/>
                <w:sz w:val="24"/>
                <w:shd w:fill="FFFFFF" w:val="clear"/>
              </w:rPr>
              <w:t>CVLT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39"/>
        <w:gridCol w:w="806"/>
        <w:gridCol w:w="623"/>
        <w:gridCol w:w="348"/>
        <w:gridCol w:w="929"/>
        <w:gridCol w:w="430"/>
        <w:gridCol w:w="601"/>
        <w:gridCol w:w="1139"/>
        <w:gridCol w:w="986"/>
        <w:gridCol w:w="13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Sanjay S. Mirchandani 2025 GRAT</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37,372</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Sanjay S. Mirchandani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transfer of 37,372 shares previously reported as held by Sanjay S. Mirchandani 2025 GRAT to Sanjay S. Mirchandani Revocable Trust, of which the reporting person is the trustee and grantor, and which is for the benefit of the reporting person and the reporting person's children. The reporting person maintains indirect beneficial ownership of such shares. This is not a market transaction, thus no price has been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Danielle Abrahamsen,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820" TargetMode="External"/><Relationship Id="rId5" Type="http://schemas.openxmlformats.org/officeDocument/2006/relationships/hyperlink" Target="http://www.sec.gov/cgi-bin/browse-edgar?action=getcompany&amp;CIK=00011695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3552</Characters>
  <CharactersWithSpaces>4128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