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73025</wp:posOffset>
            </wp:positionV>
            <wp:extent cx="19456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242570</wp:posOffset>
            </wp:positionV>
            <wp:extent cx="1945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70"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231775</wp:posOffset>
            </wp:positionV>
            <wp:extent cx="1945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2"/>
          <w:szCs w:val="42"/>
          <w:b w:val="1"/>
          <w:bCs w:val="1"/>
          <w:color w:val="auto"/>
        </w:rPr>
        <w:t>Commvault Systems, Inc.</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2602230</wp:posOffset>
            </wp:positionH>
            <wp:positionV relativeFrom="paragraph">
              <wp:posOffset>210185</wp:posOffset>
            </wp:positionV>
            <wp:extent cx="1945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tbl>
      <w:tblPr>
        <w:tblLayout w:type="fixed"/>
        <w:tblInd w:w="90" w:type="dxa"/>
        <w:tblCellMar>
          <w:top w:w="0" w:type="dxa"/>
          <w:left w:w="0" w:type="dxa"/>
          <w:bottom w:w="0" w:type="dxa"/>
          <w:right w:w="0" w:type="dxa"/>
        </w:tblCellMar>
      </w:tblPr>
      <w:tr>
        <w:trPr>
          <w:trHeight w:val="210"/>
        </w:trPr>
        <w:tc>
          <w:tcPr>
            <w:tcW w:w="3660" w:type="dxa"/>
            <w:vAlign w:val="bottom"/>
          </w:tcPr>
          <w:p>
            <w:pPr>
              <w:jc w:val="center"/>
              <w:ind w:left="1685"/>
              <w:spacing w:after="0"/>
              <w:rPr>
                <w:sz w:val="20"/>
                <w:szCs w:val="20"/>
                <w:color w:val="auto"/>
              </w:rPr>
            </w:pPr>
            <w:r>
              <w:rPr>
                <w:rFonts w:ascii="Arial" w:cs="Arial" w:eastAsia="Arial" w:hAnsi="Arial"/>
                <w:sz w:val="16"/>
                <w:szCs w:val="16"/>
                <w:b w:val="1"/>
                <w:bCs w:val="1"/>
                <w:color w:val="auto"/>
                <w:w w:val="93"/>
              </w:rPr>
              <w:t>Delaware</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40" w:type="dxa"/>
            <w:vAlign w:val="bottom"/>
          </w:tcPr>
          <w:p>
            <w:pPr>
              <w:jc w:val="center"/>
              <w:ind w:right="1145"/>
              <w:spacing w:after="0"/>
              <w:rPr>
                <w:sz w:val="20"/>
                <w:szCs w:val="20"/>
                <w:color w:val="auto"/>
              </w:rPr>
            </w:pPr>
            <w:r>
              <w:rPr>
                <w:rFonts w:ascii="Arial" w:cs="Arial" w:eastAsia="Arial" w:hAnsi="Arial"/>
                <w:sz w:val="16"/>
                <w:szCs w:val="16"/>
                <w:b w:val="1"/>
                <w:bCs w:val="1"/>
                <w:color w:val="auto"/>
                <w:w w:val="91"/>
              </w:rPr>
              <w:t>22-3447504</w:t>
            </w:r>
          </w:p>
        </w:tc>
      </w:tr>
      <w:tr>
        <w:trPr>
          <w:trHeight w:val="190"/>
        </w:trPr>
        <w:tc>
          <w:tcPr>
            <w:tcW w:w="3660" w:type="dxa"/>
            <w:vAlign w:val="bottom"/>
          </w:tcPr>
          <w:p>
            <w:pPr>
              <w:jc w:val="center"/>
              <w:ind w:left="1685"/>
              <w:spacing w:after="0"/>
              <w:rPr>
                <w:sz w:val="20"/>
                <w:szCs w:val="20"/>
                <w:color w:val="auto"/>
              </w:rPr>
            </w:pPr>
            <w:r>
              <w:rPr>
                <w:rFonts w:ascii="Arial" w:cs="Arial" w:eastAsia="Arial" w:hAnsi="Arial"/>
                <w:sz w:val="13"/>
                <w:szCs w:val="13"/>
                <w:b w:val="1"/>
                <w:bCs w:val="1"/>
                <w:color w:val="auto"/>
                <w:w w:val="88"/>
              </w:rPr>
              <w:t>(State or other jurisdiction of</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40" w:type="dxa"/>
            <w:vAlign w:val="bottom"/>
          </w:tcPr>
          <w:p>
            <w:pPr>
              <w:jc w:val="center"/>
              <w:ind w:right="1145"/>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3660" w:type="dxa"/>
            <w:vAlign w:val="bottom"/>
          </w:tcPr>
          <w:p>
            <w:pPr>
              <w:jc w:val="center"/>
              <w:ind w:left="1705"/>
              <w:spacing w:after="0"/>
              <w:rPr>
                <w:sz w:val="20"/>
                <w:szCs w:val="20"/>
                <w:color w:val="auto"/>
              </w:rPr>
            </w:pPr>
            <w:r>
              <w:rPr>
                <w:rFonts w:ascii="Arial" w:cs="Arial" w:eastAsia="Arial" w:hAnsi="Arial"/>
                <w:sz w:val="13"/>
                <w:szCs w:val="13"/>
                <w:b w:val="1"/>
                <w:bCs w:val="1"/>
                <w:color w:val="auto"/>
                <w:w w:val="88"/>
              </w:rPr>
              <w:t>incorporation or organization)</w:t>
            </w: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40" w:type="dxa"/>
            <w:vAlign w:val="bottom"/>
          </w:tcPr>
          <w:p>
            <w:pPr>
              <w:jc w:val="center"/>
              <w:ind w:right="1145"/>
              <w:spacing w:after="0"/>
              <w:rPr>
                <w:sz w:val="20"/>
                <w:szCs w:val="20"/>
                <w:color w:val="auto"/>
              </w:rPr>
            </w:pPr>
            <w:r>
              <w:rPr>
                <w:rFonts w:ascii="Arial" w:cs="Arial" w:eastAsia="Arial" w:hAnsi="Arial"/>
                <w:sz w:val="13"/>
                <w:szCs w:val="13"/>
                <w:b w:val="1"/>
                <w:bCs w:val="1"/>
                <w:color w:val="auto"/>
                <w:w w:val="89"/>
              </w:rPr>
              <w:t>Identification No.)</w:t>
            </w:r>
          </w:p>
        </w:tc>
      </w:tr>
      <w:tr>
        <w:trPr>
          <w:trHeight w:val="281"/>
        </w:trPr>
        <w:tc>
          <w:tcPr>
            <w:tcW w:w="3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rPr>
              <w:t>1 Commvault Way</w:t>
            </w:r>
          </w:p>
        </w:tc>
        <w:tc>
          <w:tcPr>
            <w:tcW w:w="4040" w:type="dxa"/>
            <w:vAlign w:val="bottom"/>
          </w:tcPr>
          <w:p>
            <w:pPr>
              <w:spacing w:after="0"/>
              <w:rPr>
                <w:sz w:val="24"/>
                <w:szCs w:val="24"/>
                <w:color w:val="auto"/>
              </w:rPr>
            </w:pPr>
          </w:p>
        </w:tc>
      </w:tr>
      <w:tr>
        <w:trPr>
          <w:trHeight w:val="193"/>
        </w:trPr>
        <w:tc>
          <w:tcPr>
            <w:tcW w:w="3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rPr>
              <w:t>Tinton Falls, New Jersey</w:t>
            </w:r>
          </w:p>
        </w:tc>
        <w:tc>
          <w:tcPr>
            <w:tcW w:w="40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820" w:type="dxa"/>
            <w:vAlign w:val="bottom"/>
            <w:gridSpan w:val="3"/>
          </w:tcPr>
          <w:p>
            <w:pPr>
              <w:jc w:val="right"/>
              <w:ind w:right="639"/>
              <w:spacing w:after="0"/>
              <w:rPr>
                <w:sz w:val="20"/>
                <w:szCs w:val="20"/>
                <w:color w:val="auto"/>
              </w:rPr>
            </w:pPr>
            <w:r>
              <w:rPr>
                <w:rFonts w:ascii="Arial" w:cs="Arial" w:eastAsia="Arial" w:hAnsi="Arial"/>
                <w:sz w:val="18"/>
                <w:szCs w:val="18"/>
                <w:color w:val="auto"/>
              </w:rPr>
              <w:t>07724</w:t>
            </w:r>
          </w:p>
        </w:tc>
        <w:tc>
          <w:tcPr>
            <w:tcW w:w="6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191"/>
        </w:trPr>
        <w:tc>
          <w:tcPr>
            <w:tcW w:w="3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gridSpan w:val="3"/>
          </w:tcPr>
          <w:p>
            <w:pPr>
              <w:jc w:val="center"/>
              <w:ind w:right="20"/>
              <w:spacing w:after="0"/>
              <w:rPr>
                <w:sz w:val="20"/>
                <w:szCs w:val="20"/>
                <w:color w:val="auto"/>
              </w:rPr>
            </w:pPr>
            <w:r>
              <w:rPr>
                <w:rFonts w:ascii="Arial" w:cs="Arial" w:eastAsia="Arial" w:hAnsi="Arial"/>
                <w:sz w:val="16"/>
                <w:szCs w:val="16"/>
                <w:color w:val="auto"/>
              </w:rPr>
              <w:t>(Address of principal executive offices)</w:t>
            </w:r>
          </w:p>
        </w:tc>
        <w:tc>
          <w:tcPr>
            <w:tcW w:w="4040" w:type="dxa"/>
            <w:vAlign w:val="bottom"/>
          </w:tcPr>
          <w:p>
            <w:pPr>
              <w:spacing w:after="0"/>
              <w:rPr>
                <w:sz w:val="16"/>
                <w:szCs w:val="16"/>
                <w:color w:val="auto"/>
              </w:rPr>
            </w:pPr>
          </w:p>
        </w:tc>
      </w:tr>
      <w:tr>
        <w:trPr>
          <w:trHeight w:val="173"/>
        </w:trPr>
        <w:tc>
          <w:tcPr>
            <w:tcW w:w="3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80" w:type="dxa"/>
            <w:vAlign w:val="bottom"/>
            <w:gridSpan w:val="2"/>
          </w:tcPr>
          <w:p>
            <w:pPr>
              <w:jc w:val="center"/>
              <w:ind w:right="600"/>
              <w:spacing w:after="0" w:line="173" w:lineRule="exact"/>
              <w:rPr>
                <w:sz w:val="20"/>
                <w:szCs w:val="20"/>
                <w:color w:val="auto"/>
              </w:rPr>
            </w:pPr>
            <w:r>
              <w:rPr>
                <w:rFonts w:ascii="Arial" w:cs="Arial" w:eastAsia="Arial" w:hAnsi="Arial"/>
                <w:sz w:val="16"/>
                <w:szCs w:val="16"/>
                <w:color w:val="auto"/>
              </w:rPr>
              <w:t>(Zip Code)</w:t>
            </w:r>
          </w:p>
        </w:tc>
        <w:tc>
          <w:tcPr>
            <w:tcW w:w="4040" w:type="dxa"/>
            <w:vAlign w:val="bottom"/>
          </w:tcPr>
          <w:p>
            <w:pPr>
              <w:spacing w:after="0"/>
              <w:rPr>
                <w:sz w:val="15"/>
                <w:szCs w:val="15"/>
                <w:color w:val="auto"/>
              </w:rPr>
            </w:pPr>
          </w:p>
        </w:tc>
      </w:tr>
      <w:tr>
        <w:trPr>
          <w:trHeight w:val="212"/>
        </w:trPr>
        <w:tc>
          <w:tcPr>
            <w:tcW w:w="3660" w:type="dxa"/>
            <w:vAlign w:val="bottom"/>
          </w:tcPr>
          <w:p>
            <w:pPr>
              <w:spacing w:after="0"/>
              <w:rPr>
                <w:sz w:val="18"/>
                <w:szCs w:val="18"/>
                <w:color w:val="auto"/>
              </w:rPr>
            </w:pPr>
          </w:p>
        </w:tc>
        <w:tc>
          <w:tcPr>
            <w:tcW w:w="2820" w:type="dxa"/>
            <w:vAlign w:val="bottom"/>
            <w:gridSpan w:val="3"/>
          </w:tcPr>
          <w:p>
            <w:pPr>
              <w:jc w:val="center"/>
              <w:ind w:right="319"/>
              <w:spacing w:after="0"/>
              <w:rPr>
                <w:sz w:val="20"/>
                <w:szCs w:val="20"/>
                <w:color w:val="auto"/>
              </w:rPr>
            </w:pPr>
            <w:r>
              <w:rPr>
                <w:rFonts w:ascii="Arial" w:cs="Arial" w:eastAsia="Arial" w:hAnsi="Arial"/>
                <w:sz w:val="18"/>
                <w:szCs w:val="18"/>
                <w:color w:val="auto"/>
              </w:rPr>
              <w:t>(</w:t>
            </w:r>
            <w:r>
              <w:rPr>
                <w:rFonts w:ascii="Arial" w:cs="Arial" w:eastAsia="Arial" w:hAnsi="Arial"/>
                <w:sz w:val="16"/>
                <w:szCs w:val="16"/>
                <w:b w:val="1"/>
                <w:bCs w:val="1"/>
                <w:color w:val="auto"/>
              </w:rPr>
              <w:t>732) 870-4000</w:t>
            </w:r>
          </w:p>
        </w:tc>
        <w:tc>
          <w:tcPr>
            <w:tcW w:w="60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164"/>
        </w:trPr>
        <w:tc>
          <w:tcPr>
            <w:tcW w:w="3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6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4040" w:type="dxa"/>
            <w:vAlign w:val="bottom"/>
          </w:tcPr>
          <w:p>
            <w:pPr>
              <w:spacing w:after="0"/>
              <w:rPr>
                <w:sz w:val="14"/>
                <w:szCs w:val="14"/>
                <w:color w:val="auto"/>
              </w:rPr>
            </w:pPr>
          </w:p>
        </w:tc>
      </w:tr>
      <w:tr>
        <w:trPr>
          <w:trHeight w:val="111"/>
        </w:trPr>
        <w:tc>
          <w:tcPr>
            <w:tcW w:w="3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40" w:type="dxa"/>
            <w:vAlign w:val="bottom"/>
          </w:tcPr>
          <w:p>
            <w:pPr>
              <w:spacing w:after="0"/>
              <w:rPr>
                <w:sz w:val="9"/>
                <w:szCs w:val="9"/>
                <w:color w:val="auto"/>
              </w:rPr>
            </w:pPr>
          </w:p>
        </w:tc>
      </w:tr>
      <w:tr>
        <w:trPr>
          <w:trHeight w:val="292"/>
        </w:trPr>
        <w:tc>
          <w:tcPr>
            <w:tcW w:w="3660" w:type="dxa"/>
            <w:vAlign w:val="bottom"/>
          </w:tcPr>
          <w:p>
            <w:pPr>
              <w:spacing w:after="0"/>
              <w:rPr>
                <w:sz w:val="24"/>
                <w:szCs w:val="24"/>
                <w:color w:val="auto"/>
              </w:rPr>
            </w:pPr>
          </w:p>
        </w:tc>
        <w:tc>
          <w:tcPr>
            <w:tcW w:w="7460" w:type="dxa"/>
            <w:vAlign w:val="bottom"/>
            <w:gridSpan w:val="5"/>
          </w:tcPr>
          <w:p>
            <w:pPr>
              <w:jc w:val="center"/>
              <w:ind w:right="3625"/>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120"/>
        </w:trPr>
        <w:tc>
          <w:tcPr>
            <w:tcW w:w="36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r>
      <w:tr>
        <w:trPr>
          <w:trHeight w:val="217"/>
        </w:trPr>
        <w:tc>
          <w:tcPr>
            <w:tcW w:w="3660" w:type="dxa"/>
            <w:vAlign w:val="bottom"/>
            <w:tcBorders>
              <w:left w:val="single" w:sz="8" w:color="auto"/>
            </w:tcBorders>
          </w:tcPr>
          <w:p>
            <w:pPr>
              <w:jc w:val="center"/>
              <w:ind w:left="845"/>
              <w:spacing w:after="0"/>
              <w:rPr>
                <w:sz w:val="20"/>
                <w:szCs w:val="20"/>
                <w:color w:val="auto"/>
              </w:rPr>
            </w:pPr>
            <w:r>
              <w:rPr>
                <w:rFonts w:ascii="Arial" w:cs="Arial" w:eastAsia="Arial" w:hAnsi="Arial"/>
                <w:sz w:val="16"/>
                <w:szCs w:val="16"/>
                <w:b w:val="1"/>
                <w:bCs w:val="1"/>
                <w:color w:val="auto"/>
                <w:w w:val="88"/>
              </w:rPr>
              <w:t>Title of each class</w:t>
            </w:r>
          </w:p>
        </w:tc>
        <w:tc>
          <w:tcPr>
            <w:tcW w:w="3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600" w:type="dxa"/>
            <w:vAlign w:val="bottom"/>
          </w:tcPr>
          <w:p>
            <w:pPr>
              <w:spacing w:after="0"/>
              <w:rPr>
                <w:sz w:val="18"/>
                <w:szCs w:val="18"/>
                <w:color w:val="auto"/>
              </w:rPr>
            </w:pPr>
          </w:p>
        </w:tc>
        <w:tc>
          <w:tcPr>
            <w:tcW w:w="4040" w:type="dxa"/>
            <w:vAlign w:val="bottom"/>
            <w:tcBorders>
              <w:right w:val="single" w:sz="8" w:color="auto"/>
            </w:tcBorders>
          </w:tcPr>
          <w:p>
            <w:pPr>
              <w:jc w:val="center"/>
              <w:ind w:right="565"/>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66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17"/>
        </w:trPr>
        <w:tc>
          <w:tcPr>
            <w:tcW w:w="3660" w:type="dxa"/>
            <w:vAlign w:val="bottom"/>
            <w:tcBorders>
              <w:left w:val="single" w:sz="8" w:color="auto"/>
            </w:tcBorders>
          </w:tcPr>
          <w:p>
            <w:pPr>
              <w:jc w:val="center"/>
              <w:ind w:left="845"/>
              <w:spacing w:after="0"/>
              <w:rPr>
                <w:sz w:val="20"/>
                <w:szCs w:val="20"/>
                <w:color w:val="auto"/>
              </w:rPr>
            </w:pPr>
            <w:r>
              <w:rPr>
                <w:rFonts w:ascii="Arial" w:cs="Arial" w:eastAsia="Arial" w:hAnsi="Arial"/>
                <w:sz w:val="16"/>
                <w:szCs w:val="16"/>
                <w:color w:val="auto"/>
                <w:w w:val="93"/>
              </w:rPr>
              <w:t>Common Stock</w:t>
            </w:r>
          </w:p>
        </w:tc>
        <w:tc>
          <w:tcPr>
            <w:tcW w:w="3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CVLT</w:t>
            </w:r>
          </w:p>
        </w:tc>
        <w:tc>
          <w:tcPr>
            <w:tcW w:w="600" w:type="dxa"/>
            <w:vAlign w:val="bottom"/>
          </w:tcPr>
          <w:p>
            <w:pPr>
              <w:spacing w:after="0"/>
              <w:rPr>
                <w:sz w:val="18"/>
                <w:szCs w:val="18"/>
                <w:color w:val="auto"/>
              </w:rPr>
            </w:pPr>
          </w:p>
        </w:tc>
        <w:tc>
          <w:tcPr>
            <w:tcW w:w="4040" w:type="dxa"/>
            <w:vAlign w:val="bottom"/>
            <w:tcBorders>
              <w:right w:val="single" w:sz="8" w:color="auto"/>
            </w:tcBorders>
          </w:tcPr>
          <w:p>
            <w:pPr>
              <w:jc w:val="center"/>
              <w:ind w:right="565"/>
              <w:spacing w:after="0"/>
              <w:rPr>
                <w:sz w:val="20"/>
                <w:szCs w:val="20"/>
                <w:color w:val="auto"/>
              </w:rPr>
            </w:pPr>
            <w:r>
              <w:rPr>
                <w:rFonts w:ascii="Arial" w:cs="Arial" w:eastAsia="Arial" w:hAnsi="Arial"/>
                <w:sz w:val="16"/>
                <w:szCs w:val="16"/>
                <w:color w:val="auto"/>
                <w:w w:val="95"/>
              </w:rPr>
              <w:t>The NASDAQ Stock Market</w:t>
            </w:r>
          </w:p>
        </w:tc>
      </w:tr>
      <w:tr>
        <w:trPr>
          <w:trHeight w:val="33"/>
        </w:trPr>
        <w:tc>
          <w:tcPr>
            <w:tcW w:w="366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17"/>
        </w:trPr>
        <w:tc>
          <w:tcPr>
            <w:tcW w:w="3660" w:type="dxa"/>
            <w:vAlign w:val="bottom"/>
            <w:tcBorders>
              <w:left w:val="single" w:sz="8" w:color="auto"/>
            </w:tcBorders>
          </w:tcPr>
          <w:p>
            <w:pPr>
              <w:jc w:val="center"/>
              <w:ind w:left="845"/>
              <w:spacing w:after="0"/>
              <w:rPr>
                <w:sz w:val="20"/>
                <w:szCs w:val="20"/>
                <w:color w:val="auto"/>
              </w:rPr>
            </w:pPr>
            <w:r>
              <w:rPr>
                <w:rFonts w:ascii="Arial" w:cs="Arial" w:eastAsia="Arial" w:hAnsi="Arial"/>
                <w:sz w:val="16"/>
                <w:szCs w:val="16"/>
                <w:color w:val="auto"/>
                <w:w w:val="90"/>
              </w:rPr>
              <w:t>Preferred Stock Purchase Rights</w:t>
            </w:r>
          </w:p>
        </w:tc>
        <w:tc>
          <w:tcPr>
            <w:tcW w:w="3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4040" w:type="dxa"/>
            <w:vAlign w:val="bottom"/>
            <w:tcBorders>
              <w:right w:val="single" w:sz="8" w:color="auto"/>
            </w:tcBorders>
          </w:tcPr>
          <w:p>
            <w:pPr>
              <w:jc w:val="center"/>
              <w:ind w:right="565"/>
              <w:spacing w:after="0"/>
              <w:rPr>
                <w:sz w:val="20"/>
                <w:szCs w:val="20"/>
                <w:color w:val="auto"/>
              </w:rPr>
            </w:pPr>
            <w:r>
              <w:rPr>
                <w:rFonts w:ascii="Arial" w:cs="Arial" w:eastAsia="Arial" w:hAnsi="Arial"/>
                <w:sz w:val="16"/>
                <w:szCs w:val="16"/>
                <w:color w:val="auto"/>
                <w:w w:val="95"/>
              </w:rPr>
              <w:t>The NASDAQ Stock Market</w:t>
            </w:r>
          </w:p>
        </w:tc>
      </w:tr>
      <w:tr>
        <w:trPr>
          <w:trHeight w:val="33"/>
        </w:trPr>
        <w:tc>
          <w:tcPr>
            <w:tcW w:w="366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bl>
    <w:p>
      <w:pPr>
        <w:spacing w:after="0" w:line="197"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the Section 13 or 15(d) of the Securities Exchange Act of 1934 during the preceding 12 months (or for such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81" w:lineRule="exact"/>
        <w:rPr>
          <w:sz w:val="24"/>
          <w:szCs w:val="24"/>
          <w:color w:val="auto"/>
        </w:rPr>
      </w:pPr>
    </w:p>
    <w:p>
      <w:pPr>
        <w:ind w:right="10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registrant was required to submit such files.) Yes x No </w:t>
      </w:r>
      <w:r>
        <w:rPr>
          <w:rFonts w:ascii="MS PGothic" w:cs="MS PGothic" w:eastAsia="MS PGothic" w:hAnsi="MS PGothic"/>
          <w:sz w:val="14"/>
          <w:szCs w:val="14"/>
          <w:color w:val="auto"/>
        </w:rPr>
        <w:t>☐</w:t>
      </w:r>
    </w:p>
    <w:p>
      <w:pPr>
        <w:spacing w:after="0" w:line="208" w:lineRule="exact"/>
        <w:rPr>
          <w:sz w:val="24"/>
          <w:szCs w:val="24"/>
          <w:color w:val="auto"/>
        </w:rPr>
      </w:pPr>
    </w:p>
    <w:p>
      <w:pPr>
        <w:ind w:right="8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(Check one):</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2620" w:type="dxa"/>
            <w:vAlign w:val="bottom"/>
          </w:tcPr>
          <w:p>
            <w:pPr>
              <w:ind w:left="5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w:t>
            </w:r>
          </w:p>
        </w:tc>
        <w:tc>
          <w:tcPr>
            <w:tcW w:w="1840" w:type="dxa"/>
            <w:vAlign w:val="bottom"/>
          </w:tcPr>
          <w:p>
            <w:pPr>
              <w:ind w:left="2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c>
          <w:tcPr>
            <w:tcW w:w="2540" w:type="dxa"/>
            <w:vAlign w:val="bottom"/>
          </w:tcPr>
          <w:p>
            <w:pPr>
              <w:ind w:left="180"/>
              <w:spacing w:after="0"/>
              <w:rPr>
                <w:sz w:val="20"/>
                <w:szCs w:val="20"/>
                <w:color w:val="auto"/>
              </w:rPr>
            </w:pPr>
            <w:r>
              <w:rPr>
                <w:rFonts w:ascii="Arial" w:cs="Arial" w:eastAsia="Arial" w:hAnsi="Arial"/>
                <w:sz w:val="14"/>
                <w:szCs w:val="14"/>
                <w:color w:val="auto"/>
              </w:rPr>
              <w:t>Smaller reporting company</w:t>
            </w:r>
          </w:p>
        </w:tc>
        <w:tc>
          <w:tcPr>
            <w:tcW w:w="160" w:type="dxa"/>
            <w:vAlign w:val="bottom"/>
          </w:tcPr>
          <w:p>
            <w:pPr>
              <w:ind w:left="2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Arial" w:cs="Arial" w:eastAsia="Arial" w:hAnsi="Arial"/>
                <w:sz w:val="14"/>
                <w:szCs w:val="14"/>
                <w:color w:val="auto"/>
              </w:rPr>
              <w:t>Emerging growth company</w:t>
            </w:r>
          </w:p>
        </w:tc>
        <w:tc>
          <w:tcPr>
            <w:tcW w:w="2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1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0060" w:type="dxa"/>
            <w:vAlign w:val="bottom"/>
            <w:gridSpan w:val="5"/>
          </w:tcPr>
          <w:p>
            <w:pPr>
              <w:ind w:left="20"/>
              <w:spacing w:after="0"/>
              <w:rPr>
                <w:sz w:val="20"/>
                <w:szCs w:val="20"/>
                <w:color w:val="auto"/>
              </w:rPr>
            </w:pPr>
            <w:r>
              <w:rPr>
                <w:rFonts w:ascii="Arial" w:cs="Arial" w:eastAsia="Arial" w:hAnsi="Arial"/>
                <w:sz w:val="14"/>
                <w:szCs w:val="14"/>
                <w:color w:val="auto"/>
                <w:w w:val="94"/>
              </w:rPr>
              <w:t>If an emerging growth company, indicate by check mark if the registrant has elected not to use the extended transition period for complying with any new or revised financial</w:t>
            </w:r>
          </w:p>
        </w:tc>
        <w:tc>
          <w:tcPr>
            <w:tcW w:w="160" w:type="dxa"/>
            <w:vAlign w:val="bottom"/>
            <w:vMerge w:val="restart"/>
          </w:tcPr>
          <w:p>
            <w:pPr>
              <w:ind w:left="2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5"/>
        </w:trPr>
        <w:tc>
          <w:tcPr>
            <w:tcW w:w="4800" w:type="dxa"/>
            <w:vAlign w:val="bottom"/>
            <w:gridSpan w:val="2"/>
          </w:tcPr>
          <w:p>
            <w:pPr>
              <w:ind w:left="20"/>
              <w:spacing w:after="0"/>
              <w:rPr>
                <w:sz w:val="20"/>
                <w:szCs w:val="20"/>
                <w:color w:val="auto"/>
              </w:rPr>
            </w:pPr>
            <w:r>
              <w:rPr>
                <w:rFonts w:ascii="Arial" w:cs="Arial" w:eastAsia="Arial" w:hAnsi="Arial"/>
                <w:sz w:val="14"/>
                <w:szCs w:val="14"/>
                <w:color w:val="auto"/>
                <w:w w:val="98"/>
              </w:rPr>
              <w:t>accounting standards provided pursuant to Section 13 (a) of the Exchange Act</w:t>
            </w:r>
          </w:p>
        </w:tc>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89"/>
        </w:trPr>
        <w:tc>
          <w:tcPr>
            <w:tcW w:w="6640" w:type="dxa"/>
            <w:vAlign w:val="bottom"/>
            <w:gridSpan w:val="3"/>
          </w:tcPr>
          <w:p>
            <w:pPr>
              <w:spacing w:after="0"/>
              <w:rPr>
                <w:sz w:val="20"/>
                <w:szCs w:val="20"/>
                <w:color w:val="auto"/>
              </w:rPr>
            </w:pPr>
            <w:r>
              <w:rPr>
                <w:rFonts w:ascii="Arial" w:cs="Arial" w:eastAsia="Arial" w:hAnsi="Arial"/>
                <w:sz w:val="14"/>
                <w:szCs w:val="14"/>
                <w:color w:val="auto"/>
                <w:w w:val="94"/>
              </w:rPr>
              <w:t>Indicate by check mark whether the registrant is a shell company (as defined in Rule 12b-2 of the Exchange Act).</w:t>
            </w:r>
          </w:p>
        </w:tc>
        <w:tc>
          <w:tcPr>
            <w:tcW w:w="880" w:type="dxa"/>
            <w:vAlign w:val="bottom"/>
          </w:tcPr>
          <w:p>
            <w:pPr>
              <w:ind w:left="40"/>
              <w:spacing w:after="0" w:line="196"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tc>
        <w:tc>
          <w:tcPr>
            <w:tcW w:w="2540" w:type="dxa"/>
            <w:vAlign w:val="bottom"/>
          </w:tcPr>
          <w:p>
            <w:pPr>
              <w:spacing w:after="0"/>
              <w:rPr>
                <w:sz w:val="20"/>
                <w:szCs w:val="20"/>
                <w:color w:val="auto"/>
              </w:rPr>
            </w:pPr>
            <w:r>
              <w:rPr>
                <w:rFonts w:ascii="Arial" w:cs="Arial" w:eastAsia="Arial" w:hAnsi="Arial"/>
                <w:sz w:val="14"/>
                <w:szCs w:val="14"/>
                <w:color w:val="auto"/>
              </w:rPr>
              <w:t>x</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640" w:type="dxa"/>
            <w:vAlign w:val="bottom"/>
            <w:gridSpan w:val="3"/>
          </w:tcPr>
          <w:p>
            <w:pPr>
              <w:spacing w:after="0"/>
              <w:rPr>
                <w:sz w:val="20"/>
                <w:szCs w:val="20"/>
                <w:color w:val="auto"/>
              </w:rPr>
            </w:pPr>
            <w:r>
              <w:rPr>
                <w:rFonts w:ascii="Arial" w:cs="Arial" w:eastAsia="Arial" w:hAnsi="Arial"/>
                <w:sz w:val="14"/>
                <w:szCs w:val="14"/>
                <w:color w:val="auto"/>
                <w:w w:val="93"/>
              </w:rPr>
              <w:t>As of July 28, 2020, there were 46,391,881 shares of the registrant’s common stock, $0.01 par value, outstanding.</w:t>
            </w:r>
          </w:p>
        </w:tc>
        <w:tc>
          <w:tcPr>
            <w:tcW w:w="8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240"/>
          </w:cols>
          <w:pgMar w:left="320" w:top="1071" w:right="339" w:bottom="1440" w:gutter="0" w:footer="0" w:header="0"/>
        </w:sectPr>
      </w:pP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type w:val="continuous"/>
        </w:sectPr>
      </w:pPr>
    </w:p>
    <w:bookmarkStart w:id="1" w:name="page2"/>
    <w:bookmarkEnd w:id="1"/>
    <w:p>
      <w:pPr>
        <w:jc w:val="center"/>
        <w:ind w:right="-799"/>
        <w:spacing w:after="0"/>
        <w:rPr>
          <w:sz w:val="20"/>
          <w:szCs w:val="20"/>
          <w:color w:val="auto"/>
        </w:rPr>
      </w:pPr>
      <w:r>
        <w:rPr>
          <w:rFonts w:ascii="Arial" w:cs="Arial" w:eastAsia="Arial" w:hAnsi="Arial"/>
          <w:sz w:val="18"/>
          <w:szCs w:val="18"/>
          <w:b w:val="1"/>
          <w:bCs w:val="1"/>
          <w:color w:val="auto"/>
        </w:rPr>
        <w:t>COMMVAULT SYSTEMS, INC.</w:t>
      </w:r>
    </w:p>
    <w:p>
      <w:pPr>
        <w:spacing w:after="0" w:line="31"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FORM 10-Q</w:t>
      </w:r>
    </w:p>
    <w:p>
      <w:pPr>
        <w:spacing w:after="0" w:line="20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r>
      <w:tr>
        <w:trPr>
          <w:trHeight w:val="229"/>
        </w:trPr>
        <w:tc>
          <w:tcPr>
            <w:tcW w:w="9760" w:type="dxa"/>
            <w:vAlign w:val="bottom"/>
            <w:gridSpan w:val="10"/>
          </w:tcPr>
          <w:p>
            <w:pPr>
              <w:spacing w:after="0"/>
              <w:rPr>
                <w:sz w:val="20"/>
                <w:szCs w:val="20"/>
                <w:color w:val="auto"/>
              </w:rPr>
            </w:pPr>
            <w:r>
              <w:rPr>
                <w:rFonts w:ascii="Arial" w:cs="Arial" w:eastAsia="Arial" w:hAnsi="Arial"/>
                <w:sz w:val="18"/>
                <w:szCs w:val="18"/>
                <w:b w:val="1"/>
                <w:bCs w:val="1"/>
                <w:color w:val="00B2A9"/>
              </w:rPr>
              <w:t>Part I – FINANCIAL INFORMATION</w:t>
            </w:r>
          </w:p>
        </w:tc>
        <w:tc>
          <w:tcPr>
            <w:tcW w:w="640" w:type="dxa"/>
            <w:vAlign w:val="bottom"/>
          </w:tcPr>
          <w:p>
            <w:pPr>
              <w:spacing w:after="0"/>
              <w:rPr>
                <w:sz w:val="19"/>
                <w:szCs w:val="19"/>
                <w:color w:val="auto"/>
              </w:rPr>
            </w:pPr>
          </w:p>
        </w:tc>
      </w:tr>
      <w:tr>
        <w:trPr>
          <w:trHeight w:val="257"/>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8740" w:type="dxa"/>
            <w:vAlign w:val="bottom"/>
            <w:gridSpan w:val="9"/>
          </w:tcPr>
          <w:p>
            <w:pPr>
              <w:spacing w:after="0"/>
              <w:rPr>
                <w:sz w:val="20"/>
                <w:szCs w:val="20"/>
                <w:color w:val="auto"/>
              </w:rPr>
            </w:pPr>
            <w:r>
              <w:rPr>
                <w:rFonts w:ascii="Arial" w:cs="Arial" w:eastAsia="Arial" w:hAnsi="Arial"/>
                <w:sz w:val="18"/>
                <w:szCs w:val="18"/>
                <w:color w:val="auto"/>
              </w:rPr>
              <w:t>Financial Statements and Notes</w:t>
            </w:r>
          </w:p>
        </w:tc>
        <w:tc>
          <w:tcPr>
            <w:tcW w:w="640" w:type="dxa"/>
            <w:vAlign w:val="bottom"/>
          </w:tcPr>
          <w:p>
            <w:pPr>
              <w:spacing w:after="0"/>
              <w:rPr>
                <w:sz w:val="22"/>
                <w:szCs w:val="22"/>
                <w:color w:val="auto"/>
              </w:rPr>
            </w:pPr>
          </w:p>
        </w:tc>
      </w:tr>
      <w:tr>
        <w:trPr>
          <w:trHeight w:val="203"/>
        </w:trPr>
        <w:tc>
          <w:tcPr>
            <w:tcW w:w="1020" w:type="dxa"/>
            <w:vAlign w:val="bottom"/>
          </w:tcPr>
          <w:p>
            <w:pPr>
              <w:spacing w:after="0"/>
              <w:rPr>
                <w:sz w:val="17"/>
                <w:szCs w:val="17"/>
                <w:color w:val="auto"/>
              </w:rPr>
            </w:pPr>
          </w:p>
        </w:tc>
        <w:tc>
          <w:tcPr>
            <w:tcW w:w="8740" w:type="dxa"/>
            <w:vAlign w:val="bottom"/>
            <w:gridSpan w:val="9"/>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u w:val="single" w:color="auto"/>
                  <w:color w:val="0000FF"/>
                </w:rPr>
                <w:t>Unaudited Consolidated Balance Sheets as of June 30, 2020 and March 31,</w:t>
              </w:r>
              <w:r>
                <w:rPr>
                  <w:rFonts w:ascii="Arial" w:cs="Arial" w:eastAsia="Arial" w:hAnsi="Arial"/>
                  <w:sz w:val="18"/>
                  <w:szCs w:val="18"/>
                  <w:color w:val="0000FF"/>
                </w:rPr>
                <w:t xml:space="preserve"> </w:t>
              </w:r>
            </w:hyperlink>
            <w:r>
              <w:rPr>
                <w:rFonts w:ascii="Arial" w:cs="Arial" w:eastAsia="Arial" w:hAnsi="Arial"/>
                <w:sz w:val="18"/>
                <w:szCs w:val="18"/>
                <w:color w:val="0000FF"/>
              </w:rPr>
              <w:t>2020</w:t>
            </w:r>
          </w:p>
        </w:tc>
        <w:tc>
          <w:tcPr>
            <w:tcW w:w="640" w:type="dxa"/>
            <w:vAlign w:val="bottom"/>
          </w:tcPr>
          <w:p>
            <w:pPr>
              <w:jc w:val="right"/>
              <w:spacing w:after="0" w:line="202"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r>
      <w:tr>
        <w:trPr>
          <w:trHeight w:val="20"/>
        </w:trPr>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8740" w:type="dxa"/>
            <w:vAlign w:val="bottom"/>
            <w:gridSpan w:val="9"/>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Unaudited Consolidated Statements of Operations for the three months ended June 30, 2020 and 2019</w:t>
              </w:r>
            </w:hyperlink>
          </w:p>
        </w:tc>
        <w:tc>
          <w:tcPr>
            <w:tcW w:w="64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r>
      <w:tr>
        <w:trPr>
          <w:trHeight w:val="188"/>
        </w:trPr>
        <w:tc>
          <w:tcPr>
            <w:tcW w:w="1020" w:type="dxa"/>
            <w:vAlign w:val="bottom"/>
          </w:tcPr>
          <w:p>
            <w:pPr>
              <w:spacing w:after="0"/>
              <w:rPr>
                <w:sz w:val="16"/>
                <w:szCs w:val="16"/>
                <w:color w:val="auto"/>
              </w:rPr>
            </w:pPr>
          </w:p>
        </w:tc>
        <w:tc>
          <w:tcPr>
            <w:tcW w:w="8740" w:type="dxa"/>
            <w:vAlign w:val="bottom"/>
            <w:gridSpan w:val="9"/>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u w:val="single" w:color="auto"/>
                  <w:color w:val="0000FF"/>
                </w:rPr>
                <w:t>Unaudited Consolidated Statements of Comprehensive Income (Loss) for the three</w:t>
              </w:r>
              <w:r>
                <w:rPr>
                  <w:rFonts w:ascii="Arial" w:cs="Arial" w:eastAsia="Arial" w:hAnsi="Arial"/>
                  <w:sz w:val="18"/>
                  <w:szCs w:val="18"/>
                  <w:color w:val="0000FF"/>
                </w:rPr>
                <w:t xml:space="preserve"> months ended June 30</w:t>
              </w:r>
              <w:r>
                <w:rPr>
                  <w:rFonts w:ascii="Arial" w:cs="Arial" w:eastAsia="Arial" w:hAnsi="Arial"/>
                  <w:sz w:val="18"/>
                  <w:szCs w:val="18"/>
                  <w:u w:val="single" w:color="auto"/>
                  <w:color w:val="0000FF"/>
                </w:rPr>
                <w:t>,</w:t>
              </w:r>
            </w:hyperlink>
          </w:p>
        </w:tc>
        <w:tc>
          <w:tcPr>
            <w:tcW w:w="640" w:type="dxa"/>
            <w:vAlign w:val="bottom"/>
          </w:tcPr>
          <w:p>
            <w:pPr>
              <w:jc w:val="right"/>
              <w:spacing w:after="0" w:line="189"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r>
      <w:tr>
        <w:trPr>
          <w:trHeight w:val="156"/>
        </w:trPr>
        <w:tc>
          <w:tcPr>
            <w:tcW w:w="1020" w:type="dxa"/>
            <w:vAlign w:val="bottom"/>
          </w:tcPr>
          <w:p>
            <w:pPr>
              <w:spacing w:after="0"/>
              <w:rPr>
                <w:sz w:val="13"/>
                <w:szCs w:val="13"/>
                <w:color w:val="auto"/>
              </w:rPr>
            </w:pPr>
          </w:p>
        </w:tc>
        <w:tc>
          <w:tcPr>
            <w:tcW w:w="1200" w:type="dxa"/>
            <w:vAlign w:val="bottom"/>
            <w:tcBorders>
              <w:bottom w:val="single" w:sz="8" w:color="0000FF"/>
            </w:tcBorders>
          </w:tcPr>
          <w:p>
            <w:pPr>
              <w:spacing w:after="0" w:line="157" w:lineRule="exact"/>
              <w:rPr>
                <w:rFonts w:ascii="Arial" w:cs="Arial" w:eastAsia="Arial" w:hAnsi="Arial"/>
                <w:sz w:val="18"/>
                <w:szCs w:val="18"/>
                <w:color w:val="0000FF"/>
                <w:w w:val="98"/>
              </w:rPr>
            </w:pPr>
            <w:hyperlink w:anchor="page4">
              <w:r>
                <w:rPr>
                  <w:rFonts w:ascii="Arial" w:cs="Arial" w:eastAsia="Arial" w:hAnsi="Arial"/>
                  <w:sz w:val="18"/>
                  <w:szCs w:val="18"/>
                  <w:color w:val="0000FF"/>
                  <w:w w:val="98"/>
                </w:rPr>
                <w:t>2020 and 2019</w:t>
              </w:r>
            </w:hyperlink>
          </w:p>
        </w:tc>
        <w:tc>
          <w:tcPr>
            <w:tcW w:w="5440" w:type="dxa"/>
            <w:vAlign w:val="bottom"/>
            <w:gridSpan w:val="4"/>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9"/>
        </w:trPr>
        <w:tc>
          <w:tcPr>
            <w:tcW w:w="1020" w:type="dxa"/>
            <w:vAlign w:val="bottom"/>
          </w:tcPr>
          <w:p>
            <w:pPr>
              <w:spacing w:after="0"/>
              <w:rPr>
                <w:sz w:val="18"/>
                <w:szCs w:val="18"/>
                <w:color w:val="auto"/>
              </w:rPr>
            </w:pPr>
          </w:p>
        </w:tc>
        <w:tc>
          <w:tcPr>
            <w:tcW w:w="8740" w:type="dxa"/>
            <w:vAlign w:val="bottom"/>
            <w:gridSpan w:val="9"/>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Unaudited Consolidated Statements of Stockholders’ Equity for the three months ended June 30, 2020 and</w:t>
              </w:r>
            </w:hyperlink>
          </w:p>
        </w:tc>
        <w:tc>
          <w:tcPr>
            <w:tcW w:w="64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r>
      <w:tr>
        <w:trPr>
          <w:trHeight w:val="217"/>
        </w:trPr>
        <w:tc>
          <w:tcPr>
            <w:tcW w:w="1020" w:type="dxa"/>
            <w:vAlign w:val="bottom"/>
          </w:tcPr>
          <w:p>
            <w:pPr>
              <w:spacing w:after="0"/>
              <w:rPr>
                <w:sz w:val="18"/>
                <w:szCs w:val="18"/>
                <w:color w:val="auto"/>
              </w:rPr>
            </w:pPr>
          </w:p>
        </w:tc>
        <w:tc>
          <w:tcPr>
            <w:tcW w:w="120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2019</w:t>
              </w:r>
            </w:hyperlink>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89"/>
        </w:trPr>
        <w:tc>
          <w:tcPr>
            <w:tcW w:w="1020" w:type="dxa"/>
            <w:vAlign w:val="bottom"/>
          </w:tcPr>
          <w:p>
            <w:pPr>
              <w:spacing w:after="0"/>
              <w:rPr>
                <w:sz w:val="16"/>
                <w:szCs w:val="16"/>
                <w:color w:val="auto"/>
              </w:rPr>
            </w:pPr>
          </w:p>
        </w:tc>
        <w:tc>
          <w:tcPr>
            <w:tcW w:w="8740" w:type="dxa"/>
            <w:vAlign w:val="bottom"/>
            <w:gridSpan w:val="9"/>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 xml:space="preserve">Unaudited Consolidated Statements of Cash Flows for the three months ended </w:t>
              </w:r>
              <w:r>
                <w:rPr>
                  <w:rFonts w:ascii="Arial" w:cs="Arial" w:eastAsia="Arial" w:hAnsi="Arial"/>
                  <w:sz w:val="18"/>
                  <w:szCs w:val="18"/>
                  <w:u w:val="single" w:color="auto"/>
                  <w:color w:val="0000FF"/>
                </w:rPr>
                <w:t>June 30, 2020 and</w:t>
              </w:r>
              <w:r>
                <w:rPr>
                  <w:rFonts w:ascii="Arial" w:cs="Arial" w:eastAsia="Arial" w:hAnsi="Arial"/>
                  <w:sz w:val="18"/>
                  <w:szCs w:val="18"/>
                  <w:color w:val="0000FF"/>
                </w:rPr>
                <w:t xml:space="preserve"> 2019</w:t>
              </w:r>
            </w:hyperlink>
          </w:p>
        </w:tc>
        <w:tc>
          <w:tcPr>
            <w:tcW w:w="640" w:type="dxa"/>
            <w:vAlign w:val="bottom"/>
          </w:tcPr>
          <w:p>
            <w:pPr>
              <w:jc w:val="right"/>
              <w:spacing w:after="0" w:line="189" w:lineRule="exact"/>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r>
      <w:tr>
        <w:trPr>
          <w:trHeight w:val="250"/>
        </w:trPr>
        <w:tc>
          <w:tcPr>
            <w:tcW w:w="1020" w:type="dxa"/>
            <w:vAlign w:val="bottom"/>
          </w:tcPr>
          <w:p>
            <w:pPr>
              <w:spacing w:after="0"/>
              <w:rPr>
                <w:sz w:val="21"/>
                <w:szCs w:val="21"/>
                <w:color w:val="auto"/>
              </w:rPr>
            </w:pPr>
          </w:p>
        </w:tc>
        <w:tc>
          <w:tcPr>
            <w:tcW w:w="6320" w:type="dxa"/>
            <w:vAlign w:val="bottom"/>
            <w:tcBorders>
              <w:top w:val="single" w:sz="8" w:color="0000FF"/>
            </w:tcBorders>
            <w:gridSpan w:val="3"/>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Consolidated Financial Statements (unaudited)</w:t>
              </w:r>
            </w:hyperlink>
          </w:p>
        </w:tc>
        <w:tc>
          <w:tcPr>
            <w:tcW w:w="1560" w:type="dxa"/>
            <w:vAlign w:val="bottom"/>
            <w:gridSpan w:val="3"/>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460" w:type="dxa"/>
            <w:vAlign w:val="bottom"/>
            <w:gridSpan w:val="2"/>
          </w:tcPr>
          <w:p>
            <w:pPr>
              <w:spacing w:after="0"/>
              <w:rPr>
                <w:sz w:val="21"/>
                <w:szCs w:val="21"/>
                <w:color w:val="auto"/>
              </w:rPr>
            </w:pPr>
          </w:p>
        </w:tc>
        <w:tc>
          <w:tcPr>
            <w:tcW w:w="64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8740" w:type="dxa"/>
            <w:vAlign w:val="bottom"/>
            <w:gridSpan w:val="9"/>
          </w:tcPr>
          <w:p>
            <w:pPr>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Management’s Discussion and Analysis of Financial Condition and Results of Operations</w:t>
              </w:r>
            </w:hyperlink>
          </w:p>
        </w:tc>
        <w:tc>
          <w:tcPr>
            <w:tcW w:w="640" w:type="dxa"/>
            <w:vAlign w:val="bottom"/>
          </w:tcPr>
          <w:p>
            <w:pPr>
              <w:jc w:val="right"/>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14</w:t>
              </w:r>
            </w:hyperlink>
          </w:p>
        </w:tc>
      </w:tr>
      <w:tr>
        <w:trPr>
          <w:trHeight w:val="257"/>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8740" w:type="dxa"/>
            <w:vAlign w:val="bottom"/>
            <w:gridSpan w:val="9"/>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Quantitative and Qualitative Disclosures about Market Risk</w:t>
              </w:r>
            </w:hyperlink>
          </w:p>
        </w:tc>
        <w:tc>
          <w:tcPr>
            <w:tcW w:w="64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22</w:t>
              </w:r>
            </w:hyperlink>
          </w:p>
        </w:tc>
      </w:tr>
      <w:tr>
        <w:trPr>
          <w:trHeight w:val="257"/>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8740" w:type="dxa"/>
            <w:vAlign w:val="bottom"/>
            <w:gridSpan w:val="9"/>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Controls and Procedures</w:t>
              </w:r>
            </w:hyperlink>
          </w:p>
        </w:tc>
        <w:tc>
          <w:tcPr>
            <w:tcW w:w="64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22</w:t>
              </w:r>
            </w:hyperlink>
          </w:p>
        </w:tc>
      </w:tr>
      <w:tr>
        <w:trPr>
          <w:trHeight w:val="513"/>
        </w:trPr>
        <w:tc>
          <w:tcPr>
            <w:tcW w:w="9760" w:type="dxa"/>
            <w:vAlign w:val="bottom"/>
            <w:gridSpan w:val="10"/>
          </w:tcPr>
          <w:p>
            <w:pPr>
              <w:spacing w:after="0"/>
              <w:rPr>
                <w:rFonts w:ascii="Arial" w:cs="Arial" w:eastAsia="Arial" w:hAnsi="Arial"/>
                <w:sz w:val="18"/>
                <w:szCs w:val="18"/>
                <w:b w:val="1"/>
                <w:bCs w:val="1"/>
                <w:u w:val="single" w:color="auto"/>
                <w:color w:val="0000FF"/>
              </w:rPr>
            </w:pPr>
            <w:hyperlink w:anchor="page25">
              <w:r>
                <w:rPr>
                  <w:rFonts w:ascii="Arial" w:cs="Arial" w:eastAsia="Arial" w:hAnsi="Arial"/>
                  <w:sz w:val="18"/>
                  <w:szCs w:val="18"/>
                  <w:b w:val="1"/>
                  <w:bCs w:val="1"/>
                  <w:u w:val="single" w:color="auto"/>
                  <w:color w:val="0000FF"/>
                </w:rPr>
                <w:t>Part II – OTHER INFORMATION</w:t>
              </w:r>
            </w:hyperlink>
          </w:p>
        </w:tc>
        <w:tc>
          <w:tcPr>
            <w:tcW w:w="640" w:type="dxa"/>
            <w:vAlign w:val="bottom"/>
          </w:tcPr>
          <w:p>
            <w:pPr>
              <w:spacing w:after="0"/>
              <w:rPr>
                <w:sz w:val="24"/>
                <w:szCs w:val="24"/>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8740" w:type="dxa"/>
            <w:vAlign w:val="bottom"/>
            <w:gridSpan w:val="9"/>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Legal Proceedings</w:t>
              </w:r>
            </w:hyperlink>
          </w:p>
        </w:tc>
        <w:tc>
          <w:tcPr>
            <w:tcW w:w="64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24</w:t>
              </w:r>
            </w:hyperlink>
          </w:p>
        </w:tc>
      </w:tr>
      <w:tr>
        <w:trPr>
          <w:trHeight w:val="257"/>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8740" w:type="dxa"/>
            <w:vAlign w:val="bottom"/>
            <w:gridSpan w:val="9"/>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Risk Factors</w:t>
              </w:r>
            </w:hyperlink>
          </w:p>
        </w:tc>
        <w:tc>
          <w:tcPr>
            <w:tcW w:w="64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24</w:t>
              </w:r>
            </w:hyperlink>
          </w:p>
        </w:tc>
      </w:tr>
      <w:tr>
        <w:trPr>
          <w:trHeight w:val="256"/>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8740" w:type="dxa"/>
            <w:vAlign w:val="bottom"/>
            <w:gridSpan w:val="9"/>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Unregistered Sale of Equity Securities and Use of Proceeds</w:t>
              </w:r>
            </w:hyperlink>
          </w:p>
        </w:tc>
        <w:tc>
          <w:tcPr>
            <w:tcW w:w="64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24</w:t>
              </w:r>
            </w:hyperlink>
          </w:p>
        </w:tc>
      </w:tr>
      <w:tr>
        <w:trPr>
          <w:trHeight w:val="257"/>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8740" w:type="dxa"/>
            <w:vAlign w:val="bottom"/>
            <w:gridSpan w:val="9"/>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Defaults Upon Senior Securities</w:t>
              </w:r>
            </w:hyperlink>
          </w:p>
        </w:tc>
        <w:tc>
          <w:tcPr>
            <w:tcW w:w="64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24</w:t>
              </w:r>
            </w:hyperlink>
          </w:p>
        </w:tc>
      </w:tr>
      <w:tr>
        <w:trPr>
          <w:trHeight w:val="256"/>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8740" w:type="dxa"/>
            <w:vAlign w:val="bottom"/>
            <w:gridSpan w:val="9"/>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Mine Safety Disclosures</w:t>
              </w:r>
            </w:hyperlink>
          </w:p>
        </w:tc>
        <w:tc>
          <w:tcPr>
            <w:tcW w:w="64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24</w:t>
              </w:r>
            </w:hyperlink>
          </w:p>
        </w:tc>
      </w:tr>
      <w:tr>
        <w:trPr>
          <w:trHeight w:val="257"/>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8740" w:type="dxa"/>
            <w:vAlign w:val="bottom"/>
            <w:gridSpan w:val="9"/>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Other Information</w:t>
              </w:r>
            </w:hyperlink>
          </w:p>
        </w:tc>
        <w:tc>
          <w:tcPr>
            <w:tcW w:w="64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24</w:t>
              </w:r>
            </w:hyperlink>
          </w:p>
        </w:tc>
      </w:tr>
      <w:tr>
        <w:trPr>
          <w:trHeight w:val="256"/>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8740" w:type="dxa"/>
            <w:vAlign w:val="bottom"/>
            <w:gridSpan w:val="9"/>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Exhibits</w:t>
              </w:r>
            </w:hyperlink>
          </w:p>
        </w:tc>
        <w:tc>
          <w:tcPr>
            <w:tcW w:w="64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24</w:t>
              </w:r>
            </w:hyperlink>
          </w:p>
        </w:tc>
      </w:tr>
      <w:tr>
        <w:trPr>
          <w:trHeight w:val="513"/>
        </w:trPr>
        <w:tc>
          <w:tcPr>
            <w:tcW w:w="9760" w:type="dxa"/>
            <w:vAlign w:val="bottom"/>
            <w:gridSpan w:val="10"/>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SIGNATURES</w:t>
              </w:r>
            </w:hyperlink>
          </w:p>
        </w:tc>
        <w:tc>
          <w:tcPr>
            <w:tcW w:w="64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340" w:top="1048" w:right="1159" w:bottom="1440" w:gutter="0" w:footer="0" w:header="0"/>
        </w:sectPr>
      </w:pPr>
    </w:p>
    <w:bookmarkStart w:id="2" w:name="page3"/>
    <w:bookmarkEnd w:id="2"/>
    <w:p>
      <w:pPr>
        <w:ind w:left="452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6"/>
                <w:szCs w:val="16"/>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28"/>
        </w:trPr>
        <w:tc>
          <w:tcPr>
            <w:tcW w:w="7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0"/>
        </w:trPr>
        <w:tc>
          <w:tcPr>
            <w:tcW w:w="7840" w:type="dxa"/>
            <w:vAlign w:val="bottom"/>
          </w:tcPr>
          <w:p>
            <w:pPr>
              <w:ind w:left="354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40" w:type="dxa"/>
            <w:vAlign w:val="bottom"/>
          </w:tcPr>
          <w:p>
            <w:pPr>
              <w:ind w:left="32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345,432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288,082</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Restricted cash</w:t>
            </w:r>
          </w:p>
        </w:tc>
        <w:tc>
          <w:tcPr>
            <w:tcW w:w="3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233"/>
        </w:trPr>
        <w:tc>
          <w:tcPr>
            <w:tcW w:w="7840" w:type="dxa"/>
            <w:vAlign w:val="bottom"/>
          </w:tcPr>
          <w:p>
            <w:pPr>
              <w:ind w:left="320"/>
              <w:spacing w:after="0"/>
              <w:rPr>
                <w:sz w:val="20"/>
                <w:szCs w:val="20"/>
                <w:color w:val="auto"/>
              </w:rPr>
            </w:pPr>
            <w:r>
              <w:rPr>
                <w:rFonts w:ascii="Arial" w:cs="Arial" w:eastAsia="Arial" w:hAnsi="Arial"/>
                <w:sz w:val="16"/>
                <w:szCs w:val="16"/>
                <w:color w:val="auto"/>
              </w:rPr>
              <w:t>Short-term investments</w:t>
            </w:r>
          </w:p>
        </w:tc>
        <w:tc>
          <w:tcPr>
            <w:tcW w:w="30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10,845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43,645</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Trade accounts receivable, net</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149,778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146,990</w:t>
            </w:r>
          </w:p>
        </w:tc>
        <w:tc>
          <w:tcPr>
            <w:tcW w:w="0" w:type="dxa"/>
            <w:vAlign w:val="bottom"/>
          </w:tcPr>
          <w:p>
            <w:pPr>
              <w:spacing w:after="0"/>
              <w:rPr>
                <w:sz w:val="1"/>
                <w:szCs w:val="1"/>
                <w:color w:val="auto"/>
              </w:rPr>
            </w:pPr>
          </w:p>
        </w:tc>
      </w:tr>
      <w:tr>
        <w:trPr>
          <w:trHeight w:val="237"/>
        </w:trPr>
        <w:tc>
          <w:tcPr>
            <w:tcW w:w="78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27,415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26,969</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533,470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513,686</w:t>
            </w: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113,657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114,519</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13,445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15,009</w:t>
            </w: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Arial" w:cs="Arial" w:eastAsia="Arial" w:hAnsi="Arial"/>
                <w:sz w:val="16"/>
                <w:szCs w:val="16"/>
                <w:color w:val="auto"/>
              </w:rPr>
              <w:t>Deferred commissions cost</w:t>
            </w:r>
          </w:p>
        </w:tc>
        <w:tc>
          <w:tcPr>
            <w:tcW w:w="30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32,928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31,394</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43,525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46,350</w:t>
            </w: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112,435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112,435</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16,377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11,683</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865,837</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845,076</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16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33"/>
        </w:trPr>
        <w:tc>
          <w:tcPr>
            <w:tcW w:w="7840" w:type="dxa"/>
            <w:vAlign w:val="bottom"/>
          </w:tcPr>
          <w:p>
            <w:pPr>
              <w:ind w:left="320"/>
              <w:spacing w:after="0"/>
              <w:rPr>
                <w:sz w:val="20"/>
                <w:szCs w:val="20"/>
                <w:color w:val="auto"/>
              </w:rPr>
            </w:pPr>
            <w:r>
              <w:rPr>
                <w:rFonts w:ascii="Arial" w:cs="Arial" w:eastAsia="Arial" w:hAnsi="Arial"/>
                <w:sz w:val="16"/>
                <w:szCs w:val="16"/>
                <w:color w:val="auto"/>
              </w:rPr>
              <w:t>Accrued liabilities</w:t>
            </w:r>
          </w:p>
        </w:tc>
        <w:tc>
          <w:tcPr>
            <w:tcW w:w="30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81,243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87,051</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portion of operating lease liabilities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7,130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7,699</w:t>
            </w:r>
          </w:p>
        </w:tc>
        <w:tc>
          <w:tcPr>
            <w:tcW w:w="0" w:type="dxa"/>
            <w:vAlign w:val="bottom"/>
          </w:tcPr>
          <w:p>
            <w:pPr>
              <w:spacing w:after="0"/>
              <w:rPr>
                <w:sz w:val="1"/>
                <w:szCs w:val="1"/>
                <w:color w:val="auto"/>
              </w:rPr>
            </w:pPr>
          </w:p>
        </w:tc>
      </w:tr>
      <w:tr>
        <w:trPr>
          <w:trHeight w:val="237"/>
        </w:trPr>
        <w:tc>
          <w:tcPr>
            <w:tcW w:w="78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234,287</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233,497</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322,812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328,554</w:t>
            </w: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Arial" w:cs="Arial" w:eastAsia="Arial" w:hAnsi="Arial"/>
                <w:sz w:val="16"/>
                <w:szCs w:val="16"/>
                <w:color w:val="auto"/>
              </w:rPr>
              <w:t>Deferred revenue, less current portion</w:t>
            </w:r>
          </w:p>
        </w:tc>
        <w:tc>
          <w:tcPr>
            <w:tcW w:w="30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95,562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92,723</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 net</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771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30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7,785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8,808</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4,672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2,238</w:t>
            </w: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Arial" w:cs="Arial" w:eastAsia="Arial" w:hAnsi="Arial"/>
                <w:sz w:val="16"/>
                <w:szCs w:val="16"/>
                <w:color w:val="auto"/>
              </w:rPr>
              <w:t>Preferred stock, $0.01 par value: 50,000 shares authorized, no shares issued and outstanding</w:t>
            </w:r>
          </w:p>
        </w:tc>
        <w:tc>
          <w:tcPr>
            <w:tcW w:w="30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$0.01 par value: 250,000 shares authorized, 46,321 shares and 46,011 shares issued and</w:t>
            </w:r>
          </w:p>
        </w:tc>
        <w:tc>
          <w:tcPr>
            <w:tcW w:w="3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461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01"/>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June 30, 2020 and March 31, 2020, respectively</w:t>
            </w:r>
          </w:p>
        </w:tc>
        <w:tc>
          <w:tcPr>
            <w:tcW w:w="30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84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997,838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978,659</w:t>
            </w:r>
          </w:p>
        </w:tc>
        <w:tc>
          <w:tcPr>
            <w:tcW w:w="0" w:type="dxa"/>
            <w:vAlign w:val="bottom"/>
          </w:tcPr>
          <w:p>
            <w:pPr>
              <w:spacing w:after="0"/>
              <w:rPr>
                <w:sz w:val="1"/>
                <w:szCs w:val="1"/>
                <w:color w:val="auto"/>
              </w:rPr>
            </w:pPr>
          </w:p>
        </w:tc>
      </w:tr>
      <w:tr>
        <w:trPr>
          <w:trHeight w:val="25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(551,591)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(553,790)</w:t>
            </w:r>
          </w:p>
        </w:tc>
        <w:tc>
          <w:tcPr>
            <w:tcW w:w="0" w:type="dxa"/>
            <w:vAlign w:val="bottom"/>
          </w:tcPr>
          <w:p>
            <w:pPr>
              <w:spacing w:after="0"/>
              <w:rPr>
                <w:sz w:val="1"/>
                <w:szCs w:val="1"/>
                <w:color w:val="auto"/>
              </w:rPr>
            </w:pPr>
          </w:p>
        </w:tc>
      </w:tr>
      <w:tr>
        <w:trPr>
          <w:trHeight w:val="23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(12,473)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(13,423)</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434,235</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411,904</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865,837</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845,076</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91"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tbl>
      <w:tblPr>
        <w:tblLayout w:type="fixed"/>
        <w:tblInd w:w="640" w:type="dxa"/>
        <w:tblCellMar>
          <w:top w:w="0" w:type="dxa"/>
          <w:left w:w="0" w:type="dxa"/>
          <w:bottom w:w="0" w:type="dxa"/>
          <w:right w:w="0" w:type="dxa"/>
        </w:tblCellMar>
      </w:tblPr>
      <w:tr>
        <w:trPr>
          <w:trHeight w:val="228"/>
        </w:trPr>
        <w:tc>
          <w:tcPr>
            <w:tcW w:w="4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Three Months Ended June 30,</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40" w:type="dxa"/>
            <w:vAlign w:val="bottom"/>
          </w:tcPr>
          <w:p>
            <w:pPr>
              <w:ind w:left="320"/>
              <w:spacing w:after="0"/>
              <w:rPr>
                <w:sz w:val="20"/>
                <w:szCs w:val="20"/>
                <w:color w:val="auto"/>
              </w:rPr>
            </w:pPr>
            <w:r>
              <w:rPr>
                <w:rFonts w:ascii="Arial" w:cs="Arial" w:eastAsia="Arial" w:hAnsi="Arial"/>
                <w:sz w:val="16"/>
                <w:szCs w:val="16"/>
                <w:color w:val="auto"/>
              </w:rPr>
              <w:t>Software and products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76,554</w:t>
            </w:r>
          </w:p>
        </w:tc>
        <w:tc>
          <w:tcPr>
            <w:tcW w:w="14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63,674</w:t>
            </w:r>
          </w:p>
        </w:tc>
        <w:tc>
          <w:tcPr>
            <w:tcW w:w="0" w:type="dxa"/>
            <w:vAlign w:val="bottom"/>
          </w:tcPr>
          <w:p>
            <w:pPr>
              <w:spacing w:after="0"/>
              <w:rPr>
                <w:sz w:val="1"/>
                <w:szCs w:val="1"/>
                <w:color w:val="auto"/>
              </w:rPr>
            </w:pPr>
          </w:p>
        </w:tc>
      </w:tr>
      <w:tr>
        <w:trPr>
          <w:trHeight w:val="253"/>
        </w:trPr>
        <w:tc>
          <w:tcPr>
            <w:tcW w:w="4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Services</w:t>
            </w: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96,446</w:t>
            </w: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98,529</w:t>
            </w:r>
          </w:p>
        </w:tc>
        <w:tc>
          <w:tcPr>
            <w:tcW w:w="0" w:type="dxa"/>
            <w:vAlign w:val="bottom"/>
          </w:tcPr>
          <w:p>
            <w:pPr>
              <w:spacing w:after="0"/>
              <w:rPr>
                <w:sz w:val="1"/>
                <w:szCs w:val="1"/>
                <w:color w:val="auto"/>
              </w:rPr>
            </w:pPr>
          </w:p>
        </w:tc>
      </w:tr>
      <w:tr>
        <w:trPr>
          <w:trHeight w:val="227"/>
        </w:trPr>
        <w:tc>
          <w:tcPr>
            <w:tcW w:w="434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34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173,000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162,203</w:t>
            </w:r>
          </w:p>
        </w:tc>
        <w:tc>
          <w:tcPr>
            <w:tcW w:w="0" w:type="dxa"/>
            <w:vAlign w:val="bottom"/>
          </w:tcPr>
          <w:p>
            <w:pPr>
              <w:spacing w:after="0"/>
              <w:rPr>
                <w:sz w:val="1"/>
                <w:szCs w:val="1"/>
                <w:color w:val="auto"/>
              </w:rPr>
            </w:pPr>
          </w:p>
        </w:tc>
      </w:tr>
      <w:tr>
        <w:trPr>
          <w:trHeight w:val="253"/>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340" w:type="dxa"/>
            <w:vAlign w:val="bottom"/>
          </w:tcPr>
          <w:p>
            <w:pPr>
              <w:ind w:left="320"/>
              <w:spacing w:after="0"/>
              <w:rPr>
                <w:sz w:val="20"/>
                <w:szCs w:val="20"/>
                <w:color w:val="auto"/>
              </w:rPr>
            </w:pPr>
            <w:r>
              <w:rPr>
                <w:rFonts w:ascii="Arial" w:cs="Arial" w:eastAsia="Arial" w:hAnsi="Arial"/>
                <w:sz w:val="16"/>
                <w:szCs w:val="16"/>
                <w:color w:val="auto"/>
              </w:rPr>
              <w:t>Software and products</w:t>
            </w:r>
          </w:p>
        </w:tc>
        <w:tc>
          <w:tcPr>
            <w:tcW w:w="34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5,847</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6,030</w:t>
            </w:r>
          </w:p>
        </w:tc>
        <w:tc>
          <w:tcPr>
            <w:tcW w:w="0" w:type="dxa"/>
            <w:vAlign w:val="bottom"/>
          </w:tcPr>
          <w:p>
            <w:pPr>
              <w:spacing w:after="0"/>
              <w:rPr>
                <w:sz w:val="1"/>
                <w:szCs w:val="1"/>
                <w:color w:val="auto"/>
              </w:rPr>
            </w:pPr>
          </w:p>
        </w:tc>
      </w:tr>
      <w:tr>
        <w:trPr>
          <w:trHeight w:val="253"/>
        </w:trPr>
        <w:tc>
          <w:tcPr>
            <w:tcW w:w="4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Services</w:t>
            </w: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18,704</w:t>
            </w: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22,690</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cost of revenues</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24,551</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28,720</w:t>
            </w: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148,449</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133,483</w:t>
            </w:r>
          </w:p>
        </w:tc>
        <w:tc>
          <w:tcPr>
            <w:tcW w:w="0" w:type="dxa"/>
            <w:vAlign w:val="bottom"/>
          </w:tcPr>
          <w:p>
            <w:pPr>
              <w:spacing w:after="0"/>
              <w:rPr>
                <w:sz w:val="1"/>
                <w:szCs w:val="1"/>
                <w:color w:val="auto"/>
              </w:rPr>
            </w:pPr>
          </w:p>
        </w:tc>
      </w:tr>
      <w:tr>
        <w:trPr>
          <w:trHeight w:val="233"/>
        </w:trPr>
        <w:tc>
          <w:tcPr>
            <w:tcW w:w="4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Sales and marketing</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81,676</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87,385</w:t>
            </w:r>
          </w:p>
        </w:tc>
        <w:tc>
          <w:tcPr>
            <w:tcW w:w="0" w:type="dxa"/>
            <w:vAlign w:val="bottom"/>
          </w:tcPr>
          <w:p>
            <w:pPr>
              <w:spacing w:after="0"/>
              <w:rPr>
                <w:sz w:val="1"/>
                <w:szCs w:val="1"/>
                <w:color w:val="auto"/>
              </w:rPr>
            </w:pPr>
          </w:p>
        </w:tc>
      </w:tr>
      <w:tr>
        <w:trPr>
          <w:trHeight w:val="233"/>
        </w:trPr>
        <w:tc>
          <w:tcPr>
            <w:tcW w:w="4340" w:type="dxa"/>
            <w:vAlign w:val="bottom"/>
          </w:tcPr>
          <w:p>
            <w:pPr>
              <w:ind w:left="32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31,142</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23,580</w:t>
            </w:r>
          </w:p>
        </w:tc>
        <w:tc>
          <w:tcPr>
            <w:tcW w:w="0" w:type="dxa"/>
            <w:vAlign w:val="bottom"/>
          </w:tcPr>
          <w:p>
            <w:pPr>
              <w:spacing w:after="0"/>
              <w:rPr>
                <w:sz w:val="1"/>
                <w:szCs w:val="1"/>
                <w:color w:val="auto"/>
              </w:rPr>
            </w:pPr>
          </w:p>
        </w:tc>
      </w:tr>
      <w:tr>
        <w:trPr>
          <w:trHeight w:val="253"/>
        </w:trPr>
        <w:tc>
          <w:tcPr>
            <w:tcW w:w="4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21,559</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22,507</w:t>
            </w:r>
          </w:p>
        </w:tc>
        <w:tc>
          <w:tcPr>
            <w:tcW w:w="0" w:type="dxa"/>
            <w:vAlign w:val="bottom"/>
          </w:tcPr>
          <w:p>
            <w:pPr>
              <w:spacing w:after="0"/>
              <w:rPr>
                <w:sz w:val="1"/>
                <w:szCs w:val="1"/>
                <w:color w:val="auto"/>
              </w:rPr>
            </w:pPr>
          </w:p>
        </w:tc>
      </w:tr>
      <w:tr>
        <w:trPr>
          <w:trHeight w:val="233"/>
        </w:trPr>
        <w:tc>
          <w:tcPr>
            <w:tcW w:w="4340" w:type="dxa"/>
            <w:vAlign w:val="bottom"/>
          </w:tcPr>
          <w:p>
            <w:pPr>
              <w:ind w:left="320"/>
              <w:spacing w:after="0"/>
              <w:rPr>
                <w:sz w:val="20"/>
                <w:szCs w:val="20"/>
                <w:color w:val="auto"/>
              </w:rPr>
            </w:pPr>
            <w:r>
              <w:rPr>
                <w:rFonts w:ascii="Arial" w:cs="Arial" w:eastAsia="Arial" w:hAnsi="Arial"/>
                <w:sz w:val="16"/>
                <w:szCs w:val="16"/>
                <w:color w:val="auto"/>
              </w:rPr>
              <w:t>Restructuring</w:t>
            </w:r>
          </w:p>
        </w:tc>
        <w:tc>
          <w:tcPr>
            <w:tcW w:w="34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2,324</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4,079</w:t>
            </w:r>
          </w:p>
        </w:tc>
        <w:tc>
          <w:tcPr>
            <w:tcW w:w="0" w:type="dxa"/>
            <w:vAlign w:val="bottom"/>
          </w:tcPr>
          <w:p>
            <w:pPr>
              <w:spacing w:after="0"/>
              <w:rPr>
                <w:sz w:val="1"/>
                <w:szCs w:val="1"/>
                <w:color w:val="auto"/>
              </w:rPr>
            </w:pPr>
          </w:p>
        </w:tc>
      </w:tr>
      <w:tr>
        <w:trPr>
          <w:trHeight w:val="253"/>
        </w:trPr>
        <w:tc>
          <w:tcPr>
            <w:tcW w:w="4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5,065</w:t>
            </w: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2,606</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141,766</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140,157</w:t>
            </w: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6,683</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(6,674)</w:t>
            </w:r>
          </w:p>
        </w:tc>
        <w:tc>
          <w:tcPr>
            <w:tcW w:w="0" w:type="dxa"/>
            <w:vAlign w:val="bottom"/>
          </w:tcPr>
          <w:p>
            <w:pPr>
              <w:spacing w:after="0"/>
              <w:rPr>
                <w:sz w:val="1"/>
                <w:szCs w:val="1"/>
                <w:color w:val="auto"/>
              </w:rPr>
            </w:pPr>
          </w:p>
        </w:tc>
      </w:tr>
      <w:tr>
        <w:trPr>
          <w:trHeight w:val="237"/>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343</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1,923</w:t>
            </w: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7,026</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(4,751)</w:t>
            </w:r>
          </w:p>
        </w:tc>
        <w:tc>
          <w:tcPr>
            <w:tcW w:w="0" w:type="dxa"/>
            <w:vAlign w:val="bottom"/>
          </w:tcPr>
          <w:p>
            <w:pPr>
              <w:spacing w:after="0"/>
              <w:rPr>
                <w:sz w:val="1"/>
                <w:szCs w:val="1"/>
                <w:color w:val="auto"/>
              </w:rPr>
            </w:pPr>
          </w:p>
        </w:tc>
      </w:tr>
      <w:tr>
        <w:trPr>
          <w:trHeight w:val="236"/>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4,743</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2,095</w:t>
            </w:r>
          </w:p>
        </w:tc>
        <w:tc>
          <w:tcPr>
            <w:tcW w:w="0" w:type="dxa"/>
            <w:vAlign w:val="bottom"/>
          </w:tcPr>
          <w:p>
            <w:pPr>
              <w:spacing w:after="0"/>
              <w:rPr>
                <w:sz w:val="1"/>
                <w:szCs w:val="1"/>
                <w:color w:val="auto"/>
              </w:rPr>
            </w:pPr>
          </w:p>
        </w:tc>
      </w:tr>
      <w:tr>
        <w:trPr>
          <w:trHeight w:val="262"/>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2,283</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(6,846)</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(loss) per common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3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0.05</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6"/>
                <w:szCs w:val="16"/>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40" w:type="dxa"/>
            <w:vAlign w:val="bottom"/>
            <w:vMerge w:val="continue"/>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0.05</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40" w:type="dxa"/>
            <w:vAlign w:val="bottom"/>
          </w:tcPr>
          <w:p>
            <w:pPr>
              <w:ind w:left="32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46,191</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45,451</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4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46,503</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45,451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048" w:right="1440" w:bottom="1440" w:gutter="0" w:footer="0" w:header="0"/>
        </w:sectPr>
      </w:pPr>
    </w:p>
    <w:bookmarkStart w:id="4" w:name="page5"/>
    <w:bookmarkEnd w:id="4"/>
    <w:p>
      <w:pPr>
        <w:ind w:left="342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tbl>
      <w:tblPr>
        <w:tblLayout w:type="fixed"/>
        <w:tblInd w:w="660" w:type="dxa"/>
        <w:tblCellMar>
          <w:top w:w="0" w:type="dxa"/>
          <w:left w:w="0" w:type="dxa"/>
          <w:bottom w:w="0" w:type="dxa"/>
          <w:right w:w="0" w:type="dxa"/>
        </w:tblCellMar>
      </w:tblPr>
      <w:tr>
        <w:trPr>
          <w:trHeight w:val="228"/>
        </w:trPr>
        <w:tc>
          <w:tcPr>
            <w:tcW w:w="4380" w:type="dxa"/>
            <w:vAlign w:val="bottom"/>
          </w:tcPr>
          <w:p>
            <w:pPr>
              <w:spacing w:after="0"/>
              <w:rPr>
                <w:sz w:val="19"/>
                <w:szCs w:val="19"/>
                <w:color w:val="auto"/>
              </w:rPr>
            </w:pPr>
          </w:p>
        </w:tc>
        <w:tc>
          <w:tcPr>
            <w:tcW w:w="330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6"/>
                <w:szCs w:val="16"/>
                <w:b w:val="1"/>
                <w:bCs w:val="1"/>
                <w:color w:val="auto"/>
              </w:rPr>
              <w:t>Three Months Ended June 30,</w:t>
            </w:r>
          </w:p>
        </w:tc>
      </w:tr>
      <w:tr>
        <w:trPr>
          <w:trHeight w:val="237"/>
        </w:trPr>
        <w:tc>
          <w:tcPr>
            <w:tcW w:w="43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24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9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2,283</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(6,846)</w:t>
            </w:r>
          </w:p>
        </w:tc>
      </w:tr>
      <w:tr>
        <w:trPr>
          <w:trHeight w:val="233"/>
        </w:trPr>
        <w:tc>
          <w:tcPr>
            <w:tcW w:w="438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4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 currency translation adjustment</w:t>
            </w:r>
          </w:p>
        </w:tc>
        <w:tc>
          <w:tcPr>
            <w:tcW w:w="9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950</w:t>
            </w:r>
          </w:p>
        </w:tc>
        <w:tc>
          <w:tcPr>
            <w:tcW w:w="2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0"/>
        </w:trPr>
        <w:tc>
          <w:tcPr>
            <w:tcW w:w="438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3,233</w:t>
            </w:r>
          </w:p>
        </w:tc>
        <w:tc>
          <w:tcPr>
            <w:tcW w:w="24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(6,873)</w:t>
            </w:r>
          </w:p>
        </w:tc>
      </w:tr>
      <w:tr>
        <w:trPr>
          <w:trHeight w:val="27"/>
        </w:trPr>
        <w:tc>
          <w:tcPr>
            <w:tcW w:w="43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048" w:right="1440" w:bottom="1440" w:gutter="0" w:footer="0" w:header="0"/>
        </w:sectPr>
      </w:pPr>
    </w:p>
    <w:bookmarkStart w:id="5" w:name="page6"/>
    <w:bookmarkEnd w:id="5"/>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10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March 31, 2020</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Stock-based compensation</w:t>
      </w:r>
    </w:p>
    <w:p>
      <w:pPr>
        <w:spacing w:after="0" w:line="59" w:lineRule="exact"/>
        <w:rPr>
          <w:sz w:val="20"/>
          <w:szCs w:val="20"/>
          <w:color w:val="auto"/>
        </w:rPr>
      </w:pPr>
    </w:p>
    <w:p>
      <w:pPr>
        <w:ind w:left="340" w:right="600"/>
        <w:spacing w:after="0" w:line="260" w:lineRule="auto"/>
        <w:rPr>
          <w:sz w:val="20"/>
          <w:szCs w:val="20"/>
          <w:color w:val="auto"/>
        </w:rPr>
      </w:pPr>
      <w:r>
        <w:rPr>
          <w:rFonts w:ascii="Arial" w:cs="Arial" w:eastAsia="Arial" w:hAnsi="Arial"/>
          <w:sz w:val="16"/>
          <w:szCs w:val="16"/>
          <w:color w:val="auto"/>
        </w:rPr>
        <w:t>Share issuances related to stock-based compensation</w:t>
      </w:r>
    </w:p>
    <w:p>
      <w:pPr>
        <w:spacing w:after="0" w:line="33" w:lineRule="exact"/>
        <w:rPr>
          <w:sz w:val="20"/>
          <w:szCs w:val="20"/>
          <w:color w:val="auto"/>
        </w:rPr>
      </w:pPr>
    </w:p>
    <w:p>
      <w:pPr>
        <w:ind w:left="340"/>
        <w:spacing w:after="0" w:line="260" w:lineRule="auto"/>
        <w:rPr>
          <w:sz w:val="20"/>
          <w:szCs w:val="20"/>
          <w:color w:val="auto"/>
        </w:rPr>
      </w:pPr>
      <w:r>
        <w:rPr>
          <w:rFonts w:ascii="Arial" w:cs="Arial" w:eastAsia="Arial" w:hAnsi="Arial"/>
          <w:sz w:val="16"/>
          <w:szCs w:val="16"/>
          <w:color w:val="auto"/>
        </w:rPr>
        <w:t>Cumulative effect change in accounting for ASU 2016-13</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income</w:t>
      </w:r>
    </w:p>
    <w:p>
      <w:pPr>
        <w:spacing w:after="0" w:line="59" w:lineRule="exact"/>
        <w:rPr>
          <w:sz w:val="20"/>
          <w:szCs w:val="20"/>
          <w:color w:val="auto"/>
        </w:rPr>
      </w:pPr>
    </w:p>
    <w:p>
      <w:pPr>
        <w:ind w:left="20" w:right="1320" w:firstLine="306"/>
        <w:spacing w:after="0" w:line="330" w:lineRule="auto"/>
        <w:rPr>
          <w:sz w:val="20"/>
          <w:szCs w:val="20"/>
          <w:color w:val="auto"/>
        </w:rPr>
      </w:pPr>
      <w:r>
        <w:rPr>
          <w:rFonts w:ascii="Arial" w:cs="Arial" w:eastAsia="Arial" w:hAnsi="Arial"/>
          <w:sz w:val="16"/>
          <w:szCs w:val="16"/>
          <w:color w:val="auto"/>
        </w:rPr>
        <w:t>Other comprehensive income Balance as of June 30, 2020</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8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Paid – In</w:t>
            </w:r>
          </w:p>
        </w:tc>
        <w:tc>
          <w:tcPr>
            <w:tcW w:w="180" w:type="dxa"/>
            <w:vAlign w:val="bottom"/>
          </w:tcPr>
          <w:p>
            <w:pPr>
              <w:spacing w:after="0"/>
              <w:rPr>
                <w:sz w:val="4"/>
                <w:szCs w:val="4"/>
                <w:color w:val="auto"/>
              </w:rPr>
            </w:pPr>
          </w:p>
        </w:tc>
        <w:tc>
          <w:tcPr>
            <w:tcW w:w="130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4"/>
                <w:szCs w:val="4"/>
                <w:color w:val="auto"/>
              </w:rPr>
            </w:pPr>
          </w:p>
        </w:tc>
        <w:tc>
          <w:tcPr>
            <w:tcW w:w="14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17"/>
                <w:szCs w:val="17"/>
                <w:color w:val="auto"/>
              </w:rPr>
            </w:pPr>
          </w:p>
        </w:tc>
        <w:tc>
          <w:tcPr>
            <w:tcW w:w="820" w:type="dxa"/>
            <w:vAlign w:val="bottom"/>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840" w:type="dxa"/>
            <w:vAlign w:val="bottom"/>
            <w:tcBorders>
              <w:top w:val="single" w:sz="8" w:color="auto"/>
            </w:tcBorders>
          </w:tcPr>
          <w:p>
            <w:pPr>
              <w:jc w:val="right"/>
              <w:ind w:right="83"/>
              <w:spacing w:after="0"/>
              <w:rPr>
                <w:sz w:val="20"/>
                <w:szCs w:val="20"/>
                <w:color w:val="auto"/>
              </w:rPr>
            </w:pPr>
            <w:r>
              <w:rPr>
                <w:rFonts w:ascii="Arial" w:cs="Arial" w:eastAsia="Arial" w:hAnsi="Arial"/>
                <w:sz w:val="16"/>
                <w:szCs w:val="16"/>
                <w:color w:val="auto"/>
              </w:rPr>
              <w:t>46,011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83"/>
              <w:spacing w:after="0"/>
              <w:rPr>
                <w:sz w:val="20"/>
                <w:szCs w:val="20"/>
                <w:color w:val="auto"/>
              </w:rPr>
            </w:pPr>
            <w:r>
              <w:rPr>
                <w:rFonts w:ascii="Arial" w:cs="Arial" w:eastAsia="Arial" w:hAnsi="Arial"/>
                <w:sz w:val="16"/>
                <w:szCs w:val="16"/>
                <w:color w:val="auto"/>
              </w:rPr>
              <w:t>978,659</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(553,790)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rPr>
              <w:t>(13,423)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411,904</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83"/>
              <w:spacing w:after="0"/>
              <w:rPr>
                <w:sz w:val="20"/>
                <w:szCs w:val="20"/>
                <w:color w:val="auto"/>
              </w:rPr>
            </w:pPr>
            <w:r>
              <w:rPr>
                <w:rFonts w:ascii="Arial" w:cs="Arial" w:eastAsia="Arial" w:hAnsi="Arial"/>
                <w:sz w:val="16"/>
                <w:szCs w:val="16"/>
                <w:color w:val="auto"/>
              </w:rPr>
              <w:t>18,951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18,951</w:t>
            </w:r>
          </w:p>
        </w:tc>
        <w:tc>
          <w:tcPr>
            <w:tcW w:w="0" w:type="dxa"/>
            <w:vAlign w:val="bottom"/>
          </w:tcPr>
          <w:p>
            <w:pPr>
              <w:spacing w:after="0"/>
              <w:rPr>
                <w:sz w:val="1"/>
                <w:szCs w:val="1"/>
                <w:color w:val="auto"/>
              </w:rPr>
            </w:pPr>
          </w:p>
        </w:tc>
      </w:tr>
      <w:tr>
        <w:trPr>
          <w:trHeight w:val="243"/>
        </w:trPr>
        <w:tc>
          <w:tcPr>
            <w:tcW w:w="840" w:type="dxa"/>
            <w:vAlign w:val="bottom"/>
          </w:tcPr>
          <w:p>
            <w:pPr>
              <w:jc w:val="right"/>
              <w:ind w:right="83"/>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83"/>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2,283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2,283</w:t>
            </w:r>
          </w:p>
        </w:tc>
        <w:tc>
          <w:tcPr>
            <w:tcW w:w="0" w:type="dxa"/>
            <w:vAlign w:val="bottom"/>
          </w:tcPr>
          <w:p>
            <w:pPr>
              <w:spacing w:after="0"/>
              <w:rPr>
                <w:sz w:val="1"/>
                <w:szCs w:val="1"/>
                <w:color w:val="auto"/>
              </w:rPr>
            </w:pPr>
          </w:p>
        </w:tc>
      </w:tr>
      <w:tr>
        <w:trPr>
          <w:trHeight w:val="256"/>
        </w:trPr>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37"/>
        </w:trPr>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46,321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997,838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(551,591)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(12,473)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434,235</w:t>
            </w:r>
          </w:p>
        </w:tc>
        <w:tc>
          <w:tcPr>
            <w:tcW w:w="0" w:type="dxa"/>
            <w:vAlign w:val="bottom"/>
          </w:tcPr>
          <w:p>
            <w:pPr>
              <w:spacing w:after="0"/>
              <w:rPr>
                <w:sz w:val="1"/>
                <w:szCs w:val="1"/>
                <w:color w:val="auto"/>
              </w:rPr>
            </w:pPr>
          </w:p>
        </w:tc>
      </w:tr>
      <w:tr>
        <w:trPr>
          <w:trHeight w:val="27"/>
        </w:trPr>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-1370965</wp:posOffset>
            </wp:positionV>
            <wp:extent cx="71323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-1054100</wp:posOffset>
            </wp:positionV>
            <wp:extent cx="71323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-505460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-196850</wp:posOffset>
            </wp:positionV>
            <wp:extent cx="7132320"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60" w:space="160"/>
            <w:col w:w="7320"/>
          </w:cols>
          <w:pgMar w:left="320" w:top="104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198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9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Paid – In</w:t>
            </w:r>
          </w:p>
        </w:tc>
        <w:tc>
          <w:tcPr>
            <w:tcW w:w="180" w:type="dxa"/>
            <w:vAlign w:val="bottom"/>
          </w:tcPr>
          <w:p>
            <w:pPr>
              <w:spacing w:after="0"/>
              <w:rPr>
                <w:sz w:val="4"/>
                <w:szCs w:val="4"/>
                <w:color w:val="auto"/>
              </w:rPr>
            </w:pPr>
          </w:p>
        </w:tc>
        <w:tc>
          <w:tcPr>
            <w:tcW w:w="130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4"/>
                <w:szCs w:val="4"/>
                <w:color w:val="auto"/>
              </w:rPr>
            </w:pPr>
          </w:p>
        </w:tc>
        <w:tc>
          <w:tcPr>
            <w:tcW w:w="14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17"/>
                <w:szCs w:val="17"/>
                <w:color w:val="auto"/>
              </w:rPr>
            </w:pPr>
          </w:p>
        </w:tc>
        <w:tc>
          <w:tcPr>
            <w:tcW w:w="820" w:type="dxa"/>
            <w:vAlign w:val="bottom"/>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2"/>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2019</w:t>
            </w:r>
          </w:p>
        </w:tc>
        <w:tc>
          <w:tcPr>
            <w:tcW w:w="84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45,582</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454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887,907</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(485,490)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(11,568)</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391,303</w:t>
            </w:r>
          </w:p>
        </w:tc>
        <w:tc>
          <w:tcPr>
            <w:tcW w:w="0" w:type="dxa"/>
            <w:vAlign w:val="bottom"/>
          </w:tcPr>
          <w:p>
            <w:pPr>
              <w:spacing w:after="0"/>
              <w:rPr>
                <w:sz w:val="1"/>
                <w:szCs w:val="1"/>
                <w:color w:val="auto"/>
              </w:rPr>
            </w:pPr>
          </w:p>
        </w:tc>
      </w:tr>
      <w:tr>
        <w:trPr>
          <w:trHeight w:val="233"/>
        </w:trPr>
        <w:tc>
          <w:tcPr>
            <w:tcW w:w="392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82"/>
              <w:spacing w:after="0"/>
              <w:rPr>
                <w:sz w:val="20"/>
                <w:szCs w:val="20"/>
                <w:color w:val="auto"/>
              </w:rPr>
            </w:pPr>
            <w:r>
              <w:rPr>
                <w:rFonts w:ascii="Arial" w:cs="Arial" w:eastAsia="Arial" w:hAnsi="Arial"/>
                <w:sz w:val="16"/>
                <w:szCs w:val="16"/>
                <w:color w:val="auto"/>
              </w:rPr>
              <w:t>14,750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14,750</w:t>
            </w:r>
          </w:p>
        </w:tc>
        <w:tc>
          <w:tcPr>
            <w:tcW w:w="0" w:type="dxa"/>
            <w:vAlign w:val="bottom"/>
          </w:tcPr>
          <w:p>
            <w:pPr>
              <w:spacing w:after="0"/>
              <w:rPr>
                <w:sz w:val="1"/>
                <w:szCs w:val="1"/>
                <w:color w:val="auto"/>
              </w:rPr>
            </w:pPr>
          </w:p>
        </w:tc>
      </w:tr>
      <w:tr>
        <w:trPr>
          <w:trHeight w:val="228"/>
        </w:trPr>
        <w:tc>
          <w:tcPr>
            <w:tcW w:w="3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 issuances related to stock-based</w:t>
            </w:r>
          </w:p>
        </w:tc>
        <w:tc>
          <w:tcPr>
            <w:tcW w:w="8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14"/>
        </w:trPr>
        <w:tc>
          <w:tcPr>
            <w:tcW w:w="3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compensation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920" w:type="dxa"/>
            <w:vAlign w:val="bottom"/>
          </w:tcPr>
          <w:p>
            <w:pPr>
              <w:ind w:left="340"/>
              <w:spacing w:after="0"/>
              <w:rPr>
                <w:sz w:val="20"/>
                <w:szCs w:val="20"/>
                <w:color w:val="auto"/>
              </w:rPr>
            </w:pPr>
            <w:r>
              <w:rPr>
                <w:rFonts w:ascii="Arial" w:cs="Arial" w:eastAsia="Arial" w:hAnsi="Arial"/>
                <w:sz w:val="16"/>
                <w:szCs w:val="16"/>
                <w:color w:val="auto"/>
              </w:rPr>
              <w:t>Repurchase of common stock</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(6,934)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(33,084)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(40,026)</w:t>
            </w:r>
          </w:p>
        </w:tc>
        <w:tc>
          <w:tcPr>
            <w:tcW w:w="0" w:type="dxa"/>
            <w:vAlign w:val="bottom"/>
          </w:tcPr>
          <w:p>
            <w:pPr>
              <w:spacing w:after="0"/>
              <w:rPr>
                <w:sz w:val="1"/>
                <w:szCs w:val="1"/>
                <w:color w:val="auto"/>
              </w:rPr>
            </w:pPr>
          </w:p>
        </w:tc>
      </w:tr>
      <w:tr>
        <w:trPr>
          <w:trHeight w:val="253"/>
        </w:trPr>
        <w:tc>
          <w:tcPr>
            <w:tcW w:w="3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loss</w:t>
            </w: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(6,846)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(6,846)</w:t>
            </w: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comprehensive loss</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61"/>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2019</w:t>
            </w:r>
          </w:p>
        </w:tc>
        <w:tc>
          <w:tcPr>
            <w:tcW w:w="8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45,077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896,383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(525,420)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(11,595)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359,817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ectPr>
          <w:pgSz w:w="11900" w:h="16838" w:orient="portrait"/>
          <w:cols w:equalWidth="0" w:num="1">
            <w:col w:w="11240"/>
          </w:cols>
          <w:pgMar w:left="320" w:top="104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type w:val="continuous"/>
        </w:sectPr>
      </w:pPr>
    </w:p>
    <w:bookmarkStart w:id="6" w:name="page7"/>
    <w:bookmarkEnd w:id="6"/>
    <w:p>
      <w:pPr>
        <w:ind w:left="446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Three Months Ended June 30,</w:t>
            </w:r>
          </w:p>
        </w:tc>
      </w:tr>
      <w:tr>
        <w:trPr>
          <w:trHeight w:val="237"/>
        </w:trPr>
        <w:tc>
          <w:tcPr>
            <w:tcW w:w="8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3"/>
        </w:trPr>
        <w:tc>
          <w:tcPr>
            <w:tcW w:w="81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2,283</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(6,846)</w:t>
            </w:r>
          </w:p>
        </w:tc>
      </w:tr>
      <w:tr>
        <w:trPr>
          <w:trHeight w:val="253"/>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8100" w:type="dxa"/>
            <w:vAlign w:val="bottom"/>
          </w:tcPr>
          <w:p>
            <w:pPr>
              <w:ind w:left="3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5,378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2,918</w:t>
            </w:r>
          </w:p>
        </w:tc>
      </w:tr>
      <w:tr>
        <w:trPr>
          <w:trHeight w:val="253"/>
        </w:trPr>
        <w:tc>
          <w:tcPr>
            <w:tcW w:w="8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Noncash stock-based compensation</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18,951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14,750</w:t>
            </w:r>
          </w:p>
        </w:tc>
      </w:tr>
      <w:tr>
        <w:trPr>
          <w:trHeight w:val="233"/>
        </w:trPr>
        <w:tc>
          <w:tcPr>
            <w:tcW w:w="8100" w:type="dxa"/>
            <w:vAlign w:val="bottom"/>
          </w:tcPr>
          <w:p>
            <w:pPr>
              <w:ind w:left="320"/>
              <w:spacing w:after="0"/>
              <w:rPr>
                <w:sz w:val="20"/>
                <w:szCs w:val="20"/>
                <w:color w:val="auto"/>
              </w:rPr>
            </w:pPr>
            <w:r>
              <w:rPr>
                <w:rFonts w:ascii="Arial" w:cs="Arial" w:eastAsia="Arial" w:hAnsi="Arial"/>
                <w:sz w:val="16"/>
                <w:szCs w:val="16"/>
                <w:color w:val="auto"/>
              </w:rPr>
              <w:t>Amortization of deferred commissions cost</w:t>
            </w:r>
          </w:p>
        </w:tc>
        <w:tc>
          <w:tcPr>
            <w:tcW w:w="2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4,567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4,503</w:t>
            </w:r>
          </w:p>
        </w:tc>
      </w:tr>
      <w:tr>
        <w:trPr>
          <w:trHeight w:val="253"/>
        </w:trPr>
        <w:tc>
          <w:tcPr>
            <w:tcW w:w="81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Impairment of operating lease assets</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718</w:t>
            </w:r>
          </w:p>
        </w:tc>
      </w:tr>
      <w:tr>
        <w:trPr>
          <w:trHeight w:val="233"/>
        </w:trPr>
        <w:tc>
          <w:tcPr>
            <w:tcW w:w="8100" w:type="dxa"/>
            <w:vAlign w:val="bottom"/>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81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Trade accounts receivable</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(11,384)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43,165</w:t>
            </w:r>
          </w:p>
        </w:tc>
      </w:tr>
      <w:tr>
        <w:trPr>
          <w:trHeight w:val="233"/>
        </w:trPr>
        <w:tc>
          <w:tcPr>
            <w:tcW w:w="8100" w:type="dxa"/>
            <w:vAlign w:val="bottom"/>
          </w:tcPr>
          <w:p>
            <w:pPr>
              <w:ind w:left="660"/>
              <w:spacing w:after="0"/>
              <w:rPr>
                <w:sz w:val="20"/>
                <w:szCs w:val="20"/>
                <w:color w:val="auto"/>
              </w:rPr>
            </w:pPr>
            <w:r>
              <w:rPr>
                <w:rFonts w:ascii="Arial" w:cs="Arial" w:eastAsia="Arial" w:hAnsi="Arial"/>
                <w:sz w:val="16"/>
                <w:szCs w:val="16"/>
                <w:color w:val="auto"/>
              </w:rPr>
              <w:t>Operating lease assets and liabilities, net</w:t>
            </w:r>
          </w:p>
        </w:tc>
        <w:tc>
          <w:tcPr>
            <w:tcW w:w="2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848</w:t>
            </w:r>
          </w:p>
        </w:tc>
      </w:tr>
      <w:tr>
        <w:trPr>
          <w:trHeight w:val="253"/>
        </w:trPr>
        <w:tc>
          <w:tcPr>
            <w:tcW w:w="81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current assets and Other assets</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7,289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(5,881)</w:t>
            </w:r>
          </w:p>
        </w:tc>
      </w:tr>
      <w:tr>
        <w:trPr>
          <w:trHeight w:val="233"/>
        </w:trPr>
        <w:tc>
          <w:tcPr>
            <w:tcW w:w="8100" w:type="dxa"/>
            <w:vAlign w:val="bottom"/>
          </w:tcPr>
          <w:p>
            <w:pPr>
              <w:ind w:left="660"/>
              <w:spacing w:after="0"/>
              <w:rPr>
                <w:sz w:val="20"/>
                <w:szCs w:val="20"/>
                <w:color w:val="auto"/>
              </w:rPr>
            </w:pPr>
            <w:r>
              <w:rPr>
                <w:rFonts w:ascii="Arial" w:cs="Arial" w:eastAsia="Arial" w:hAnsi="Arial"/>
                <w:sz w:val="16"/>
                <w:szCs w:val="16"/>
                <w:color w:val="auto"/>
              </w:rPr>
              <w:t>Deferred commissions cost</w:t>
            </w:r>
          </w:p>
        </w:tc>
        <w:tc>
          <w:tcPr>
            <w:tcW w:w="2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(5,646)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(3,369)</w:t>
            </w:r>
          </w:p>
        </w:tc>
      </w:tr>
      <w:tr>
        <w:trPr>
          <w:trHeight w:val="253"/>
        </w:trPr>
        <w:tc>
          <w:tcPr>
            <w:tcW w:w="81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(1,217)</w:t>
            </w:r>
          </w:p>
        </w:tc>
      </w:tr>
      <w:tr>
        <w:trPr>
          <w:trHeight w:val="233"/>
        </w:trPr>
        <w:tc>
          <w:tcPr>
            <w:tcW w:w="8100" w:type="dxa"/>
            <w:vAlign w:val="bottom"/>
          </w:tcPr>
          <w:p>
            <w:pPr>
              <w:ind w:left="660"/>
              <w:spacing w:after="0"/>
              <w:rPr>
                <w:sz w:val="20"/>
                <w:szCs w:val="20"/>
                <w:color w:val="auto"/>
              </w:rPr>
            </w:pPr>
            <w:r>
              <w:rPr>
                <w:rFonts w:ascii="Arial" w:cs="Arial" w:eastAsia="Arial" w:hAnsi="Arial"/>
                <w:sz w:val="16"/>
                <w:szCs w:val="16"/>
                <w:color w:val="auto"/>
              </w:rPr>
              <w:t>Accrued liabilities</w:t>
            </w:r>
          </w:p>
        </w:tc>
        <w:tc>
          <w:tcPr>
            <w:tcW w:w="2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(7,699)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(10,038)</w:t>
            </w:r>
          </w:p>
        </w:tc>
      </w:tr>
      <w:tr>
        <w:trPr>
          <w:trHeight w:val="253"/>
        </w:trPr>
        <w:tc>
          <w:tcPr>
            <w:tcW w:w="81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Deferred revenue</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(7,922)</w:t>
            </w:r>
          </w:p>
        </w:tc>
      </w:tr>
      <w:tr>
        <w:trPr>
          <w:trHeight w:val="236"/>
        </w:trPr>
        <w:tc>
          <w:tcPr>
            <w:tcW w:w="81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2,301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(489)</w:t>
            </w:r>
          </w:p>
        </w:tc>
      </w:tr>
      <w:tr>
        <w:trPr>
          <w:trHeight w:val="243"/>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15,285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31,140</w:t>
            </w:r>
          </w:p>
        </w:tc>
      </w:tr>
      <w:tr>
        <w:trPr>
          <w:trHeight w:val="233"/>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short-term investments</w:t>
            </w:r>
          </w:p>
        </w:tc>
        <w:tc>
          <w:tcPr>
            <w:tcW w:w="2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(32,800)</w:t>
            </w:r>
          </w:p>
        </w:tc>
      </w:tr>
      <w:tr>
        <w:trPr>
          <w:trHeight w:val="233"/>
        </w:trPr>
        <w:tc>
          <w:tcPr>
            <w:tcW w:w="8100" w:type="dxa"/>
            <w:vAlign w:val="bottom"/>
          </w:tcPr>
          <w:p>
            <w:pPr>
              <w:ind w:left="20"/>
              <w:spacing w:after="0"/>
              <w:rPr>
                <w:sz w:val="20"/>
                <w:szCs w:val="20"/>
                <w:color w:val="auto"/>
              </w:rPr>
            </w:pPr>
            <w:r>
              <w:rPr>
                <w:rFonts w:ascii="Arial" w:cs="Arial" w:eastAsia="Arial" w:hAnsi="Arial"/>
                <w:sz w:val="16"/>
                <w:szCs w:val="16"/>
                <w:color w:val="auto"/>
              </w:rPr>
              <w:t>Proceeds from maturity of short-term investments</w:t>
            </w:r>
          </w:p>
        </w:tc>
        <w:tc>
          <w:tcPr>
            <w:tcW w:w="2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32,800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32,813</w:t>
            </w:r>
          </w:p>
        </w:tc>
      </w:tr>
      <w:tr>
        <w:trPr>
          <w:trHeight w:val="253"/>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(1,643)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(841)</w:t>
            </w:r>
          </w:p>
        </w:tc>
      </w:tr>
      <w:tr>
        <w:trPr>
          <w:trHeight w:val="227"/>
        </w:trPr>
        <w:tc>
          <w:tcPr>
            <w:tcW w:w="810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2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31,157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(828)</w:t>
            </w:r>
          </w:p>
        </w:tc>
      </w:tr>
      <w:tr>
        <w:trPr>
          <w:trHeight w:val="253"/>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810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2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(40,026)</w:t>
            </w:r>
          </w:p>
        </w:tc>
      </w:tr>
      <w:tr>
        <w:trPr>
          <w:trHeight w:val="253"/>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stock-based compensation plans</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663</w:t>
            </w:r>
          </w:p>
        </w:tc>
      </w:tr>
      <w:tr>
        <w:trPr>
          <w:trHeight w:val="227"/>
        </w:trPr>
        <w:tc>
          <w:tcPr>
            <w:tcW w:w="810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(39,363)</w:t>
            </w:r>
          </w:p>
        </w:tc>
      </w:tr>
      <w:tr>
        <w:trPr>
          <w:trHeight w:val="253"/>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Effects of exchange rate — changes in cash</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2,677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1,880</w:t>
            </w:r>
          </w:p>
        </w:tc>
      </w:tr>
      <w:tr>
        <w:trPr>
          <w:trHeight w:val="227"/>
        </w:trPr>
        <w:tc>
          <w:tcPr>
            <w:tcW w:w="810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2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49,350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(7,171)</w:t>
            </w:r>
          </w:p>
        </w:tc>
      </w:tr>
      <w:tr>
        <w:trPr>
          <w:trHeight w:val="253"/>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296,082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327,992</w:t>
            </w:r>
          </w:p>
        </w:tc>
      </w:tr>
      <w:tr>
        <w:trPr>
          <w:trHeight w:val="230"/>
        </w:trPr>
        <w:tc>
          <w:tcPr>
            <w:tcW w:w="81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345,432</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320,821</w:t>
            </w:r>
          </w:p>
        </w:tc>
      </w:tr>
      <w:tr>
        <w:trPr>
          <w:trHeight w:val="27"/>
        </w:trPr>
        <w:tc>
          <w:tcPr>
            <w:tcW w:w="8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1048"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1. Basis of Presentation</w:t>
      </w:r>
    </w:p>
    <w:p>
      <w:pPr>
        <w:spacing w:after="0" w:line="193" w:lineRule="exact"/>
        <w:rPr>
          <w:sz w:val="20"/>
          <w:szCs w:val="20"/>
          <w:color w:val="auto"/>
        </w:rPr>
      </w:pPr>
    </w:p>
    <w:p>
      <w:pPr>
        <w:ind w:right="320" w:firstLine="445"/>
        <w:spacing w:after="0" w:line="254" w:lineRule="auto"/>
        <w:rPr>
          <w:sz w:val="20"/>
          <w:szCs w:val="20"/>
          <w:color w:val="auto"/>
        </w:rPr>
      </w:pPr>
      <w:r>
        <w:rPr>
          <w:rFonts w:ascii="Arial" w:cs="Arial" w:eastAsia="Arial" w:hAnsi="Arial"/>
          <w:sz w:val="18"/>
          <w:szCs w:val="18"/>
          <w:color w:val="auto"/>
        </w:rPr>
        <w:t>Commvault Systems, Inc. and its subsidiaries ("Commvault," "we," "us," or "our") is a provider of data protection and information management software applications and products. We develop, market and sell a suite of software applications and services, globally, that provides our customers with data protection solutions. We also provide our customers with a broad range of professional and customer support services.</w:t>
      </w:r>
    </w:p>
    <w:p>
      <w:pPr>
        <w:spacing w:after="0" w:line="231"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consolidated financial statements of Commvault as of June 30, 2020 and for the three months ended June 30, 2020 and 2019 are unaudited, and in the opinion of management, include all adjustments (consisting only of normal recurring adjustments) necessary for a fair presentation of the results for the interim periods. Accordingly, they do not include all of the information and footnotes required by U.S. generally accepted accounting principles (“U.S. GAAP”) for complete financial statements and should be read in conjunction with the financial statements and notes in our Annual Report on Form 10-K for fiscal 2020. The results reported in these financial statements should not necessarily be taken as indicative of results that may be expected for the entire fiscal year.</w:t>
      </w:r>
    </w:p>
    <w:p>
      <w:pPr>
        <w:spacing w:after="0" w:line="154"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The preparation of financial statements and related disclosures in conformity with U.S. GAAP requires management to make judgments and estimates that affect the amounts reported in our consolidated financial statements and the accompanying notes. We base our estimates and judgments on historical experience and on various other assumptions that we believe are reasonable under the circumstances. The amounts of assets and liabilities reported in our balance sheets and the amounts of revenues and expenses reported for each of our periods presented are affected by estimates and assumptions, which are used for, but not limited to, the accounting for revenue recognition, income taxes and related reserves, and goodwill and purchased intangible assets. Actual results could differ from those estimates.</w:t>
      </w:r>
    </w:p>
    <w:p>
      <w:pPr>
        <w:spacing w:after="0" w:line="200" w:lineRule="exact"/>
        <w:rPr>
          <w:sz w:val="20"/>
          <w:szCs w:val="20"/>
          <w:color w:val="auto"/>
        </w:rPr>
      </w:pPr>
    </w:p>
    <w:p>
      <w:pPr>
        <w:spacing w:after="0" w:line="322" w:lineRule="exact"/>
        <w:rPr>
          <w:sz w:val="20"/>
          <w:szCs w:val="20"/>
          <w:color w:val="auto"/>
        </w:rPr>
      </w:pPr>
    </w:p>
    <w:p>
      <w:pPr>
        <w:ind w:left="220" w:right="7260" w:hanging="212"/>
        <w:spacing w:after="0" w:line="500" w:lineRule="auto"/>
        <w:tabs>
          <w:tab w:leader="none" w:pos="218" w:val="left"/>
        </w:tabs>
        <w:numPr>
          <w:ilvl w:val="0"/>
          <w:numId w:val="3"/>
        </w:numPr>
        <w:rPr>
          <w:rFonts w:ascii="Arial" w:cs="Arial" w:eastAsia="Arial" w:hAnsi="Arial"/>
          <w:sz w:val="17"/>
          <w:szCs w:val="17"/>
          <w:b w:val="1"/>
          <w:bCs w:val="1"/>
          <w:color w:val="00B2A9"/>
        </w:rPr>
      </w:pPr>
      <w:r>
        <w:rPr>
          <w:rFonts w:ascii="Arial" w:cs="Arial" w:eastAsia="Arial" w:hAnsi="Arial"/>
          <w:sz w:val="17"/>
          <w:szCs w:val="17"/>
          <w:b w:val="1"/>
          <w:bCs w:val="1"/>
          <w:color w:val="00B2A9"/>
        </w:rPr>
        <w:t xml:space="preserve">Summary of Significant Accounting Policies </w:t>
      </w:r>
      <w:r>
        <w:rPr>
          <w:rFonts w:ascii="Arial" w:cs="Arial" w:eastAsia="Arial" w:hAnsi="Arial"/>
          <w:sz w:val="17"/>
          <w:szCs w:val="17"/>
          <w:b w:val="1"/>
          <w:bCs w:val="1"/>
          <w:i w:val="1"/>
          <w:iCs w:val="1"/>
          <w:color w:val="00B2A9"/>
        </w:rPr>
        <w:t>Recently Adopted Accounting Standards</w:t>
      </w:r>
    </w:p>
    <w:p>
      <w:pPr>
        <w:jc w:val="center"/>
        <w:ind w:left="8080"/>
        <w:spacing w:after="0"/>
        <w:rPr>
          <w:sz w:val="20"/>
          <w:szCs w:val="20"/>
          <w:color w:val="auto"/>
        </w:rPr>
      </w:pPr>
      <w:r>
        <w:rPr>
          <w:rFonts w:ascii="Arial" w:cs="Arial" w:eastAsia="Arial" w:hAnsi="Arial"/>
          <w:sz w:val="16"/>
          <w:szCs w:val="16"/>
          <w:b w:val="1"/>
          <w:bCs w:val="1"/>
          <w:color w:val="auto"/>
        </w:rPr>
        <w:t>Effect on the Consolidated Financial</w:t>
      </w:r>
    </w:p>
    <w:p>
      <w:pPr>
        <w:spacing w:after="0" w:line="25" w:lineRule="exact"/>
        <w:rPr>
          <w:sz w:val="20"/>
          <w:szCs w:val="20"/>
          <w:color w:val="auto"/>
        </w:rPr>
      </w:pPr>
    </w:p>
    <w:p>
      <w:pPr>
        <w:jc w:val="center"/>
        <w:ind w:left="8080"/>
        <w:spacing w:after="0"/>
        <w:rPr>
          <w:sz w:val="20"/>
          <w:szCs w:val="20"/>
          <w:color w:val="auto"/>
        </w:rPr>
      </w:pPr>
      <w:r>
        <w:rPr>
          <w:rFonts w:ascii="Arial" w:cs="Arial" w:eastAsia="Arial" w:hAnsi="Arial"/>
          <w:sz w:val="16"/>
          <w:szCs w:val="16"/>
          <w:b w:val="1"/>
          <w:bCs w:val="1"/>
          <w:color w:val="auto"/>
        </w:rPr>
        <w:t>Statements (or Other Significant</w:t>
      </w:r>
    </w:p>
    <w:p>
      <w:pPr>
        <w:spacing w:after="0" w:line="5" w:lineRule="exact"/>
        <w:rPr>
          <w:sz w:val="20"/>
          <w:szCs w:val="20"/>
          <w:color w:val="auto"/>
        </w:rPr>
      </w:pPr>
    </w:p>
    <w:p>
      <w:pPr>
        <w:ind w:left="780"/>
        <w:spacing w:after="0"/>
        <w:tabs>
          <w:tab w:leader="none" w:pos="3540" w:val="left"/>
          <w:tab w:leader="none" w:pos="6380" w:val="left"/>
          <w:tab w:leader="none" w:pos="9340" w:val="left"/>
        </w:tabs>
        <w:rPr>
          <w:sz w:val="20"/>
          <w:szCs w:val="20"/>
          <w:color w:val="auto"/>
        </w:rPr>
      </w:pPr>
      <w:r>
        <w:rPr>
          <w:rFonts w:ascii="Arial" w:cs="Arial" w:eastAsia="Arial" w:hAnsi="Arial"/>
          <w:sz w:val="16"/>
          <w:szCs w:val="16"/>
          <w:b w:val="1"/>
          <w:bCs w:val="1"/>
          <w:color w:val="auto"/>
        </w:rPr>
        <w:t>Standard</w:t>
      </w:r>
      <w:r>
        <w:rPr>
          <w:sz w:val="20"/>
          <w:szCs w:val="20"/>
          <w:color w:val="auto"/>
        </w:rPr>
        <w:tab/>
      </w: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6"/>
          <w:szCs w:val="16"/>
          <w:b w:val="1"/>
          <w:bCs w:val="1"/>
          <w:color w:val="auto"/>
        </w:rPr>
        <w:t>Effective Date</w:t>
      </w:r>
      <w:r>
        <w:rPr>
          <w:sz w:val="20"/>
          <w:szCs w:val="20"/>
          <w:color w:val="auto"/>
        </w:rPr>
        <w:tab/>
      </w:r>
      <w:r>
        <w:rPr>
          <w:rFonts w:ascii="Arial" w:cs="Arial" w:eastAsia="Arial" w:hAnsi="Arial"/>
          <w:sz w:val="15"/>
          <w:szCs w:val="15"/>
          <w:b w:val="1"/>
          <w:bCs w:val="1"/>
          <w:color w:val="auto"/>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65" w:lineRule="exact"/>
        <w:rPr>
          <w:sz w:val="20"/>
          <w:szCs w:val="20"/>
          <w:color w:val="auto"/>
        </w:rPr>
      </w:pPr>
    </w:p>
    <w:p>
      <w:pPr>
        <w:ind w:left="20"/>
        <w:spacing w:after="0"/>
        <w:tabs>
          <w:tab w:leader="none" w:pos="226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7"/>
          <w:szCs w:val="17"/>
          <w:color w:val="auto"/>
        </w:rPr>
        <w:t>The standard amends guidance on the</w:t>
      </w:r>
    </w:p>
    <w:p>
      <w:pPr>
        <w:ind w:left="20"/>
        <w:spacing w:after="0" w:line="234" w:lineRule="auto"/>
        <w:tabs>
          <w:tab w:leader="none" w:pos="2260" w:val="left"/>
        </w:tabs>
        <w:rPr>
          <w:sz w:val="20"/>
          <w:szCs w:val="20"/>
          <w:color w:val="auto"/>
        </w:rPr>
      </w:pPr>
      <w:r>
        <w:rPr>
          <w:rFonts w:ascii="Arial" w:cs="Arial" w:eastAsia="Arial" w:hAnsi="Arial"/>
          <w:sz w:val="18"/>
          <w:szCs w:val="18"/>
          <w:color w:val="auto"/>
        </w:rPr>
        <w:t>Update ("ASU") No. 2016-</w:t>
        <w:tab/>
        <w:t>impairment of financial instruments. The</w:t>
      </w:r>
    </w:p>
    <w:p>
      <w:pPr>
        <w:ind w:left="20"/>
        <w:spacing w:after="0" w:line="235" w:lineRule="auto"/>
        <w:tabs>
          <w:tab w:leader="none" w:pos="2260" w:val="left"/>
        </w:tabs>
        <w:rPr>
          <w:sz w:val="20"/>
          <w:szCs w:val="20"/>
          <w:color w:val="auto"/>
        </w:rPr>
      </w:pPr>
      <w:r>
        <w:rPr>
          <w:rFonts w:ascii="Arial" w:cs="Arial" w:eastAsia="Arial" w:hAnsi="Arial"/>
          <w:sz w:val="18"/>
          <w:szCs w:val="18"/>
          <w:color w:val="auto"/>
        </w:rPr>
        <w:t>13 (Topic 326), Financial</w:t>
      </w:r>
      <w:r>
        <w:rPr>
          <w:sz w:val="20"/>
          <w:szCs w:val="20"/>
          <w:color w:val="auto"/>
        </w:rPr>
        <w:tab/>
      </w:r>
      <w:r>
        <w:rPr>
          <w:rFonts w:ascii="Arial" w:cs="Arial" w:eastAsia="Arial" w:hAnsi="Arial"/>
          <w:sz w:val="18"/>
          <w:szCs w:val="18"/>
          <w:color w:val="auto"/>
        </w:rPr>
        <w:t>ASU estimates credit losses based on</w:t>
      </w:r>
    </w:p>
    <w:p>
      <w:pPr>
        <w:ind w:left="20"/>
        <w:spacing w:after="0"/>
        <w:tabs>
          <w:tab w:leader="none" w:pos="2260" w:val="left"/>
        </w:tabs>
        <w:rPr>
          <w:sz w:val="20"/>
          <w:szCs w:val="20"/>
          <w:color w:val="auto"/>
        </w:rPr>
      </w:pPr>
      <w:r>
        <w:rPr>
          <w:rFonts w:ascii="Arial" w:cs="Arial" w:eastAsia="Arial" w:hAnsi="Arial"/>
          <w:sz w:val="18"/>
          <w:szCs w:val="18"/>
          <w:color w:val="auto"/>
        </w:rPr>
        <w:t>Instruments-Credit Losses</w:t>
      </w:r>
      <w:r>
        <w:rPr>
          <w:sz w:val="20"/>
          <w:szCs w:val="20"/>
          <w:color w:val="auto"/>
        </w:rPr>
        <w:tab/>
      </w:r>
      <w:r>
        <w:rPr>
          <w:rFonts w:ascii="Arial" w:cs="Arial" w:eastAsia="Arial" w:hAnsi="Arial"/>
          <w:sz w:val="17"/>
          <w:szCs w:val="17"/>
          <w:color w:val="auto"/>
        </w:rPr>
        <w:t>expected losses and provides for a</w:t>
      </w:r>
    </w:p>
    <w:p>
      <w:pPr>
        <w:jc w:val="right"/>
        <w:spacing w:after="0" w:line="235" w:lineRule="auto"/>
        <w:rPr>
          <w:sz w:val="20"/>
          <w:szCs w:val="20"/>
          <w:color w:val="auto"/>
        </w:rPr>
      </w:pPr>
      <w:r>
        <w:rPr>
          <w:rFonts w:ascii="Arial" w:cs="Arial" w:eastAsia="Arial" w:hAnsi="Arial"/>
          <w:sz w:val="18"/>
          <w:szCs w:val="18"/>
          <w:color w:val="auto"/>
        </w:rPr>
        <w:t>simplified accounting model for purchased</w:t>
      </w:r>
    </w:p>
    <w:p>
      <w:pPr>
        <w:ind w:left="2280"/>
        <w:spacing w:after="0" w:line="235" w:lineRule="auto"/>
        <w:rPr>
          <w:sz w:val="20"/>
          <w:szCs w:val="20"/>
          <w:color w:val="auto"/>
        </w:rPr>
      </w:pPr>
      <w:r>
        <w:rPr>
          <w:rFonts w:ascii="Arial" w:cs="Arial" w:eastAsia="Arial" w:hAnsi="Arial"/>
          <w:sz w:val="18"/>
          <w:szCs w:val="18"/>
          <w:color w:val="auto"/>
        </w:rPr>
        <w:t>financial assets with credit deterioration.</w:t>
      </w:r>
    </w:p>
    <w:p>
      <w:pPr>
        <w:ind w:left="2280"/>
        <w:spacing w:after="0" w:line="234" w:lineRule="auto"/>
        <w:rPr>
          <w:sz w:val="20"/>
          <w:szCs w:val="20"/>
          <w:color w:val="auto"/>
        </w:rPr>
      </w:pPr>
      <w:r>
        <w:rPr>
          <w:rFonts w:ascii="Arial" w:cs="Arial" w:eastAsia="Arial" w:hAnsi="Arial"/>
          <w:sz w:val="18"/>
          <w:szCs w:val="18"/>
          <w:color w:val="auto"/>
        </w:rPr>
        <w:t>The standard requires a modified</w:t>
      </w:r>
    </w:p>
    <w:p>
      <w:pPr>
        <w:ind w:left="2280"/>
        <w:spacing w:after="0" w:line="235" w:lineRule="auto"/>
        <w:rPr>
          <w:sz w:val="20"/>
          <w:szCs w:val="20"/>
          <w:color w:val="auto"/>
        </w:rPr>
      </w:pPr>
      <w:r>
        <w:rPr>
          <w:rFonts w:ascii="Arial" w:cs="Arial" w:eastAsia="Arial" w:hAnsi="Arial"/>
          <w:sz w:val="18"/>
          <w:szCs w:val="18"/>
          <w:color w:val="auto"/>
        </w:rPr>
        <w:t>retrospective basis adoption through a</w:t>
      </w:r>
    </w:p>
    <w:p>
      <w:pPr>
        <w:ind w:left="2280"/>
        <w:spacing w:after="0" w:line="235" w:lineRule="auto"/>
        <w:rPr>
          <w:sz w:val="20"/>
          <w:szCs w:val="20"/>
          <w:color w:val="auto"/>
        </w:rPr>
      </w:pPr>
      <w:r>
        <w:rPr>
          <w:rFonts w:ascii="Arial" w:cs="Arial" w:eastAsia="Arial" w:hAnsi="Arial"/>
          <w:sz w:val="18"/>
          <w:szCs w:val="18"/>
          <w:color w:val="auto"/>
        </w:rPr>
        <w:t>cumulative-effect adjustment to retained</w:t>
      </w:r>
    </w:p>
    <w:p>
      <w:pPr>
        <w:ind w:left="2280"/>
        <w:spacing w:after="0" w:line="235" w:lineRule="auto"/>
        <w:rPr>
          <w:sz w:val="20"/>
          <w:szCs w:val="20"/>
          <w:color w:val="auto"/>
        </w:rPr>
      </w:pPr>
      <w:r>
        <w:rPr>
          <w:rFonts w:ascii="Arial" w:cs="Arial" w:eastAsia="Arial" w:hAnsi="Arial"/>
          <w:sz w:val="18"/>
          <w:szCs w:val="18"/>
          <w:color w:val="auto"/>
        </w:rPr>
        <w:t>earnings as of the beginning of the period</w:t>
      </w:r>
    </w:p>
    <w:p>
      <w:pPr>
        <w:ind w:left="2280"/>
        <w:spacing w:after="0"/>
        <w:rPr>
          <w:sz w:val="20"/>
          <w:szCs w:val="20"/>
          <w:color w:val="auto"/>
        </w:rPr>
      </w:pPr>
      <w:r>
        <w:rPr>
          <w:rFonts w:ascii="Arial" w:cs="Arial" w:eastAsia="Arial" w:hAnsi="Arial"/>
          <w:sz w:val="18"/>
          <w:szCs w:val="18"/>
          <w:color w:val="auto"/>
        </w:rPr>
        <w:t>of adoption.</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adopted this new standard as of April 1, 2020, using the modified retrospective method recognized as of the date of initial application.</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The adoption of this new standard resulted in an $84 thousand cumulative effect on our unaudited consolidated financial statements related to an adjustment to our allowance for doubtful accounts.</w:t>
      </w:r>
    </w:p>
    <w:p>
      <w:pPr>
        <w:spacing w:after="0" w:line="191"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Under the new standard, we assess credit losses on accounts receivable by taking into consideration past collection experience, credit quality of the customer, age of the receivable balance, current economic conditions, and forecasts that affect the collectability of the reported amount.</w:t>
      </w:r>
    </w:p>
    <w:p>
      <w:pPr>
        <w:spacing w:after="0" w:line="200" w:lineRule="exact"/>
        <w:rPr>
          <w:sz w:val="20"/>
          <w:szCs w:val="20"/>
          <w:color w:val="auto"/>
        </w:rPr>
      </w:pPr>
    </w:p>
    <w:p>
      <w:pPr>
        <w:sectPr>
          <w:pgSz w:w="11900" w:h="16838" w:orient="portrait"/>
          <w:cols w:equalWidth="0" w:num="3">
            <w:col w:w="5640" w:space="140"/>
            <w:col w:w="2240" w:space="100"/>
            <w:col w:w="3120"/>
          </w:cols>
          <w:pgMar w:left="320" w:top="2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Recently Issued Accounting Standards Not Yet Adopted</w:t>
      </w:r>
    </w:p>
    <w:p>
      <w:pPr>
        <w:spacing w:after="0" w:line="200" w:lineRule="exact"/>
        <w:rPr>
          <w:sz w:val="20"/>
          <w:szCs w:val="20"/>
          <w:color w:val="auto"/>
        </w:rPr>
      </w:pPr>
    </w:p>
    <w:p>
      <w:pPr>
        <w:spacing w:after="0" w:line="268" w:lineRule="exact"/>
        <w:rPr>
          <w:sz w:val="20"/>
          <w:szCs w:val="20"/>
          <w:color w:val="auto"/>
        </w:rPr>
      </w:pPr>
    </w:p>
    <w:p>
      <w:pPr>
        <w:ind w:left="740"/>
        <w:spacing w:after="0"/>
        <w:tabs>
          <w:tab w:leader="none" w:pos="3500" w:val="left"/>
          <w:tab w:leader="none" w:pos="6320" w:val="left"/>
          <w:tab w:leader="none" w:pos="8520" w:val="left"/>
        </w:tabs>
        <w:rPr>
          <w:sz w:val="20"/>
          <w:szCs w:val="20"/>
          <w:color w:val="auto"/>
        </w:rPr>
      </w:pPr>
      <w:r>
        <w:rPr>
          <w:rFonts w:ascii="Arial" w:cs="Arial" w:eastAsia="Arial" w:hAnsi="Arial"/>
          <w:sz w:val="18"/>
          <w:szCs w:val="18"/>
          <w:b w:val="1"/>
          <w:bCs w:val="1"/>
          <w:color w:val="auto"/>
        </w:rPr>
        <w:t>Standard</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Effective Date</w:t>
      </w:r>
      <w:r>
        <w:rPr>
          <w:sz w:val="20"/>
          <w:szCs w:val="20"/>
          <w:color w:val="auto"/>
        </w:rPr>
        <w:tab/>
      </w:r>
      <w:r>
        <w:rPr>
          <w:rFonts w:ascii="Arial" w:cs="Arial" w:eastAsia="Arial" w:hAnsi="Arial"/>
          <w:sz w:val="17"/>
          <w:szCs w:val="17"/>
          <w:b w:val="1"/>
          <w:bCs w:val="1"/>
          <w:color w:val="auto"/>
        </w:rPr>
        <w:t>Effect on the Consolidated</w:t>
      </w:r>
    </w:p>
    <w:p>
      <w:pPr>
        <w:spacing w:after="0" w:line="18" w:lineRule="exact"/>
        <w:rPr>
          <w:sz w:val="20"/>
          <w:szCs w:val="20"/>
          <w:color w:val="auto"/>
        </w:rPr>
      </w:pPr>
    </w:p>
    <w:p>
      <w:pPr>
        <w:jc w:val="center"/>
        <w:ind w:left="8080"/>
        <w:spacing w:after="0"/>
        <w:rPr>
          <w:sz w:val="20"/>
          <w:szCs w:val="20"/>
          <w:color w:val="auto"/>
        </w:rPr>
      </w:pPr>
      <w:r>
        <w:rPr>
          <w:rFonts w:ascii="Arial" w:cs="Arial" w:eastAsia="Arial" w:hAnsi="Arial"/>
          <w:sz w:val="17"/>
          <w:szCs w:val="17"/>
          <w:b w:val="1"/>
          <w:bCs w:val="1"/>
          <w:color w:val="auto"/>
        </w:rPr>
        <w:t>Financial Statements (or Other</w:t>
      </w:r>
    </w:p>
    <w:p>
      <w:pPr>
        <w:spacing w:after="0" w:line="7" w:lineRule="exact"/>
        <w:rPr>
          <w:sz w:val="20"/>
          <w:szCs w:val="20"/>
          <w:color w:val="auto"/>
        </w:rPr>
      </w:pPr>
    </w:p>
    <w:p>
      <w:pPr>
        <w:jc w:val="center"/>
        <w:ind w:left="8080"/>
        <w:spacing w:after="0"/>
        <w:rPr>
          <w:sz w:val="20"/>
          <w:szCs w:val="20"/>
          <w:color w:val="auto"/>
        </w:rPr>
      </w:pPr>
      <w:r>
        <w:rPr>
          <w:rFonts w:ascii="Arial" w:cs="Arial" w:eastAsia="Arial" w:hAnsi="Arial"/>
          <w:sz w:val="18"/>
          <w:szCs w:val="18"/>
          <w:b w:val="1"/>
          <w:bCs w:val="1"/>
          <w:color w:val="auto"/>
        </w:rPr>
        <w:t>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59" w:lineRule="exact"/>
        <w:rPr>
          <w:sz w:val="20"/>
          <w:szCs w:val="20"/>
          <w:color w:val="auto"/>
        </w:rPr>
      </w:pPr>
    </w:p>
    <w:p>
      <w:pPr>
        <w:ind w:left="20"/>
        <w:spacing w:after="0"/>
        <w:tabs>
          <w:tab w:leader="none" w:pos="2260" w:val="left"/>
        </w:tabs>
        <w:rPr>
          <w:sz w:val="20"/>
          <w:szCs w:val="20"/>
          <w:color w:val="auto"/>
        </w:rPr>
      </w:pPr>
      <w:r>
        <w:rPr>
          <w:rFonts w:ascii="Arial" w:cs="Arial" w:eastAsia="Arial" w:hAnsi="Arial"/>
          <w:sz w:val="18"/>
          <w:szCs w:val="18"/>
          <w:color w:val="auto"/>
        </w:rPr>
        <w:t>ASU No. 2019-12 (Topic</w:t>
      </w:r>
      <w:r>
        <w:rPr>
          <w:sz w:val="20"/>
          <w:szCs w:val="20"/>
          <w:color w:val="auto"/>
        </w:rPr>
        <w:tab/>
      </w:r>
      <w:r>
        <w:rPr>
          <w:rFonts w:ascii="Arial" w:cs="Arial" w:eastAsia="Arial" w:hAnsi="Arial"/>
          <w:sz w:val="17"/>
          <w:szCs w:val="17"/>
          <w:color w:val="auto"/>
        </w:rPr>
        <w:t>In December 2019, the Financial</w:t>
      </w:r>
    </w:p>
    <w:p>
      <w:pPr>
        <w:ind w:left="20"/>
        <w:spacing w:after="0"/>
        <w:tabs>
          <w:tab w:leader="none" w:pos="2260" w:val="left"/>
        </w:tabs>
        <w:rPr>
          <w:sz w:val="20"/>
          <w:szCs w:val="20"/>
          <w:color w:val="auto"/>
        </w:rPr>
      </w:pPr>
      <w:r>
        <w:rPr>
          <w:rFonts w:ascii="Arial" w:cs="Arial" w:eastAsia="Arial" w:hAnsi="Arial"/>
          <w:sz w:val="18"/>
          <w:szCs w:val="18"/>
          <w:color w:val="auto"/>
        </w:rPr>
        <w:t>740), Income Taxes</w:t>
      </w:r>
      <w:r>
        <w:rPr>
          <w:sz w:val="20"/>
          <w:szCs w:val="20"/>
          <w:color w:val="auto"/>
        </w:rPr>
        <w:tab/>
      </w:r>
      <w:r>
        <w:rPr>
          <w:rFonts w:ascii="Arial" w:cs="Arial" w:eastAsia="Arial" w:hAnsi="Arial"/>
          <w:sz w:val="17"/>
          <w:szCs w:val="17"/>
          <w:color w:val="auto"/>
        </w:rPr>
        <w:t>Accounting Standards Board ("FASB")</w:t>
      </w:r>
    </w:p>
    <w:p>
      <w:pPr>
        <w:spacing w:after="0" w:line="1" w:lineRule="exact"/>
        <w:rPr>
          <w:sz w:val="20"/>
          <w:szCs w:val="20"/>
          <w:color w:val="auto"/>
        </w:rPr>
      </w:pPr>
    </w:p>
    <w:p>
      <w:pPr>
        <w:ind w:left="2280"/>
        <w:spacing w:after="0" w:line="235" w:lineRule="auto"/>
        <w:rPr>
          <w:sz w:val="20"/>
          <w:szCs w:val="20"/>
          <w:color w:val="auto"/>
        </w:rPr>
      </w:pPr>
      <w:r>
        <w:rPr>
          <w:rFonts w:ascii="Arial" w:cs="Arial" w:eastAsia="Arial" w:hAnsi="Arial"/>
          <w:sz w:val="18"/>
          <w:szCs w:val="18"/>
          <w:color w:val="auto"/>
        </w:rPr>
        <w:t>issued a new standard to simplify the accounting for income taxes. The guidance eliminates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guidance also simplifies aspects of accounting for franchise taxes and enacted changes in tax laws or rates, and clarifies the accounting for transactions that result in a step-up in the tax basis of goodwill.</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standard will be effective for us beginning April 1, 2022, with early adoption permitted.</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are currently evaluating the impact of this standard in our consolidated financial statements, including accounting policies, processes, and systems.</w:t>
      </w:r>
    </w:p>
    <w:p>
      <w:pPr>
        <w:spacing w:after="0" w:line="2618" w:lineRule="exact"/>
        <w:rPr>
          <w:sz w:val="20"/>
          <w:szCs w:val="20"/>
          <w:color w:val="auto"/>
        </w:rPr>
      </w:pPr>
    </w:p>
    <w:p>
      <w:pPr>
        <w:sectPr>
          <w:pgSz w:w="11900" w:h="16838" w:orient="portrait"/>
          <w:cols w:equalWidth="0" w:num="3">
            <w:col w:w="5740" w:space="40"/>
            <w:col w:w="2000" w:space="340"/>
            <w:col w:w="3120"/>
          </w:cols>
          <w:pgMar w:left="320" w:top="140" w:right="339" w:bottom="1440" w:gutter="0" w:footer="0" w:header="0"/>
          <w:type w:val="continuous"/>
        </w:sectPr>
      </w:pPr>
    </w:p>
    <w:p>
      <w:pPr>
        <w:spacing w:after="0" w:line="2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Concentration of Credit Risk</w:t>
      </w:r>
    </w:p>
    <w:p>
      <w:pPr>
        <w:spacing w:after="0" w:line="126"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We grant credit to customers in a wide variety of industries worldwide and generally do not require collateral. Credit losses relating to these customers have historically been minimal.</w:t>
      </w:r>
    </w:p>
    <w:p>
      <w:pPr>
        <w:spacing w:after="0" w:line="144" w:lineRule="exact"/>
        <w:rPr>
          <w:sz w:val="20"/>
          <w:szCs w:val="20"/>
          <w:color w:val="auto"/>
        </w:rPr>
      </w:pPr>
    </w:p>
    <w:p>
      <w:pPr>
        <w:jc w:val="both"/>
        <w:ind w:right="560" w:firstLine="445"/>
        <w:spacing w:after="0" w:line="256" w:lineRule="auto"/>
        <w:rPr>
          <w:sz w:val="20"/>
          <w:szCs w:val="20"/>
          <w:color w:val="auto"/>
        </w:rPr>
      </w:pPr>
      <w:r>
        <w:rPr>
          <w:rFonts w:ascii="Arial" w:cs="Arial" w:eastAsia="Arial" w:hAnsi="Arial"/>
          <w:sz w:val="18"/>
          <w:szCs w:val="18"/>
          <w:color w:val="auto"/>
        </w:rPr>
        <w:t>Sales through our distribution agreement with Arrow Enterprise Computing Solutions, Inc. (“Arrow”) totaled 37% and 38% of total revenues for the three months ended June 30, 2020 and 2019, respectively. Arrow accounted for approximately 31% of total accounts receivable as of June 30, 2020 and March 31, 2020.</w:t>
      </w:r>
    </w:p>
    <w:p>
      <w:pPr>
        <w:spacing w:after="0" w:line="200" w:lineRule="exact"/>
        <w:rPr>
          <w:sz w:val="20"/>
          <w:szCs w:val="20"/>
          <w:color w:val="auto"/>
        </w:rPr>
      </w:pPr>
    </w:p>
    <w:p>
      <w:pPr>
        <w:spacing w:after="0" w:line="27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Fair Value of Financial Instruments</w:t>
      </w:r>
    </w:p>
    <w:p>
      <w:pPr>
        <w:spacing w:after="0" w:line="112"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carrying amounts of our cash and cash equivalents, accounts receivable, accounts payable and accrued expenses approximate their fair values due to the short-term maturity of these instruments. Our short-term investments balance consists of U.S. Treasury Bills with maturities of one year or less. We account for our short-term investments as held to maturity. The contingent consideration liability associated with the Hedvig acquisition on October 1, 2019 was valued based on the total bona fide and valid purchase orders received through April 30, 2020 from the specific customer.</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composition of our financial assets and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March 31, 2020:</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18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30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152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2</w:t>
            </w:r>
          </w:p>
        </w:tc>
        <w:tc>
          <w:tcPr>
            <w:tcW w:w="1540" w:type="dxa"/>
            <w:vAlign w:val="bottom"/>
            <w:gridSpan w:val="2"/>
          </w:tcPr>
          <w:p>
            <w:pPr>
              <w:ind w:left="48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5"/>
                <w:szCs w:val="15"/>
                <w:color w:val="auto"/>
              </w:rPr>
            </w:pPr>
          </w:p>
        </w:tc>
        <w:tc>
          <w:tcPr>
            <w:tcW w:w="1120" w:type="dxa"/>
            <w:vAlign w:val="bottom"/>
          </w:tcPr>
          <w:p>
            <w:pPr>
              <w:jc w:val="right"/>
              <w:ind w:right="483"/>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ind w:left="100"/>
              <w:spacing w:after="0"/>
              <w:rPr>
                <w:sz w:val="20"/>
                <w:szCs w:val="20"/>
                <w:color w:val="auto"/>
              </w:rPr>
            </w:pPr>
            <w:r>
              <w:rPr>
                <w:rFonts w:ascii="Arial" w:cs="Arial" w:eastAsia="Arial" w:hAnsi="Arial"/>
                <w:sz w:val="16"/>
                <w:szCs w:val="16"/>
                <w:color w:val="auto"/>
              </w:rPr>
              <w:t>Short-term investments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83"/>
              <w:spacing w:after="0"/>
              <w:rPr>
                <w:sz w:val="20"/>
                <w:szCs w:val="20"/>
                <w:color w:val="auto"/>
              </w:rPr>
            </w:pPr>
            <w:r>
              <w:rPr>
                <w:rFonts w:ascii="Arial" w:cs="Arial" w:eastAsia="Arial" w:hAnsi="Arial"/>
                <w:sz w:val="16"/>
                <w:szCs w:val="16"/>
                <w:color w:val="auto"/>
              </w:rPr>
              <w:t>10,990</w:t>
            </w:r>
          </w:p>
        </w:tc>
        <w:tc>
          <w:tcPr>
            <w:tcW w:w="100" w:type="dxa"/>
            <w:vAlign w:val="bottom"/>
          </w:tcPr>
          <w:p>
            <w:pPr>
              <w:spacing w:after="0"/>
              <w:rPr>
                <w:sz w:val="19"/>
                <w:szCs w:val="19"/>
                <w:color w:val="auto"/>
              </w:rPr>
            </w:pPr>
          </w:p>
        </w:tc>
        <w:tc>
          <w:tcPr>
            <w:tcW w:w="154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83"/>
              <w:spacing w:after="0"/>
              <w:rPr>
                <w:sz w:val="20"/>
                <w:szCs w:val="20"/>
                <w:color w:val="auto"/>
              </w:rPr>
            </w:pPr>
            <w:r>
              <w:rPr>
                <w:rFonts w:ascii="Arial" w:cs="Arial" w:eastAsia="Arial" w:hAnsi="Arial"/>
                <w:sz w:val="16"/>
                <w:szCs w:val="16"/>
                <w:color w:val="auto"/>
              </w:rPr>
              <w:t>10,990</w:t>
            </w:r>
          </w:p>
        </w:tc>
      </w:tr>
      <w:tr>
        <w:trPr>
          <w:trHeight w:val="883"/>
        </w:trPr>
        <w:tc>
          <w:tcPr>
            <w:tcW w:w="20" w:type="dxa"/>
            <w:vAlign w:val="bottom"/>
          </w:tcPr>
          <w:p>
            <w:pPr>
              <w:spacing w:after="0"/>
              <w:rPr>
                <w:sz w:val="24"/>
                <w:szCs w:val="24"/>
                <w:color w:val="auto"/>
              </w:rPr>
            </w:pPr>
          </w:p>
        </w:tc>
        <w:tc>
          <w:tcPr>
            <w:tcW w:w="5180" w:type="dxa"/>
            <w:vAlign w:val="bottom"/>
            <w:gridSpan w:val="3"/>
          </w:tcPr>
          <w:p>
            <w:pPr>
              <w:spacing w:after="0"/>
              <w:rPr>
                <w:sz w:val="20"/>
                <w:szCs w:val="20"/>
                <w:color w:val="auto"/>
              </w:rPr>
            </w:pPr>
            <w:r>
              <w:rPr>
                <w:rFonts w:ascii="Arial" w:cs="Arial" w:eastAsia="Arial" w:hAnsi="Arial"/>
                <w:sz w:val="14"/>
                <w:szCs w:val="14"/>
                <w:b w:val="1"/>
                <w:bCs w:val="1"/>
                <w:color w:val="auto"/>
              </w:rPr>
              <w:t>March 31, 2020</w:t>
            </w:r>
          </w:p>
        </w:tc>
        <w:tc>
          <w:tcPr>
            <w:tcW w:w="30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152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2</w:t>
            </w:r>
          </w:p>
        </w:tc>
        <w:tc>
          <w:tcPr>
            <w:tcW w:w="1540" w:type="dxa"/>
            <w:vAlign w:val="bottom"/>
            <w:gridSpan w:val="2"/>
          </w:tcPr>
          <w:p>
            <w:pPr>
              <w:ind w:left="48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24"/>
                <w:szCs w:val="24"/>
                <w:color w:val="auto"/>
              </w:rPr>
            </w:pPr>
          </w:p>
        </w:tc>
        <w:tc>
          <w:tcPr>
            <w:tcW w:w="1120" w:type="dxa"/>
            <w:vAlign w:val="bottom"/>
          </w:tcPr>
          <w:p>
            <w:pPr>
              <w:jc w:val="right"/>
              <w:ind w:right="483"/>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5180" w:type="dxa"/>
            <w:vAlign w:val="bottom"/>
            <w:gridSpan w:val="3"/>
          </w:tcPr>
          <w:p>
            <w:pPr>
              <w:ind w:left="100"/>
              <w:spacing w:after="0"/>
              <w:rPr>
                <w:sz w:val="20"/>
                <w:szCs w:val="20"/>
                <w:color w:val="auto"/>
              </w:rPr>
            </w:pPr>
            <w:r>
              <w:rPr>
                <w:rFonts w:ascii="Arial" w:cs="Arial" w:eastAsia="Arial" w:hAnsi="Arial"/>
                <w:sz w:val="16"/>
                <w:szCs w:val="16"/>
                <w:color w:val="auto"/>
              </w:rPr>
              <w:t>Short-term investments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83"/>
              <w:spacing w:after="0"/>
              <w:rPr>
                <w:sz w:val="20"/>
                <w:szCs w:val="20"/>
                <w:color w:val="auto"/>
              </w:rPr>
            </w:pPr>
            <w:r>
              <w:rPr>
                <w:rFonts w:ascii="Arial" w:cs="Arial" w:eastAsia="Arial" w:hAnsi="Arial"/>
                <w:sz w:val="16"/>
                <w:szCs w:val="16"/>
                <w:color w:val="auto"/>
              </w:rPr>
              <w:t>44,484</w:t>
            </w:r>
          </w:p>
        </w:tc>
        <w:tc>
          <w:tcPr>
            <w:tcW w:w="100" w:type="dxa"/>
            <w:vAlign w:val="bottom"/>
          </w:tcPr>
          <w:p>
            <w:pPr>
              <w:spacing w:after="0"/>
              <w:rPr>
                <w:sz w:val="20"/>
                <w:szCs w:val="20"/>
                <w:color w:val="auto"/>
              </w:rPr>
            </w:pPr>
          </w:p>
        </w:tc>
        <w:tc>
          <w:tcPr>
            <w:tcW w:w="154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83"/>
              <w:spacing w:after="0"/>
              <w:rPr>
                <w:sz w:val="20"/>
                <w:szCs w:val="20"/>
                <w:color w:val="auto"/>
              </w:rPr>
            </w:pPr>
            <w:r>
              <w:rPr>
                <w:rFonts w:ascii="Arial" w:cs="Arial" w:eastAsia="Arial" w:hAnsi="Arial"/>
                <w:sz w:val="16"/>
                <w:szCs w:val="16"/>
                <w:color w:val="auto"/>
              </w:rPr>
              <w:t>44,484</w:t>
            </w:r>
          </w:p>
        </w:tc>
      </w:tr>
      <w:tr>
        <w:trPr>
          <w:trHeight w:val="253"/>
        </w:trPr>
        <w:tc>
          <w:tcPr>
            <w:tcW w:w="20" w:type="dxa"/>
            <w:vAlign w:val="bottom"/>
            <w:shd w:val="clear" w:color="auto" w:fill="CCEEFF"/>
          </w:tcPr>
          <w:p>
            <w:pPr>
              <w:spacing w:after="0"/>
              <w:rPr>
                <w:sz w:val="21"/>
                <w:szCs w:val="21"/>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5180" w:type="dxa"/>
            <w:vAlign w:val="bottom"/>
            <w:gridSpan w:val="3"/>
          </w:tcPr>
          <w:p>
            <w:pPr>
              <w:ind w:left="100"/>
              <w:spacing w:after="0"/>
              <w:rPr>
                <w:sz w:val="20"/>
                <w:szCs w:val="20"/>
                <w:color w:val="auto"/>
              </w:rPr>
            </w:pPr>
            <w:r>
              <w:rPr>
                <w:rFonts w:ascii="Arial" w:cs="Arial" w:eastAsia="Arial" w:hAnsi="Arial"/>
                <w:sz w:val="16"/>
                <w:szCs w:val="16"/>
                <w:color w:val="auto"/>
              </w:rPr>
              <w:t>Contingent consideration</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20" w:type="dxa"/>
            <w:vAlign w:val="bottom"/>
          </w:tcPr>
          <w:p>
            <w:pPr>
              <w:ind w:left="940"/>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(217)</w:t>
            </w:r>
          </w:p>
        </w:tc>
      </w:tr>
    </w:tbl>
    <w:p>
      <w:pPr>
        <w:spacing w:after="0" w:line="275" w:lineRule="exact"/>
        <w:rPr>
          <w:sz w:val="20"/>
          <w:szCs w:val="20"/>
          <w:color w:val="auto"/>
        </w:rPr>
      </w:pPr>
    </w:p>
    <w:p>
      <w:pPr>
        <w:ind w:right="220" w:firstLine="486"/>
        <w:spacing w:after="0" w:line="253" w:lineRule="auto"/>
        <w:rPr>
          <w:sz w:val="20"/>
          <w:szCs w:val="20"/>
          <w:color w:val="auto"/>
        </w:rPr>
      </w:pPr>
      <w:r>
        <w:rPr>
          <w:rFonts w:ascii="Arial" w:cs="Arial" w:eastAsia="Arial" w:hAnsi="Arial"/>
          <w:sz w:val="18"/>
          <w:szCs w:val="18"/>
          <w:color w:val="auto"/>
        </w:rPr>
        <w:t>The contingent consideration arrangement required us to pay up to $8,000 of cash to the former owners of Hedvig, contingent on us receiving one or more bona fide and valid purchase orders from a specified customer, no later than April 30, 2020. As of April 30, 2020, we received one valid purchase order from the specified customer of $217. The gain of $3,783 on the change in fair value of contingent consideration was recognized during the fourth quarter of fiscal year 2020. The liability was satisfied during the first quarter of fiscal year 2021 and the $8,000 of restricted cash was settled by making the required contingent consideration payment.</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3. Revenue</w:t>
      </w:r>
    </w:p>
    <w:p>
      <w:pPr>
        <w:spacing w:after="0" w:line="193" w:lineRule="exact"/>
        <w:rPr>
          <w:sz w:val="20"/>
          <w:szCs w:val="20"/>
          <w:color w:val="auto"/>
        </w:rPr>
      </w:pPr>
    </w:p>
    <w:p>
      <w:pPr>
        <w:ind w:right="360" w:firstLine="486"/>
        <w:spacing w:after="0" w:line="254" w:lineRule="auto"/>
        <w:rPr>
          <w:sz w:val="20"/>
          <w:szCs w:val="20"/>
          <w:color w:val="auto"/>
        </w:rPr>
      </w:pPr>
      <w:r>
        <w:rPr>
          <w:rFonts w:ascii="Arial" w:cs="Arial" w:eastAsia="Arial" w:hAnsi="Arial"/>
          <w:sz w:val="18"/>
          <w:szCs w:val="18"/>
          <w:color w:val="auto"/>
        </w:rPr>
        <w:t>We derive revenues from two primary sources: software and products, and services. Software and products revenue includes our software and integrated appliances that combine our software with hardware. Services include customer support (software updates and technical support), consulting, assessment and design services, installation services, customer education and Commvault software-as-a-service, which is branded as Metallic.</w:t>
      </w:r>
    </w:p>
    <w:p>
      <w:pPr>
        <w:spacing w:after="0" w:line="150"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sell both perpetual and term-based licenses of our software. We refer to our term-based software licenses as subscription arrangements. We do not customize our software and installation services are not required. The software is delivered before related services are provided and is functional without professional services, updates and technical support. We have concluded that our software licenses (both perpetual and subscription) are functional intellectual property that is distinct as the user can benefit from the software on its own. Software revenue for both perpetual and subscription licenses is typically recognized when the software is delivered and/or made available for download as this is the point the user of the software can direct the use of, and obtain substantially all of the remaining benefits from the functional intellectual property. We do not recognize software revenue related to the renewal of subscription software licenses earlier than the beginning of the new subscription period.</w:t>
      </w:r>
    </w:p>
    <w:p>
      <w:pPr>
        <w:spacing w:after="0" w:line="151" w:lineRule="exact"/>
        <w:rPr>
          <w:sz w:val="20"/>
          <w:szCs w:val="20"/>
          <w:color w:val="auto"/>
        </w:rPr>
      </w:pPr>
    </w:p>
    <w:p>
      <w:pPr>
        <w:jc w:val="both"/>
        <w:ind w:right="20" w:firstLine="486"/>
        <w:spacing w:after="0" w:line="250" w:lineRule="auto"/>
        <w:rPr>
          <w:sz w:val="20"/>
          <w:szCs w:val="20"/>
          <w:color w:val="auto"/>
        </w:rPr>
      </w:pPr>
      <w:r>
        <w:rPr>
          <w:rFonts w:ascii="Arial" w:cs="Arial" w:eastAsia="Arial" w:hAnsi="Arial"/>
          <w:sz w:val="18"/>
          <w:szCs w:val="18"/>
          <w:color w:val="auto"/>
        </w:rPr>
        <w:t>We also sell appliances that integrate our software with hardware and address a wide-range of business needs and use cases, ranging from support for remote or branch offices with limited IT staff up to large corporate data centers. Revenue related to appliances is recognized when control of the appliances passes to the customer; typically upon delivery.</w:t>
      </w:r>
    </w:p>
    <w:p>
      <w:pPr>
        <w:spacing w:after="0" w:line="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The Company sells its customer support contracts as a percentage of net software purchases the support is related to. Customer support revenue is recognized ratably over the term of the customer support agreement, which is typically one year.</w:t>
      </w:r>
    </w:p>
    <w:p>
      <w:pPr>
        <w:spacing w:after="0" w:line="23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other professional services include consulting, assessment and design services, installation services and customer education. Customer education services include courses taught by our instructors or third-party contractors. Revenue related to other professional services and customer education services is typically recognized as the services are performed. In fiscal 2020 Commvault launched Metallic, which is a Commvault software-as-a-</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service offering. Revenue from Metallic is recognized ratably as services revenue. Revenue to date from Metallic has not been material.</w:t>
      </w:r>
    </w:p>
    <w:p>
      <w:pPr>
        <w:spacing w:after="0" w:line="25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Standalone selling prices of software and appliances are typically estimated using the residual approach. Standalone selling prices of services are typically estimated based on observable transactions when these services are sold on a standalone basis.</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typical performance obligations include the following:</w:t>
      </w:r>
    </w:p>
    <w:p>
      <w:pPr>
        <w:spacing w:after="0" w:line="307" w:lineRule="exact"/>
        <w:rPr>
          <w:sz w:val="20"/>
          <w:szCs w:val="20"/>
          <w:color w:val="auto"/>
        </w:rPr>
      </w:pPr>
    </w:p>
    <w:p>
      <w:pPr>
        <w:ind w:left="280"/>
        <w:spacing w:after="0"/>
        <w:tabs>
          <w:tab w:leader="none" w:pos="3000" w:val="left"/>
          <w:tab w:leader="none" w:pos="6560" w:val="left"/>
          <w:tab w:leader="none" w:pos="8700" w:val="left"/>
        </w:tabs>
        <w:rPr>
          <w:sz w:val="20"/>
          <w:szCs w:val="20"/>
          <w:color w:val="auto"/>
        </w:rPr>
      </w:pPr>
      <w:r>
        <w:rPr>
          <w:rFonts w:ascii="Arial" w:cs="Arial" w:eastAsia="Arial" w:hAnsi="Arial"/>
          <w:sz w:val="14"/>
          <w:szCs w:val="14"/>
          <w:b w:val="1"/>
          <w:bCs w:val="1"/>
          <w:color w:val="auto"/>
        </w:rPr>
        <w:t>Performance Obligation</w:t>
      </w:r>
      <w:r>
        <w:rPr>
          <w:sz w:val="20"/>
          <w:szCs w:val="20"/>
          <w:color w:val="auto"/>
        </w:rPr>
        <w:tab/>
      </w:r>
      <w:r>
        <w:rPr>
          <w:rFonts w:ascii="Arial" w:cs="Arial" w:eastAsia="Arial" w:hAnsi="Arial"/>
          <w:sz w:val="14"/>
          <w:szCs w:val="14"/>
          <w:b w:val="1"/>
          <w:bCs w:val="1"/>
          <w:color w:val="auto"/>
        </w:rPr>
        <w:t>When Performance Obligation</w:t>
      </w:r>
      <w:r>
        <w:rPr>
          <w:sz w:val="20"/>
          <w:szCs w:val="20"/>
          <w:color w:val="auto"/>
        </w:rPr>
        <w:tab/>
      </w:r>
      <w:r>
        <w:rPr>
          <w:rFonts w:ascii="Arial" w:cs="Arial" w:eastAsia="Arial" w:hAnsi="Arial"/>
          <w:sz w:val="14"/>
          <w:szCs w:val="14"/>
          <w:b w:val="1"/>
          <w:bCs w:val="1"/>
          <w:color w:val="auto"/>
        </w:rPr>
        <w:t>When Payment is</w:t>
      </w:r>
      <w:r>
        <w:rPr>
          <w:sz w:val="20"/>
          <w:szCs w:val="20"/>
          <w:color w:val="auto"/>
        </w:rPr>
        <w:tab/>
      </w:r>
      <w:r>
        <w:rPr>
          <w:rFonts w:ascii="Arial" w:cs="Arial" w:eastAsia="Arial" w:hAnsi="Arial"/>
          <w:sz w:val="14"/>
          <w:szCs w:val="14"/>
          <w:b w:val="1"/>
          <w:bCs w:val="1"/>
          <w:color w:val="auto"/>
        </w:rPr>
        <w:t>How Standalone Selling Price is</w:t>
      </w:r>
    </w:p>
    <w:p>
      <w:pPr>
        <w:spacing w:after="0" w:line="19" w:lineRule="exact"/>
        <w:rPr>
          <w:sz w:val="20"/>
          <w:szCs w:val="20"/>
          <w:color w:val="auto"/>
        </w:rPr>
      </w:pPr>
    </w:p>
    <w:p>
      <w:pPr>
        <w:ind w:left="3360"/>
        <w:spacing w:after="0"/>
        <w:tabs>
          <w:tab w:leader="none" w:pos="6720" w:val="left"/>
          <w:tab w:leader="none" w:pos="9140" w:val="left"/>
        </w:tabs>
        <w:rPr>
          <w:sz w:val="20"/>
          <w:szCs w:val="20"/>
          <w:color w:val="auto"/>
        </w:rPr>
      </w:pPr>
      <w:r>
        <w:rPr>
          <w:rFonts w:ascii="Arial" w:cs="Arial" w:eastAsia="Arial" w:hAnsi="Arial"/>
          <w:sz w:val="14"/>
          <w:szCs w:val="14"/>
          <w:b w:val="1"/>
          <w:bCs w:val="1"/>
          <w:color w:val="auto"/>
        </w:rPr>
        <w:t>is Typically Satisfied</w:t>
      </w:r>
      <w:r>
        <w:rPr>
          <w:sz w:val="20"/>
          <w:szCs w:val="20"/>
          <w:color w:val="auto"/>
        </w:rPr>
        <w:tab/>
      </w:r>
      <w:r>
        <w:rPr>
          <w:rFonts w:ascii="Arial" w:cs="Arial" w:eastAsia="Arial" w:hAnsi="Arial"/>
          <w:sz w:val="14"/>
          <w:szCs w:val="14"/>
          <w:b w:val="1"/>
          <w:bCs w:val="1"/>
          <w:color w:val="auto"/>
        </w:rPr>
        <w:t>Typically Due</w:t>
      </w:r>
      <w:r>
        <w:rPr>
          <w:sz w:val="20"/>
          <w:szCs w:val="20"/>
          <w:color w:val="auto"/>
        </w:rPr>
        <w:tab/>
      </w:r>
      <w:r>
        <w:rPr>
          <w:rFonts w:ascii="Arial" w:cs="Arial" w:eastAsia="Arial" w:hAnsi="Arial"/>
          <w:sz w:val="14"/>
          <w:szCs w:val="14"/>
          <w:b w:val="1"/>
          <w:bCs w:val="1"/>
          <w:color w:val="auto"/>
        </w:rPr>
        <w:t>Typically Estimated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Software and Products Revenue</w:t>
      </w:r>
    </w:p>
    <w:p>
      <w:pPr>
        <w:spacing w:after="0" w:line="75" w:lineRule="exact"/>
        <w:rPr>
          <w:sz w:val="20"/>
          <w:szCs w:val="20"/>
          <w:color w:val="auto"/>
        </w:rPr>
      </w:pPr>
    </w:p>
    <w:p>
      <w:pPr>
        <w:ind w:left="140"/>
        <w:spacing w:after="0"/>
        <w:tabs>
          <w:tab w:leader="none" w:pos="2160" w:val="left"/>
        </w:tabs>
        <w:rPr>
          <w:sz w:val="20"/>
          <w:szCs w:val="20"/>
          <w:color w:val="auto"/>
        </w:rPr>
      </w:pPr>
      <w:r>
        <w:rPr>
          <w:rFonts w:ascii="Arial" w:cs="Arial" w:eastAsia="Arial" w:hAnsi="Arial"/>
          <w:sz w:val="16"/>
          <w:szCs w:val="16"/>
          <w:color w:val="auto"/>
        </w:rPr>
        <w:t>Software Licenses</w:t>
      </w:r>
      <w:r>
        <w:rPr>
          <w:sz w:val="20"/>
          <w:szCs w:val="20"/>
          <w:color w:val="auto"/>
        </w:rPr>
        <w:tab/>
      </w:r>
      <w:r>
        <w:rPr>
          <w:rFonts w:ascii="Arial" w:cs="Arial" w:eastAsia="Arial" w:hAnsi="Arial"/>
          <w:sz w:val="16"/>
          <w:szCs w:val="16"/>
          <w:color w:val="auto"/>
        </w:rPr>
        <w:t>Upon shipment or made available for download</w:t>
      </w:r>
    </w:p>
    <w:p>
      <w:pPr>
        <w:spacing w:after="0" w:line="5" w:lineRule="exact"/>
        <w:rPr>
          <w:sz w:val="20"/>
          <w:szCs w:val="20"/>
          <w:color w:val="auto"/>
        </w:rPr>
      </w:pPr>
    </w:p>
    <w:p>
      <w:pPr>
        <w:ind w:left="2180"/>
        <w:spacing w:after="0"/>
        <w:rPr>
          <w:sz w:val="20"/>
          <w:szCs w:val="20"/>
          <w:color w:val="auto"/>
        </w:rPr>
      </w:pPr>
      <w:r>
        <w:rPr>
          <w:rFonts w:ascii="Arial" w:cs="Arial" w:eastAsia="Arial" w:hAnsi="Arial"/>
          <w:sz w:val="16"/>
          <w:szCs w:val="16"/>
          <w:color w:val="auto"/>
        </w:rPr>
        <w:t>(point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190500</wp:posOffset>
            </wp:positionV>
            <wp:extent cx="7115175"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274320"/>
                    </a:xfrm>
                    <a:prstGeom prst="rect">
                      <a:avLst/>
                    </a:prstGeom>
                    <a:noFill/>
                  </pic:spPr>
                </pic:pic>
              </a:graphicData>
            </a:graphic>
          </wp:anchor>
        </w:drawing>
      </w:r>
    </w:p>
    <w:p>
      <w:pPr>
        <w:spacing w:after="0" w:line="309" w:lineRule="exact"/>
        <w:rPr>
          <w:sz w:val="20"/>
          <w:szCs w:val="20"/>
          <w:color w:val="auto"/>
        </w:rPr>
      </w:pPr>
    </w:p>
    <w:p>
      <w:pPr>
        <w:ind w:left="140"/>
        <w:spacing w:after="0"/>
        <w:tabs>
          <w:tab w:leader="none" w:pos="2160" w:val="left"/>
        </w:tabs>
        <w:rPr>
          <w:sz w:val="20"/>
          <w:szCs w:val="20"/>
          <w:color w:val="auto"/>
        </w:rPr>
      </w:pPr>
      <w:r>
        <w:rPr>
          <w:rFonts w:ascii="Arial" w:cs="Arial" w:eastAsia="Arial" w:hAnsi="Arial"/>
          <w:sz w:val="16"/>
          <w:szCs w:val="16"/>
          <w:color w:val="auto"/>
        </w:rPr>
        <w:t>Appliances</w:t>
      </w:r>
      <w:r>
        <w:rPr>
          <w:sz w:val="20"/>
          <w:szCs w:val="20"/>
          <w:color w:val="auto"/>
        </w:rPr>
        <w:tab/>
      </w:r>
      <w:r>
        <w:rPr>
          <w:rFonts w:ascii="Arial" w:cs="Arial" w:eastAsia="Arial" w:hAnsi="Arial"/>
          <w:sz w:val="16"/>
          <w:szCs w:val="16"/>
          <w:color w:val="auto"/>
        </w:rPr>
        <w:t>When control of the appliances passes to the</w:t>
      </w:r>
    </w:p>
    <w:p>
      <w:pPr>
        <w:spacing w:after="0" w:line="5" w:lineRule="exact"/>
        <w:rPr>
          <w:sz w:val="20"/>
          <w:szCs w:val="20"/>
          <w:color w:val="auto"/>
        </w:rPr>
      </w:pPr>
    </w:p>
    <w:p>
      <w:pPr>
        <w:ind w:left="2180"/>
        <w:spacing w:after="0"/>
        <w:rPr>
          <w:sz w:val="20"/>
          <w:szCs w:val="20"/>
          <w:color w:val="auto"/>
        </w:rPr>
      </w:pPr>
      <w:r>
        <w:rPr>
          <w:rFonts w:ascii="Arial" w:cs="Arial" w:eastAsia="Arial" w:hAnsi="Arial"/>
          <w:sz w:val="16"/>
          <w:szCs w:val="16"/>
          <w:color w:val="auto"/>
        </w:rPr>
        <w:t>customer; typically upon delivery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Customer Support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7115175"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274320"/>
                    </a:xfrm>
                    <a:prstGeom prst="rect">
                      <a:avLst/>
                    </a:prstGeom>
                    <a:noFill/>
                  </pic:spPr>
                </pic:pic>
              </a:graphicData>
            </a:graphic>
          </wp:anchor>
        </w:drawing>
      </w:r>
    </w:p>
    <w:p>
      <w:pPr>
        <w:spacing w:after="0" w:line="55" w:lineRule="exact"/>
        <w:rPr>
          <w:sz w:val="20"/>
          <w:szCs w:val="20"/>
          <w:color w:val="auto"/>
        </w:rPr>
      </w:pPr>
    </w:p>
    <w:p>
      <w:pPr>
        <w:ind w:left="140"/>
        <w:spacing w:after="0"/>
        <w:tabs>
          <w:tab w:leader="none" w:pos="2160" w:val="left"/>
        </w:tabs>
        <w:rPr>
          <w:sz w:val="20"/>
          <w:szCs w:val="20"/>
          <w:color w:val="auto"/>
        </w:rPr>
      </w:pPr>
      <w:r>
        <w:rPr>
          <w:rFonts w:ascii="Arial" w:cs="Arial" w:eastAsia="Arial" w:hAnsi="Arial"/>
          <w:sz w:val="16"/>
          <w:szCs w:val="16"/>
          <w:color w:val="auto"/>
        </w:rPr>
        <w:t>Software Updates</w:t>
      </w:r>
      <w:r>
        <w:rPr>
          <w:sz w:val="20"/>
          <w:szCs w:val="20"/>
          <w:color w:val="auto"/>
        </w:rPr>
        <w:tab/>
      </w:r>
      <w:r>
        <w:rPr>
          <w:rFonts w:ascii="Arial" w:cs="Arial" w:eastAsia="Arial" w:hAnsi="Arial"/>
          <w:sz w:val="16"/>
          <w:szCs w:val="16"/>
          <w:color w:val="auto"/>
        </w:rPr>
        <w:t>Ratably over the course of the support contract</w:t>
      </w:r>
    </w:p>
    <w:p>
      <w:pPr>
        <w:spacing w:after="0" w:line="5" w:lineRule="exact"/>
        <w:rPr>
          <w:sz w:val="20"/>
          <w:szCs w:val="20"/>
          <w:color w:val="auto"/>
        </w:rPr>
      </w:pPr>
    </w:p>
    <w:p>
      <w:pPr>
        <w:ind w:left="2180"/>
        <w:spacing w:after="0"/>
        <w:rPr>
          <w:sz w:val="20"/>
          <w:szCs w:val="20"/>
          <w:color w:val="auto"/>
        </w:rPr>
      </w:pPr>
      <w:r>
        <w:rPr>
          <w:rFonts w:ascii="Arial" w:cs="Arial" w:eastAsia="Arial" w:hAnsi="Arial"/>
          <w:sz w:val="16"/>
          <w:szCs w:val="16"/>
          <w:color w:val="auto"/>
        </w:rPr>
        <w:t>(over time)</w:t>
      </w:r>
    </w:p>
    <w:p>
      <w:pPr>
        <w:spacing w:after="0" w:line="59" w:lineRule="exact"/>
        <w:rPr>
          <w:sz w:val="20"/>
          <w:szCs w:val="20"/>
          <w:color w:val="auto"/>
        </w:rPr>
      </w:pPr>
    </w:p>
    <w:p>
      <w:pPr>
        <w:ind w:left="140"/>
        <w:spacing w:after="0"/>
        <w:tabs>
          <w:tab w:leader="none" w:pos="2160" w:val="left"/>
        </w:tabs>
        <w:rPr>
          <w:sz w:val="20"/>
          <w:szCs w:val="20"/>
          <w:color w:val="auto"/>
        </w:rPr>
      </w:pPr>
      <w:r>
        <w:rPr>
          <w:rFonts w:ascii="Arial" w:cs="Arial" w:eastAsia="Arial" w:hAnsi="Arial"/>
          <w:sz w:val="16"/>
          <w:szCs w:val="16"/>
          <w:color w:val="auto"/>
        </w:rPr>
        <w:t>Customer Support</w:t>
      </w:r>
      <w:r>
        <w:rPr>
          <w:sz w:val="20"/>
          <w:szCs w:val="20"/>
          <w:color w:val="auto"/>
        </w:rPr>
        <w:tab/>
      </w:r>
      <w:r>
        <w:rPr>
          <w:rFonts w:ascii="Arial" w:cs="Arial" w:eastAsia="Arial" w:hAnsi="Arial"/>
          <w:sz w:val="16"/>
          <w:szCs w:val="16"/>
          <w:color w:val="auto"/>
        </w:rPr>
        <w:t>Ratably over the course of the support contract</w:t>
      </w:r>
    </w:p>
    <w:p>
      <w:pPr>
        <w:spacing w:after="0" w:line="5" w:lineRule="exact"/>
        <w:rPr>
          <w:sz w:val="20"/>
          <w:szCs w:val="20"/>
          <w:color w:val="auto"/>
        </w:rPr>
      </w:pPr>
    </w:p>
    <w:p>
      <w:pPr>
        <w:ind w:left="2180"/>
        <w:spacing w:after="0"/>
        <w:rPr>
          <w:sz w:val="20"/>
          <w:szCs w:val="20"/>
          <w:color w:val="auto"/>
        </w:rPr>
      </w:pPr>
      <w:r>
        <w:rPr>
          <w:rFonts w:ascii="Arial" w:cs="Arial" w:eastAsia="Arial" w:hAnsi="Arial"/>
          <w:sz w:val="16"/>
          <w:szCs w:val="16"/>
          <w:color w:val="auto"/>
        </w:rPr>
        <w:t>(over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Other Services Revenue</w:t>
      </w:r>
    </w:p>
    <w:p>
      <w:pPr>
        <w:spacing w:after="0" w:line="75" w:lineRule="exact"/>
        <w:rPr>
          <w:sz w:val="20"/>
          <w:szCs w:val="20"/>
          <w:color w:val="auto"/>
        </w:rPr>
      </w:pPr>
    </w:p>
    <w:p>
      <w:pPr>
        <w:ind w:left="140"/>
        <w:spacing w:after="0"/>
        <w:tabs>
          <w:tab w:leader="none" w:pos="2160" w:val="left"/>
        </w:tabs>
        <w:rPr>
          <w:sz w:val="20"/>
          <w:szCs w:val="20"/>
          <w:color w:val="auto"/>
        </w:rPr>
      </w:pPr>
      <w:r>
        <w:rPr>
          <w:rFonts w:ascii="Arial" w:cs="Arial" w:eastAsia="Arial" w:hAnsi="Arial"/>
          <w:sz w:val="16"/>
          <w:szCs w:val="16"/>
          <w:color w:val="auto"/>
        </w:rPr>
        <w:t>Other Professional</w:t>
      </w:r>
      <w:r>
        <w:rPr>
          <w:sz w:val="20"/>
          <w:szCs w:val="20"/>
          <w:color w:val="auto"/>
        </w:rPr>
        <w:tab/>
      </w:r>
      <w:r>
        <w:rPr>
          <w:rFonts w:ascii="Arial" w:cs="Arial" w:eastAsia="Arial" w:hAnsi="Arial"/>
          <w:sz w:val="16"/>
          <w:szCs w:val="16"/>
          <w:color w:val="auto"/>
        </w:rPr>
        <w:t>As work is performed (over time)</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Services (except for</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education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274320"/>
                    </a:xfrm>
                    <a:prstGeom prst="rect">
                      <a:avLst/>
                    </a:prstGeom>
                    <a:noFill/>
                  </pic:spPr>
                </pic:pic>
              </a:graphicData>
            </a:graphic>
          </wp:anchor>
        </w:drawing>
      </w:r>
    </w:p>
    <w:p>
      <w:pPr>
        <w:spacing w:after="0" w:line="39" w:lineRule="exact"/>
        <w:rPr>
          <w:sz w:val="20"/>
          <w:szCs w:val="20"/>
          <w:color w:val="auto"/>
        </w:rPr>
      </w:pPr>
    </w:p>
    <w:p>
      <w:pPr>
        <w:ind w:left="140"/>
        <w:spacing w:after="0"/>
        <w:tabs>
          <w:tab w:leader="none" w:pos="2160" w:val="left"/>
        </w:tabs>
        <w:rPr>
          <w:sz w:val="20"/>
          <w:szCs w:val="20"/>
          <w:color w:val="auto"/>
        </w:rPr>
      </w:pPr>
      <w:r>
        <w:rPr>
          <w:rFonts w:ascii="Arial" w:cs="Arial" w:eastAsia="Arial" w:hAnsi="Arial"/>
          <w:sz w:val="16"/>
          <w:szCs w:val="16"/>
          <w:color w:val="auto"/>
        </w:rPr>
        <w:t>Education Services</w:t>
      </w:r>
      <w:r>
        <w:rPr>
          <w:sz w:val="20"/>
          <w:szCs w:val="20"/>
          <w:color w:val="auto"/>
        </w:rPr>
        <w:tab/>
      </w:r>
      <w:r>
        <w:rPr>
          <w:rFonts w:ascii="Arial" w:cs="Arial" w:eastAsia="Arial" w:hAnsi="Arial"/>
          <w:sz w:val="16"/>
          <w:szCs w:val="16"/>
          <w:color w:val="auto"/>
        </w:rPr>
        <w:t>When the class is taught (point in time)</w:t>
      </w:r>
    </w:p>
    <w:p>
      <w:pPr>
        <w:spacing w:after="0" w:line="248" w:lineRule="exact"/>
        <w:rPr>
          <w:sz w:val="20"/>
          <w:szCs w:val="20"/>
          <w:color w:val="auto"/>
        </w:rPr>
      </w:pPr>
    </w:p>
    <w:p>
      <w:pPr>
        <w:ind w:left="140"/>
        <w:spacing w:after="0"/>
        <w:tabs>
          <w:tab w:leader="none" w:pos="2160" w:val="left"/>
        </w:tabs>
        <w:rPr>
          <w:sz w:val="20"/>
          <w:szCs w:val="20"/>
          <w:color w:val="auto"/>
        </w:rPr>
      </w:pPr>
      <w:r>
        <w:rPr>
          <w:rFonts w:ascii="Arial" w:cs="Arial" w:eastAsia="Arial" w:hAnsi="Arial"/>
          <w:sz w:val="16"/>
          <w:szCs w:val="16"/>
          <w:color w:val="auto"/>
        </w:rPr>
        <w:t>Software-as-a-service</w:t>
      </w:r>
      <w:r>
        <w:rPr>
          <w:sz w:val="20"/>
          <w:szCs w:val="20"/>
          <w:color w:val="auto"/>
        </w:rPr>
        <w:tab/>
      </w:r>
      <w:r>
        <w:rPr>
          <w:rFonts w:ascii="Arial" w:cs="Arial" w:eastAsia="Arial" w:hAnsi="Arial"/>
          <w:sz w:val="16"/>
          <w:szCs w:val="16"/>
          <w:color w:val="auto"/>
        </w:rPr>
        <w:t>Ratably over the course of the contract (over time)</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(Metallic)</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40"/>
        <w:spacing w:after="0" w:line="221" w:lineRule="auto"/>
        <w:rPr>
          <w:sz w:val="20"/>
          <w:szCs w:val="20"/>
          <w:color w:val="auto"/>
        </w:rPr>
      </w:pPr>
      <w:r>
        <w:rPr>
          <w:rFonts w:ascii="Arial" w:cs="Arial" w:eastAsia="Arial" w:hAnsi="Arial"/>
          <w:sz w:val="16"/>
          <w:szCs w:val="16"/>
          <w:color w:val="auto"/>
        </w:rPr>
        <w:t>Within 90 days of shipment except for certain subscription licenses which are paid for over time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Within 90 days of delivery</w:t>
      </w:r>
    </w:p>
    <w:p>
      <w:pPr>
        <w:spacing w:after="0" w:line="200" w:lineRule="exact"/>
        <w:rPr>
          <w:sz w:val="20"/>
          <w:szCs w:val="20"/>
          <w:color w:val="auto"/>
        </w:rPr>
      </w:pPr>
    </w:p>
    <w:p>
      <w:pPr>
        <w:spacing w:after="0" w:line="30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At the beginning of the contract period</w:t>
      </w:r>
    </w:p>
    <w:p>
      <w:pPr>
        <w:spacing w:after="0" w:line="3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At the beginning of the contract period</w:t>
      </w:r>
    </w:p>
    <w:p>
      <w:pPr>
        <w:spacing w:after="0" w:line="263"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Within 90 days of services being performed</w:t>
      </w:r>
    </w:p>
    <w:p>
      <w:pPr>
        <w:spacing w:after="0" w:line="265"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Within 90 days of services being performed</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Annual or monthly payments</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Residual approach</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Residual approach</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Observable in renewal transactions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Observable in renewal transactions</w:t>
      </w:r>
    </w:p>
    <w:p>
      <w:pPr>
        <w:spacing w:after="0" w:line="200" w:lineRule="exact"/>
        <w:rPr>
          <w:sz w:val="20"/>
          <w:szCs w:val="20"/>
          <w:color w:val="auto"/>
        </w:rPr>
      </w:pPr>
    </w:p>
    <w:p>
      <w:pPr>
        <w:spacing w:after="0" w:line="291"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Observable in transactions without multiple performance obligations</w:t>
      </w:r>
    </w:p>
    <w:p>
      <w:pPr>
        <w:spacing w:after="0" w:line="222"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Observable in transactions without multiple performance obligations</w:t>
      </w:r>
    </w:p>
    <w:p>
      <w:pPr>
        <w:spacing w:after="0" w:line="33"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Observable in transactions without multiple performance obligations</w:t>
      </w:r>
    </w:p>
    <w:p>
      <w:pPr>
        <w:spacing w:after="0" w:line="200" w:lineRule="exact"/>
        <w:rPr>
          <w:sz w:val="20"/>
          <w:szCs w:val="20"/>
          <w:color w:val="auto"/>
        </w:rPr>
      </w:pPr>
    </w:p>
    <w:p>
      <w:pPr>
        <w:sectPr>
          <w:pgSz w:w="11900" w:h="16838" w:orient="portrait"/>
          <w:cols w:equalWidth="0" w:num="3">
            <w:col w:w="5780" w:space="180"/>
            <w:col w:w="2320" w:space="180"/>
            <w:col w:w="2780"/>
          </w:cols>
          <w:pgMar w:left="320" w:top="140" w:right="339" w:bottom="1440" w:gutter="0" w:footer="0" w:header="0"/>
          <w:type w:val="continuous"/>
        </w:sectPr>
      </w:pPr>
    </w:p>
    <w:p>
      <w:pPr>
        <w:spacing w:after="0" w:line="11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Disaggregation of Revenue</w:t>
      </w:r>
    </w:p>
    <w:p>
      <w:pPr>
        <w:spacing w:after="0" w:line="270"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We disaggregate revenue from contracts with customers into the nature of the products and services and geographical regions. The geographic regions that are tracked are the Americas (United States, Canada, Latin America), EMEA (Europe, Middle East, Africa) and APJ (Australia, New Zealand, Southeast Asia, China). We operate in one segment.</w:t>
      </w:r>
    </w:p>
    <w:p>
      <w:pPr>
        <w:spacing w:after="0" w:line="117"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3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Three Months Ended June 30, 2020</w:t>
            </w: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236"/>
        </w:trPr>
        <w:tc>
          <w:tcPr>
            <w:tcW w:w="3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Americas</w:t>
            </w: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EMEA</w:t>
            </w: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APJ</w:t>
            </w:r>
          </w:p>
        </w:tc>
        <w:tc>
          <w:tcPr>
            <w:tcW w:w="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Products 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50,645</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18,795</w:t>
            </w:r>
          </w:p>
        </w:tc>
        <w:tc>
          <w:tcPr>
            <w:tcW w:w="5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7,114</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76,554</w:t>
            </w:r>
          </w:p>
        </w:tc>
      </w:tr>
      <w:tr>
        <w:trPr>
          <w:trHeight w:val="233"/>
        </w:trPr>
        <w:tc>
          <w:tcPr>
            <w:tcW w:w="3120" w:type="dxa"/>
            <w:vAlign w:val="bottom"/>
          </w:tcPr>
          <w:p>
            <w:pPr>
              <w:ind w:left="20"/>
              <w:spacing w:after="0"/>
              <w:rPr>
                <w:sz w:val="20"/>
                <w:szCs w:val="20"/>
                <w:color w:val="auto"/>
              </w:rPr>
            </w:pPr>
            <w:r>
              <w:rPr>
                <w:rFonts w:ascii="Arial" w:cs="Arial" w:eastAsia="Arial" w:hAnsi="Arial"/>
                <w:sz w:val="16"/>
                <w:szCs w:val="16"/>
                <w:color w:val="auto"/>
              </w:rPr>
              <w:t>Customer Support Revenue</w:t>
            </w: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55,238</w:t>
            </w:r>
          </w:p>
        </w:tc>
        <w:tc>
          <w:tcPr>
            <w:tcW w:w="3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23,310</w:t>
            </w:r>
          </w:p>
        </w:tc>
        <w:tc>
          <w:tcPr>
            <w:tcW w:w="5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10,095</w:t>
            </w:r>
          </w:p>
        </w:tc>
        <w:tc>
          <w:tcPr>
            <w:tcW w:w="48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88,643</w:t>
            </w:r>
          </w:p>
        </w:tc>
      </w:tr>
      <w:tr>
        <w:trPr>
          <w:trHeight w:val="24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Services</w:t>
            </w:r>
          </w:p>
        </w:tc>
        <w:tc>
          <w:tcPr>
            <w:tcW w:w="3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4,113</w:t>
            </w:r>
          </w:p>
        </w:tc>
        <w:tc>
          <w:tcPr>
            <w:tcW w:w="3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2,555</w:t>
            </w:r>
          </w:p>
        </w:tc>
        <w:tc>
          <w:tcPr>
            <w:tcW w:w="5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4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7,803</w:t>
            </w:r>
          </w:p>
        </w:tc>
      </w:tr>
      <w:tr>
        <w:trPr>
          <w:trHeight w:val="243"/>
        </w:trPr>
        <w:tc>
          <w:tcPr>
            <w:tcW w:w="312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109,996</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44,660</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18,344</w:t>
            </w:r>
          </w:p>
        </w:tc>
        <w:tc>
          <w:tcPr>
            <w:tcW w:w="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173,000</w:t>
            </w:r>
          </w:p>
        </w:tc>
      </w:tr>
      <w:tr>
        <w:trPr>
          <w:trHeight w:val="21"/>
        </w:trPr>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72"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3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Three Months Ended June 30, 2019</w:t>
            </w: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237"/>
        </w:trPr>
        <w:tc>
          <w:tcPr>
            <w:tcW w:w="3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Americas</w:t>
            </w: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EMEA</w:t>
            </w: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APJ</w:t>
            </w:r>
          </w:p>
        </w:tc>
        <w:tc>
          <w:tcPr>
            <w:tcW w:w="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Products 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31,221</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21,375</w:t>
            </w:r>
          </w:p>
        </w:tc>
        <w:tc>
          <w:tcPr>
            <w:tcW w:w="5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11,078</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63,674</w:t>
            </w:r>
          </w:p>
        </w:tc>
      </w:tr>
      <w:tr>
        <w:trPr>
          <w:trHeight w:val="233"/>
        </w:trPr>
        <w:tc>
          <w:tcPr>
            <w:tcW w:w="3120" w:type="dxa"/>
            <w:vAlign w:val="bottom"/>
          </w:tcPr>
          <w:p>
            <w:pPr>
              <w:ind w:left="20"/>
              <w:spacing w:after="0"/>
              <w:rPr>
                <w:sz w:val="20"/>
                <w:szCs w:val="20"/>
                <w:color w:val="auto"/>
              </w:rPr>
            </w:pPr>
            <w:r>
              <w:rPr>
                <w:rFonts w:ascii="Arial" w:cs="Arial" w:eastAsia="Arial" w:hAnsi="Arial"/>
                <w:sz w:val="16"/>
                <w:szCs w:val="16"/>
                <w:color w:val="auto"/>
              </w:rPr>
              <w:t>Customer Support Revenue</w:t>
            </w:r>
          </w:p>
        </w:tc>
        <w:tc>
          <w:tcPr>
            <w:tcW w:w="3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57,730</w:t>
            </w:r>
          </w:p>
        </w:tc>
        <w:tc>
          <w:tcPr>
            <w:tcW w:w="3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21,667</w:t>
            </w:r>
          </w:p>
        </w:tc>
        <w:tc>
          <w:tcPr>
            <w:tcW w:w="5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10,085</w:t>
            </w:r>
          </w:p>
        </w:tc>
        <w:tc>
          <w:tcPr>
            <w:tcW w:w="48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89,482</w:t>
            </w:r>
          </w:p>
        </w:tc>
      </w:tr>
      <w:tr>
        <w:trPr>
          <w:trHeight w:val="24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Services</w:t>
            </w:r>
          </w:p>
        </w:tc>
        <w:tc>
          <w:tcPr>
            <w:tcW w:w="32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4,866</w:t>
            </w:r>
          </w:p>
        </w:tc>
        <w:tc>
          <w:tcPr>
            <w:tcW w:w="3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2,682</w:t>
            </w:r>
          </w:p>
        </w:tc>
        <w:tc>
          <w:tcPr>
            <w:tcW w:w="5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4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9,047</w:t>
            </w:r>
          </w:p>
        </w:tc>
      </w:tr>
      <w:tr>
        <w:trPr>
          <w:trHeight w:val="243"/>
        </w:trPr>
        <w:tc>
          <w:tcPr>
            <w:tcW w:w="312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93,817</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45,724</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22,662</w:t>
            </w:r>
          </w:p>
        </w:tc>
        <w:tc>
          <w:tcPr>
            <w:tcW w:w="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162,203</w:t>
            </w:r>
          </w:p>
        </w:tc>
      </w:tr>
      <w:tr>
        <w:trPr>
          <w:trHeight w:val="21"/>
        </w:trPr>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Information about Contract Balances</w:t>
      </w:r>
    </w:p>
    <w:p>
      <w:pPr>
        <w:spacing w:after="0" w:line="270" w:lineRule="exact"/>
        <w:rPr>
          <w:sz w:val="20"/>
          <w:szCs w:val="20"/>
          <w:color w:val="auto"/>
        </w:rPr>
      </w:pPr>
    </w:p>
    <w:p>
      <w:pPr>
        <w:jc w:val="both"/>
        <w:ind w:right="320" w:firstLine="486"/>
        <w:spacing w:after="0" w:line="261"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our deferred revenue balance is related to services revenue, primarily customer support contracts.</w:t>
      </w:r>
    </w:p>
    <w:p>
      <w:pPr>
        <w:spacing w:after="0" w:line="22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some arrangements we allow customers to pay for term-based software licenses and products over the term of the software license. Amounts recognized as revenue in excess of amounts billed are recorded as unbilled receivables. Unbilled receivables, which are anticipated to be invoiced in the next twelve months, are included in Accounts receivable on the Consolidated Balance Sheets. Long-term unbilled receivables are included in Other assets. The opening and closing balances of our accounts receivable, unbilled receivables, and deferred revenues are as follows:</w:t>
      </w:r>
    </w:p>
    <w:p>
      <w:pPr>
        <w:spacing w:after="0" w:line="107"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auto"/>
              </w:rPr>
              <w:t>Unbilled</w:t>
            </w:r>
          </w:p>
        </w:tc>
        <w:tc>
          <w:tcPr>
            <w:tcW w:w="240" w:type="dxa"/>
            <w:vAlign w:val="bottom"/>
          </w:tcPr>
          <w:p>
            <w:pPr>
              <w:spacing w:after="0"/>
              <w:rPr>
                <w:sz w:val="16"/>
                <w:szCs w:val="16"/>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b w:val="1"/>
                <w:bCs w:val="1"/>
                <w:color w:val="auto"/>
              </w:rPr>
              <w:t>Unbilled</w:t>
            </w:r>
          </w:p>
        </w:tc>
        <w:tc>
          <w:tcPr>
            <w:tcW w:w="240" w:type="dxa"/>
            <w:vAlign w:val="bottom"/>
          </w:tcPr>
          <w:p>
            <w:pPr>
              <w:spacing w:after="0"/>
              <w:rPr>
                <w:sz w:val="16"/>
                <w:szCs w:val="16"/>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Deferred</w:t>
            </w:r>
          </w:p>
        </w:tc>
        <w:tc>
          <w:tcPr>
            <w:tcW w:w="260" w:type="dxa"/>
            <w:vAlign w:val="bottom"/>
          </w:tcPr>
          <w:p>
            <w:pPr>
              <w:spacing w:after="0"/>
              <w:rPr>
                <w:sz w:val="16"/>
                <w:szCs w:val="16"/>
                <w:color w:val="auto"/>
              </w:rPr>
            </w:pPr>
          </w:p>
        </w:tc>
        <w:tc>
          <w:tcPr>
            <w:tcW w:w="1200" w:type="dxa"/>
            <w:vAlign w:val="bottom"/>
          </w:tcPr>
          <w:p>
            <w:pPr>
              <w:jc w:val="center"/>
              <w:ind w:right="99"/>
              <w:spacing w:after="0"/>
              <w:rPr>
                <w:sz w:val="20"/>
                <w:szCs w:val="20"/>
                <w:color w:val="auto"/>
              </w:rPr>
            </w:pPr>
            <w:r>
              <w:rPr>
                <w:rFonts w:ascii="Arial" w:cs="Arial" w:eastAsia="Arial" w:hAnsi="Arial"/>
                <w:sz w:val="16"/>
                <w:szCs w:val="16"/>
                <w:b w:val="1"/>
                <w:bCs w:val="1"/>
                <w:color w:val="auto"/>
              </w:rPr>
              <w:t>Deferred</w:t>
            </w:r>
          </w:p>
        </w:tc>
      </w:tr>
      <w:tr>
        <w:trPr>
          <w:trHeight w:val="189"/>
        </w:trPr>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Accounts</w:t>
            </w:r>
          </w:p>
        </w:tc>
        <w:tc>
          <w:tcPr>
            <w:tcW w:w="22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rPr>
              <w:t>Receivable</w:t>
            </w:r>
          </w:p>
        </w:tc>
        <w:tc>
          <w:tcPr>
            <w:tcW w:w="240" w:type="dxa"/>
            <w:vAlign w:val="bottom"/>
          </w:tcPr>
          <w:p>
            <w:pPr>
              <w:spacing w:after="0"/>
              <w:rPr>
                <w:sz w:val="16"/>
                <w:szCs w:val="16"/>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Receivable</w:t>
            </w:r>
          </w:p>
        </w:tc>
        <w:tc>
          <w:tcPr>
            <w:tcW w:w="240" w:type="dxa"/>
            <w:vAlign w:val="bottom"/>
          </w:tcPr>
          <w:p>
            <w:pPr>
              <w:spacing w:after="0"/>
              <w:rPr>
                <w:sz w:val="16"/>
                <w:szCs w:val="16"/>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6"/>
                <w:szCs w:val="16"/>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b w:val="1"/>
                <w:bCs w:val="1"/>
                <w:color w:val="auto"/>
              </w:rPr>
              <w:t>Revenue</w:t>
            </w:r>
          </w:p>
        </w:tc>
      </w:tr>
      <w:tr>
        <w:trPr>
          <w:trHeight w:val="228"/>
        </w:trPr>
        <w:tc>
          <w:tcPr>
            <w:tcW w:w="38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Receivable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(current)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(long-term)</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(current)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(long-term)</w:t>
            </w: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Balance as of March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129,856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233,497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92,723</w:t>
            </w:r>
          </w:p>
        </w:tc>
      </w:tr>
      <w:tr>
        <w:trPr>
          <w:trHeight w:val="237"/>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Increase/(decrease), net</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(1,382)</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4,170</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4,732</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2,839</w:t>
            </w:r>
          </w:p>
        </w:tc>
      </w:tr>
      <w:tr>
        <w:trPr>
          <w:trHeight w:val="26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as of June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128,474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234,287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95,562</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The increase in accounts receivable (inclusive of unbilled receivables) is primarily a result of an increase in software and products revenue relative to the fourth quarter of the prior fiscal year. The increase in deferred revenue is primarily the result of an increase in deferred customer support revenue related to software revenue transactions and customer support renewals during the first quarter of fiscal 2021.</w:t>
      </w:r>
    </w:p>
    <w:p>
      <w:pPr>
        <w:spacing w:after="0" w:line="212"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amount of revenue recognized in the period that was included in the March 31, 2020 balance of deferred revenue was $ 86,703 for the three months ended June 30, 2020. The vast majority of this revenue consists of customer support arrangements. The amount of software and products revenue recognized in the three months ended June 30, 2020 related to performance obligations from prior periods was not significant.</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Remaining Performance Obligations</w:t>
      </w:r>
    </w:p>
    <w:p>
      <w:pPr>
        <w:spacing w:after="0" w:line="270" w:lineRule="exact"/>
        <w:rPr>
          <w:sz w:val="20"/>
          <w:szCs w:val="20"/>
          <w:color w:val="auto"/>
        </w:rPr>
      </w:pPr>
    </w:p>
    <w:p>
      <w:pPr>
        <w:ind w:right="220" w:firstLine="486"/>
        <w:spacing w:after="0" w:line="253" w:lineRule="auto"/>
        <w:rPr>
          <w:sz w:val="20"/>
          <w:szCs w:val="20"/>
          <w:color w:val="auto"/>
        </w:rPr>
      </w:pPr>
      <w:r>
        <w:rPr>
          <w:rFonts w:ascii="Arial" w:cs="Arial" w:eastAsia="Arial" w:hAnsi="Arial"/>
          <w:sz w:val="18"/>
          <w:szCs w:val="18"/>
          <w:color w:val="auto"/>
        </w:rPr>
        <w:t>In addition to the amounts included in deferred revenue as of June 30, 2020, $38.9 million of revenue may be recognized from remaining performance obligations, of which approximately $7,000 was related to software and products. We expect the majority of this software and products revenue to be recognized during the three months ended September 30, 2020. The vast majority of the services revenue is related to other professional services which may be recognized over the next twelve months but is contingent upon a number of factors, including customers’ needs and schedules.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4. 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Goodwill</w:t>
      </w:r>
    </w:p>
    <w:p>
      <w:pPr>
        <w:spacing w:after="0" w:line="193" w:lineRule="exact"/>
        <w:rPr>
          <w:sz w:val="20"/>
          <w:szCs w:val="20"/>
          <w:color w:val="auto"/>
        </w:rPr>
      </w:pPr>
    </w:p>
    <w:p>
      <w:pPr>
        <w:ind w:right="100" w:firstLine="397"/>
        <w:spacing w:after="0" w:line="261" w:lineRule="auto"/>
        <w:rPr>
          <w:sz w:val="20"/>
          <w:szCs w:val="20"/>
          <w:color w:val="auto"/>
        </w:rPr>
      </w:pPr>
      <w:r>
        <w:rPr>
          <w:rFonts w:ascii="Arial" w:cs="Arial" w:eastAsia="Arial" w:hAnsi="Arial"/>
          <w:sz w:val="18"/>
          <w:szCs w:val="18"/>
          <w:color w:val="auto"/>
        </w:rPr>
        <w:t>There were no additions, impairments or any other changes to the carrying amount of goodwill during the three months ended June 30, 2020.</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Intangible assets, net</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Intangible assets subject to amortization as of June 30, 2020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Gross Carrying</w:t>
            </w:r>
          </w:p>
        </w:tc>
        <w:tc>
          <w:tcPr>
            <w:tcW w:w="26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20" w:type="dxa"/>
            <w:vAlign w:val="bottom"/>
          </w:tcPr>
          <w:p>
            <w:pPr>
              <w:jc w:val="center"/>
              <w:ind w:left="79"/>
              <w:spacing w:after="0"/>
              <w:rPr>
                <w:sz w:val="20"/>
                <w:szCs w:val="20"/>
                <w:color w:val="auto"/>
              </w:rPr>
            </w:pPr>
            <w:r>
              <w:rPr>
                <w:rFonts w:ascii="Arial" w:cs="Arial" w:eastAsia="Arial" w:hAnsi="Arial"/>
                <w:sz w:val="16"/>
                <w:szCs w:val="16"/>
                <w:b w:val="1"/>
                <w:bCs w:val="1"/>
                <w:color w:val="auto"/>
              </w:rPr>
              <w:t>Remaining Useful Life</w:t>
            </w:r>
          </w:p>
        </w:tc>
      </w:tr>
      <w:tr>
        <w:trPr>
          <w:trHeight w:val="228"/>
        </w:trPr>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Amount</w:t>
            </w:r>
          </w:p>
        </w:tc>
        <w:tc>
          <w:tcPr>
            <w:tcW w:w="260" w:type="dxa"/>
            <w:vAlign w:val="bottom"/>
          </w:tcPr>
          <w:p>
            <w:pPr>
              <w:spacing w:after="0"/>
              <w:rPr>
                <w:sz w:val="19"/>
                <w:szCs w:val="19"/>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9"/>
                <w:szCs w:val="19"/>
                <w:color w:val="auto"/>
              </w:rPr>
            </w:pPr>
          </w:p>
        </w:tc>
        <w:tc>
          <w:tcPr>
            <w:tcW w:w="1660" w:type="dxa"/>
            <w:vAlign w:val="bottom"/>
          </w:tcPr>
          <w:p>
            <w:pPr>
              <w:jc w:val="right"/>
              <w:ind w:right="99"/>
              <w:spacing w:after="0"/>
              <w:rPr>
                <w:sz w:val="20"/>
                <w:szCs w:val="20"/>
                <w:color w:val="auto"/>
              </w:rPr>
            </w:pPr>
            <w:r>
              <w:rPr>
                <w:rFonts w:ascii="Arial" w:cs="Arial" w:eastAsia="Arial" w:hAnsi="Arial"/>
                <w:sz w:val="16"/>
                <w:szCs w:val="16"/>
                <w:b w:val="1"/>
                <w:bCs w:val="1"/>
                <w:color w:val="auto"/>
              </w:rPr>
              <w:t>Net Carrying Value</w:t>
            </w:r>
          </w:p>
        </w:tc>
        <w:tc>
          <w:tcPr>
            <w:tcW w:w="2020" w:type="dxa"/>
            <w:vAlign w:val="bottom"/>
          </w:tcPr>
          <w:p>
            <w:pPr>
              <w:jc w:val="center"/>
              <w:ind w:left="79"/>
              <w:spacing w:after="0"/>
              <w:rPr>
                <w:sz w:val="20"/>
                <w:szCs w:val="20"/>
                <w:color w:val="auto"/>
              </w:rPr>
            </w:pPr>
            <w:r>
              <w:rPr>
                <w:rFonts w:ascii="Arial" w:cs="Arial" w:eastAsia="Arial" w:hAnsi="Arial"/>
                <w:sz w:val="16"/>
                <w:szCs w:val="16"/>
                <w:b w:val="1"/>
                <w:bCs w:val="1"/>
                <w:color w:val="auto"/>
              </w:rPr>
              <w:t>(months)</w:t>
            </w:r>
          </w:p>
        </w:tc>
      </w:tr>
      <w:tr>
        <w:trPr>
          <w:trHeight w:val="243"/>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49,000</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(7,350)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41,650</w:t>
            </w:r>
          </w:p>
        </w:tc>
        <w:tc>
          <w:tcPr>
            <w:tcW w:w="2020" w:type="dxa"/>
            <w:vAlign w:val="bottom"/>
            <w:tcBorders>
              <w:top w:val="single" w:sz="8" w:color="CCEEFF"/>
            </w:tcBorders>
            <w:shd w:val="clear" w:color="auto" w:fill="CCEEFF"/>
          </w:tcPr>
          <w:p>
            <w:pPr>
              <w:jc w:val="center"/>
              <w:ind w:left="79"/>
              <w:spacing w:after="0"/>
              <w:rPr>
                <w:sz w:val="20"/>
                <w:szCs w:val="20"/>
                <w:color w:val="auto"/>
              </w:rPr>
            </w:pPr>
            <w:r>
              <w:rPr>
                <w:rFonts w:ascii="Arial" w:cs="Arial" w:eastAsia="Arial" w:hAnsi="Arial"/>
                <w:sz w:val="16"/>
                <w:szCs w:val="16"/>
                <w:color w:val="auto"/>
              </w:rPr>
              <w:t>51</w:t>
            </w:r>
          </w:p>
        </w:tc>
      </w:tr>
      <w:tr>
        <w:trPr>
          <w:trHeight w:val="237"/>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Customer relationships</w:t>
            </w: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3,000</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1,875</w:t>
            </w:r>
          </w:p>
        </w:tc>
        <w:tc>
          <w:tcPr>
            <w:tcW w:w="2020" w:type="dxa"/>
            <w:vAlign w:val="bottom"/>
            <w:tcBorders>
              <w:bottom w:val="single" w:sz="8" w:color="CCEEFF"/>
            </w:tcBorders>
          </w:tcPr>
          <w:p>
            <w:pPr>
              <w:jc w:val="center"/>
              <w:ind w:left="79"/>
              <w:spacing w:after="0"/>
              <w:rPr>
                <w:sz w:val="20"/>
                <w:szCs w:val="20"/>
                <w:color w:val="auto"/>
              </w:rPr>
            </w:pPr>
            <w:r>
              <w:rPr>
                <w:rFonts w:ascii="Arial" w:cs="Arial" w:eastAsia="Arial" w:hAnsi="Arial"/>
                <w:sz w:val="16"/>
                <w:szCs w:val="16"/>
                <w:color w:val="auto"/>
              </w:rPr>
              <w:t>15</w:t>
            </w:r>
          </w:p>
        </w:tc>
      </w:tr>
      <w:tr>
        <w:trPr>
          <w:trHeight w:val="268"/>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intangible assets, net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52,000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43,525</w:t>
            </w:r>
          </w:p>
        </w:tc>
        <w:tc>
          <w:tcPr>
            <w:tcW w:w="2020" w:type="dxa"/>
            <w:vAlign w:val="bottom"/>
            <w:tcBorders>
              <w:bottom w:val="single" w:sz="8" w:color="CCEEFF"/>
            </w:tcBorders>
            <w:shd w:val="clear" w:color="auto" w:fill="CCEEFF"/>
          </w:tcPr>
          <w:p>
            <w:pPr>
              <w:spacing w:after="0"/>
              <w:rPr>
                <w:sz w:val="22"/>
                <w:szCs w:val="22"/>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680" w:firstLine="648"/>
        <w:spacing w:after="0" w:line="261" w:lineRule="auto"/>
        <w:rPr>
          <w:sz w:val="20"/>
          <w:szCs w:val="20"/>
          <w:color w:val="auto"/>
        </w:rPr>
      </w:pPr>
      <w:r>
        <w:rPr>
          <w:rFonts w:ascii="Arial" w:cs="Arial" w:eastAsia="Arial" w:hAnsi="Arial"/>
          <w:sz w:val="18"/>
          <w:szCs w:val="18"/>
          <w:color w:val="auto"/>
        </w:rPr>
        <w:t>Amortization expense from acquired intangible assets was $ 2,825 for the three months ended June 30, 2020. There were no intangible assets subject to amortization for the three months ended June 30, 2019.</w:t>
      </w:r>
    </w:p>
    <w:p>
      <w:pPr>
        <w:spacing w:after="0" w:line="14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purchased intangible assets were recently acquired in connection with the Hedvig, Inc. transaction. The most material of these assets was developed technology. While our work to integrate this technology with our own is proceeding, the economic impact of COVID-19, or other factors, may delay our ability to meet the forecasts we used to estimate the fair value of this asset. If we were to identify an impairment indicator in the future, we may conclude that the carrying value of the asset is not recoverable within the remaining useful life of the asset and recognize a non-cash impairment charge. An impairment of this asset could have a material impact on our results of operations. No impairment of our acquired intangible assets has been recorded to date.</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5. Net Income per Common Share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reconciliation of basic and diluted common shares:</w:t>
      </w:r>
    </w:p>
    <w:p>
      <w:pPr>
        <w:spacing w:after="0" w:line="208"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auto"/>
        </w:rPr>
        <w:t>Three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180" w:type="dxa"/>
            <w:vAlign w:val="bottom"/>
            <w:tcBorders>
              <w:top w:val="single" w:sz="8" w:color="CCEEFF"/>
              <w:bottom w:val="single" w:sz="8" w:color="CCEEFF"/>
            </w:tcBorders>
            <w:shd w:val="clear" w:color="auto" w:fill="CCEEFF"/>
          </w:tcPr>
          <w:p>
            <w:pPr>
              <w:spacing w:after="0"/>
              <w:rPr>
                <w:sz w:val="22"/>
                <w:szCs w:val="22"/>
                <w:color w:val="auto"/>
              </w:rPr>
            </w:pPr>
          </w:p>
        </w:tc>
        <w:tc>
          <w:tcPr>
            <w:tcW w:w="14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6"/>
                <w:szCs w:val="16"/>
                <w:b w:val="1"/>
                <w:bCs w:val="1"/>
                <w:color w:val="auto"/>
              </w:rPr>
              <w:t>2020</w:t>
            </w:r>
          </w:p>
        </w:tc>
        <w:tc>
          <w:tcPr>
            <w:tcW w:w="820" w:type="dxa"/>
            <w:vAlign w:val="bottom"/>
            <w:tcBorders>
              <w:top w:val="single" w:sz="8" w:color="auto"/>
              <w:bottom w:val="single" w:sz="8" w:color="auto"/>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spacing w:after="0"/>
              <w:rPr>
                <w:sz w:val="22"/>
                <w:szCs w:val="22"/>
                <w:color w:val="auto"/>
              </w:rPr>
            </w:pPr>
          </w:p>
        </w:tc>
        <w:tc>
          <w:tcPr>
            <w:tcW w:w="1720" w:type="dxa"/>
            <w:vAlign w:val="bottom"/>
            <w:tcBorders>
              <w:top w:val="single" w:sz="8" w:color="auto"/>
              <w:bottom w:val="single" w:sz="8" w:color="auto"/>
            </w:tcBorders>
            <w:shd w:val="clear" w:color="auto" w:fill="CCEEFF"/>
          </w:tcPr>
          <w:p>
            <w:pPr>
              <w:jc w:val="right"/>
              <w:ind w:right="85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7"/>
        </w:trPr>
        <w:tc>
          <w:tcPr>
            <w:tcW w:w="6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20" w:type="dxa"/>
            <w:vAlign w:val="bottom"/>
            <w:tcBorders>
              <w:bottom w:val="single" w:sz="8" w:color="auto"/>
            </w:tcBorders>
          </w:tcPr>
          <w:p>
            <w:pPr>
              <w:jc w:val="right"/>
              <w:ind w:right="121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2,283</w:t>
            </w:r>
          </w:p>
        </w:tc>
        <w:tc>
          <w:tcPr>
            <w:tcW w:w="16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(6,846)</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 per common share:</w:t>
            </w: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18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1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46,191</w:t>
            </w:r>
          </w:p>
        </w:tc>
        <w:tc>
          <w:tcPr>
            <w:tcW w:w="16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45,451</w:t>
            </w:r>
          </w:p>
        </w:tc>
        <w:tc>
          <w:tcPr>
            <w:tcW w:w="0" w:type="dxa"/>
            <w:vAlign w:val="bottom"/>
          </w:tcPr>
          <w:p>
            <w:pPr>
              <w:spacing w:after="0"/>
              <w:rPr>
                <w:sz w:val="1"/>
                <w:szCs w:val="1"/>
                <w:color w:val="auto"/>
              </w:rPr>
            </w:pPr>
          </w:p>
        </w:tc>
      </w:tr>
      <w:tr>
        <w:trPr>
          <w:trHeight w:val="34"/>
        </w:trPr>
        <w:tc>
          <w:tcPr>
            <w:tcW w:w="61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common share</w:t>
            </w:r>
          </w:p>
        </w:tc>
        <w:tc>
          <w:tcPr>
            <w:tcW w:w="1420" w:type="dxa"/>
            <w:vAlign w:val="bottom"/>
            <w:tcBorders>
              <w:bottom w:val="single" w:sz="8" w:color="auto"/>
            </w:tcBorders>
            <w:shd w:val="clear" w:color="auto" w:fill="CCEEFF"/>
          </w:tcPr>
          <w:p>
            <w:pPr>
              <w:jc w:val="right"/>
              <w:ind w:right="121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0.05</w:t>
            </w: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 net income per common share:</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1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46,191</w:t>
            </w: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45,451</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stock options and restricted stock units</w:t>
            </w:r>
          </w:p>
        </w:tc>
        <w:tc>
          <w:tcPr>
            <w:tcW w:w="1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312</w:t>
            </w:r>
          </w:p>
        </w:tc>
        <w:tc>
          <w:tcPr>
            <w:tcW w:w="16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8"/>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14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46,503</w:t>
            </w: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45,451</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180" w:type="dxa"/>
            <w:vAlign w:val="bottom"/>
          </w:tcPr>
          <w:p>
            <w:pPr>
              <w:ind w:left="20"/>
              <w:spacing w:after="0"/>
              <w:rPr>
                <w:sz w:val="20"/>
                <w:szCs w:val="20"/>
                <w:color w:val="auto"/>
              </w:rPr>
            </w:pPr>
            <w:r>
              <w:rPr>
                <w:rFonts w:ascii="Arial" w:cs="Arial" w:eastAsia="Arial" w:hAnsi="Arial"/>
                <w:sz w:val="18"/>
                <w:szCs w:val="18"/>
                <w:color w:val="auto"/>
              </w:rPr>
              <w:t>Diluted net income per common share</w:t>
            </w:r>
          </w:p>
        </w:tc>
        <w:tc>
          <w:tcPr>
            <w:tcW w:w="1420" w:type="dxa"/>
            <w:vAlign w:val="bottom"/>
            <w:tcBorders>
              <w:bottom w:val="single" w:sz="8" w:color="auto"/>
            </w:tcBorders>
          </w:tcPr>
          <w:p>
            <w:pPr>
              <w:jc w:val="right"/>
              <w:ind w:right="121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34"/>
        </w:trPr>
        <w:tc>
          <w:tcPr>
            <w:tcW w:w="61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180" w:firstLine="445"/>
        <w:spacing w:after="0" w:line="256" w:lineRule="auto"/>
        <w:rPr>
          <w:sz w:val="20"/>
          <w:szCs w:val="20"/>
          <w:color w:val="auto"/>
        </w:rPr>
      </w:pPr>
      <w:r>
        <w:rPr>
          <w:rFonts w:ascii="Arial" w:cs="Arial" w:eastAsia="Arial" w:hAnsi="Arial"/>
          <w:sz w:val="18"/>
          <w:szCs w:val="18"/>
          <w:color w:val="auto"/>
        </w:rPr>
        <w:t>The diluted weighted-average shares outstanding exclude outstanding stock options, restricted stock units, performance restricted stock units and shares to be purchased under the employee stock purchase plan totaling 3,166 and 4,925 for the three months ended June 30, 2020 and 2019, respectively, because the effect would have been anti-dilutive.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6. Commitments and Contingencies</w:t>
      </w:r>
    </w:p>
    <w:p>
      <w:pPr>
        <w:spacing w:after="0" w:line="247" w:lineRule="exact"/>
        <w:rPr>
          <w:sz w:val="20"/>
          <w:szCs w:val="20"/>
          <w:color w:val="auto"/>
        </w:rPr>
      </w:pPr>
    </w:p>
    <w:p>
      <w:pPr>
        <w:jc w:val="both"/>
        <w:ind w:right="60" w:firstLine="405"/>
        <w:spacing w:after="0" w:line="256" w:lineRule="auto"/>
        <w:rPr>
          <w:sz w:val="20"/>
          <w:szCs w:val="20"/>
          <w:color w:val="auto"/>
        </w:rPr>
      </w:pPr>
      <w:r>
        <w:rPr>
          <w:rFonts w:ascii="Arial" w:cs="Arial" w:eastAsia="Arial" w:hAnsi="Arial"/>
          <w:sz w:val="18"/>
          <w:szCs w:val="18"/>
          <w:color w:val="auto"/>
        </w:rPr>
        <w:t>From time to time, we are subject to claims in legal proceedings arising in the normal course of business. We do not believe that we are currently party to any pending legal action that could reasonably be expected to have a material adverse effect on our business or operating results.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7. Capitalization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2020, $162,829 remained in our current stock repurchase authorization which expires on March 31, 2021.</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8. Stock Plans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following table presents the stock-based compensation expense included in Cost of services revenue, Sales and marketing, Research and development, General and administrative expenses and Restructuring expenses for the three months ended June 30, 2020 and 2019. Stock-based compensation is attributable to stock options, restricted stock units, performance based awards and the employee stock purchase plan.</w:t>
      </w:r>
    </w:p>
    <w:p>
      <w:pPr>
        <w:spacing w:after="0" w:line="281" w:lineRule="exact"/>
        <w:rPr>
          <w:sz w:val="20"/>
          <w:szCs w:val="20"/>
          <w:color w:val="auto"/>
        </w:rPr>
      </w:pPr>
    </w:p>
    <w:tbl>
      <w:tblPr>
        <w:tblLayout w:type="fixed"/>
        <w:tblInd w:w="2320" w:type="dxa"/>
        <w:tblCellMar>
          <w:top w:w="0" w:type="dxa"/>
          <w:left w:w="0" w:type="dxa"/>
          <w:bottom w:w="0" w:type="dxa"/>
          <w:right w:w="0" w:type="dxa"/>
        </w:tblCellMar>
      </w:tblPr>
      <w:tr>
        <w:trPr>
          <w:trHeight w:val="228"/>
        </w:trPr>
        <w:tc>
          <w:tcPr>
            <w:tcW w:w="4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 June 30,</w:t>
            </w:r>
          </w:p>
        </w:tc>
      </w:tr>
      <w:tr>
        <w:trPr>
          <w:trHeight w:val="257"/>
        </w:trPr>
        <w:tc>
          <w:tcPr>
            <w:tcW w:w="40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666</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690</w:t>
            </w:r>
          </w:p>
        </w:tc>
      </w:tr>
      <w:tr>
        <w:trPr>
          <w:trHeight w:val="233"/>
        </w:trPr>
        <w:tc>
          <w:tcPr>
            <w:tcW w:w="408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7,204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7,646</w:t>
            </w:r>
          </w:p>
        </w:tc>
      </w:tr>
      <w:tr>
        <w:trPr>
          <w:trHeight w:val="25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5,941</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1,993</w:t>
            </w:r>
          </w:p>
        </w:tc>
      </w:tr>
      <w:tr>
        <w:trPr>
          <w:trHeight w:val="233"/>
        </w:trPr>
        <w:tc>
          <w:tcPr>
            <w:tcW w:w="408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5,083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4,053</w:t>
            </w:r>
          </w:p>
        </w:tc>
      </w:tr>
      <w:tr>
        <w:trPr>
          <w:trHeight w:val="25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368</w:t>
            </w:r>
          </w:p>
        </w:tc>
      </w:tr>
      <w:tr>
        <w:trPr>
          <w:trHeight w:val="230"/>
        </w:trPr>
        <w:tc>
          <w:tcPr>
            <w:tcW w:w="40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18,951</w:t>
            </w:r>
          </w:p>
        </w:tc>
        <w:tc>
          <w:tcPr>
            <w:tcW w:w="18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14,750</w:t>
            </w:r>
          </w:p>
        </w:tc>
      </w:tr>
      <w:tr>
        <w:trPr>
          <w:trHeight w:val="27"/>
        </w:trPr>
        <w:tc>
          <w:tcPr>
            <w:tcW w:w="4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As of June 30, 2020, there was $126,545 of unrecognized stock-based compensation expense related to non-vested stock option and restricted stock unit awards that is expected to be recognized over a weighted-average period of 2.08 years. We account for forfeitures as they occur. To the extent that awards are forfeited, stock-based compensation will be different from our current estimate.</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was not significant in the three months ended June 30,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unit activity for the three months ended June 30, 2020 is as follows:</w:t>
      </w:r>
    </w:p>
    <w:p>
      <w:pPr>
        <w:spacing w:after="0" w:line="289" w:lineRule="exact"/>
        <w:rPr>
          <w:sz w:val="20"/>
          <w:szCs w:val="20"/>
          <w:color w:val="auto"/>
        </w:rPr>
      </w:pPr>
    </w:p>
    <w:tbl>
      <w:tblPr>
        <w:tblLayout w:type="fixed"/>
        <w:tblInd w:w="1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Number of</w:t>
            </w:r>
          </w:p>
        </w:tc>
        <w:tc>
          <w:tcPr>
            <w:tcW w:w="180" w:type="dxa"/>
            <w:vAlign w:val="bottom"/>
          </w:tcPr>
          <w:p>
            <w:pPr>
              <w:spacing w:after="0"/>
              <w:rPr>
                <w:sz w:val="16"/>
                <w:szCs w:val="16"/>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Average Grant</w:t>
            </w:r>
          </w:p>
        </w:tc>
      </w:tr>
      <w:tr>
        <w:trPr>
          <w:trHeight w:val="194"/>
        </w:trPr>
        <w:tc>
          <w:tcPr>
            <w:tcW w:w="5740" w:type="dxa"/>
            <w:vAlign w:val="bottom"/>
            <w:gridSpan w:val="3"/>
          </w:tcPr>
          <w:p>
            <w:pPr>
              <w:ind w:left="20"/>
              <w:spacing w:after="0"/>
              <w:rPr>
                <w:sz w:val="20"/>
                <w:szCs w:val="20"/>
                <w:color w:val="auto"/>
              </w:rPr>
            </w:pPr>
            <w:r>
              <w:rPr>
                <w:rFonts w:ascii="Arial" w:cs="Arial" w:eastAsia="Arial" w:hAnsi="Arial"/>
                <w:sz w:val="16"/>
                <w:szCs w:val="16"/>
                <w:b w:val="1"/>
                <w:bCs w:val="1"/>
                <w:color w:val="auto"/>
              </w:rPr>
              <w:t>Non-vested Restricted Stock Units</w:t>
            </w: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Awards</w:t>
            </w:r>
          </w:p>
        </w:tc>
        <w:tc>
          <w:tcPr>
            <w:tcW w:w="180" w:type="dxa"/>
            <w:vAlign w:val="bottom"/>
          </w:tcPr>
          <w:p>
            <w:pPr>
              <w:spacing w:after="0"/>
              <w:rPr>
                <w:sz w:val="16"/>
                <w:szCs w:val="16"/>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rPr>
              <w:t>Date Fair Value</w:t>
            </w:r>
          </w:p>
        </w:tc>
      </w:tr>
      <w:tr>
        <w:trPr>
          <w:trHeight w:val="28"/>
        </w:trPr>
        <w:tc>
          <w:tcPr>
            <w:tcW w:w="20" w:type="dxa"/>
            <w:vAlign w:val="bottom"/>
            <w:tcBorders>
              <w:bottom w:val="single" w:sz="8" w:color="CCEEFF"/>
            </w:tcBorders>
          </w:tcPr>
          <w:p>
            <w:pPr>
              <w:spacing w:after="0"/>
              <w:rPr>
                <w:sz w:val="2"/>
                <w:szCs w:val="2"/>
                <w:color w:val="auto"/>
              </w:rPr>
            </w:pPr>
          </w:p>
        </w:tc>
        <w:tc>
          <w:tcPr>
            <w:tcW w:w="2660" w:type="dxa"/>
            <w:vAlign w:val="bottom"/>
            <w:tcBorders>
              <w:top w:val="single" w:sz="8" w:color="auto"/>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Non-vested as of March 31, 2020</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3,237</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50.47</w:t>
            </w:r>
          </w:p>
        </w:tc>
      </w:tr>
      <w:tr>
        <w:trPr>
          <w:trHeight w:val="233"/>
        </w:trPr>
        <w:tc>
          <w:tcPr>
            <w:tcW w:w="20" w:type="dxa"/>
            <w:vAlign w:val="bottom"/>
          </w:tcPr>
          <w:p>
            <w:pPr>
              <w:spacing w:after="0"/>
              <w:rPr>
                <w:sz w:val="20"/>
                <w:szCs w:val="20"/>
                <w:color w:val="auto"/>
              </w:rPr>
            </w:pPr>
          </w:p>
        </w:tc>
        <w:tc>
          <w:tcPr>
            <w:tcW w:w="5720" w:type="dxa"/>
            <w:vAlign w:val="bottom"/>
            <w:gridSpan w:val="2"/>
          </w:tcPr>
          <w:p>
            <w:pPr>
              <w:ind w:left="320"/>
              <w:spacing w:after="0"/>
              <w:rPr>
                <w:sz w:val="20"/>
                <w:szCs w:val="20"/>
                <w:color w:val="auto"/>
              </w:rPr>
            </w:pPr>
            <w:r>
              <w:rPr>
                <w:rFonts w:ascii="Arial" w:cs="Arial" w:eastAsia="Arial" w:hAnsi="Arial"/>
                <w:sz w:val="16"/>
                <w:szCs w:val="16"/>
                <w:color w:val="auto"/>
              </w:rPr>
              <w:t>Awarded</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727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36.62</w:t>
            </w:r>
          </w:p>
        </w:tc>
      </w:tr>
      <w:tr>
        <w:trPr>
          <w:trHeight w:val="253"/>
        </w:trPr>
        <w:tc>
          <w:tcPr>
            <w:tcW w:w="20" w:type="dxa"/>
            <w:vAlign w:val="bottom"/>
            <w:shd w:val="clear" w:color="auto" w:fill="CCEEFF"/>
          </w:tcPr>
          <w:p>
            <w:pPr>
              <w:spacing w:after="0"/>
              <w:rPr>
                <w:sz w:val="21"/>
                <w:szCs w:val="21"/>
                <w:color w:val="auto"/>
              </w:rPr>
            </w:pPr>
          </w:p>
        </w:tc>
        <w:tc>
          <w:tcPr>
            <w:tcW w:w="57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Vested</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57.60</w:t>
            </w:r>
          </w:p>
        </w:tc>
      </w:tr>
      <w:tr>
        <w:trPr>
          <w:trHeight w:val="237"/>
        </w:trPr>
        <w:tc>
          <w:tcPr>
            <w:tcW w:w="20" w:type="dxa"/>
            <w:vAlign w:val="bottom"/>
            <w:tcBorders>
              <w:bottom w:val="single" w:sz="8" w:color="CCEEFF"/>
            </w:tcBorders>
          </w:tcPr>
          <w:p>
            <w:pPr>
              <w:spacing w:after="0"/>
              <w:rPr>
                <w:sz w:val="20"/>
                <w:szCs w:val="20"/>
                <w:color w:val="auto"/>
              </w:rPr>
            </w:pPr>
          </w:p>
        </w:tc>
        <w:tc>
          <w:tcPr>
            <w:tcW w:w="572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53.57</w:t>
            </w:r>
          </w:p>
        </w:tc>
      </w:tr>
      <w:tr>
        <w:trPr>
          <w:trHeight w:val="261"/>
        </w:trPr>
        <w:tc>
          <w:tcPr>
            <w:tcW w:w="5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Non-vested as of June 30, 2020</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3,532</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46.88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The weighted-average fair value of restricted stock units awarded was $36.62 per unit during the three months ended June 30, 2020, and $49.55 per unit during the three months ended June 30, 2019. The weighted-average fair value of awards includes the awards with a market condition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40" w:right="49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193" w:lineRule="exact"/>
        <w:rPr>
          <w:sz w:val="20"/>
          <w:szCs w:val="20"/>
          <w:color w:val="auto"/>
        </w:rPr>
      </w:pPr>
    </w:p>
    <w:p>
      <w:pPr>
        <w:ind w:right="40" w:firstLine="400"/>
        <w:spacing w:after="0" w:line="252" w:lineRule="auto"/>
        <w:rPr>
          <w:sz w:val="20"/>
          <w:szCs w:val="20"/>
          <w:color w:val="auto"/>
        </w:rPr>
      </w:pPr>
      <w:r>
        <w:rPr>
          <w:rFonts w:ascii="Arial" w:cs="Arial" w:eastAsia="Arial" w:hAnsi="Arial"/>
          <w:sz w:val="18"/>
          <w:szCs w:val="18"/>
          <w:color w:val="auto"/>
        </w:rPr>
        <w:t>In the three months ended June 30, 2020, we granted 299 market performance stock units to certain executives. The vesting of these awards is contingent upon us meeting certain total shareholder return ("TSR") levels as compared to the Russell 3000 market index over the next three years. The awards vest in three annual tranches and have a maximum potential to vest at 200% (598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fair value of the awards granted during the three months ended June 30, 2020 was $36.76 per unit. The awards are included in the restricted stock unit table above.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9. Income Taxes</w:t>
      </w:r>
    </w:p>
    <w:p>
      <w:pPr>
        <w:spacing w:after="0" w:line="193" w:lineRule="exact"/>
        <w:rPr>
          <w:sz w:val="20"/>
          <w:szCs w:val="20"/>
          <w:color w:val="auto"/>
        </w:rPr>
      </w:pPr>
    </w:p>
    <w:p>
      <w:pPr>
        <w:ind w:right="160" w:firstLine="405"/>
        <w:spacing w:after="0" w:line="269" w:lineRule="auto"/>
        <w:rPr>
          <w:sz w:val="20"/>
          <w:szCs w:val="20"/>
          <w:color w:val="auto"/>
        </w:rPr>
      </w:pPr>
      <w:r>
        <w:rPr>
          <w:rFonts w:ascii="Arial" w:cs="Arial" w:eastAsia="Arial" w:hAnsi="Arial"/>
          <w:sz w:val="17"/>
          <w:szCs w:val="17"/>
          <w:color w:val="auto"/>
        </w:rPr>
        <w:t>Income tax expense was $4,743 in the three months ended June 30, 2020 compared to expense of $2,095 in the three months ended June 30, 2019. In the fourth quarter of fiscal 2020, we recorded a current tax benefit of approximately $10,000 which represented our estimate of the net operating loss carryback resulting from the CARES Act. In the first quarter of fiscal 2021, we recorded an adjustment of $3,200 to reduce the current benefit of the net operating loss carryback benefit we will realize from the CARES Act. In fiscal 2018, we determined that it was more likely than not that we will not realize the benefits of our gross deferred tax assets and therefore recorded a valuation allowance to reduce the carrying value of these gross deferred tax assets, net of the impact of the reversal of taxable temporary differences, to zero. Our position remains unchanged with respect to the realizability of our deferred tax assets as of June 30, 2020.</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10. Restructuring</w:t>
      </w:r>
    </w:p>
    <w:p>
      <w:pPr>
        <w:spacing w:after="0" w:line="193"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Our restructuring plan, initiated in the first quarter of fiscal 2019, is aimed to increase efficiency in our sales, marketing and distribution functions as well as reduce costs across all functional areas. During three months ended June 30, 2020 and 2019, we incurred total restructuring charges of $2,324 and $4,079, respectively. These restructuring charges relate primarily to severance and related costs associated with headcount reductions and lease abandonment charges. These charges include $57 and $368 of stock-based compensation related to modifications of existing unvested awards granted to certain employees impacted by the restructuring plan for the three months ended June 30, 2020 and 2019, respectively.</w:t>
      </w:r>
    </w:p>
    <w:p>
      <w:pPr>
        <w:spacing w:after="0" w:line="2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activity in our restructuring accruals for the three months ended June 30, 2020 and 2019 is summarized as follows:</w:t>
      </w:r>
    </w:p>
    <w:p>
      <w:pPr>
        <w:spacing w:after="0" w:line="302" w:lineRule="exact"/>
        <w:rPr>
          <w:sz w:val="20"/>
          <w:szCs w:val="20"/>
          <w:color w:val="auto"/>
        </w:rPr>
      </w:pPr>
    </w:p>
    <w:tbl>
      <w:tblPr>
        <w:tblLayout w:type="fixed"/>
        <w:tblInd w:w="232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24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Three Months Ended June 30,</w:t>
            </w:r>
          </w:p>
        </w:tc>
      </w:tr>
      <w:tr>
        <w:trPr>
          <w:trHeight w:val="257"/>
        </w:trPr>
        <w:tc>
          <w:tcPr>
            <w:tcW w:w="4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r>
      <w:tr>
        <w:trPr>
          <w:trHeight w:val="237"/>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99"/>
              </w:rPr>
              <w:t>2,531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rPr>
              <w:t>1,089</w:t>
            </w:r>
          </w:p>
        </w:tc>
      </w:tr>
      <w:tr>
        <w:trPr>
          <w:trHeight w:val="243"/>
        </w:trPr>
        <w:tc>
          <w:tcPr>
            <w:tcW w:w="4180" w:type="dxa"/>
            <w:vAlign w:val="bottom"/>
          </w:tcPr>
          <w:p>
            <w:pPr>
              <w:spacing w:after="0"/>
              <w:rPr>
                <w:sz w:val="20"/>
                <w:szCs w:val="20"/>
                <w:color w:val="auto"/>
              </w:rPr>
            </w:pPr>
            <w:r>
              <w:rPr>
                <w:rFonts w:ascii="Arial" w:cs="Arial" w:eastAsia="Arial" w:hAnsi="Arial"/>
                <w:sz w:val="16"/>
                <w:szCs w:val="16"/>
                <w:color w:val="auto"/>
              </w:rPr>
              <w:t xml:space="preserve">Restructuring charges, net </w:t>
            </w:r>
            <w:r>
              <w:rPr>
                <w:rFonts w:ascii="Arial" w:cs="Arial" w:eastAsia="Arial" w:hAnsi="Arial"/>
                <w:sz w:val="21"/>
                <w:szCs w:val="21"/>
                <w:color w:val="auto"/>
                <w:vertAlign w:val="superscript"/>
              </w:rPr>
              <w:t>(1)</w:t>
            </w:r>
          </w:p>
        </w:tc>
        <w:tc>
          <w:tcPr>
            <w:tcW w:w="240" w:type="dxa"/>
            <w:vAlign w:val="bottom"/>
          </w:tcPr>
          <w:p>
            <w:pPr>
              <w:spacing w:after="0"/>
              <w:rPr>
                <w:sz w:val="21"/>
                <w:szCs w:val="21"/>
                <w:color w:val="auto"/>
              </w:rPr>
            </w:pPr>
          </w:p>
        </w:tc>
        <w:tc>
          <w:tcPr>
            <w:tcW w:w="920" w:type="dxa"/>
            <w:vAlign w:val="bottom"/>
          </w:tcPr>
          <w:p>
            <w:pPr>
              <w:jc w:val="center"/>
              <w:ind w:left="159"/>
              <w:spacing w:after="0"/>
              <w:rPr>
                <w:sz w:val="20"/>
                <w:szCs w:val="20"/>
                <w:color w:val="auto"/>
              </w:rPr>
            </w:pPr>
            <w:r>
              <w:rPr>
                <w:rFonts w:ascii="Arial" w:cs="Arial" w:eastAsia="Arial" w:hAnsi="Arial"/>
                <w:sz w:val="16"/>
                <w:szCs w:val="16"/>
                <w:color w:val="auto"/>
                <w:w w:val="99"/>
              </w:rPr>
              <w:t>1,857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center"/>
              <w:ind w:left="159"/>
              <w:spacing w:after="0"/>
              <w:rPr>
                <w:sz w:val="20"/>
                <w:szCs w:val="20"/>
                <w:color w:val="auto"/>
              </w:rPr>
            </w:pPr>
            <w:r>
              <w:rPr>
                <w:rFonts w:ascii="Arial" w:cs="Arial" w:eastAsia="Arial" w:hAnsi="Arial"/>
                <w:sz w:val="16"/>
                <w:szCs w:val="16"/>
                <w:color w:val="auto"/>
              </w:rPr>
              <w:t>3,143</w:t>
            </w:r>
          </w:p>
        </w:tc>
      </w:tr>
      <w:tr>
        <w:trPr>
          <w:trHeight w:val="243"/>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Payments</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rPr>
              <w:t>(1,160)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rPr>
              <w:t>(2,014)</w:t>
            </w:r>
          </w:p>
        </w:tc>
      </w:tr>
      <w:tr>
        <w:trPr>
          <w:trHeight w:val="236"/>
        </w:trPr>
        <w:tc>
          <w:tcPr>
            <w:tcW w:w="4180" w:type="dxa"/>
            <w:vAlign w:val="bottom"/>
          </w:tcPr>
          <w:p>
            <w:pPr>
              <w:spacing w:after="0"/>
              <w:rPr>
                <w:sz w:val="20"/>
                <w:szCs w:val="20"/>
                <w:color w:val="auto"/>
              </w:rPr>
            </w:pPr>
            <w:r>
              <w:rPr>
                <w:rFonts w:ascii="Arial" w:cs="Arial" w:eastAsia="Arial" w:hAnsi="Arial"/>
                <w:sz w:val="16"/>
                <w:szCs w:val="16"/>
                <w:color w:val="auto"/>
              </w:rPr>
              <w:t>Ending balance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w w:val="99"/>
              </w:rPr>
              <w:t>3,228</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color w:val="auto"/>
              </w:rPr>
              <w:t>2,218</w:t>
            </w:r>
          </w:p>
        </w:tc>
      </w:tr>
      <w:tr>
        <w:trPr>
          <w:trHeight w:val="27"/>
        </w:trPr>
        <w:tc>
          <w:tcPr>
            <w:tcW w:w="4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99" w:lineRule="exact"/>
        <w:rPr>
          <w:sz w:val="20"/>
          <w:szCs w:val="20"/>
          <w:color w:val="auto"/>
        </w:rPr>
      </w:pPr>
    </w:p>
    <w:p>
      <w:pPr>
        <w:ind w:left="1300" w:firstLine="4"/>
        <w:spacing w:after="0" w:line="253" w:lineRule="auto"/>
        <w:tabs>
          <w:tab w:leader="none" w:pos="157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restructuring charges of $1,857 in the table above does not include restructuring charges for two of our leases in the amount of $467 for the three months ended June 30, 2020 and net restructuring charges of $3,143 in the table above does not include restructuring charges for one of our leases in the amount of $936. Under the new lease standard (ASC 842) we are now required to account for the impairment as a charge to the Consolidated Statements of Operations and a reduction in the carrying amount of the right-of-use asset.</w:t>
      </w:r>
    </w:p>
    <w:p>
      <w:pPr>
        <w:spacing w:after="0" w:line="2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June 30, 2020, the outstanding restructuring accruals primarily relate to future severance payments.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00B2A9"/>
        </w:rPr>
        <w:t>Item 2 - Management’s Discussion and Analysis of Financial Condition and Results of Operations</w:t>
      </w:r>
    </w:p>
    <w:p>
      <w:pPr>
        <w:spacing w:after="0" w:line="121"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i w:val="1"/>
          <w:iCs w:val="1"/>
          <w:color w:val="auto"/>
        </w:rPr>
        <w:t>You should read the following discussion and analysis along with our consolidated financial statements and the related notes included elsewhere in this quarterly report on Form 10-Q.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in our Annual Report on Form 10-K for the fiscal year ended March 31, 2020. Our actual results may differ materially from those contained in or implied by any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Overview</w:t>
      </w:r>
    </w:p>
    <w:p>
      <w:pPr>
        <w:spacing w:after="0" w:line="274" w:lineRule="exact"/>
        <w:rPr>
          <w:sz w:val="20"/>
          <w:szCs w:val="20"/>
          <w:color w:val="auto"/>
        </w:rPr>
      </w:pPr>
    </w:p>
    <w:p>
      <w:pPr>
        <w:ind w:right="40" w:firstLine="400"/>
        <w:spacing w:after="0" w:line="252" w:lineRule="auto"/>
        <w:rPr>
          <w:sz w:val="20"/>
          <w:szCs w:val="20"/>
          <w:color w:val="auto"/>
        </w:rPr>
      </w:pPr>
      <w:r>
        <w:rPr>
          <w:rFonts w:ascii="Arial" w:cs="Arial" w:eastAsia="Arial" w:hAnsi="Arial"/>
          <w:sz w:val="18"/>
          <w:szCs w:val="18"/>
          <w:color w:val="auto"/>
        </w:rPr>
        <w:t>Commvault is a leading provider of data protection and information management software applications and related services. Commvault was incorporated in 1996 as a Delaware corporation. The Commvault software platform is an enterprise level, integrated data and information management solution, built from the ground up on a single platform and unified code base. All software functionality share the same back-end technologies to deliver the benefits of a holistic approach to protecting, managing, and accessing data. The software addresses many aspects of data management in the enterprise, while providing scalability and control of data and information. We also sell appliances that integrate the Commvault software with hardware and address a wide-range of business needs and use cases, ranging from support for remote or branch offices with limited IT staff up to large corporate data centers. Commvault also provides customers with a broad range of professional services that are delivered by our worldwide support and field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Sources of Revenues</w:t>
      </w:r>
    </w:p>
    <w:p>
      <w:pPr>
        <w:spacing w:after="0" w:line="126"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We derive a significant portion of our total revenues from sales of licenses of our software applications and related appliance products. We do not customize our software or products for a specific end-user customer. We sell our software applications and products to end-user customers both directly through our sales force and indirectly through our global network of value-added reseller partners, systems integrators, corporate resellers and original equipment manufacturers. Our software and products revenue was 44% and 39% of our total revenues for the three months ended June 30, 2020 and 2019, respectively.</w:t>
      </w:r>
    </w:p>
    <w:p>
      <w:pPr>
        <w:spacing w:after="0" w:line="151" w:lineRule="exact"/>
        <w:rPr>
          <w:sz w:val="20"/>
          <w:szCs w:val="20"/>
          <w:color w:val="auto"/>
        </w:rPr>
      </w:pPr>
    </w:p>
    <w:p>
      <w:pPr>
        <w:jc w:val="both"/>
        <w:ind w:right="20" w:firstLine="445"/>
        <w:spacing w:after="0" w:line="256" w:lineRule="auto"/>
        <w:rPr>
          <w:sz w:val="20"/>
          <w:szCs w:val="20"/>
          <w:color w:val="auto"/>
        </w:rPr>
      </w:pPr>
      <w:r>
        <w:rPr>
          <w:rFonts w:ascii="Arial" w:cs="Arial" w:eastAsia="Arial" w:hAnsi="Arial"/>
          <w:sz w:val="18"/>
          <w:szCs w:val="18"/>
          <w:color w:val="auto"/>
        </w:rPr>
        <w:t>Our total software and products revenue in any particular period is, to a certain extent, dependent upon our ability to generate revenues from large customer software and products deals. Larger deals (transactions greater than $0.1 million) represented 73% and 62% of our total software and products revenue in the three months ended June 30, 2020 and 2019, respectively.</w:t>
      </w:r>
    </w:p>
    <w:p>
      <w:pPr>
        <w:spacing w:after="0" w:line="148"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Software and products revenue generated through indirect distribution channels was 90% of total software and products revenue in the three months ended June 30, 2020 and was 97% of total software revenue in the three months ended June 30, 2019. Software and products revenue generated through direct distribution channels was 10% of total software and products revenue in the three months ended June 30, 2020 and was 3% of total software revenue in the three months ended June 30, 2019. The dollar value of software and products revenue generated through indirect distribution channels increased $7.6 million in the three months ended June 30, 2020 compared to the three months ended June 30, 2019. The dollar value of software and products revenue generated through direct distribution channels increased $5.3 million in the three months ended June 30, 2020 compared to the three months ended June 30, 2019. Deals initiated by our direct sales force are sometimes transacted through indirect channels based on end-user customer requirements, which are not always in our control and can cause this overall percentage split to vary from period-to-period. As such, there may be fluctuations in the dollars and percentage of software and products revenue generated through our direct distribution channels from time-to-time. We believe that the growth of our software and products revenue, derived from both our indirect channel partners and direct sales force, are key attributes to our long-term growth strategy. We will continue to invest in both our channel relationships and direct sales force in the future, but we continue to expect more revenue to be generated through indirect distribution channels over the long term. The failure of our indirect distribution channels or our direct sales force to effectively sell our software applications could have a material adverse effect on our revenues and results of operations.</w:t>
      </w:r>
    </w:p>
    <w:p>
      <w:pPr>
        <w:spacing w:after="0" w:line="155" w:lineRule="exact"/>
        <w:rPr>
          <w:sz w:val="20"/>
          <w:szCs w:val="20"/>
          <w:color w:val="auto"/>
        </w:rPr>
      </w:pPr>
    </w:p>
    <w:p>
      <w:pPr>
        <w:ind w:right="240" w:firstLine="445"/>
        <w:spacing w:after="0" w:line="253" w:lineRule="auto"/>
        <w:rPr>
          <w:sz w:val="20"/>
          <w:szCs w:val="20"/>
          <w:color w:val="auto"/>
        </w:rPr>
      </w:pPr>
      <w:r>
        <w:rPr>
          <w:rFonts w:ascii="Arial" w:cs="Arial" w:eastAsia="Arial" w:hAnsi="Arial"/>
          <w:sz w:val="18"/>
          <w:szCs w:val="18"/>
          <w:color w:val="auto"/>
        </w:rPr>
        <w:t>We also have a non-exclusive distribution agreement covering our North American commercial markets and our U.S. Federal Government market with Arrow Enterprise Computing Solutions, Inc. ("Arrow"), a subsidiary of Arrow Electronics, Inc. Pursuant to this distribution agreement, Arrow's primary role is to enable a more efficient and effective distribution channel for our products and services by managing our reseller partners and leveraging their own industry experience. We generated 37% and 38% of our total revenues through Arrow in the three months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6" w:name="page17"/>
    <w:bookmarkEnd w:id="16"/>
    <w:p>
      <w:pPr>
        <w:spacing w:after="0" w:line="256" w:lineRule="auto"/>
        <w:rPr>
          <w:sz w:val="20"/>
          <w:szCs w:val="20"/>
          <w:color w:val="auto"/>
        </w:rPr>
      </w:pPr>
      <w:r>
        <w:rPr>
          <w:rFonts w:ascii="Arial" w:cs="Arial" w:eastAsia="Arial" w:hAnsi="Arial"/>
          <w:sz w:val="18"/>
          <w:szCs w:val="18"/>
          <w:color w:val="auto"/>
        </w:rPr>
        <w:t>ended June 30, 2020 and 2019, respectively. If Arrow were to discontinue or reduce the sales of our products, or if our agreement with Arrow was terminated, and if we were unable to take back the management of our reseller channel or find another North American distributor to replace Arrow, then it would have a material adverse effect on our future business.</w:t>
      </w:r>
    </w:p>
    <w:p>
      <w:pPr>
        <w:spacing w:after="0" w:line="148"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Our services revenue was 56% of our total revenues for the three months ended June 30, 2020 and 61% of our total revenues for the three months ended June 30, 2019.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implementation and post-deployment services and training, all of which to date have predominantly been sold in connection with the sale of software applications. Our newly launched software-as-a-service solution, branded Metallic, is also included in services revenue. Revenue from Metallic, which has not been material to date, is recognized ratably over the contract period.</w:t>
      </w:r>
    </w:p>
    <w:p>
      <w:pPr>
        <w:spacing w:after="0" w:line="151"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Most of our customer support agreements are for a one-year term. As the end of the annual period approaches, we pursue the renewal of the agreement with the customer. Historically, maintenance renewals have represented a significant portion of our total revenue. Because of this characteristic of our business, if our customers choose not to renew their maintenance and support agreements with us on beneficial terms, or at all, our business, operating results and financial condition could be harmed.</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Foreign Currency Exchange Rates’ Impact on Results of Operations</w:t>
      </w:r>
    </w:p>
    <w:p>
      <w:pPr>
        <w:spacing w:after="0" w:line="193"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Sales outside the United States were 42% of our total revenue for the three months ended June 30, 2020 and 50% of our total revenue for the three months ended June 30, 2019. The results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54" w:lineRule="exact"/>
        <w:rPr>
          <w:sz w:val="20"/>
          <w:szCs w:val="20"/>
          <w:color w:val="auto"/>
        </w:rPr>
      </w:pPr>
    </w:p>
    <w:p>
      <w:pPr>
        <w:jc w:val="both"/>
        <w:ind w:right="240" w:firstLine="445"/>
        <w:spacing w:after="0" w:line="254" w:lineRule="auto"/>
        <w:rPr>
          <w:sz w:val="20"/>
          <w:szCs w:val="20"/>
          <w:color w:val="auto"/>
        </w:rPr>
      </w:pPr>
      <w:r>
        <w:rPr>
          <w:rFonts w:ascii="Arial" w:cs="Arial" w:eastAsia="Arial" w:hAnsi="Arial"/>
          <w:sz w:val="18"/>
          <w:szCs w:val="18"/>
          <w:color w:val="auto"/>
        </w:rPr>
        <w:t>Using the average foreign currency exchange rates from the three months ended June 30, 2019, our software and products revenue would have been higher by $0.4 million, our services revenue would have been higher by $1.2 million, our cost of sales would have been higher by $0.2 million and our operating expenses would have been higher by $1.4 million from non-U.S. operations for the three months ended June 30, 2020.</w:t>
      </w:r>
    </w:p>
    <w:p>
      <w:pPr>
        <w:spacing w:after="0" w:line="150"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net foreign currency transaction losses of $0.8 million and $0.1 million for the three months ended June 30, 2020 and 2019, respectively.</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00B2A9"/>
        </w:rPr>
        <w:t>Critical Accounting Policies</w:t>
      </w:r>
    </w:p>
    <w:p>
      <w:pPr>
        <w:spacing w:after="0" w:line="19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15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significant judgment is required in selecting among available alternative accounting standards that allow different accounting treatment for similar transactions. We consider these policies requiring significant management judgment to be critical accounting policies. These critical accounting policies are:</w:t>
      </w:r>
    </w:p>
    <w:p>
      <w:pPr>
        <w:spacing w:after="0" w:line="150" w:lineRule="exact"/>
        <w:rPr>
          <w:sz w:val="20"/>
          <w:szCs w:val="20"/>
          <w:color w:val="auto"/>
        </w:rPr>
      </w:pPr>
    </w:p>
    <w:p>
      <w:pPr>
        <w:ind w:left="1940" w:hanging="231"/>
        <w:spacing w:after="0"/>
        <w:tabs>
          <w:tab w:leader="none" w:pos="1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71" w:lineRule="exact"/>
        <w:rPr>
          <w:rFonts w:ascii="Arial" w:cs="Arial" w:eastAsia="Arial" w:hAnsi="Arial"/>
          <w:sz w:val="18"/>
          <w:szCs w:val="18"/>
          <w:color w:val="auto"/>
        </w:rPr>
      </w:pPr>
    </w:p>
    <w:p>
      <w:pPr>
        <w:ind w:left="1940" w:hanging="231"/>
        <w:spacing w:after="0"/>
        <w:tabs>
          <w:tab w:leader="none" w:pos="1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71" w:lineRule="exact"/>
        <w:rPr>
          <w:rFonts w:ascii="Arial" w:cs="Arial" w:eastAsia="Arial" w:hAnsi="Arial"/>
          <w:sz w:val="18"/>
          <w:szCs w:val="18"/>
          <w:color w:val="auto"/>
        </w:rPr>
      </w:pPr>
    </w:p>
    <w:p>
      <w:pPr>
        <w:ind w:left="1940" w:hanging="231"/>
        <w:spacing w:after="0"/>
        <w:tabs>
          <w:tab w:leader="none" w:pos="1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and Purchased Intangible Assets</w:t>
      </w:r>
    </w:p>
    <w:p>
      <w:pPr>
        <w:spacing w:after="0" w:line="171"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There have been no significant changes in our critical accounting policies during the three months ended June 30, 2020 as compared to the critical accounting policies and estimates disclosed in “Management’s Discussion and Analysis of Financial Condition and Results of Operations - Critical Accounting Policies” included in our Annual Report on Form 10-K for the year ended March 31, 2020.</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00B2A9"/>
        </w:rPr>
        <w:t>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to three months ended June 30, 2019</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0B2A9"/>
        </w:rPr>
        <w:t>Revenues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69215</wp:posOffset>
            </wp:positionV>
            <wp:extent cx="5657850" cy="15005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 revenues increased $10.8 million, or 7%.</w:t>
      </w:r>
    </w:p>
    <w:p>
      <w:pPr>
        <w:spacing w:after="0" w:line="104" w:lineRule="exact"/>
        <w:rPr>
          <w:sz w:val="20"/>
          <w:szCs w:val="20"/>
          <w:color w:val="auto"/>
        </w:rPr>
      </w:pPr>
    </w:p>
    <w:p>
      <w:pPr>
        <w:ind w:left="1300" w:right="60" w:hanging="118"/>
        <w:spacing w:after="0" w:line="261" w:lineRule="auto"/>
        <w:tabs>
          <w:tab w:leader="none" w:pos="1295"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Software and products revenue represented 44% of our total revenue in the three months ended June 30, 2020 and 39% of our total revenue in the three months ended June 30, 2019.</w:t>
      </w:r>
    </w:p>
    <w:p>
      <w:pPr>
        <w:spacing w:after="0" w:line="62" w:lineRule="exact"/>
        <w:rPr>
          <w:rFonts w:ascii="Arial" w:cs="Arial" w:eastAsia="Arial" w:hAnsi="Arial"/>
          <w:sz w:val="18"/>
          <w:szCs w:val="18"/>
          <w:i w:val="1"/>
          <w:iCs w:val="1"/>
          <w:color w:val="auto"/>
        </w:rPr>
      </w:pPr>
    </w:p>
    <w:p>
      <w:pPr>
        <w:ind w:left="1300" w:right="60" w:hanging="118"/>
        <w:spacing w:after="0" w:line="256" w:lineRule="auto"/>
        <w:tabs>
          <w:tab w:leader="none" w:pos="1295"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Larger deal revenue (deals greater than $0.1 million) represented approximately 73% of our software and products revenue in the three months ended June 30, 2020 and 62% of our software and products revenue in the three months ended June 30, 2019.</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–Software and products revenue increased $12.9 million, or 20%, as a result of the following:</w:t>
      </w:r>
    </w:p>
    <w:p>
      <w:pPr>
        <w:spacing w:after="0" w:line="104" w:lineRule="exact"/>
        <w:rPr>
          <w:sz w:val="20"/>
          <w:szCs w:val="20"/>
          <w:color w:val="auto"/>
        </w:rPr>
      </w:pPr>
    </w:p>
    <w:p>
      <w:pPr>
        <w:ind w:left="1300" w:hanging="118"/>
        <w:spacing w:after="0"/>
        <w:tabs>
          <w:tab w:leader="none" w:pos="1300" w:val="left"/>
        </w:tabs>
        <w:numPr>
          <w:ilvl w:val="2"/>
          <w:numId w:val="7"/>
        </w:numPr>
        <w:rPr>
          <w:rFonts w:ascii="Arial" w:cs="Arial" w:eastAsia="Arial" w:hAnsi="Arial"/>
          <w:sz w:val="18"/>
          <w:szCs w:val="18"/>
          <w:i w:val="1"/>
          <w:iCs w:val="1"/>
          <w:color w:val="auto"/>
        </w:rPr>
      </w:pPr>
      <w:r>
        <w:rPr>
          <w:rFonts w:ascii="Arial" w:cs="Arial" w:eastAsia="Arial" w:hAnsi="Arial"/>
          <w:sz w:val="18"/>
          <w:szCs w:val="18"/>
          <w:color w:val="auto"/>
        </w:rPr>
        <w:t>An increase of $16.2 million, or 41%, in larger deal revenue</w:t>
      </w:r>
    </w:p>
    <w:p>
      <w:pPr>
        <w:spacing w:after="0" w:line="90" w:lineRule="exact"/>
        <w:rPr>
          <w:rFonts w:ascii="Arial" w:cs="Arial" w:eastAsia="Arial" w:hAnsi="Arial"/>
          <w:sz w:val="18"/>
          <w:szCs w:val="18"/>
          <w:i w:val="1"/>
          <w:iCs w:val="1"/>
          <w:color w:val="auto"/>
        </w:rPr>
      </w:pPr>
    </w:p>
    <w:p>
      <w:pPr>
        <w:ind w:left="1300" w:right="560" w:hanging="118"/>
        <w:spacing w:after="0" w:line="261" w:lineRule="auto"/>
        <w:tabs>
          <w:tab w:leader="none" w:pos="1295" w:val="left"/>
        </w:tabs>
        <w:numPr>
          <w:ilvl w:val="2"/>
          <w:numId w:val="7"/>
        </w:numPr>
        <w:rPr>
          <w:rFonts w:ascii="Arial" w:cs="Arial" w:eastAsia="Arial" w:hAnsi="Arial"/>
          <w:sz w:val="18"/>
          <w:szCs w:val="18"/>
          <w:color w:val="auto"/>
        </w:rPr>
      </w:pPr>
      <w:r>
        <w:rPr>
          <w:rFonts w:ascii="Arial" w:cs="Arial" w:eastAsia="Arial" w:hAnsi="Arial"/>
          <w:sz w:val="18"/>
          <w:szCs w:val="18"/>
          <w:color w:val="auto"/>
        </w:rPr>
        <w:t>An increase of 5% in the number of larger deal revenue and an increase of 35% in the average dollar amount of such transactions</w:t>
      </w:r>
    </w:p>
    <w:p>
      <w:pPr>
        <w:spacing w:after="0" w:line="76" w:lineRule="exact"/>
        <w:rPr>
          <w:rFonts w:ascii="Arial" w:cs="Arial" w:eastAsia="Arial" w:hAnsi="Arial"/>
          <w:sz w:val="18"/>
          <w:szCs w:val="18"/>
          <w:color w:val="auto"/>
        </w:rPr>
      </w:pPr>
    </w:p>
    <w:p>
      <w:pPr>
        <w:ind w:left="1300" w:right="400" w:hanging="118"/>
        <w:spacing w:after="0" w:line="261" w:lineRule="auto"/>
        <w:tabs>
          <w:tab w:leader="none" w:pos="1295" w:val="left"/>
        </w:tabs>
        <w:numPr>
          <w:ilvl w:val="2"/>
          <w:numId w:val="7"/>
        </w:numPr>
        <w:rPr>
          <w:rFonts w:ascii="Arial" w:cs="Arial" w:eastAsia="Arial" w:hAnsi="Arial"/>
          <w:sz w:val="18"/>
          <w:szCs w:val="18"/>
          <w:i w:val="1"/>
          <w:iCs w:val="1"/>
          <w:color w:val="auto"/>
        </w:rPr>
      </w:pPr>
      <w:r>
        <w:rPr>
          <w:rFonts w:ascii="Arial" w:cs="Arial" w:eastAsia="Arial" w:hAnsi="Arial"/>
          <w:sz w:val="18"/>
          <w:szCs w:val="18"/>
          <w:color w:val="auto"/>
        </w:rPr>
        <w:t>The average dollar amount of larger deal revenue transactions was approximately $403,000 and $298,000 for the three months ended June 30, 2020 and 2019, respectively.</w:t>
      </w:r>
    </w:p>
    <w:p>
      <w:pPr>
        <w:spacing w:after="0" w:line="76" w:lineRule="exact"/>
        <w:rPr>
          <w:rFonts w:ascii="Arial" w:cs="Arial" w:eastAsia="Arial" w:hAnsi="Arial"/>
          <w:sz w:val="18"/>
          <w:szCs w:val="18"/>
          <w:i w:val="1"/>
          <w:iCs w:val="1"/>
          <w:color w:val="auto"/>
        </w:rPr>
      </w:pPr>
    </w:p>
    <w:p>
      <w:pPr>
        <w:ind w:left="1300" w:hanging="118"/>
        <w:spacing w:after="0"/>
        <w:tabs>
          <w:tab w:leader="none" w:pos="1300"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These increases were partially offset by a decrease of $3.3 million in transactions less than $0.1 million.</w:t>
      </w:r>
    </w:p>
    <w:p>
      <w:pPr>
        <w:spacing w:after="0" w:line="72" w:lineRule="exact"/>
        <w:rPr>
          <w:rFonts w:ascii="Arial" w:cs="Arial" w:eastAsia="Arial" w:hAnsi="Arial"/>
          <w:sz w:val="18"/>
          <w:szCs w:val="18"/>
          <w:color w:val="auto"/>
        </w:rPr>
      </w:pPr>
    </w:p>
    <w:p>
      <w:pPr>
        <w:ind w:left="660" w:right="240" w:hanging="162"/>
        <w:spacing w:after="0" w:line="282" w:lineRule="auto"/>
        <w:rPr>
          <w:rFonts w:ascii="Arial" w:cs="Arial" w:eastAsia="Arial" w:hAnsi="Arial"/>
          <w:sz w:val="18"/>
          <w:szCs w:val="18"/>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Services revenue represented 56% of our total revenue in the three months ended June 30, 2020 and 61% of our total revenue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2019.Services revenue decreased $2.1 million, or 2%, primarily due to the following:</w:t>
      </w:r>
    </w:p>
    <w:p>
      <w:pPr>
        <w:spacing w:after="0" w:line="58" w:lineRule="exact"/>
        <w:rPr>
          <w:rFonts w:ascii="Arial" w:cs="Arial" w:eastAsia="Arial" w:hAnsi="Arial"/>
          <w:sz w:val="18"/>
          <w:szCs w:val="18"/>
          <w:color w:val="auto"/>
        </w:rPr>
      </w:pPr>
    </w:p>
    <w:p>
      <w:pPr>
        <w:ind w:left="1300" w:right="200" w:hanging="158"/>
        <w:spacing w:after="0" w:line="261" w:lineRule="auto"/>
        <w:tabs>
          <w:tab w:leader="none" w:pos="1295" w:val="left"/>
        </w:tabs>
        <w:numPr>
          <w:ilvl w:val="1"/>
          <w:numId w:val="7"/>
        </w:numPr>
        <w:rPr>
          <w:rFonts w:ascii="Arial" w:cs="Arial" w:eastAsia="Arial" w:hAnsi="Arial"/>
          <w:sz w:val="18"/>
          <w:szCs w:val="18"/>
          <w:color w:val="auto"/>
        </w:rPr>
      </w:pPr>
      <w:r>
        <w:rPr>
          <w:rFonts w:ascii="Arial" w:cs="Arial" w:eastAsia="Arial" w:hAnsi="Arial"/>
          <w:sz w:val="18"/>
          <w:szCs w:val="18"/>
          <w:color w:val="auto"/>
        </w:rPr>
        <w:t>A decrease of $1.2 million in training and consulting services. In certain cases, the COVID-19 pandemic has impacted our ability to perform on-site professional services.</w:t>
      </w:r>
    </w:p>
    <w:p>
      <w:pPr>
        <w:spacing w:after="0" w:line="76" w:lineRule="exact"/>
        <w:rPr>
          <w:rFonts w:ascii="Arial" w:cs="Arial" w:eastAsia="Arial" w:hAnsi="Arial"/>
          <w:sz w:val="18"/>
          <w:szCs w:val="18"/>
          <w:color w:val="auto"/>
        </w:rPr>
      </w:pPr>
    </w:p>
    <w:p>
      <w:pPr>
        <w:ind w:left="1300" w:right="460" w:hanging="158"/>
        <w:spacing w:after="0" w:line="261" w:lineRule="auto"/>
        <w:tabs>
          <w:tab w:leader="none" w:pos="1295" w:val="left"/>
        </w:tabs>
        <w:numPr>
          <w:ilvl w:val="1"/>
          <w:numId w:val="7"/>
        </w:numPr>
        <w:rPr>
          <w:rFonts w:ascii="Arial" w:cs="Arial" w:eastAsia="Arial" w:hAnsi="Arial"/>
          <w:sz w:val="18"/>
          <w:szCs w:val="18"/>
          <w:color w:val="auto"/>
        </w:rPr>
      </w:pPr>
      <w:r>
        <w:rPr>
          <w:rFonts w:ascii="Arial" w:cs="Arial" w:eastAsia="Arial" w:hAnsi="Arial"/>
          <w:sz w:val="18"/>
          <w:szCs w:val="18"/>
          <w:color w:val="auto"/>
        </w:rPr>
        <w:t>A decrease of $0.8 million in revenue from customer support agreements. Using foreign exchange rates from the three months ended June 30, 2019, our customer support revenue would have been approximately $1.2 million higher.</w:t>
      </w:r>
    </w:p>
    <w:p>
      <w:pPr>
        <w:spacing w:after="0" w:line="306"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We track software and products revenue on a geographic basis. The geographic regions that are tracked are the Americas (United States, Canada, Latin America), EMEA (Europe, Middle East, Africa) and APJ (Australia, New Zealand, Southeast Asia, China, Japan). Americas, EMEA and APJ represented 66%, 25% and 9% of total software and products revenue, respectively, for the three months ended June 30, 2020. Software and products revenue increased 62% year over year in the Americas; whereas EMEA and APJ declined 12% and 36%, respectively.</w:t>
      </w:r>
    </w:p>
    <w:p>
      <w:pPr>
        <w:spacing w:after="0" w:line="15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increase in Americas software and products revenue was the result of a 90% increase in larger deal transactions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EMEA software and products revenue decreased as a result of an 11% decrease in larger deal transactions revenue.</w:t>
      </w:r>
    </w:p>
    <w:p>
      <w:pPr>
        <w:spacing w:after="0" w:line="171" w:lineRule="exact"/>
        <w:rPr>
          <w:rFonts w:ascii="Arial" w:cs="Arial" w:eastAsia="Arial" w:hAnsi="Arial"/>
          <w:sz w:val="18"/>
          <w:szCs w:val="18"/>
          <w:color w:val="auto"/>
        </w:rPr>
      </w:pPr>
    </w:p>
    <w:p>
      <w:pPr>
        <w:ind w:left="660" w:hanging="328"/>
        <w:spacing w:after="0" w:line="261" w:lineRule="auto"/>
        <w:tabs>
          <w:tab w:leader="none" w:pos="65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decrease in APJ was the result of a 55% decrease in revenue from larger deal transactions and a strengthening of the US dollar relative to APJ currencies.</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48" w:right="399" w:bottom="1440" w:gutter="0" w:footer="0" w:header="0"/>
        </w:sectPr>
      </w:pPr>
    </w:p>
    <w:bookmarkStart w:id="19" w:name="page20"/>
    <w:bookmarkEnd w:id="19"/>
    <w:p>
      <w:pPr>
        <w:ind w:firstLine="445"/>
        <w:spacing w:after="0" w:line="261" w:lineRule="auto"/>
        <w:rPr>
          <w:sz w:val="20"/>
          <w:szCs w:val="20"/>
          <w:color w:val="auto"/>
        </w:rPr>
      </w:pPr>
      <w:r>
        <w:rPr>
          <w:rFonts w:ascii="Arial" w:cs="Arial" w:eastAsia="Arial" w:hAnsi="Arial"/>
          <w:sz w:val="18"/>
          <w:szCs w:val="18"/>
          <w:color w:val="auto"/>
        </w:rPr>
        <w:t>Our software and products revenue in EMEA and APJ is subject to changes in foreign exchange rates as more fully discussed above in the “Foreign Currency Exchange Rates’ Impact on Results of Operations” section.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00B2A9"/>
        </w:rPr>
        <w:t>Cost of Revenues and Gross Margin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231775</wp:posOffset>
            </wp:positionV>
            <wp:extent cx="5726430" cy="30003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2643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right="120" w:hanging="324"/>
        <w:spacing w:after="0" w:line="250" w:lineRule="auto"/>
        <w:rPr>
          <w:sz w:val="20"/>
          <w:szCs w:val="20"/>
          <w:color w:val="auto"/>
        </w:rPr>
      </w:pPr>
      <w:r>
        <w:rPr>
          <w:rFonts w:ascii="Arial" w:cs="Arial" w:eastAsia="Arial" w:hAnsi="Arial"/>
          <w:sz w:val="18"/>
          <w:szCs w:val="18"/>
          <w:color w:val="auto"/>
        </w:rPr>
        <w:t>– Total cost of revenues decreased $4.2 million, representing 14% of our total revenues for the three months ended June 30, 2020 compared to 18% for the three months ended June 30, 2019. During the first quarter of fiscal year 2021, we enacted temporary pay cuts that resulted in $0.7 million of savings in cost of revenues.</w:t>
      </w:r>
    </w:p>
    <w:p>
      <w:pPr>
        <w:spacing w:after="0" w:line="1" w:lineRule="exact"/>
        <w:rPr>
          <w:sz w:val="20"/>
          <w:szCs w:val="20"/>
          <w:color w:val="auto"/>
        </w:rPr>
      </w:pPr>
    </w:p>
    <w:p>
      <w:pPr>
        <w:ind w:left="660" w:right="220" w:hanging="324"/>
        <w:spacing w:after="0" w:line="250" w:lineRule="auto"/>
        <w:rPr>
          <w:sz w:val="20"/>
          <w:szCs w:val="20"/>
          <w:color w:val="auto"/>
        </w:rPr>
      </w:pPr>
      <w:r>
        <w:rPr>
          <w:rFonts w:ascii="Arial" w:cs="Arial" w:eastAsia="Arial" w:hAnsi="Arial"/>
          <w:sz w:val="18"/>
          <w:szCs w:val="18"/>
          <w:color w:val="auto"/>
        </w:rPr>
        <w:t>– Cost of software and products revenue decreased $0.2 million, representing 8% of our total software and products revenue for the three months ended June 30, 2020 compared to 9% for the three months ended June 30, 2019.</w:t>
      </w:r>
    </w:p>
    <w:p>
      <w:pPr>
        <w:ind w:left="660" w:right="200" w:hanging="324"/>
        <w:spacing w:after="0" w:line="254" w:lineRule="auto"/>
        <w:rPr>
          <w:sz w:val="20"/>
          <w:szCs w:val="20"/>
          <w:color w:val="auto"/>
        </w:rPr>
      </w:pPr>
      <w:r>
        <w:rPr>
          <w:rFonts w:ascii="Arial" w:cs="Arial" w:eastAsia="Arial" w:hAnsi="Arial"/>
          <w:sz w:val="18"/>
          <w:szCs w:val="18"/>
          <w:color w:val="auto"/>
        </w:rPr>
        <w:t>– Cost of services revenue decreased $4.0 million, representing 19% of our total services revenue for the three months ended June 30, 2020 compared to 23% for the three months ended June 30, 2019. The decline in cost of services revenue is primarily related to the decrease in expenses associated with the delivery of professional services revenue as well as temporary salary cuts we enacted in the first quarter of fiscal year 2021 related to COVID-19.</w:t>
      </w:r>
    </w:p>
    <w:p>
      <w:pPr>
        <w:sectPr>
          <w:pgSz w:w="11900" w:h="16838" w:orient="portrait"/>
          <w:cols w:equalWidth="0" w:num="1">
            <w:col w:w="11200"/>
          </w:cols>
          <w:pgMar w:left="320" w:top="115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1" w:right="379" w:bottom="1440" w:gutter="0" w:footer="0" w:header="0"/>
          <w:type w:val="continuous"/>
        </w:sectPr>
      </w:pPr>
    </w:p>
    <w:bookmarkStart w:id="20" w:name="page21"/>
    <w:bookmarkEnd w:id="20"/>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00B2A9"/>
        </w:rPr>
        <w:t>Operating Expenses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69215</wp:posOffset>
            </wp:positionV>
            <wp:extent cx="5657850" cy="3214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Sales and marketing expenses decreased $5.7 million, or 7%, primarily due to the following:</w:t>
      </w:r>
    </w:p>
    <w:p>
      <w:pPr>
        <w:spacing w:after="0" w:line="90" w:lineRule="exact"/>
        <w:rPr>
          <w:sz w:val="20"/>
          <w:szCs w:val="20"/>
          <w:color w:val="auto"/>
        </w:rPr>
      </w:pPr>
    </w:p>
    <w:p>
      <w:pPr>
        <w:ind w:left="1080" w:hanging="118"/>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Decrease of approximately $4.0 million related to the decline of travel expenses as a result of COVID-19.</w:t>
      </w:r>
    </w:p>
    <w:p>
      <w:pPr>
        <w:spacing w:after="0" w:line="103" w:lineRule="exact"/>
        <w:rPr>
          <w:rFonts w:ascii="Arial" w:cs="Arial" w:eastAsia="Arial" w:hAnsi="Arial"/>
          <w:sz w:val="18"/>
          <w:szCs w:val="18"/>
          <w:color w:val="auto"/>
        </w:rPr>
      </w:pPr>
    </w:p>
    <w:p>
      <w:pPr>
        <w:ind w:left="1080" w:hanging="118"/>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During the first quarter of fiscal year 2021, we enacted temporary pay cuts that resulted in $1.7 million of savings.</w:t>
      </w:r>
    </w:p>
    <w:p>
      <w:pPr>
        <w:spacing w:after="0" w:line="103" w:lineRule="exact"/>
        <w:rPr>
          <w:rFonts w:ascii="Arial" w:cs="Arial" w:eastAsia="Arial" w:hAnsi="Arial"/>
          <w:sz w:val="18"/>
          <w:szCs w:val="18"/>
          <w:color w:val="auto"/>
        </w:rPr>
      </w:pPr>
    </w:p>
    <w:p>
      <w:pPr>
        <w:ind w:left="440" w:right="260" w:hanging="122"/>
        <w:spacing w:after="0" w:line="261" w:lineRule="auto"/>
        <w:rPr>
          <w:rFonts w:ascii="Arial" w:cs="Arial" w:eastAsia="Arial" w:hAnsi="Arial"/>
          <w:sz w:val="18"/>
          <w:szCs w:val="18"/>
          <w:color w:val="auto"/>
        </w:rPr>
      </w:pPr>
      <w:r>
        <w:rPr>
          <w:rFonts w:ascii="Arial" w:cs="Arial" w:eastAsia="Arial" w:hAnsi="Arial"/>
          <w:sz w:val="18"/>
          <w:szCs w:val="18"/>
          <w:color w:val="auto"/>
        </w:rPr>
        <w:t>– Research and development expenses increased $7.6 million, or 32%, as a result of an increase in employee compensation and related expenses attributable to the expansion of our engineering group.</w:t>
      </w:r>
    </w:p>
    <w:p>
      <w:pPr>
        <w:spacing w:after="0" w:line="62" w:lineRule="exact"/>
        <w:rPr>
          <w:rFonts w:ascii="Arial" w:cs="Arial" w:eastAsia="Arial" w:hAnsi="Arial"/>
          <w:sz w:val="18"/>
          <w:szCs w:val="18"/>
          <w:color w:val="auto"/>
        </w:rPr>
      </w:pPr>
    </w:p>
    <w:p>
      <w:pPr>
        <w:ind w:left="1080" w:right="980" w:hanging="118"/>
        <w:spacing w:after="0" w:line="261" w:lineRule="auto"/>
        <w:tabs>
          <w:tab w:leader="none" w:pos="107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increase is the result of additional headcount related to the acquisition of Hedvig including the stock-based compensation issued in connection with the transaction.</w:t>
      </w:r>
    </w:p>
    <w:p>
      <w:pPr>
        <w:spacing w:after="0" w:line="76" w:lineRule="exact"/>
        <w:rPr>
          <w:rFonts w:ascii="Arial" w:cs="Arial" w:eastAsia="Arial" w:hAnsi="Arial"/>
          <w:sz w:val="18"/>
          <w:szCs w:val="18"/>
          <w:color w:val="auto"/>
        </w:rPr>
      </w:pPr>
    </w:p>
    <w:p>
      <w:pPr>
        <w:ind w:left="1080" w:hanging="118"/>
        <w:spacing w:after="0" w:line="253" w:lineRule="auto"/>
        <w:tabs>
          <w:tab w:leader="none" w:pos="107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Additionally, certain Hedvig shareholders will receive cash payments totaling $14.1 million over the course of the 30 months following the date of acquisition, subject to their continued employment with the Company. While these payments are proportionate to these shareholders' ownership of Hedvig, under GAAP they are accounted for as compensation expense over the course of the 30 month service period. Research and development expenses in the three months ended June 30, 2020 includes $1.4 million of expense related to this arrangement.</w:t>
      </w:r>
    </w:p>
    <w:p>
      <w:pPr>
        <w:spacing w:after="0" w:line="83" w:lineRule="exact"/>
        <w:rPr>
          <w:rFonts w:ascii="Arial" w:cs="Arial" w:eastAsia="Arial" w:hAnsi="Arial"/>
          <w:sz w:val="18"/>
          <w:szCs w:val="18"/>
          <w:color w:val="auto"/>
        </w:rPr>
      </w:pPr>
    </w:p>
    <w:p>
      <w:pPr>
        <w:ind w:left="1080" w:right="120" w:hanging="118"/>
        <w:spacing w:after="0" w:line="261" w:lineRule="auto"/>
        <w:tabs>
          <w:tab w:leader="none" w:pos="107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These increases were partially offset by $1.1 million in savings related to temporary pay cuts enacted in the first quarter of 2021.</w:t>
      </w:r>
    </w:p>
    <w:p>
      <w:pPr>
        <w:spacing w:after="0" w:line="62" w:lineRule="exact"/>
        <w:rPr>
          <w:rFonts w:ascii="Arial" w:cs="Arial" w:eastAsia="Arial" w:hAnsi="Arial"/>
          <w:sz w:val="18"/>
          <w:szCs w:val="18"/>
          <w:color w:val="auto"/>
        </w:rPr>
      </w:pPr>
    </w:p>
    <w:p>
      <w:pPr>
        <w:ind w:left="1080" w:right="40" w:hanging="118"/>
        <w:spacing w:after="0" w:line="261" w:lineRule="auto"/>
        <w:tabs>
          <w:tab w:leader="none" w:pos="1075"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Investing in research and development has been a priority for Commvault, and we anticipate continued spending related to the development of our data and information management software applications.</w:t>
      </w:r>
    </w:p>
    <w:p>
      <w:pPr>
        <w:spacing w:after="0" w:line="58"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decreased $0.9 million, or 4%, primarily due to the following:</w:t>
      </w:r>
    </w:p>
    <w:p>
      <w:pPr>
        <w:spacing w:after="0" w:line="121" w:lineRule="exact"/>
        <w:rPr>
          <w:rFonts w:ascii="Arial" w:cs="Arial" w:eastAsia="Arial" w:hAnsi="Arial"/>
          <w:sz w:val="18"/>
          <w:szCs w:val="18"/>
          <w:color w:val="auto"/>
        </w:rPr>
      </w:pPr>
    </w:p>
    <w:p>
      <w:pPr>
        <w:ind w:left="1080" w:hanging="118"/>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Prior year expenses associated with a non-routine shareholder matter.</w:t>
      </w:r>
    </w:p>
    <w:p>
      <w:pPr>
        <w:spacing w:after="0" w:line="90" w:lineRule="exact"/>
        <w:rPr>
          <w:rFonts w:ascii="Arial" w:cs="Arial" w:eastAsia="Arial" w:hAnsi="Arial"/>
          <w:sz w:val="18"/>
          <w:szCs w:val="18"/>
          <w:color w:val="auto"/>
        </w:rPr>
      </w:pPr>
    </w:p>
    <w:p>
      <w:pPr>
        <w:ind w:left="1080" w:hanging="118"/>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temporary pay cuts enacted in the first quarter of 2021 resulted in $0.6 million in savings.</w:t>
      </w:r>
    </w:p>
    <w:p>
      <w:pPr>
        <w:spacing w:after="0" w:line="200" w:lineRule="exact"/>
        <w:rPr>
          <w:sz w:val="20"/>
          <w:szCs w:val="20"/>
          <w:color w:val="auto"/>
        </w:rPr>
      </w:pP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540" w:top="1440" w:right="479" w:bottom="1440" w:gutter="0" w:footer="0" w:header="0"/>
        </w:sectPr>
      </w:pPr>
    </w:p>
    <w:bookmarkStart w:id="21" w:name="page22"/>
    <w:bookmarkEnd w:id="21"/>
    <w:p>
      <w:pPr>
        <w:ind w:left="660" w:right="40" w:hanging="122"/>
        <w:spacing w:after="0" w:line="254" w:lineRule="auto"/>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Our restructuring plan is intended to increase efficiency in our sales, marketing and distribution functions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reduce costs across all functional areas. Restructuring expenses were $2.3 million and $4.1 million in the three months ended June 30, 2020 and 2019, respectively. These restructuring charges relate primarily to severance and related costs associated with headcount reductions as well as lease abandonment charges related to the closure of two offices in the first quarter of fiscal year 2021. These charges include $0.1 million for the three months ended June 30, 2020 and $0.4 million for the three months ended June 30, 2019 of stock-based compensation related to modifications of existing awards granted to certain employees included in the restructuring.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293" w:lineRule="exact"/>
        <w:rPr>
          <w:sz w:val="20"/>
          <w:szCs w:val="20"/>
          <w:color w:val="auto"/>
        </w:rPr>
      </w:pPr>
    </w:p>
    <w:p>
      <w:pPr>
        <w:ind w:left="660" w:right="40" w:hanging="122"/>
        <w:spacing w:after="0" w:line="261"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Depreciation and amortization expense: increased $2.5 million, from $2.6 million in the three months ended June 30, 2019 to $5.1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three months ended June 30, 2020, driven by the amortization of intangible assets acquired as a result of the Hedvig business combination in October 2019. Depreciation and amortization expense will increase in fiscal 2021 as a result of a full year of Hedvig intangible asset amortization.</w:t>
      </w:r>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0B2A9"/>
        </w:rPr>
        <w:t>Income Tax Expense</w:t>
      </w:r>
    </w:p>
    <w:p>
      <w:pPr>
        <w:spacing w:after="0" w:line="12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Income tax expense was $4.7 million in the three months ended June 30, 2020 compared to expense of $2.1 million in the three months ended June 30, 2019. In the fourth quarter of fiscal 2020, we recorded a current tax benefit of approximately $10.0 million which represented our estimate of the net operating loss carryback resulting from the CARES Act. In the first quarter of fiscal 2021, we recorded an adjustment of $3.2 million to reduce the current benefit of the net operating loss carryback benefit we will realize from the CARES Act. In fiscal 2018, we determined that it was more likely than not that we will not realize the benefits of our gross deferred tax assets and therefore recorded a valuation allowance to reduce the carrying value of these gross deferred tax assets, net of the impact of the reversal of taxable temporary differences, to zero. Our position remains unchanged with respect to the realizability of our deferred tax assets as of June 30, 2020.</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Liquidity and Capital Resources</w:t>
      </w:r>
    </w:p>
    <w:p>
      <w:pPr>
        <w:spacing w:after="0" w:line="112" w:lineRule="exact"/>
        <w:rPr>
          <w:sz w:val="20"/>
          <w:szCs w:val="20"/>
          <w:color w:val="auto"/>
        </w:rPr>
      </w:pPr>
    </w:p>
    <w:p>
      <w:pPr>
        <w:ind w:right="240" w:firstLine="445"/>
        <w:spacing w:after="0" w:line="256" w:lineRule="auto"/>
        <w:rPr>
          <w:sz w:val="20"/>
          <w:szCs w:val="20"/>
          <w:color w:val="auto"/>
        </w:rPr>
      </w:pPr>
      <w:r>
        <w:rPr>
          <w:rFonts w:ascii="Arial" w:cs="Arial" w:eastAsia="Arial" w:hAnsi="Arial"/>
          <w:sz w:val="18"/>
          <w:szCs w:val="18"/>
          <w:color w:val="auto"/>
        </w:rPr>
        <w:t>As of June 30, 2020, our cash and cash equivalents balance of $ 345.4 million primarily consisted of cash. In addition, we have approximately $10.8 million of short-term investments invested in U.S. Treasury Bills. In recent fiscal years, our principal source of liquidity has been cash provided by operations.</w:t>
      </w:r>
    </w:p>
    <w:p>
      <w:pPr>
        <w:spacing w:after="0" w:line="148" w:lineRule="exact"/>
        <w:rPr>
          <w:sz w:val="20"/>
          <w:szCs w:val="20"/>
          <w:color w:val="auto"/>
        </w:rPr>
      </w:pPr>
    </w:p>
    <w:p>
      <w:pPr>
        <w:ind w:right="320" w:firstLine="445"/>
        <w:spacing w:after="0" w:line="253" w:lineRule="auto"/>
        <w:rPr>
          <w:sz w:val="20"/>
          <w:szCs w:val="20"/>
          <w:color w:val="auto"/>
        </w:rPr>
      </w:pPr>
      <w:r>
        <w:rPr>
          <w:rFonts w:ascii="Arial" w:cs="Arial" w:eastAsia="Arial" w:hAnsi="Arial"/>
          <w:sz w:val="18"/>
          <w:szCs w:val="18"/>
          <w:color w:val="auto"/>
        </w:rPr>
        <w:t>As of June 30, 2020, the amount of cash and cash equivalents held outside of the United States by our foreign legal entities was approximately $160.2 million. These balances are dispersed across many international locations around the world. We believe that such dispersion meets the current and anticipated future liquidity needs of our foreign legal entities. In the event we needed to repatriate funds from outside of the United States, such repatriation would likely be subject to restrictions by local laws and/or tax consequences including foreign withholding taxes.</w:t>
      </w:r>
    </w:p>
    <w:p>
      <w:pPr>
        <w:spacing w:after="0" w:line="151"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We did not repurchase any shares of our common stock under our share repurchase program during the three months ended June 30, 2020. Under our stock repurchase program, repurchased shares are constructively retired and returned to unissued status. Our stock repurchase program has been funded by our existing cash and cash equivalent balances as well as cash flows provided by our operations. As of June 30, 2020, $162.8 million remained in our current stock repurchase authorization which expires on March 31, 2021.</w:t>
      </w:r>
    </w:p>
    <w:p>
      <w:pPr>
        <w:spacing w:after="0" w:line="150"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Our future stock repurchase activity is subject to the business judgment of our management and Board of Directors, taking into consideration our historical and projected results of operations, financial condition, cash flows and other anticipated capital requirements or investment alternatives. Our stock repurchase program reduces the dilutive impact on our common shares outstanding associated with stock option exercises and our previous public and private stock offerings through the repurchase of common stock.</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2" w:name="page23"/>
    <w:bookmarkEnd w:id="22"/>
    <w:p>
      <w:pPr>
        <w:ind w:left="460"/>
        <w:spacing w:after="0"/>
        <w:rPr>
          <w:sz w:val="20"/>
          <w:szCs w:val="20"/>
          <w:color w:val="auto"/>
        </w:rPr>
      </w:pPr>
      <w:r>
        <w:rPr>
          <w:rFonts w:ascii="Arial" w:cs="Arial" w:eastAsia="Arial" w:hAnsi="Arial"/>
          <w:sz w:val="18"/>
          <w:szCs w:val="18"/>
          <w:color w:val="auto"/>
        </w:rPr>
        <w:t>Our summarized cash flow information is as follows (in thousands):</w:t>
      </w:r>
    </w:p>
    <w:p>
      <w:pPr>
        <w:spacing w:after="0" w:line="302" w:lineRule="exact"/>
        <w:rPr>
          <w:sz w:val="20"/>
          <w:szCs w:val="20"/>
          <w:color w:val="auto"/>
        </w:rPr>
      </w:pPr>
    </w:p>
    <w:tbl>
      <w:tblPr>
        <w:tblLayout w:type="fixed"/>
        <w:tblInd w:w="720" w:type="dxa"/>
        <w:tblCellMar>
          <w:top w:w="0" w:type="dxa"/>
          <w:left w:w="0" w:type="dxa"/>
          <w:bottom w:w="0" w:type="dxa"/>
          <w:right w:w="0" w:type="dxa"/>
        </w:tblCellMar>
      </w:tblPr>
      <w:tr>
        <w:trPr>
          <w:trHeight w:val="228"/>
        </w:trPr>
        <w:tc>
          <w:tcPr>
            <w:tcW w:w="6260" w:type="dxa"/>
            <w:vAlign w:val="bottom"/>
          </w:tcPr>
          <w:p>
            <w:pPr>
              <w:spacing w:after="0"/>
              <w:rPr>
                <w:sz w:val="19"/>
                <w:szCs w:val="19"/>
                <w:color w:val="auto"/>
              </w:rPr>
            </w:pPr>
          </w:p>
        </w:tc>
        <w:tc>
          <w:tcPr>
            <w:tcW w:w="3560" w:type="dxa"/>
            <w:vAlign w:val="bottom"/>
            <w:tcBorders>
              <w:bottom w:val="single" w:sz="8" w:color="auto"/>
            </w:tcBorders>
            <w:gridSpan w:val="5"/>
          </w:tcPr>
          <w:p>
            <w:pPr>
              <w:jc w:val="right"/>
              <w:ind w:right="559"/>
              <w:spacing w:after="0"/>
              <w:rPr>
                <w:sz w:val="20"/>
                <w:szCs w:val="20"/>
                <w:color w:val="auto"/>
              </w:rPr>
            </w:pPr>
            <w:r>
              <w:rPr>
                <w:rFonts w:ascii="Arial" w:cs="Arial" w:eastAsia="Arial" w:hAnsi="Arial"/>
                <w:sz w:val="16"/>
                <w:szCs w:val="16"/>
                <w:b w:val="1"/>
                <w:bCs w:val="1"/>
                <w:color w:val="auto"/>
              </w:rPr>
              <w:t>Three Months Ended June 30,</w:t>
            </w:r>
          </w:p>
        </w:tc>
      </w:tr>
      <w:tr>
        <w:trPr>
          <w:trHeight w:val="236"/>
        </w:trPr>
        <w:tc>
          <w:tcPr>
            <w:tcW w:w="62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4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8"/>
              </w:rPr>
              <w:t>15,285</w:t>
            </w: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31,140</w:t>
            </w:r>
          </w:p>
        </w:tc>
      </w:tr>
      <w:tr>
        <w:trPr>
          <w:trHeight w:val="233"/>
        </w:trPr>
        <w:tc>
          <w:tcPr>
            <w:tcW w:w="626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00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w w:val="98"/>
              </w:rPr>
              <w:t>31,157</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(828)</w:t>
            </w:r>
          </w:p>
        </w:tc>
      </w:tr>
      <w:tr>
        <w:trPr>
          <w:trHeight w:val="253"/>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0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231</w:t>
            </w: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(39,363)</w:t>
            </w:r>
          </w:p>
        </w:tc>
      </w:tr>
      <w:tr>
        <w:trPr>
          <w:trHeight w:val="23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Effects of exchange rate-changes in cash</w:t>
            </w:r>
          </w:p>
        </w:tc>
        <w:tc>
          <w:tcPr>
            <w:tcW w:w="10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2,677</w:t>
            </w:r>
          </w:p>
        </w:tc>
        <w:tc>
          <w:tcPr>
            <w:tcW w:w="2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1,880</w:t>
            </w:r>
          </w:p>
        </w:tc>
      </w:tr>
      <w:tr>
        <w:trPr>
          <w:trHeight w:val="262"/>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98"/>
              </w:rPr>
              <w:t>49,350</w:t>
            </w: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(7,171)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265430</wp:posOffset>
            </wp:positionV>
            <wp:extent cx="5657850" cy="1714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right="40" w:hanging="122"/>
        <w:spacing w:after="0" w:line="261" w:lineRule="auto"/>
        <w:rPr>
          <w:sz w:val="20"/>
          <w:szCs w:val="20"/>
          <w:color w:val="auto"/>
        </w:rPr>
      </w:pPr>
      <w:r>
        <w:rPr>
          <w:rFonts w:ascii="Arial" w:cs="Arial" w:eastAsia="Arial" w:hAnsi="Arial"/>
          <w:sz w:val="18"/>
          <w:szCs w:val="18"/>
          <w:color w:val="auto"/>
        </w:rPr>
        <w:t>– Net cash provided by operating activities was impacted by net income adjusted for the impact of non-cash charges partially offset by an increase in accounts receivable and a decrease in accrued expenses.</w:t>
      </w:r>
    </w:p>
    <w:p>
      <w:pPr>
        <w:spacing w:after="0" w:line="76" w:lineRule="exact"/>
        <w:rPr>
          <w:sz w:val="20"/>
          <w:szCs w:val="20"/>
          <w:color w:val="auto"/>
        </w:rPr>
      </w:pPr>
    </w:p>
    <w:p>
      <w:pPr>
        <w:ind w:left="660" w:right="360" w:hanging="122"/>
        <w:spacing w:after="0" w:line="261" w:lineRule="auto"/>
        <w:rPr>
          <w:sz w:val="20"/>
          <w:szCs w:val="20"/>
          <w:color w:val="auto"/>
        </w:rPr>
      </w:pPr>
      <w:r>
        <w:rPr>
          <w:rFonts w:ascii="Arial" w:cs="Arial" w:eastAsia="Arial" w:hAnsi="Arial"/>
          <w:sz w:val="18"/>
          <w:szCs w:val="18"/>
          <w:color w:val="auto"/>
        </w:rPr>
        <w:t>– Net cash provided by investing activities was related to net proceeds from the maturity of short-term investments of $32.8 million partially offset by $1.6 million of capital expenditures.</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Net cash provided by financing activities was the result of $0.2 million of proceeds from the exercise of stock options.</w:t>
      </w:r>
    </w:p>
    <w:p>
      <w:pPr>
        <w:spacing w:after="0" w:line="90" w:lineRule="exact"/>
        <w:rPr>
          <w:sz w:val="20"/>
          <w:szCs w:val="20"/>
          <w:color w:val="auto"/>
        </w:rPr>
      </w:pPr>
    </w:p>
    <w:p>
      <w:pPr>
        <w:ind w:left="660" w:right="260" w:firstLine="486"/>
        <w:spacing w:after="0" w:line="261" w:lineRule="auto"/>
        <w:rPr>
          <w:sz w:val="20"/>
          <w:szCs w:val="20"/>
          <w:color w:val="auto"/>
        </w:rPr>
      </w:pPr>
      <w:r>
        <w:rPr>
          <w:rFonts w:ascii="Arial" w:cs="Arial" w:eastAsia="Arial" w:hAnsi="Arial"/>
          <w:sz w:val="18"/>
          <w:szCs w:val="18"/>
          <w:color w:val="auto"/>
        </w:rPr>
        <w:t>Working capital increased $25.5 million from $185.1 million as of March 31, 2020 to $210.7 million as of June 30, 2020. The net increase in working capital is primarily the result of cash flow from operations.</w:t>
      </w:r>
    </w:p>
    <w:p>
      <w:pPr>
        <w:spacing w:after="0" w:line="144"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believe that our existing cash, cash equivalents and our cash from operations will be sufficient to meet our anticipated cash needs for working capital, income taxes, capital expenditures and potential stock repurchases for at least the next twelve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Off-Balance Sheet Arrangements</w:t>
      </w:r>
    </w:p>
    <w:p>
      <w:pPr>
        <w:spacing w:after="0" w:line="126"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As of June 30, 2020, we did not have off-balance sheet financing arrangements, including any relationships with unconsolidated entities or financial partnerships, such as entities often referred to as structured finance or special purpose entities.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00B2A9"/>
        </w:rPr>
        <w:t>Indemnifications</w:t>
      </w:r>
    </w:p>
    <w:p>
      <w:pPr>
        <w:spacing w:after="0" w:line="126"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Impact of Recently Issued Accounting Standards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 of the unaudited consolidated financial statements for a discussion of the impact of recently issued accounting standards.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3 - Quantitative and Qualitative Disclosures about Market Risk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Interest Rate Risk</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2020, our cash and cash equivalents and short-term investments consisted primarily of cash and U.S. Treasury Bills.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Due to the short-term nature of these investments, we are not subject to any material interest rate risk on these balances.</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00B2A9"/>
        </w:rPr>
        <w:t>Foreign Currency Risk</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Economic Exposure</w:t>
      </w:r>
    </w:p>
    <w:p>
      <w:pPr>
        <w:spacing w:after="0" w:line="108"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As a global company, we face exposure to adverse movements in foreign currency exchange rates. Our international sales are generally denominated in foreign currencies and this revenue could be materially affected by currency fluctuations. Approximately 42% of our sales were outside the United States for the three months ended June 30, 2020.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Transaction Exposure</w:t>
      </w:r>
    </w:p>
    <w:p>
      <w:pPr>
        <w:spacing w:after="0" w:line="122" w:lineRule="exact"/>
        <w:rPr>
          <w:sz w:val="20"/>
          <w:szCs w:val="20"/>
          <w:color w:val="auto"/>
        </w:rPr>
      </w:pPr>
    </w:p>
    <w:p>
      <w:pPr>
        <w:jc w:val="both"/>
        <w:ind w:right="320" w:firstLine="445"/>
        <w:spacing w:after="0" w:line="278" w:lineRule="auto"/>
        <w:rPr>
          <w:sz w:val="20"/>
          <w:szCs w:val="20"/>
          <w:color w:val="auto"/>
        </w:rPr>
      </w:pPr>
      <w:r>
        <w:rPr>
          <w:rFonts w:ascii="Arial" w:cs="Arial" w:eastAsia="Arial" w:hAnsi="Arial"/>
          <w:sz w:val="17"/>
          <w:szCs w:val="17"/>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131"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Operations. We recognized net foreign currency transaction losses of $0.8 million and $ 0.1 million for the three months ended June 30, 2020 and 2019, respectively. The net foreign currency transaction gains and losses recorded in General and administrative expenses include settlement gains and losses on forward contracts disclosed below.</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4 - Controls and Procedures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26"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Our management, with the participation of the Chief Executive Officer and Chief Financial Officer, has evaluated the effectiveness of our disclosure controls and procedures, as defined in Rules 13a-15(e) and 15d-15(e) of the Securities Exchange Act of 1934, as of June 30, 2020. Based on that evaluation, the Chief Executive Officer and Chief Financial Officer concluded that our disclosure controls and procedures were effective as of June 30, 2020.</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sectPr>
      </w:pPr>
    </w:p>
    <w:bookmarkStart w:id="24" w:name="page25"/>
    <w:bookmarkEnd w:id="24"/>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2" w:lineRule="exact"/>
        <w:rPr>
          <w:sz w:val="20"/>
          <w:szCs w:val="20"/>
          <w:color w:val="auto"/>
        </w:rPr>
      </w:pPr>
    </w:p>
    <w:p>
      <w:pPr>
        <w:ind w:right="540" w:firstLine="445"/>
        <w:spacing w:after="0" w:line="261" w:lineRule="auto"/>
        <w:rPr>
          <w:sz w:val="20"/>
          <w:szCs w:val="20"/>
          <w:color w:val="auto"/>
        </w:rPr>
      </w:pPr>
      <w:r>
        <w:rPr>
          <w:rFonts w:ascii="Arial" w:cs="Arial" w:eastAsia="Arial" w:hAnsi="Arial"/>
          <w:sz w:val="18"/>
          <w:szCs w:val="18"/>
          <w:color w:val="auto"/>
        </w:rPr>
        <w:t>There was no change in our internal control over financial reporting that occurred during the first quarter of fiscal 2021 that has materially affected, or is reasonably likely to materially affect, our internal control over financial reporting.</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Inherent Limitations on Internal Controls</w:t>
      </w:r>
    </w:p>
    <w:p>
      <w:pPr>
        <w:spacing w:after="0" w:line="126"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Our management, including our Chief Executive Officer and Chief Financial Officer, do not expect that our disclosure controls and procedures or our internal controls over financial reporting will prevent or detect all error and all fraud. A control system, no matter how well designed and operated, can provide only reasonable, not absolute, assurance that the control objectives of the control system are met. Further, the design of a control system must reflect the fact that there are resource constraints, and the benefits of controls must be considered relative to their costs. Because of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200" w:lineRule="exact"/>
        <w:rPr>
          <w:sz w:val="20"/>
          <w:szCs w:val="20"/>
          <w:color w:val="auto"/>
        </w:rPr>
      </w:pPr>
    </w:p>
    <w:p>
      <w:pPr>
        <w:spacing w:after="0" w:line="3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981" w:right="5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00B2A9"/>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1. Legal Proceedings</w:t>
      </w:r>
    </w:p>
    <w:p>
      <w:pPr>
        <w:spacing w:after="0" w:line="126"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From time to time, we are subject to claims in legal proceedings arising in the normal course of our business. We do not believe that we are currently party to any pending legal action that could reasonably be expected to have a material adverse effect on our business or operating results.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1A. Risk Factors</w:t>
      </w:r>
    </w:p>
    <w:p>
      <w:pPr>
        <w:spacing w:after="0" w:line="112" w:lineRule="exact"/>
        <w:rPr>
          <w:sz w:val="20"/>
          <w:szCs w:val="20"/>
          <w:color w:val="auto"/>
        </w:rPr>
      </w:pPr>
    </w:p>
    <w:p>
      <w:pPr>
        <w:ind w:right="120" w:firstLine="445"/>
        <w:spacing w:after="0" w:line="252"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March 31, 2020, which could materially affect our business, financial condition or future results. Additional risks and uncertainties not currently known to us or that we currently deem to be immaterial also may materially adversely affect our business, financial condition and/or operating results.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2. Unregistered Sale of Equity Securities and Use of Proceeds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purchases of our common stock during the three months ended June 30, 2020.</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3. Defaults upon Senior Securities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4. Mine Safety Disclosures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5. Other Information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6. Exhibits</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9960" w:type="dxa"/>
            <w:vAlign w:val="bottom"/>
            <w:gridSpan w:val="3"/>
          </w:tcPr>
          <w:p>
            <w:pPr>
              <w:ind w:left="4660"/>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211"/>
        </w:trPr>
        <w:tc>
          <w:tcPr>
            <w:tcW w:w="1000" w:type="dxa"/>
            <w:vAlign w:val="bottom"/>
            <w:gridSpan w:val="2"/>
          </w:tcPr>
          <w:p>
            <w:pPr>
              <w:spacing w:after="0"/>
              <w:rPr>
                <w:rFonts w:ascii="Arial" w:cs="Arial" w:eastAsia="Arial" w:hAnsi="Arial"/>
                <w:sz w:val="16"/>
                <w:szCs w:val="16"/>
                <w:u w:val="single" w:color="auto"/>
                <w:color w:val="0000FF"/>
              </w:rPr>
            </w:pPr>
            <w:hyperlink r:id="rId52">
              <w:r>
                <w:rPr>
                  <w:rFonts w:ascii="Arial" w:cs="Arial" w:eastAsia="Arial" w:hAnsi="Arial"/>
                  <w:sz w:val="16"/>
                  <w:szCs w:val="16"/>
                  <w:u w:val="single" w:color="auto"/>
                  <w:color w:val="0000FF"/>
                </w:rPr>
                <w:t>10.1</w:t>
              </w:r>
            </w:hyperlink>
          </w:p>
        </w:tc>
        <w:tc>
          <w:tcPr>
            <w:tcW w:w="100" w:type="dxa"/>
            <w:vAlign w:val="bottom"/>
          </w:tcPr>
          <w:p>
            <w:pPr>
              <w:spacing w:after="0"/>
              <w:rPr>
                <w:sz w:val="18"/>
                <w:szCs w:val="18"/>
                <w:color w:val="auto"/>
              </w:rPr>
            </w:pPr>
          </w:p>
        </w:tc>
        <w:tc>
          <w:tcPr>
            <w:tcW w:w="9960" w:type="dxa"/>
            <w:vAlign w:val="bottom"/>
            <w:gridSpan w:val="3"/>
          </w:tcPr>
          <w:p>
            <w:pPr>
              <w:ind w:left="100"/>
              <w:spacing w:after="0"/>
              <w:rPr>
                <w:sz w:val="20"/>
                <w:szCs w:val="20"/>
                <w:color w:val="auto"/>
              </w:rPr>
            </w:pPr>
            <w:r>
              <w:rPr>
                <w:rFonts w:ascii="Arial" w:cs="Arial" w:eastAsia="Arial" w:hAnsi="Arial"/>
                <w:sz w:val="16"/>
                <w:szCs w:val="16"/>
                <w:color w:val="auto"/>
              </w:rPr>
              <w:t>Agreement, dated as of June 7, 2020, by and among Commvault Systems, Inc., Starboard Value LP and the other parties set forth therein</w:t>
            </w:r>
          </w:p>
        </w:tc>
      </w:tr>
      <w:tr>
        <w:trPr>
          <w:trHeight w:val="195"/>
        </w:trPr>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gridSpan w:val="3"/>
          </w:tcPr>
          <w:p>
            <w:pPr>
              <w:ind w:left="100"/>
              <w:spacing w:after="0"/>
              <w:rPr>
                <w:sz w:val="20"/>
                <w:szCs w:val="20"/>
                <w:color w:val="auto"/>
              </w:rPr>
            </w:pPr>
            <w:r>
              <w:rPr>
                <w:rFonts w:ascii="Arial" w:cs="Arial" w:eastAsia="Arial" w:hAnsi="Arial"/>
                <w:sz w:val="16"/>
                <w:szCs w:val="16"/>
                <w:color w:val="auto"/>
              </w:rPr>
              <w:t>(Incorporated by reference Exhibit 10.1 of Commvault Systems, Inc. Form 8-K dated June 8, 2020).</w:t>
            </w:r>
          </w:p>
        </w:tc>
      </w:tr>
      <w:tr>
        <w:trPr>
          <w:trHeight w:val="229"/>
        </w:trPr>
        <w:tc>
          <w:tcPr>
            <w:tcW w:w="1000" w:type="dxa"/>
            <w:vAlign w:val="bottom"/>
            <w:gridSpan w:val="2"/>
          </w:tcPr>
          <w:p>
            <w:pPr>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31.1</w:t>
              </w:r>
            </w:hyperlink>
          </w:p>
        </w:tc>
        <w:tc>
          <w:tcPr>
            <w:tcW w:w="100" w:type="dxa"/>
            <w:vAlign w:val="bottom"/>
          </w:tcPr>
          <w:p>
            <w:pPr>
              <w:spacing w:after="0"/>
              <w:rPr>
                <w:sz w:val="19"/>
                <w:szCs w:val="19"/>
                <w:color w:val="auto"/>
              </w:rPr>
            </w:pPr>
          </w:p>
        </w:tc>
        <w:tc>
          <w:tcPr>
            <w:tcW w:w="9960" w:type="dxa"/>
            <w:vAlign w:val="bottom"/>
            <w:gridSpan w:val="3"/>
          </w:tcPr>
          <w:p>
            <w:pPr>
              <w:ind w:left="100"/>
              <w:spacing w:after="0"/>
              <w:rPr>
                <w:sz w:val="20"/>
                <w:szCs w:val="20"/>
                <w:color w:val="auto"/>
              </w:rPr>
            </w:pPr>
            <w:r>
              <w:rPr>
                <w:rFonts w:ascii="Arial" w:cs="Arial" w:eastAsia="Arial" w:hAnsi="Arial"/>
                <w:sz w:val="16"/>
                <w:szCs w:val="16"/>
                <w:color w:val="auto"/>
              </w:rPr>
              <w:t>Certification of Chief Executive Officer Pursuant to Section 302 of the Sarbanes-Oxley Act of 2002</w:t>
            </w:r>
          </w:p>
        </w:tc>
      </w:tr>
      <w:tr>
        <w:trPr>
          <w:trHeight w:val="243"/>
        </w:trPr>
        <w:tc>
          <w:tcPr>
            <w:tcW w:w="1000" w:type="dxa"/>
            <w:vAlign w:val="bottom"/>
            <w:gridSpan w:val="2"/>
          </w:tcPr>
          <w:p>
            <w:pPr>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31.2</w:t>
              </w:r>
            </w:hyperlink>
          </w:p>
        </w:tc>
        <w:tc>
          <w:tcPr>
            <w:tcW w:w="100" w:type="dxa"/>
            <w:vAlign w:val="bottom"/>
          </w:tcPr>
          <w:p>
            <w:pPr>
              <w:spacing w:after="0"/>
              <w:rPr>
                <w:sz w:val="21"/>
                <w:szCs w:val="21"/>
                <w:color w:val="auto"/>
              </w:rPr>
            </w:pPr>
          </w:p>
        </w:tc>
        <w:tc>
          <w:tcPr>
            <w:tcW w:w="9960" w:type="dxa"/>
            <w:vAlign w:val="bottom"/>
            <w:gridSpan w:val="3"/>
          </w:tcPr>
          <w:p>
            <w:pPr>
              <w:ind w:left="100"/>
              <w:spacing w:after="0"/>
              <w:rPr>
                <w:sz w:val="20"/>
                <w:szCs w:val="20"/>
                <w:color w:val="auto"/>
              </w:rPr>
            </w:pPr>
            <w:r>
              <w:rPr>
                <w:rFonts w:ascii="Arial" w:cs="Arial" w:eastAsia="Arial" w:hAnsi="Arial"/>
                <w:sz w:val="16"/>
                <w:szCs w:val="16"/>
                <w:color w:val="auto"/>
              </w:rPr>
              <w:t>Certification of Chief Financial Officer Pursuant to Section 302 of the Sarbanes-Oxley Act of 2002</w:t>
            </w:r>
          </w:p>
        </w:tc>
      </w:tr>
      <w:tr>
        <w:trPr>
          <w:trHeight w:val="243"/>
        </w:trPr>
        <w:tc>
          <w:tcPr>
            <w:tcW w:w="1000" w:type="dxa"/>
            <w:vAlign w:val="bottom"/>
            <w:gridSpan w:val="2"/>
          </w:tcPr>
          <w:p>
            <w:pPr>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32.1</w:t>
              </w:r>
            </w:hyperlink>
          </w:p>
        </w:tc>
        <w:tc>
          <w:tcPr>
            <w:tcW w:w="100" w:type="dxa"/>
            <w:vAlign w:val="bottom"/>
          </w:tcPr>
          <w:p>
            <w:pPr>
              <w:spacing w:after="0"/>
              <w:rPr>
                <w:sz w:val="21"/>
                <w:szCs w:val="21"/>
                <w:color w:val="auto"/>
              </w:rPr>
            </w:pPr>
          </w:p>
        </w:tc>
        <w:tc>
          <w:tcPr>
            <w:tcW w:w="9960" w:type="dxa"/>
            <w:vAlign w:val="bottom"/>
            <w:gridSpan w:val="3"/>
          </w:tcPr>
          <w:p>
            <w:pPr>
              <w:ind w:left="100"/>
              <w:spacing w:after="0"/>
              <w:rPr>
                <w:sz w:val="20"/>
                <w:szCs w:val="20"/>
                <w:color w:val="auto"/>
              </w:rPr>
            </w:pPr>
            <w:r>
              <w:rPr>
                <w:rFonts w:ascii="Arial" w:cs="Arial" w:eastAsia="Arial" w:hAnsi="Arial"/>
                <w:sz w:val="16"/>
                <w:szCs w:val="16"/>
                <w:color w:val="auto"/>
              </w:rPr>
              <w:t>Certification of Chief Executive Officer Pursuant to Section 906 of the Sarbanes-Oxley Act of 2002</w:t>
            </w:r>
          </w:p>
        </w:tc>
      </w:tr>
      <w:tr>
        <w:trPr>
          <w:trHeight w:val="243"/>
        </w:trPr>
        <w:tc>
          <w:tcPr>
            <w:tcW w:w="1000" w:type="dxa"/>
            <w:vAlign w:val="bottom"/>
            <w:gridSpan w:val="2"/>
          </w:tcPr>
          <w:p>
            <w:pPr>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32.2</w:t>
              </w:r>
            </w:hyperlink>
          </w:p>
        </w:tc>
        <w:tc>
          <w:tcPr>
            <w:tcW w:w="100" w:type="dxa"/>
            <w:vAlign w:val="bottom"/>
          </w:tcPr>
          <w:p>
            <w:pPr>
              <w:spacing w:after="0"/>
              <w:rPr>
                <w:sz w:val="21"/>
                <w:szCs w:val="21"/>
                <w:color w:val="auto"/>
              </w:rPr>
            </w:pPr>
          </w:p>
        </w:tc>
        <w:tc>
          <w:tcPr>
            <w:tcW w:w="9960" w:type="dxa"/>
            <w:vAlign w:val="bottom"/>
            <w:gridSpan w:val="3"/>
          </w:tcPr>
          <w:p>
            <w:pPr>
              <w:ind w:left="100"/>
              <w:spacing w:after="0"/>
              <w:rPr>
                <w:sz w:val="20"/>
                <w:szCs w:val="20"/>
                <w:color w:val="auto"/>
              </w:rPr>
            </w:pPr>
            <w:r>
              <w:rPr>
                <w:rFonts w:ascii="Arial" w:cs="Arial" w:eastAsia="Arial" w:hAnsi="Arial"/>
                <w:sz w:val="16"/>
                <w:szCs w:val="16"/>
                <w:color w:val="auto"/>
              </w:rPr>
              <w:t>Certification of Chief Financial Officer Pursuant to Section 906 of the Sarbanes-Oxley Act of 2002</w:t>
            </w:r>
          </w:p>
        </w:tc>
      </w:tr>
      <w:tr>
        <w:trPr>
          <w:trHeight w:val="237"/>
        </w:trPr>
        <w:tc>
          <w:tcPr>
            <w:tcW w:w="1100" w:type="dxa"/>
            <w:vAlign w:val="bottom"/>
            <w:gridSpan w:val="3"/>
          </w:tcPr>
          <w:p>
            <w:pPr>
              <w:spacing w:after="0"/>
              <w:rPr>
                <w:sz w:val="20"/>
                <w:szCs w:val="20"/>
                <w:color w:val="auto"/>
              </w:rPr>
            </w:pPr>
            <w:r>
              <w:rPr>
                <w:rFonts w:ascii="Arial" w:cs="Arial" w:eastAsia="Arial" w:hAnsi="Arial"/>
                <w:sz w:val="16"/>
                <w:szCs w:val="16"/>
                <w:color w:val="auto"/>
              </w:rPr>
              <w:t>101.INS</w:t>
            </w:r>
          </w:p>
        </w:tc>
        <w:tc>
          <w:tcPr>
            <w:tcW w:w="9960" w:type="dxa"/>
            <w:vAlign w:val="bottom"/>
            <w:gridSpan w:val="3"/>
          </w:tcPr>
          <w:p>
            <w:pPr>
              <w:ind w:left="100"/>
              <w:spacing w:after="0"/>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195"/>
        </w:trPr>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60" w:type="dxa"/>
            <w:vAlign w:val="bottom"/>
            <w:gridSpan w:val="3"/>
          </w:tcPr>
          <w:p>
            <w:pPr>
              <w:ind w:left="100"/>
              <w:spacing w:after="0"/>
              <w:rPr>
                <w:sz w:val="20"/>
                <w:szCs w:val="20"/>
                <w:color w:val="auto"/>
              </w:rPr>
            </w:pPr>
            <w:r>
              <w:rPr>
                <w:rFonts w:ascii="Arial" w:cs="Arial" w:eastAsia="Arial" w:hAnsi="Arial"/>
                <w:sz w:val="16"/>
                <w:szCs w:val="16"/>
                <w:color w:val="auto"/>
              </w:rPr>
              <w:t>within the Inline XBRL document.</w:t>
            </w:r>
          </w:p>
        </w:tc>
      </w:tr>
      <w:tr>
        <w:trPr>
          <w:trHeight w:val="243"/>
        </w:trPr>
        <w:tc>
          <w:tcPr>
            <w:tcW w:w="1100" w:type="dxa"/>
            <w:vAlign w:val="bottom"/>
            <w:gridSpan w:val="3"/>
          </w:tcPr>
          <w:p>
            <w:pPr>
              <w:spacing w:after="0"/>
              <w:rPr>
                <w:sz w:val="20"/>
                <w:szCs w:val="20"/>
                <w:color w:val="auto"/>
              </w:rPr>
            </w:pPr>
            <w:r>
              <w:rPr>
                <w:rFonts w:ascii="Arial" w:cs="Arial" w:eastAsia="Arial" w:hAnsi="Arial"/>
                <w:sz w:val="16"/>
                <w:szCs w:val="16"/>
                <w:color w:val="auto"/>
              </w:rPr>
              <w:t>101.SCH</w:t>
            </w:r>
          </w:p>
        </w:tc>
        <w:tc>
          <w:tcPr>
            <w:tcW w:w="9960" w:type="dxa"/>
            <w:vAlign w:val="bottom"/>
            <w:gridSpan w:val="3"/>
          </w:tcPr>
          <w:p>
            <w:pPr>
              <w:ind w:left="100"/>
              <w:spacing w:after="0"/>
              <w:rPr>
                <w:sz w:val="20"/>
                <w:szCs w:val="20"/>
                <w:color w:val="auto"/>
              </w:rPr>
            </w:pPr>
            <w:r>
              <w:rPr>
                <w:rFonts w:ascii="Arial" w:cs="Arial" w:eastAsia="Arial" w:hAnsi="Arial"/>
                <w:sz w:val="16"/>
                <w:szCs w:val="16"/>
                <w:color w:val="auto"/>
              </w:rPr>
              <w:t>XBRL Taxonomy Extension Schema Document</w:t>
            </w:r>
          </w:p>
        </w:tc>
      </w:tr>
      <w:tr>
        <w:trPr>
          <w:trHeight w:val="243"/>
        </w:trPr>
        <w:tc>
          <w:tcPr>
            <w:tcW w:w="1100" w:type="dxa"/>
            <w:vAlign w:val="bottom"/>
            <w:gridSpan w:val="3"/>
          </w:tcPr>
          <w:p>
            <w:pPr>
              <w:spacing w:after="0"/>
              <w:rPr>
                <w:sz w:val="20"/>
                <w:szCs w:val="20"/>
                <w:color w:val="auto"/>
              </w:rPr>
            </w:pPr>
            <w:r>
              <w:rPr>
                <w:rFonts w:ascii="Arial" w:cs="Arial" w:eastAsia="Arial" w:hAnsi="Arial"/>
                <w:sz w:val="16"/>
                <w:szCs w:val="16"/>
                <w:color w:val="auto"/>
              </w:rPr>
              <w:t>101.CAL</w:t>
            </w:r>
          </w:p>
        </w:tc>
        <w:tc>
          <w:tcPr>
            <w:tcW w:w="9960" w:type="dxa"/>
            <w:vAlign w:val="bottom"/>
            <w:gridSpan w:val="3"/>
          </w:tcPr>
          <w:p>
            <w:pPr>
              <w:ind w:left="10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43"/>
        </w:trPr>
        <w:tc>
          <w:tcPr>
            <w:tcW w:w="1100" w:type="dxa"/>
            <w:vAlign w:val="bottom"/>
            <w:gridSpan w:val="3"/>
          </w:tcPr>
          <w:p>
            <w:pPr>
              <w:spacing w:after="0"/>
              <w:rPr>
                <w:sz w:val="20"/>
                <w:szCs w:val="20"/>
                <w:color w:val="auto"/>
              </w:rPr>
            </w:pPr>
            <w:r>
              <w:rPr>
                <w:rFonts w:ascii="Arial" w:cs="Arial" w:eastAsia="Arial" w:hAnsi="Arial"/>
                <w:sz w:val="16"/>
                <w:szCs w:val="16"/>
                <w:color w:val="auto"/>
              </w:rPr>
              <w:t>101.DEF</w:t>
            </w:r>
          </w:p>
        </w:tc>
        <w:tc>
          <w:tcPr>
            <w:tcW w:w="9960" w:type="dxa"/>
            <w:vAlign w:val="bottom"/>
            <w:gridSpan w:val="3"/>
          </w:tcPr>
          <w:p>
            <w:pPr>
              <w:ind w:left="100"/>
              <w:spacing w:after="0"/>
              <w:rPr>
                <w:sz w:val="20"/>
                <w:szCs w:val="20"/>
                <w:color w:val="auto"/>
              </w:rPr>
            </w:pPr>
            <w:r>
              <w:rPr>
                <w:rFonts w:ascii="Arial" w:cs="Arial" w:eastAsia="Arial" w:hAnsi="Arial"/>
                <w:sz w:val="16"/>
                <w:szCs w:val="16"/>
                <w:color w:val="auto"/>
              </w:rPr>
              <w:t>XBRL Taxonomy Extension Definition Linkbase Document</w:t>
            </w:r>
          </w:p>
        </w:tc>
      </w:tr>
      <w:tr>
        <w:trPr>
          <w:trHeight w:val="243"/>
        </w:trPr>
        <w:tc>
          <w:tcPr>
            <w:tcW w:w="1100" w:type="dxa"/>
            <w:vAlign w:val="bottom"/>
            <w:gridSpan w:val="3"/>
          </w:tcPr>
          <w:p>
            <w:pPr>
              <w:spacing w:after="0"/>
              <w:rPr>
                <w:sz w:val="20"/>
                <w:szCs w:val="20"/>
                <w:color w:val="auto"/>
              </w:rPr>
            </w:pPr>
            <w:r>
              <w:rPr>
                <w:rFonts w:ascii="Arial" w:cs="Arial" w:eastAsia="Arial" w:hAnsi="Arial"/>
                <w:sz w:val="16"/>
                <w:szCs w:val="16"/>
                <w:color w:val="auto"/>
              </w:rPr>
              <w:t>101.LAB</w:t>
            </w:r>
          </w:p>
        </w:tc>
        <w:tc>
          <w:tcPr>
            <w:tcW w:w="9960" w:type="dxa"/>
            <w:vAlign w:val="bottom"/>
            <w:gridSpan w:val="3"/>
          </w:tcPr>
          <w:p>
            <w:pPr>
              <w:ind w:left="100"/>
              <w:spacing w:after="0"/>
              <w:rPr>
                <w:sz w:val="20"/>
                <w:szCs w:val="20"/>
                <w:color w:val="auto"/>
              </w:rPr>
            </w:pPr>
            <w:r>
              <w:rPr>
                <w:rFonts w:ascii="Arial" w:cs="Arial" w:eastAsia="Arial" w:hAnsi="Arial"/>
                <w:sz w:val="16"/>
                <w:szCs w:val="16"/>
                <w:color w:val="auto"/>
              </w:rPr>
              <w:t>XBRL Taxonomy Extension Label Linkbase Document</w:t>
            </w:r>
          </w:p>
        </w:tc>
      </w:tr>
      <w:tr>
        <w:trPr>
          <w:trHeight w:val="243"/>
        </w:trPr>
        <w:tc>
          <w:tcPr>
            <w:tcW w:w="1100" w:type="dxa"/>
            <w:vAlign w:val="bottom"/>
            <w:gridSpan w:val="3"/>
          </w:tcPr>
          <w:p>
            <w:pPr>
              <w:spacing w:after="0"/>
              <w:rPr>
                <w:sz w:val="20"/>
                <w:szCs w:val="20"/>
                <w:color w:val="auto"/>
              </w:rPr>
            </w:pPr>
            <w:r>
              <w:rPr>
                <w:rFonts w:ascii="Arial" w:cs="Arial" w:eastAsia="Arial" w:hAnsi="Arial"/>
                <w:sz w:val="16"/>
                <w:szCs w:val="16"/>
                <w:color w:val="auto"/>
              </w:rPr>
              <w:t>101.PRE</w:t>
            </w:r>
          </w:p>
        </w:tc>
        <w:tc>
          <w:tcPr>
            <w:tcW w:w="9960" w:type="dxa"/>
            <w:vAlign w:val="bottom"/>
            <w:gridSpan w:val="3"/>
          </w:tcPr>
          <w:p>
            <w:pPr>
              <w:ind w:left="10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48" w:lineRule="exact"/>
        <w:rPr>
          <w:sz w:val="20"/>
          <w:szCs w:val="20"/>
          <w:color w:val="auto"/>
        </w:rPr>
      </w:pPr>
    </w:p>
    <w:p>
      <w:pPr>
        <w:ind w:left="1220" w:hanging="1194"/>
        <w:spacing w:after="0"/>
        <w:tabs>
          <w:tab w:leader="none" w:pos="1220" w:val="left"/>
        </w:tabs>
        <w:numPr>
          <w:ilvl w:val="0"/>
          <w:numId w:val="13"/>
        </w:numPr>
        <w:rPr>
          <w:rFonts w:ascii="Arial" w:cs="Arial" w:eastAsia="Arial" w:hAnsi="Arial"/>
          <w:sz w:val="16"/>
          <w:szCs w:val="16"/>
          <w:color w:val="auto"/>
        </w:rPr>
      </w:pPr>
      <w:r>
        <w:rPr>
          <w:rFonts w:ascii="Arial" w:cs="Arial" w:eastAsia="Arial" w:hAnsi="Arial"/>
          <w:sz w:val="16"/>
          <w:szCs w:val="16"/>
          <w:color w:val="222222"/>
        </w:rPr>
        <w:t>Cover Page Interactive Data File (formatted as Inline XBRL and contained in Exhibit 101)</w:t>
      </w:r>
    </w:p>
    <w:p>
      <w:pPr>
        <w:sectPr>
          <w:pgSz w:w="11900" w:h="16838" w:orient="portrait"/>
          <w:cols w:equalWidth="0" w:num="1">
            <w:col w:w="11220"/>
          </w:cols>
          <w:pgMar w:left="320" w:top="104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7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Commvault Systems, Inc.</w:t>
      </w:r>
    </w:p>
    <w:p>
      <w:pPr>
        <w:spacing w:after="0" w:line="320" w:lineRule="exact"/>
        <w:rPr>
          <w:sz w:val="20"/>
          <w:szCs w:val="20"/>
          <w:color w:val="auto"/>
        </w:rPr>
      </w:pPr>
    </w:p>
    <w:p>
      <w:pPr>
        <w:ind w:left="20"/>
        <w:spacing w:after="0"/>
        <w:tabs>
          <w:tab w:leader="none" w:pos="900" w:val="left"/>
          <w:tab w:leader="none" w:pos="6640" w:val="left"/>
          <w:tab w:leader="none" w:pos="72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14605</wp:posOffset>
            </wp:positionV>
            <wp:extent cx="25203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Sanjay Mirchandani</w:t>
      </w:r>
    </w:p>
    <w:p>
      <w:pPr>
        <w:spacing w:after="0" w:line="5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Director, President and Chief Executive Officer</w:t>
      </w:r>
    </w:p>
    <w:p>
      <w:pPr>
        <w:spacing w:after="0" w:line="320" w:lineRule="exact"/>
        <w:rPr>
          <w:sz w:val="20"/>
          <w:szCs w:val="20"/>
          <w:color w:val="auto"/>
        </w:rPr>
      </w:pPr>
    </w:p>
    <w:p>
      <w:pPr>
        <w:ind w:left="20"/>
        <w:spacing w:after="0"/>
        <w:tabs>
          <w:tab w:leader="none" w:pos="900" w:val="left"/>
          <w:tab w:leader="none" w:pos="6640" w:val="left"/>
          <w:tab w:leader="none" w:pos="72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14605</wp:posOffset>
            </wp:positionV>
            <wp:extent cx="25203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3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Brian Carolan</w:t>
      </w:r>
    </w:p>
    <w:p>
      <w:pPr>
        <w:spacing w:after="0" w:line="5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320" w:top="1048" w:right="5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Sanjay Mirchandani, certify that:</w:t>
      </w:r>
    </w:p>
    <w:p>
      <w:pPr>
        <w:spacing w:after="0" w:line="225"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8"/>
          <w:szCs w:val="18"/>
          <w:color w:val="auto"/>
        </w:rPr>
      </w:pPr>
    </w:p>
    <w:p>
      <w:pPr>
        <w:ind w:left="1300" w:right="20" w:hanging="320"/>
        <w:spacing w:after="0" w:line="250"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540" w:hanging="320"/>
        <w:spacing w:after="0" w:line="265" w:lineRule="auto"/>
        <w:tabs>
          <w:tab w:leader="none" w:pos="129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00" w:right="300" w:hanging="320"/>
        <w:spacing w:after="0" w:line="250" w:lineRule="auto"/>
        <w:tabs>
          <w:tab w:leader="none" w:pos="12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1300" w:right="60" w:hanging="320"/>
        <w:spacing w:after="0" w:line="256"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120" w:hanging="652"/>
        <w:spacing w:after="0" w:line="256"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07" w:lineRule="exact"/>
        <w:rPr>
          <w:rFonts w:ascii="Arial" w:cs="Arial" w:eastAsia="Arial" w:hAnsi="Arial"/>
          <w:sz w:val="18"/>
          <w:szCs w:val="18"/>
          <w:color w:val="auto"/>
        </w:rPr>
      </w:pPr>
    </w:p>
    <w:p>
      <w:pPr>
        <w:jc w:val="both"/>
        <w:ind w:left="1300" w:right="440" w:hanging="320"/>
        <w:spacing w:after="0" w:line="250"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780" w:hanging="320"/>
        <w:spacing w:after="0" w:line="261"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029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Sanjay Mirchandani</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President and 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2020</w:t>
      </w:r>
    </w:p>
    <w:p>
      <w:pPr>
        <w:sectPr>
          <w:pgSz w:w="11900" w:h="16838" w:orient="portrait"/>
          <w:cols w:equalWidth="0" w:num="1">
            <w:col w:w="11240"/>
          </w:cols>
          <w:pgMar w:left="320" w:top="886"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Brian Carolan, certify that:</w:t>
      </w:r>
    </w:p>
    <w:p>
      <w:pPr>
        <w:spacing w:after="0" w:line="225"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8"/>
          <w:szCs w:val="18"/>
          <w:color w:val="auto"/>
        </w:rPr>
      </w:pPr>
    </w:p>
    <w:p>
      <w:pPr>
        <w:ind w:left="1300" w:right="20" w:hanging="320"/>
        <w:spacing w:after="0" w:line="250"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540" w:hanging="320"/>
        <w:spacing w:after="0" w:line="265" w:lineRule="auto"/>
        <w:tabs>
          <w:tab w:leader="none" w:pos="129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00" w:right="300" w:hanging="320"/>
        <w:spacing w:after="0" w:line="250" w:lineRule="auto"/>
        <w:tabs>
          <w:tab w:leader="none" w:pos="1294"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ind w:left="1300" w:right="60" w:hanging="320"/>
        <w:spacing w:after="0" w:line="256"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120" w:hanging="652"/>
        <w:spacing w:after="0" w:line="256"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07" w:lineRule="exact"/>
        <w:rPr>
          <w:rFonts w:ascii="Arial" w:cs="Arial" w:eastAsia="Arial" w:hAnsi="Arial"/>
          <w:sz w:val="18"/>
          <w:szCs w:val="18"/>
          <w:color w:val="auto"/>
        </w:rPr>
      </w:pPr>
    </w:p>
    <w:p>
      <w:pPr>
        <w:jc w:val="both"/>
        <w:ind w:left="1300" w:right="440" w:hanging="320"/>
        <w:spacing w:after="0" w:line="250"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780" w:hanging="320"/>
        <w:spacing w:after="0" w:line="261"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029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Carolan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2020</w:t>
      </w:r>
    </w:p>
    <w:p>
      <w:pPr>
        <w:sectPr>
          <w:pgSz w:w="11900" w:h="16838" w:orient="portrait"/>
          <w:cols w:equalWidth="0" w:num="1">
            <w:col w:w="11240"/>
          </w:cols>
          <w:pgMar w:left="320" w:top="886"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280" w:firstLine="445"/>
        <w:spacing w:after="0" w:line="278" w:lineRule="auto"/>
        <w:rPr>
          <w:sz w:val="20"/>
          <w:szCs w:val="20"/>
          <w:color w:val="auto"/>
        </w:rPr>
      </w:pPr>
      <w:r>
        <w:rPr>
          <w:rFonts w:ascii="Arial" w:cs="Arial" w:eastAsia="Arial" w:hAnsi="Arial"/>
          <w:sz w:val="17"/>
          <w:szCs w:val="17"/>
          <w:color w:val="auto"/>
        </w:rPr>
        <w:t>In connection with the Quarterly Report of Commvault Systems, Inc. (the “Company”) on Form 10-Q for the period ended June 30, 2020 as filed with the Securities and Exchange Commission (the “Report”), I, Sanjay Mirchandani, Director, President and Chief Executive Officer of the Company, certify, pursuant to 18 U.S.C. § 1350, as adopted pursuant to § 906 of the Sarbanes-Oxley Act of 2002, that:</w:t>
      </w:r>
    </w:p>
    <w:p>
      <w:pPr>
        <w:spacing w:after="0" w:line="90" w:lineRule="exact"/>
        <w:rPr>
          <w:sz w:val="20"/>
          <w:szCs w:val="20"/>
          <w:color w:val="auto"/>
        </w:rPr>
      </w:pPr>
    </w:p>
    <w:p>
      <w:pPr>
        <w:ind w:left="560" w:hanging="309"/>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580" w:right="100" w:hanging="329"/>
        <w:spacing w:after="0" w:line="261" w:lineRule="auto"/>
        <w:tabs>
          <w:tab w:leader="none" w:pos="5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029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Sanjay Mirchandani</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President and 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July 29, 2020</w:t>
      </w:r>
    </w:p>
    <w:p>
      <w:pPr>
        <w:sectPr>
          <w:pgSz w:w="11900" w:h="16838" w:orient="portrait"/>
          <w:cols w:equalWidth="0" w:num="1">
            <w:col w:w="11240"/>
          </w:cols>
          <w:pgMar w:left="320" w:top="886"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connection with the Quarterly Report of Commvault Systems, Inc. (the “Company”) on Form 10-Q for the period ended June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 as filed with the Securities and Exchange Commission (the “Report”), I, Brian Carolan, Vice President and Chief Financial Officer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certify, pursuant to 18 U.S.C. § 1350, as adopted pursuant to § 906 of the Sarbanes-Oxley Act of 2002, that:</w:t>
      </w:r>
    </w:p>
    <w:p>
      <w:pPr>
        <w:spacing w:after="0" w:line="131" w:lineRule="exact"/>
        <w:rPr>
          <w:sz w:val="20"/>
          <w:szCs w:val="20"/>
          <w:color w:val="auto"/>
        </w:rPr>
      </w:pPr>
    </w:p>
    <w:p>
      <w:pPr>
        <w:ind w:left="560" w:hanging="309"/>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580" w:right="100" w:hanging="329"/>
        <w:spacing w:after="0" w:line="261" w:lineRule="auto"/>
        <w:tabs>
          <w:tab w:leader="none" w:pos="5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029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Carolan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July 29, 2020</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endash "/>
      <w:numFmt w:val="bullet"/>
      <w:start w:val="1"/>
    </w:lvl>
    <w:lvl w:ilvl="1">
      <w:lvlJc w:val="left"/>
      <w:lvlText w:val="•"/>
      <w:numFmt w:val="bullet"/>
      <w:start w:val="1"/>
    </w:lvl>
    <w:lvl w:ilvl="2">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endash "/>
      <w:numFmt w:val="bullet"/>
      <w:start w:val="1"/>
    </w:lvl>
  </w:abstractNum>
  <w:abstractNum w:abstractNumId="9">
    <w:nsid w:val="109CF92E"/>
    <w:multiLevelType w:val="hybridMultilevel"/>
    <w:lvl w:ilvl="0">
      <w:lvlJc w:val="left"/>
      <w:lvlText w:val="\endash "/>
      <w:numFmt w:val="bullet"/>
      <w:start w:val="1"/>
    </w:lvl>
    <w:lvl w:ilvl="1">
      <w:lvlJc w:val="left"/>
      <w:lvlText w:val="•"/>
      <w:numFmt w:val="bullet"/>
      <w:start w:val="1"/>
    </w:lvl>
  </w:abstractNum>
  <w:abstractNum w:abstractNumId="10">
    <w:nsid w:val="DED7263"/>
    <w:multiLevelType w:val="hybridMultilevel"/>
    <w:lvl w:ilvl="0">
      <w:lvlJc w:val="left"/>
      <w:lvlText w:val="\endash "/>
      <w:numFmt w:val="bullet"/>
      <w:start w:val="1"/>
    </w:lvl>
  </w:abstractNum>
  <w:abstractNum w:abstractNumId="11">
    <w:nsid w:val="7FDCC233"/>
    <w:multiLevelType w:val="hybridMultilevel"/>
    <w:lvl w:ilvl="0">
      <w:lvlJc w:val="left"/>
      <w:lvlText w:val="\endash "/>
      <w:numFmt w:val="bullet"/>
      <w:start w:val="1"/>
    </w:lvl>
  </w:abstractNum>
  <w:abstractNum w:abstractNumId="12">
    <w:nsid w:val="1BEFD79F"/>
    <w:multiLevelType w:val="hybridMultilevel"/>
    <w:lvl w:ilvl="0">
      <w:lvlJc w:val="left"/>
      <w:lvlText w:val="%1"/>
      <w:numFmt w:val="decimal"/>
      <w:start w:val="10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52" Type="http://schemas.openxmlformats.org/officeDocument/2006/relationships/hyperlink" Target="http://www.sec.gov/Archives/edgar/data/1169561/000095014220001523/eh2000814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2020-07-29T15:16:33Z</dcterms:created>
  <dcterms:modified xsi:type="dcterms:W3CDTF">2020-07-29T15:16:33Z</dcterms:modified>
</cp:coreProperties>
</file>