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327.xml.htm"/>
      <w:bookmarkStart w:id="1" w:name="kswkform4_17871753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Mirchandani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COMMVAULT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TINTON FALLS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COMMVAULT SYSTEMS INC</w:t>
              </w:r>
            </w:hyperlink>
            <w:r>
              <w:rPr/>
              <w:t xml:space="preserve"> [ </w:t>
            </w:r>
            <w:r>
              <w:rPr>
                <w:rFonts w:ascii="Times;serif" w:hAnsi="Times;serif"/>
                <w:color w:val="0000FF"/>
                <w:sz w:val="24"/>
                <w:shd w:fill="FFFFFF" w:val="clear"/>
              </w:rPr>
              <w:t>CVLT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143.98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269,373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143.64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142.8</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257,676</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an existing Rule 10b5-1 trading plan adopted by the reporting person on December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automatically sold solely to satisfy tax withholding obligations of reporting person on vesting of restricted and performance stock. Proceeds from the sale were submitted to the Internal Revenue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Danielle Abrahamsen,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5820" TargetMode="External"/><Relationship Id="rId5" Type="http://schemas.openxmlformats.org/officeDocument/2006/relationships/hyperlink" Target="http://www.sec.gov/cgi-bin/browse-edgar?action=getcompany&amp;CIK=00011695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3493</Characters>
  <CharactersWithSpaces>4048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