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5361.xml.htm"/>
      <w:bookmarkStart w:id="1" w:name="kswkform4_17871753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Merrill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COMMVAULT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TINTON FALLS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07724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COMMVAULT SYSTEMS INC</w:t>
              </w:r>
            </w:hyperlink>
            <w:r>
              <w:rPr/>
              <w:t xml:space="preserve"> [ </w:t>
            </w:r>
            <w:r>
              <w:rPr>
                <w:rFonts w:ascii="Times;serif" w:hAnsi="Times;serif"/>
                <w:color w:val="0000FF"/>
                <w:sz w:val="24"/>
                <w:shd w:fill="FFFFFF" w:val="clear"/>
              </w:rPr>
              <w:t>CVLT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143.64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70,921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142.8</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69,628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solely to satisfy tax withholding obligations of reporting person on vesting of restricted and performance stock. Proceeds from the sale were submitted to the Internal Revenue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an existing Rule 10b5-1 trading plan adopted by the reporting person on November 20, 2024, as amended on June 13,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Danielle Abrahamsen,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0814" TargetMode="External"/><Relationship Id="rId5" Type="http://schemas.openxmlformats.org/officeDocument/2006/relationships/hyperlink" Target="http://www.sec.gov/cgi-bin/browse-edgar?action=getcompany&amp;CIK=00011695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3469</Characters>
  <CharactersWithSpaces>4029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