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229235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240665</wp:posOffset>
            </wp:positionV>
            <wp:extent cx="379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334645</wp:posOffset>
            </wp:positionV>
            <wp:extent cx="219456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COMMVAULT SYSTEMS,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Delaware</w:t>
            </w:r>
          </w:p>
        </w:tc>
        <w:tc>
          <w:tcPr>
            <w:tcW w:w="5500" w:type="dxa"/>
            <w:vAlign w:val="bottom"/>
          </w:tcPr>
          <w:p>
            <w:pPr>
              <w:jc w:val="center"/>
              <w:ind w:right="436"/>
              <w:spacing w:after="0"/>
              <w:rPr>
                <w:sz w:val="20"/>
                <w:szCs w:val="20"/>
                <w:color w:val="auto"/>
              </w:rPr>
            </w:pPr>
            <w:r>
              <w:rPr>
                <w:rFonts w:ascii="Arial" w:cs="Arial" w:eastAsia="Arial" w:hAnsi="Arial"/>
                <w:sz w:val="18"/>
                <w:szCs w:val="18"/>
                <w:b w:val="1"/>
                <w:bCs w:val="1"/>
                <w:color w:val="auto"/>
                <w:w w:val="99"/>
              </w:rPr>
              <w:t>1-33026</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22-3447504</w:t>
            </w:r>
          </w:p>
        </w:tc>
      </w:tr>
      <w:tr>
        <w:trPr>
          <w:trHeight w:val="189"/>
        </w:trPr>
        <w:tc>
          <w:tcPr>
            <w:tcW w:w="2320" w:type="dxa"/>
            <w:vAlign w:val="bottom"/>
            <w:gridSpan w:val="2"/>
          </w:tcPr>
          <w:p>
            <w:pPr>
              <w:spacing w:after="0" w:line="189" w:lineRule="exact"/>
              <w:rPr>
                <w:sz w:val="20"/>
                <w:szCs w:val="20"/>
                <w:color w:val="auto"/>
              </w:rPr>
            </w:pPr>
            <w:r>
              <w:rPr>
                <w:rFonts w:ascii="Arial" w:cs="Arial" w:eastAsia="Arial" w:hAnsi="Arial"/>
                <w:sz w:val="18"/>
                <w:szCs w:val="18"/>
                <w:color w:val="auto"/>
              </w:rPr>
              <w:t>(State or other jurisdiction</w:t>
            </w:r>
          </w:p>
        </w:tc>
        <w:tc>
          <w:tcPr>
            <w:tcW w:w="5500" w:type="dxa"/>
            <w:vAlign w:val="bottom"/>
          </w:tcPr>
          <w:p>
            <w:pPr>
              <w:ind w:left="1940"/>
              <w:spacing w:after="0" w:line="189" w:lineRule="exact"/>
              <w:rPr>
                <w:sz w:val="20"/>
                <w:szCs w:val="20"/>
                <w:color w:val="auto"/>
              </w:rPr>
            </w:pPr>
            <w:r>
              <w:rPr>
                <w:rFonts w:ascii="Arial" w:cs="Arial" w:eastAsia="Arial" w:hAnsi="Arial"/>
                <w:sz w:val="18"/>
                <w:szCs w:val="18"/>
                <w:color w:val="auto"/>
              </w:rPr>
              <w:t>(Commission</w:t>
            </w:r>
          </w:p>
        </w:tc>
        <w:tc>
          <w:tcPr>
            <w:tcW w:w="1460" w:type="dxa"/>
            <w:vAlign w:val="bottom"/>
          </w:tcPr>
          <w:p>
            <w:pPr>
              <w:ind w:left="80"/>
              <w:spacing w:after="0" w:line="189" w:lineRule="exact"/>
              <w:rPr>
                <w:sz w:val="20"/>
                <w:szCs w:val="20"/>
                <w:color w:val="auto"/>
              </w:rPr>
            </w:pPr>
            <w:r>
              <w:rPr>
                <w:rFonts w:ascii="Arial" w:cs="Arial" w:eastAsia="Arial" w:hAnsi="Arial"/>
                <w:sz w:val="18"/>
                <w:szCs w:val="18"/>
                <w:color w:val="auto"/>
              </w:rPr>
              <w:t>(I.R.S. Employer</w:t>
            </w:r>
          </w:p>
        </w:tc>
      </w:tr>
      <w:tr>
        <w:trPr>
          <w:trHeight w:val="239"/>
        </w:trPr>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of incorporation)</w:t>
            </w:r>
          </w:p>
        </w:tc>
        <w:tc>
          <w:tcPr>
            <w:tcW w:w="5500" w:type="dxa"/>
            <w:vAlign w:val="bottom"/>
          </w:tcPr>
          <w:p>
            <w:pPr>
              <w:jc w:val="center"/>
              <w:ind w:right="416"/>
              <w:spacing w:after="0"/>
              <w:rPr>
                <w:sz w:val="20"/>
                <w:szCs w:val="20"/>
                <w:color w:val="auto"/>
              </w:rPr>
            </w:pPr>
            <w:r>
              <w:rPr>
                <w:rFonts w:ascii="Arial" w:cs="Arial" w:eastAsia="Arial" w:hAnsi="Arial"/>
                <w:sz w:val="18"/>
                <w:szCs w:val="18"/>
                <w:color w:val="auto"/>
                <w:w w:val="99"/>
              </w:rPr>
              <w:t>File Number)</w:t>
            </w:r>
          </w:p>
        </w:tc>
        <w:tc>
          <w:tcPr>
            <w:tcW w:w="1460" w:type="dxa"/>
            <w:vAlign w:val="bottom"/>
          </w:tcPr>
          <w:p>
            <w:pPr>
              <w:ind w:left="60"/>
              <w:spacing w:after="0"/>
              <w:rPr>
                <w:sz w:val="20"/>
                <w:szCs w:val="20"/>
                <w:color w:val="auto"/>
              </w:rPr>
            </w:pPr>
            <w:r>
              <w:rPr>
                <w:rFonts w:ascii="Arial" w:cs="Arial" w:eastAsia="Arial" w:hAnsi="Arial"/>
                <w:sz w:val="18"/>
                <w:szCs w:val="18"/>
                <w:color w:val="auto"/>
                <w:w w:val="98"/>
              </w:rPr>
              <w:t>Identification No.)</w:t>
            </w:r>
          </w:p>
        </w:tc>
      </w:tr>
      <w:tr>
        <w:trPr>
          <w:trHeight w:val="427"/>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b w:val="1"/>
                <w:bCs w:val="1"/>
                <w:color w:val="auto"/>
              </w:rPr>
              <w:t>1 Commvault Way</w:t>
            </w:r>
          </w:p>
        </w:tc>
        <w:tc>
          <w:tcPr>
            <w:tcW w:w="14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Tinton Falls, New Jersey 07724</w:t>
            </w:r>
          </w:p>
        </w:tc>
        <w:tc>
          <w:tcPr>
            <w:tcW w:w="1460" w:type="dxa"/>
            <w:vAlign w:val="bottom"/>
          </w:tcPr>
          <w:p>
            <w:pPr>
              <w:spacing w:after="0"/>
              <w:rPr>
                <w:sz w:val="17"/>
                <w:szCs w:val="17"/>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color w:val="auto"/>
              </w:rPr>
              <w:t>(Address of principal executive offices) (Zip Code)</w:t>
            </w:r>
          </w:p>
        </w:tc>
        <w:tc>
          <w:tcPr>
            <w:tcW w:w="1460" w:type="dxa"/>
            <w:vAlign w:val="bottom"/>
          </w:tcPr>
          <w:p>
            <w:pPr>
              <w:spacing w:after="0"/>
              <w:rPr>
                <w:sz w:val="18"/>
                <w:szCs w:val="18"/>
                <w:color w:val="auto"/>
              </w:rPr>
            </w:pPr>
          </w:p>
        </w:tc>
      </w:tr>
      <w:tr>
        <w:trPr>
          <w:trHeight w:val="420"/>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732) 870-4000</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8"/>
                <w:szCs w:val="18"/>
                <w:color w:val="auto"/>
              </w:rPr>
            </w:pPr>
          </w:p>
        </w:tc>
      </w:tr>
      <w:tr>
        <w:trPr>
          <w:trHeight w:val="406"/>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Not Applicable</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(Former name or former address, if changed since last report.)</w:t>
            </w:r>
          </w:p>
        </w:tc>
        <w:tc>
          <w:tcPr>
            <w:tcW w:w="1460" w:type="dxa"/>
            <w:vAlign w:val="bottom"/>
          </w:tcPr>
          <w:p>
            <w:pPr>
              <w:spacing w:after="0"/>
              <w:rPr>
                <w:sz w:val="18"/>
                <w:szCs w:val="18"/>
                <w:color w:val="auto"/>
              </w:rPr>
            </w:pPr>
          </w:p>
        </w:tc>
      </w:tr>
      <w:tr>
        <w:trPr>
          <w:trHeight w:val="110"/>
        </w:trPr>
        <w:tc>
          <w:tcPr>
            <w:tcW w:w="18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r>
    </w:tbl>
    <w:p>
      <w:pPr>
        <w:spacing w:after="0" w:line="13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 below):</w:t>
      </w:r>
    </w:p>
    <w:p>
      <w:pPr>
        <w:spacing w:after="0" w:line="109"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315" w:lineRule="exact"/>
        <w:rPr>
          <w:sz w:val="24"/>
          <w:szCs w:val="24"/>
          <w:color w:val="auto"/>
        </w:rPr>
      </w:pPr>
    </w:p>
    <w:p>
      <w:pPr>
        <w:ind w:right="200"/>
        <w:spacing w:after="0" w:line="30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89" w:lineRule="exact"/>
        <w:rPr>
          <w:sz w:val="24"/>
          <w:szCs w:val="24"/>
          <w:color w:val="auto"/>
        </w:rPr>
      </w:pPr>
    </w:p>
    <w:p>
      <w:pPr>
        <w:ind w:right="3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ind w:right="2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Appointment</w:t>
      </w:r>
    </w:p>
    <w:p>
      <w:pPr>
        <w:spacing w:after="0" w:line="225" w:lineRule="exact"/>
        <w:rPr>
          <w:sz w:val="20"/>
          <w:szCs w:val="20"/>
          <w:color w:val="auto"/>
        </w:rPr>
      </w:pPr>
    </w:p>
    <w:p>
      <w:pPr>
        <w:jc w:val="both"/>
        <w:ind w:firstLine="778"/>
        <w:spacing w:after="0" w:line="276" w:lineRule="auto"/>
        <w:rPr>
          <w:sz w:val="20"/>
          <w:szCs w:val="20"/>
          <w:color w:val="auto"/>
        </w:rPr>
      </w:pPr>
      <w:r>
        <w:rPr>
          <w:rFonts w:ascii="Arial" w:cs="Arial" w:eastAsia="Arial" w:hAnsi="Arial"/>
          <w:sz w:val="18"/>
          <w:szCs w:val="18"/>
          <w:color w:val="auto"/>
        </w:rPr>
        <w:t>On October 17, 2025, Mr. Geoff Haydon was appointed to the board of directors (the “Board”) of Commvault Systems, Inc. (the “Company” or “Commvault”), to hold office until the Company’s 2026 Annual Meeting of Stockholders. Mr. Haydon was also appointed to the Audit Committee.</w:t>
      </w:r>
    </w:p>
    <w:p>
      <w:pPr>
        <w:spacing w:after="0" w:line="204" w:lineRule="exact"/>
        <w:rPr>
          <w:sz w:val="20"/>
          <w:szCs w:val="20"/>
          <w:color w:val="auto"/>
        </w:rPr>
      </w:pPr>
    </w:p>
    <w:p>
      <w:pPr>
        <w:jc w:val="both"/>
        <w:ind w:firstLine="778"/>
        <w:spacing w:after="0" w:line="271" w:lineRule="auto"/>
        <w:rPr>
          <w:sz w:val="20"/>
          <w:szCs w:val="20"/>
          <w:color w:val="auto"/>
        </w:rPr>
      </w:pPr>
      <w:r>
        <w:rPr>
          <w:rFonts w:ascii="Arial" w:cs="Arial" w:eastAsia="Arial" w:hAnsi="Arial"/>
          <w:sz w:val="18"/>
          <w:szCs w:val="18"/>
          <w:color w:val="auto"/>
        </w:rPr>
        <w:t>Mr. Haydon’s extensive experience leading global cybersecurity businesses and scaling enterprise technology companies provides significant value to our Board. He has been Chief Executive Officer of Ontinue, an MDR company, since its 2023 spin-off from Open Systems. At Open Systems, Mr. Haydon served as Executive Chairman from 2023 to 2024 and Chief Executive Officer from 2021 to 2022. Previously, he led VMware’s Carbon Black/Security Business Unit as Senior Vice President from 2020 to 2021 and was Chief Revenue Officer at Secureworks from 2018 to 2021. Earlier, he served as Chief Executive Officer at Absolute Software from 2014 to 2018.</w:t>
      </w:r>
    </w:p>
    <w:p>
      <w:pPr>
        <w:spacing w:after="0" w:line="195" w:lineRule="exact"/>
        <w:rPr>
          <w:sz w:val="20"/>
          <w:szCs w:val="20"/>
          <w:color w:val="auto"/>
        </w:rPr>
      </w:pPr>
    </w:p>
    <w:p>
      <w:pPr>
        <w:jc w:val="both"/>
        <w:ind w:firstLine="778"/>
        <w:spacing w:after="0" w:line="267" w:lineRule="auto"/>
        <w:rPr>
          <w:sz w:val="20"/>
          <w:szCs w:val="20"/>
          <w:color w:val="auto"/>
        </w:rPr>
      </w:pPr>
      <w:r>
        <w:rPr>
          <w:rFonts w:ascii="Arial" w:cs="Arial" w:eastAsia="Arial" w:hAnsi="Arial"/>
          <w:sz w:val="18"/>
          <w:szCs w:val="18"/>
          <w:color w:val="auto"/>
        </w:rPr>
        <w:t>Mr. Haydon is eligible to receive an annual director retainer consisting of cash and restricted stock units, each in accordance with Commvault’s non-employee director compensation policy, prorated to reflect his partial year term as a director. Commvault’s non-employee director compensation policy is described under the heading “Director Compensation” on page 23 of Commvault’s definitive proxy statement on Schedule 14A for its 2025 Annual Meeting of Stockholders, as filed with the U.S. Securities and Exchange Commission (the “SEC”) on June 25, 2025, and which is incorporated by reference herein. Mr. Haydon has also entered into a director indemnification agreement with Commvault, the form of which is filed as Exhibit 10.3 to Commvault’s Annual Report on Form 10-K for the fiscal year ended March 31, 2022 filed with the SEC on May 6, 2022, and which is incorporated by reference herein.</w:t>
      </w:r>
    </w:p>
    <w:p>
      <w:pPr>
        <w:spacing w:after="0" w:line="211" w:lineRule="exact"/>
        <w:rPr>
          <w:sz w:val="20"/>
          <w:szCs w:val="20"/>
          <w:color w:val="auto"/>
        </w:rPr>
      </w:pPr>
    </w:p>
    <w:p>
      <w:pPr>
        <w:jc w:val="both"/>
        <w:ind w:firstLine="778"/>
        <w:spacing w:after="0" w:line="273" w:lineRule="auto"/>
        <w:rPr>
          <w:sz w:val="20"/>
          <w:szCs w:val="20"/>
          <w:color w:val="auto"/>
        </w:rPr>
      </w:pPr>
      <w:r>
        <w:rPr>
          <w:rFonts w:ascii="Arial" w:cs="Arial" w:eastAsia="Arial" w:hAnsi="Arial"/>
          <w:sz w:val="18"/>
          <w:szCs w:val="18"/>
          <w:color w:val="auto"/>
        </w:rPr>
        <w:t>In connection with this appointment, the Board determined that Mr. Haydon is independent within the meaning of the listing standards of Nasdaq and for purposes of Rule 10A-3(b)(1) under the Securities Exchange Act of 1934, as amended. There is no arrangement or understanding between Mr. Haydon and any person pursuant to which he was selected as a director of Commvault. There are no transactions in which Mr. Haydon has an interest requiring disclosure under Item 404(a) of Regulation S-K.</w:t>
      </w:r>
    </w:p>
    <w:p>
      <w:pPr>
        <w:spacing w:after="0" w:line="192" w:lineRule="exact"/>
        <w:rPr>
          <w:sz w:val="20"/>
          <w:szCs w:val="20"/>
          <w:color w:val="auto"/>
        </w:rPr>
      </w:pPr>
    </w:p>
    <w:p>
      <w:pPr>
        <w:jc w:val="both"/>
        <w:ind w:firstLine="778"/>
        <w:spacing w:after="0" w:line="303" w:lineRule="auto"/>
        <w:rPr>
          <w:sz w:val="20"/>
          <w:szCs w:val="20"/>
          <w:color w:val="auto"/>
        </w:rPr>
      </w:pPr>
      <w:r>
        <w:rPr>
          <w:rFonts w:ascii="Arial" w:cs="Arial" w:eastAsia="Arial" w:hAnsi="Arial"/>
          <w:sz w:val="18"/>
          <w:szCs w:val="18"/>
          <w:color w:val="auto"/>
        </w:rPr>
        <w:t>A copy of the press release announcing Mr. Haydon’s appointment is attached as Exhibit 99.1 hereto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Resignation</w:t>
      </w:r>
    </w:p>
    <w:p>
      <w:pPr>
        <w:spacing w:after="0" w:line="225" w:lineRule="exact"/>
        <w:rPr>
          <w:sz w:val="20"/>
          <w:szCs w:val="20"/>
          <w:color w:val="auto"/>
        </w:rPr>
      </w:pPr>
    </w:p>
    <w:p>
      <w:pPr>
        <w:jc w:val="both"/>
        <w:ind w:firstLine="778"/>
        <w:spacing w:after="0" w:line="273" w:lineRule="auto"/>
        <w:rPr>
          <w:sz w:val="20"/>
          <w:szCs w:val="20"/>
          <w:color w:val="auto"/>
        </w:rPr>
      </w:pPr>
      <w:r>
        <w:rPr>
          <w:rFonts w:ascii="Arial" w:cs="Arial" w:eastAsia="Arial" w:hAnsi="Arial"/>
          <w:sz w:val="18"/>
          <w:szCs w:val="18"/>
          <w:color w:val="auto"/>
        </w:rPr>
        <w:t>On October 15, 2025, Ms. Allison Pickens notified the Board of her decision to resign in order to focus on her venture capital firm, Allison Pickens Ventures, where she serves as Founder and Managing Director. The Board thanks Ms. Pickens for her service to the Company. Ms. Pickens’ resignation from the Board was not associated with or attributable to any disagreement with the Company, the Company’s management, or any other member of the Board.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80" w:type="dxa"/>
            <w:vAlign w:val="bottom"/>
          </w:tcPr>
          <w:p>
            <w:pPr>
              <w:spacing w:after="0"/>
              <w:rPr>
                <w:sz w:val="16"/>
                <w:szCs w:val="16"/>
                <w:color w:val="auto"/>
              </w:rPr>
            </w:pPr>
          </w:p>
        </w:tc>
        <w:tc>
          <w:tcPr>
            <w:tcW w:w="3240" w:type="dxa"/>
            <w:vAlign w:val="bottom"/>
            <w:gridSpan w:val="3"/>
          </w:tcPr>
          <w:p>
            <w:pPr>
              <w:ind w:left="4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gridSpan w:val="3"/>
          </w:tcPr>
          <w:p>
            <w:pPr>
              <w:ind w:left="400"/>
              <w:spacing w:after="0"/>
              <w:rPr>
                <w:sz w:val="20"/>
                <w:szCs w:val="20"/>
                <w:color w:val="auto"/>
              </w:rPr>
            </w:pPr>
            <w:r>
              <w:rPr>
                <w:rFonts w:ascii="Arial" w:cs="Arial" w:eastAsia="Arial" w:hAnsi="Arial"/>
                <w:sz w:val="16"/>
                <w:szCs w:val="16"/>
                <w:color w:val="auto"/>
              </w:rPr>
              <w:t>Press Release dated October 20, 2025.</w:t>
            </w:r>
          </w:p>
        </w:tc>
      </w:tr>
    </w:tbl>
    <w:p>
      <w:pPr>
        <w:spacing w:after="0" w:line="26" w:lineRule="exact"/>
        <w:rPr>
          <w:sz w:val="20"/>
          <w:szCs w:val="20"/>
          <w:color w:val="auto"/>
        </w:rPr>
      </w:pPr>
    </w:p>
    <w:p>
      <w:pPr>
        <w:ind w:left="1660" w:hanging="1634"/>
        <w:spacing w:after="0"/>
        <w:tabs>
          <w:tab w:leader="none" w:pos="1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COMMVAULT SYSTEMS, INC.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3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20, 2025</w:t>
      </w:r>
      <w:r>
        <w:rPr>
          <w:sz w:val="20"/>
          <w:szCs w:val="20"/>
          <w:color w:val="auto"/>
        </w:rPr>
        <w:tab/>
      </w:r>
      <w:r>
        <w:rPr>
          <w:rFonts w:ascii="Arial" w:cs="Arial" w:eastAsia="Arial" w:hAnsi="Arial"/>
          <w:sz w:val="26"/>
          <w:szCs w:val="26"/>
          <w:color w:val="auto"/>
          <w:vertAlign w:val="superscript"/>
        </w:rPr>
        <w:t>/s/ Danielle Sheer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-22860</wp:posOffset>
            </wp:positionV>
            <wp:extent cx="28289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Name: Danielle Sheer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Chief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1417" w:right="599" w:bottom="1440" w:gutter="0" w:footer="0" w:header="0"/>
        </w:sectPr>
      </w:pPr>
    </w:p>
    <w:bookmarkStart w:id="4" w:name="page5"/>
    <w:bookmarkEnd w:id="4"/>
    <w:p>
      <w:pPr>
        <w:spacing w:after="0" w:line="35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Media Contact: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-1020445</wp:posOffset>
            </wp:positionV>
            <wp:extent cx="16459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308610"/>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4960" w:space="720"/>
            <w:col w:w="5500"/>
          </w:cols>
          <w:pgMar w:left="320" w:top="1440" w:right="399" w:bottom="1440" w:gutter="0" w:footer="0" w:header="0"/>
        </w:sectPr>
      </w:pPr>
    </w:p>
    <w:p>
      <w:pPr>
        <w:ind w:left="80"/>
        <w:spacing w:after="0"/>
        <w:rPr>
          <w:sz w:val="20"/>
          <w:szCs w:val="20"/>
          <w:color w:val="auto"/>
        </w:rPr>
      </w:pPr>
      <w:r>
        <w:rPr>
          <w:rFonts w:ascii="Arial" w:cs="Arial" w:eastAsia="Arial" w:hAnsi="Arial"/>
          <w:sz w:val="17"/>
          <w:szCs w:val="17"/>
          <w:color w:val="auto"/>
        </w:rPr>
        <w:t>Kevin Komiega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Michael J. Melnyk, CFA</w:t>
      </w:r>
    </w:p>
    <w:p>
      <w:pPr>
        <w:spacing w:after="0" w:line="43"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Commvault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7"/>
          <w:szCs w:val="17"/>
          <w:color w:val="auto"/>
        </w:rPr>
        <w:t>Commvault</w:t>
      </w:r>
    </w:p>
    <w:p>
      <w:pPr>
        <w:spacing w:after="0" w:line="38"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978-834-6898</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color w:val="auto"/>
        </w:rPr>
        <w:t>kkomiega@commvault.com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646-522-6160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mmelnyk@commvault.com</w:t>
      </w:r>
    </w:p>
    <w:p>
      <w:pPr>
        <w:spacing w:after="0" w:line="200"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Commvault Appoints Geoff Haydon to Board of Directors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Veteran security executive and MDR pioneer joins Commvault</w:t>
      </w:r>
    </w:p>
    <w:p>
      <w:pPr>
        <w:spacing w:after="0" w:line="241" w:lineRule="exact"/>
        <w:rPr>
          <w:sz w:val="20"/>
          <w:szCs w:val="20"/>
          <w:color w:val="auto"/>
        </w:rPr>
      </w:pPr>
    </w:p>
    <w:p>
      <w:pPr>
        <w:ind w:right="160"/>
        <w:spacing w:after="0" w:line="270" w:lineRule="auto"/>
        <w:rPr>
          <w:sz w:val="20"/>
          <w:szCs w:val="20"/>
          <w:color w:val="auto"/>
        </w:rPr>
      </w:pPr>
      <w:r>
        <w:rPr>
          <w:rFonts w:ascii="Arial" w:cs="Arial" w:eastAsia="Arial" w:hAnsi="Arial"/>
          <w:sz w:val="20"/>
          <w:szCs w:val="20"/>
          <w:b w:val="1"/>
          <w:bCs w:val="1"/>
          <w:color w:val="auto"/>
        </w:rPr>
        <w:t xml:space="preserve">TINTON FALLS, NJ – October 20, 2025 </w:t>
      </w:r>
      <w:r>
        <w:rPr>
          <w:rFonts w:ascii="Arial" w:cs="Arial" w:eastAsia="Arial" w:hAnsi="Arial"/>
          <w:sz w:val="20"/>
          <w:szCs w:val="20"/>
          <w:color w:val="auto"/>
        </w:rPr>
        <w:t>– Commvault (NASDAQ: CVLT), a leading provider of cyber resilience and data</w:t>
      </w:r>
      <w:r>
        <w:rPr>
          <w:rFonts w:ascii="Arial" w:cs="Arial" w:eastAsia="Arial" w:hAnsi="Arial"/>
          <w:sz w:val="20"/>
          <w:szCs w:val="20"/>
          <w:b w:val="1"/>
          <w:bCs w:val="1"/>
          <w:color w:val="auto"/>
        </w:rPr>
        <w:t xml:space="preserve"> </w:t>
      </w:r>
      <w:r>
        <w:rPr>
          <w:rFonts w:ascii="Arial" w:cs="Arial" w:eastAsia="Arial" w:hAnsi="Arial"/>
          <w:sz w:val="20"/>
          <w:szCs w:val="20"/>
          <w:color w:val="auto"/>
        </w:rPr>
        <w:t>protection solutions for the hybrid cloud, today announced the appointment of Geoff Haydon to its Board of Directors, effective October 17, 2025. Haydon will also serve on the Audit Committee.</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Haydon is a recognized leader in cybersecurity and managed detection and response (MDR) services with more than 30 years of experience building and scaling global technology organizations. He currently serves as Chief Executive Officer of Ontinue, a leading provider of AI-powered managed extended detection and response (MXDR) services which spun out of Open Systems. Haydon led the creation of the ION MDR platform at Ontinue and guided the company to profitability in 2025. Earlier in his career, he held senior leadership roles at VMware, Secureworks, Absolute Software, EMC, and RSA.</w:t>
      </w:r>
    </w:p>
    <w:p>
      <w:pPr>
        <w:spacing w:after="0" w:line="195"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“Geoff’s extensive cybersecurity and operational expertise will be an invaluable addition to Commvault’s Board as we continue advancing our leadership in cyber resilience,” said Nicholas Adamo, Chairman of the Board, Commvault.</w:t>
      </w:r>
    </w:p>
    <w:p>
      <w:pPr>
        <w:spacing w:after="0" w:line="167" w:lineRule="exact"/>
        <w:rPr>
          <w:sz w:val="20"/>
          <w:szCs w:val="20"/>
          <w:color w:val="auto"/>
        </w:rPr>
      </w:pPr>
    </w:p>
    <w:p>
      <w:pPr>
        <w:ind w:right="220"/>
        <w:spacing w:after="0" w:line="269" w:lineRule="auto"/>
        <w:rPr>
          <w:sz w:val="20"/>
          <w:szCs w:val="20"/>
          <w:color w:val="auto"/>
        </w:rPr>
      </w:pPr>
      <w:r>
        <w:rPr>
          <w:rFonts w:ascii="Arial" w:cs="Arial" w:eastAsia="Arial" w:hAnsi="Arial"/>
          <w:sz w:val="20"/>
          <w:szCs w:val="20"/>
          <w:color w:val="auto"/>
        </w:rPr>
        <w:t>“Commvault’s mission to help organizations advance cyber resilience in the AI era resonates strongly with my passion for building resilient, intelligent security platforms,” said Haydon. “I look forward to working with the Board and leadership team to support Commvault’s next phase of growth.”</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Commvault</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Commvault (NASDAQ: CVLT) is the gold standard in cyber resilience, helping more than 100,000 organizations keep data safe and businesses resilient and moving forward. Today, Commvault offers the only cyber resilience platform that combines the best data security and rapid recovery at enterprise scale across any workload, anywhere—at the lowest TCO.</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sectPr>
      <w:pgSz w:w="11900" w:h="16838" w:orient="portrait"/>
      <w:cols w:equalWidth="0" w:num="1">
        <w:col w:w="11180"/>
      </w:cols>
      <w:pgMar w:left="320" w:top="144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2025-10-20T07:35:58Z</dcterms:created>
  <dcterms:modified xsi:type="dcterms:W3CDTF">2025-10-20T07:35:58Z</dcterms:modified>
</cp:coreProperties>
</file>