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8-A/A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REGISTRATION OF CERTAIN CLASSES OF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12(b) OR (g)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CommVault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color w:val="auto"/>
                <w:w w:val="92"/>
              </w:rPr>
              <w:t>Delaware</w:t>
            </w:r>
          </w:p>
        </w:tc>
        <w:tc>
          <w:tcPr>
            <w:tcW w:w="5220" w:type="dxa"/>
            <w:vAlign w:val="bottom"/>
            <w:tcBorders>
              <w:bottom w:val="single" w:sz="8" w:color="auto"/>
            </w:tcBorders>
          </w:tcPr>
          <w:p>
            <w:pPr>
              <w:jc w:val="right"/>
              <w:ind w:right="2250"/>
              <w:spacing w:after="0"/>
              <w:rPr>
                <w:sz w:val="20"/>
                <w:szCs w:val="20"/>
                <w:color w:val="auto"/>
              </w:rPr>
            </w:pPr>
            <w:r>
              <w:rPr>
                <w:rFonts w:ascii="Arial" w:cs="Arial" w:eastAsia="Arial" w:hAnsi="Arial"/>
                <w:sz w:val="18"/>
                <w:szCs w:val="18"/>
                <w:color w:val="auto"/>
              </w:rPr>
              <w:t>22-3447504</w:t>
            </w:r>
          </w:p>
        </w:tc>
      </w:tr>
      <w:tr>
        <w:trPr>
          <w:trHeight w:val="224"/>
        </w:trPr>
        <w:tc>
          <w:tcPr>
            <w:tcW w:w="6200" w:type="dxa"/>
            <w:vAlign w:val="bottom"/>
          </w:tcPr>
          <w:p>
            <w:pPr>
              <w:jc w:val="center"/>
              <w:ind w:right="570"/>
              <w:spacing w:after="0"/>
              <w:rPr>
                <w:sz w:val="20"/>
                <w:szCs w:val="20"/>
                <w:color w:val="auto"/>
              </w:rPr>
            </w:pPr>
            <w:r>
              <w:rPr>
                <w:rFonts w:ascii="Arial" w:cs="Arial" w:eastAsia="Arial" w:hAnsi="Arial"/>
                <w:sz w:val="18"/>
                <w:szCs w:val="18"/>
                <w:color w:val="auto"/>
                <w:w w:val="91"/>
              </w:rPr>
              <w:t>(State of incorporation or organization)</w:t>
            </w:r>
          </w:p>
        </w:tc>
        <w:tc>
          <w:tcPr>
            <w:tcW w:w="5220" w:type="dxa"/>
            <w:vAlign w:val="bottom"/>
          </w:tcPr>
          <w:p>
            <w:pPr>
              <w:jc w:val="center"/>
              <w:ind w:right="230"/>
              <w:spacing w:after="0"/>
              <w:rPr>
                <w:sz w:val="20"/>
                <w:szCs w:val="20"/>
                <w:color w:val="auto"/>
              </w:rPr>
            </w:pPr>
            <w:r>
              <w:rPr>
                <w:rFonts w:ascii="Arial" w:cs="Arial" w:eastAsia="Arial" w:hAnsi="Arial"/>
                <w:sz w:val="18"/>
                <w:szCs w:val="18"/>
                <w:color w:val="auto"/>
                <w:w w:val="94"/>
              </w:rPr>
              <w:t>(I.R.S. Employer Identification No.)</w:t>
            </w:r>
          </w:p>
        </w:tc>
      </w:tr>
      <w:tr>
        <w:trPr>
          <w:trHeight w:val="431"/>
        </w:trPr>
        <w:tc>
          <w:tcPr>
            <w:tcW w:w="620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color w:val="auto"/>
                <w:w w:val="88"/>
              </w:rPr>
              <w:t>2 Crescent Place, Oceanport, New Jersey</w:t>
            </w:r>
          </w:p>
        </w:tc>
        <w:tc>
          <w:tcPr>
            <w:tcW w:w="5220" w:type="dxa"/>
            <w:vAlign w:val="bottom"/>
            <w:tcBorders>
              <w:bottom w:val="single" w:sz="8" w:color="auto"/>
            </w:tcBorders>
          </w:tcPr>
          <w:p>
            <w:pPr>
              <w:jc w:val="right"/>
              <w:ind w:right="2470"/>
              <w:spacing w:after="0"/>
              <w:rPr>
                <w:sz w:val="20"/>
                <w:szCs w:val="20"/>
                <w:color w:val="auto"/>
              </w:rPr>
            </w:pPr>
            <w:r>
              <w:rPr>
                <w:rFonts w:ascii="Arial" w:cs="Arial" w:eastAsia="Arial" w:hAnsi="Arial"/>
                <w:sz w:val="18"/>
                <w:szCs w:val="18"/>
                <w:color w:val="auto"/>
              </w:rPr>
              <w:t>07757</w:t>
            </w:r>
          </w:p>
        </w:tc>
      </w:tr>
      <w:tr>
        <w:trPr>
          <w:trHeight w:val="224"/>
        </w:trPr>
        <w:tc>
          <w:tcPr>
            <w:tcW w:w="6200" w:type="dxa"/>
            <w:vAlign w:val="bottom"/>
          </w:tcPr>
          <w:p>
            <w:pPr>
              <w:jc w:val="center"/>
              <w:ind w:right="570"/>
              <w:spacing w:after="0"/>
              <w:rPr>
                <w:sz w:val="20"/>
                <w:szCs w:val="20"/>
                <w:color w:val="auto"/>
              </w:rPr>
            </w:pPr>
            <w:r>
              <w:rPr>
                <w:rFonts w:ascii="Arial" w:cs="Arial" w:eastAsia="Arial" w:hAnsi="Arial"/>
                <w:sz w:val="18"/>
                <w:szCs w:val="18"/>
                <w:color w:val="auto"/>
                <w:w w:val="92"/>
              </w:rPr>
              <w:t>(Address of principal executive offices)</w:t>
            </w:r>
          </w:p>
        </w:tc>
        <w:tc>
          <w:tcPr>
            <w:tcW w:w="5220" w:type="dxa"/>
            <w:vAlign w:val="bottom"/>
          </w:tcPr>
          <w:p>
            <w:pPr>
              <w:jc w:val="center"/>
              <w:ind w:right="250"/>
              <w:spacing w:after="0"/>
              <w:rPr>
                <w:sz w:val="20"/>
                <w:szCs w:val="20"/>
                <w:color w:val="auto"/>
              </w:rPr>
            </w:pPr>
            <w:r>
              <w:rPr>
                <w:rFonts w:ascii="Arial" w:cs="Arial" w:eastAsia="Arial" w:hAnsi="Arial"/>
                <w:sz w:val="18"/>
                <w:szCs w:val="18"/>
                <w:color w:val="auto"/>
                <w:w w:val="94"/>
              </w:rPr>
              <w:t>(Zip Code)</w:t>
            </w:r>
          </w:p>
        </w:tc>
      </w:tr>
      <w:tr>
        <w:trPr>
          <w:trHeight w:val="431"/>
        </w:trPr>
        <w:tc>
          <w:tcPr>
            <w:tcW w:w="6200" w:type="dxa"/>
            <w:vAlign w:val="bottom"/>
          </w:tcPr>
          <w:p>
            <w:pPr>
              <w:jc w:val="center"/>
              <w:ind w:right="570"/>
              <w:spacing w:after="0"/>
              <w:rPr>
                <w:sz w:val="20"/>
                <w:szCs w:val="20"/>
                <w:color w:val="auto"/>
              </w:rPr>
            </w:pPr>
            <w:r>
              <w:rPr>
                <w:rFonts w:ascii="Arial" w:cs="Arial" w:eastAsia="Arial" w:hAnsi="Arial"/>
                <w:sz w:val="18"/>
                <w:szCs w:val="18"/>
                <w:color w:val="auto"/>
                <w:w w:val="90"/>
              </w:rPr>
              <w:t>Securities to be registered pursuant to Section 12(b) of the Act:</w:t>
            </w:r>
          </w:p>
        </w:tc>
        <w:tc>
          <w:tcPr>
            <w:tcW w:w="52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Title of each class</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to be so registered</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Common Stock, $0.01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507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3507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3507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560"/>
        <w:spacing w:after="0"/>
        <w:rPr>
          <w:sz w:val="20"/>
          <w:szCs w:val="20"/>
          <w:color w:val="auto"/>
        </w:rPr>
      </w:pPr>
      <w:r>
        <w:rPr>
          <w:rFonts w:ascii="Arial" w:cs="Arial" w:eastAsia="Arial" w:hAnsi="Arial"/>
          <w:sz w:val="16"/>
          <w:szCs w:val="16"/>
          <w:color w:val="auto"/>
        </w:rPr>
        <w:t>Name of each exchange on which</w:t>
      </w:r>
    </w:p>
    <w:p>
      <w:pPr>
        <w:spacing w:after="0" w:line="46"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each class is to be registered</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Nasdaq Stock Market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22225</wp:posOffset>
            </wp:positionV>
            <wp:extent cx="3524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24885" cy="8890"/>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176530</wp:posOffset>
            </wp:positionV>
            <wp:extent cx="3524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24885" cy="8890"/>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330835</wp:posOffset>
            </wp:positionV>
            <wp:extent cx="3524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00" w:space="720"/>
            <w:col w:w="4000"/>
          </w:cols>
          <w:pgMar w:left="240" w:top="122" w:right="23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check the following box. o</w:t>
      </w:r>
    </w:p>
    <w:p>
      <w:pPr>
        <w:spacing w:after="0" w:line="62" w:lineRule="exact"/>
        <w:rPr>
          <w:sz w:val="20"/>
          <w:szCs w:val="20"/>
          <w:color w:val="auto"/>
        </w:rPr>
      </w:pPr>
    </w:p>
    <w:p>
      <w:pPr>
        <w:spacing w:after="0"/>
        <w:tabs>
          <w:tab w:leader="none" w:pos="5680" w:val="left"/>
          <w:tab w:leader="none" w:pos="6780" w:val="left"/>
        </w:tabs>
        <w:rPr>
          <w:sz w:val="20"/>
          <w:szCs w:val="20"/>
          <w:color w:val="auto"/>
        </w:rPr>
      </w:pPr>
      <w:r>
        <w:rPr>
          <w:rFonts w:ascii="Arial" w:cs="Arial" w:eastAsia="Arial" w:hAnsi="Arial"/>
          <w:sz w:val="18"/>
          <w:szCs w:val="18"/>
          <w:color w:val="auto"/>
        </w:rPr>
        <w:t>Securities Act registration statement file number to which this form relates:</w:t>
        <w:tab/>
        <w:t>333-132550</w:t>
      </w:r>
      <w:r>
        <w:rPr>
          <w:sz w:val="20"/>
          <w:szCs w:val="20"/>
          <w:color w:val="auto"/>
        </w:rPr>
        <w:tab/>
      </w:r>
      <w:r>
        <w:rPr>
          <w:rFonts w:ascii="Arial" w:cs="Arial" w:eastAsia="Arial" w:hAnsi="Arial"/>
          <w:sz w:val="17"/>
          <w:szCs w:val="17"/>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6350</wp:posOffset>
            </wp:positionV>
            <wp:extent cx="840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1. Description of Registrant’s Securities to be Registered.</w:t>
        </w:r>
      </w:hyperlink>
    </w:p>
    <w:p>
      <w:pPr>
        <w:spacing w:after="0" w:line="10"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INDEX TO EXHIBITS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description of the registrant’s common stock is set forth under the caption “Description of Capital Stock” in the prospectus included in the registrant’s registration statement on Form S-1 (File No. 333-132550), as amended, initially filed with the Securities and Exchange Commission on March 17, 2006 (the “Registration Statement”). Such description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filed with this registration statement is contained in the index to exhibits,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September 19, 2006</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CommVault Systems,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N. ROBERT HAMMER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419" w:right="7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INDEX TO EXHIBITS</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Form of Amended and Restated Certificate of Incorporation of CommVault Systems, Inc.</w:t>
      </w:r>
    </w:p>
    <w:p>
      <w:pPr>
        <w:spacing w:after="0" w:line="225"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Form of Amended and Restated Bylaws of CommVault Systems, Inc.</w:t>
      </w:r>
    </w:p>
    <w:p>
      <w:pPr>
        <w:spacing w:after="0" w:line="225"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Common Stock Certificate</w:t>
      </w:r>
    </w:p>
    <w:p>
      <w:pPr>
        <w:spacing w:after="0" w:line="11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Previously filed by the registrant as an exhibit to the Registration Statement and incorporated herein by reference.</w:t>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2019-12-15T07:37:36Z</dcterms:created>
  <dcterms:modified xsi:type="dcterms:W3CDTF">2019-12-15T07:37:36Z</dcterms:modified>
</cp:coreProperties>
</file>