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t>UNITED STATES</w:t>
      </w:r>
    </w:p>
    <w:p>
      <w:pPr>
        <w:spacing w:after="0" w:line="22"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ind w:left="4400"/>
        <w:spacing w:after="0"/>
        <w:rPr>
          <w:sz w:val="20"/>
          <w:szCs w:val="20"/>
          <w:color w:val="auto"/>
        </w:rPr>
      </w:pPr>
      <w:r>
        <w:rPr>
          <w:rFonts w:ascii="Arial" w:cs="Arial" w:eastAsia="Arial" w:hAnsi="Arial"/>
          <w:sz w:val="32"/>
          <w:szCs w:val="32"/>
          <w:b w:val="1"/>
          <w:bCs w:val="1"/>
          <w:color w:val="auto"/>
        </w:rPr>
        <w:t>SCHEDULE 14A</w:t>
      </w:r>
    </w:p>
    <w:p>
      <w:pPr>
        <w:spacing w:after="0" w:line="278"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Proxy Statement Pursuant to Section 14(a) of the</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Securities Exchange Act of 1934</w:t>
      </w:r>
    </w:p>
    <w:p>
      <w:pPr>
        <w:spacing w:after="0" w:line="27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840" w:hanging="360"/>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0" w:lineRule="exact"/>
        <w:rPr>
          <w:rFonts w:ascii="MS PGothic" w:cs="MS PGothic" w:eastAsia="MS PGothic" w:hAnsi="MS PGothic"/>
          <w:sz w:val="18"/>
          <w:szCs w:val="18"/>
          <w:color w:val="auto"/>
        </w:rPr>
      </w:pPr>
    </w:p>
    <w:p>
      <w:pPr>
        <w:ind w:left="480" w:right="2939"/>
        <w:spacing w:after="0" w:line="230" w:lineRule="exact"/>
        <w:tabs>
          <w:tab w:leader="none" w:pos="8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840" w:hanging="360"/>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840" w:hanging="360"/>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Commvault Systems, Inc.</w:t>
      </w:r>
    </w:p>
    <w:p>
      <w:pPr>
        <w:spacing w:after="0" w:line="51"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(Name of Registrant as Specified In Its Charter)</w:t>
      </w:r>
    </w:p>
    <w:p>
      <w:pPr>
        <w:spacing w:after="0" w:line="14"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31" w:lineRule="exact"/>
        <w:rPr>
          <w:sz w:val="24"/>
          <w:szCs w:val="24"/>
          <w:color w:val="auto"/>
        </w:rPr>
      </w:pPr>
    </w:p>
    <w:p>
      <w:pPr>
        <w:ind w:left="540" w:hanging="357"/>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41" w:lineRule="exact"/>
        <w:rPr>
          <w:sz w:val="24"/>
          <w:szCs w:val="24"/>
          <w:color w:val="auto"/>
        </w:rPr>
      </w:pPr>
    </w:p>
    <w:p>
      <w:pPr>
        <w:ind w:left="540" w:hanging="356"/>
        <w:spacing w:after="0"/>
        <w:tabs>
          <w:tab w:leader="none" w:pos="540" w:val="left"/>
        </w:tabs>
        <w:numPr>
          <w:ilvl w:val="0"/>
          <w:numId w:val="3"/>
        </w:numPr>
        <w:rPr>
          <w:rFonts w:ascii="Wingdings" w:cs="Wingdings" w:eastAsia="Wingdings" w:hAnsi="Wingdings"/>
          <w:sz w:val="18"/>
          <w:szCs w:val="18"/>
          <w:b w:val="1"/>
          <w:bCs w:val="1"/>
          <w:color w:val="auto"/>
        </w:rPr>
      </w:pPr>
      <w:r>
        <w:rPr>
          <w:rFonts w:ascii="Arial" w:cs="Arial" w:eastAsia="Arial" w:hAnsi="Arial"/>
          <w:sz w:val="18"/>
          <w:szCs w:val="18"/>
          <w:color w:val="auto"/>
        </w:rPr>
        <w:t>Fee paid previously with preliminary materials.</w:t>
      </w:r>
    </w:p>
    <w:p>
      <w:pPr>
        <w:spacing w:after="0" w:line="13" w:lineRule="exact"/>
        <w:rPr>
          <w:rFonts w:ascii="Wingdings" w:cs="Wingdings" w:eastAsia="Wingdings" w:hAnsi="Wingdings"/>
          <w:sz w:val="18"/>
          <w:szCs w:val="18"/>
          <w:b w:val="1"/>
          <w:bCs w:val="1"/>
          <w:color w:val="auto"/>
        </w:rPr>
      </w:pPr>
    </w:p>
    <w:p>
      <w:pPr>
        <w:ind w:left="540" w:hanging="356"/>
        <w:spacing w:after="0"/>
        <w:tabs>
          <w:tab w:leader="none" w:pos="540" w:val="left"/>
        </w:tabs>
        <w:numPr>
          <w:ilvl w:val="0"/>
          <w:numId w:val="3"/>
        </w:numPr>
        <w:rPr>
          <w:rFonts w:ascii="Wingdings" w:cs="Wingdings" w:eastAsia="Wingdings" w:hAnsi="Wingdings"/>
          <w:sz w:val="17"/>
          <w:szCs w:val="17"/>
          <w:b w:val="1"/>
          <w:bCs w:val="1"/>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3486785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7"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303530</wp:posOffset>
            </wp:positionV>
            <wp:extent cx="7157720" cy="9193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9193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311785</wp:posOffset>
            </wp:positionV>
            <wp:extent cx="7071995" cy="1722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071995"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Commvault Systems,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0053B"/>
        </w:rPr>
        <w:t>1 Commvault Way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0053B"/>
        </w:rPr>
        <w:t>Tinton Falls, New Jersey 07724</w:t>
      </w:r>
    </w:p>
    <w:p>
      <w:pPr>
        <w:spacing w:after="0" w:line="15" w:lineRule="exact"/>
        <w:rPr>
          <w:sz w:val="20"/>
          <w:szCs w:val="20"/>
          <w:color w:val="auto"/>
        </w:rPr>
      </w:pPr>
    </w:p>
    <w:p>
      <w:pPr>
        <w:ind w:right="10120" w:firstLine="8"/>
        <w:spacing w:after="0" w:line="564" w:lineRule="auto"/>
        <w:tabs>
          <w:tab w:leader="none" w:pos="423" w:val="left"/>
        </w:tabs>
        <w:numPr>
          <w:ilvl w:val="0"/>
          <w:numId w:val="4"/>
        </w:numPr>
        <w:rPr>
          <w:rFonts w:ascii="Arial" w:cs="Arial" w:eastAsia="Arial" w:hAnsi="Arial"/>
          <w:sz w:val="16"/>
          <w:szCs w:val="16"/>
          <w:color w:val="00053B"/>
        </w:rPr>
      </w:pPr>
      <w:r>
        <w:rPr>
          <w:rFonts w:ascii="Arial" w:cs="Arial" w:eastAsia="Arial" w:hAnsi="Arial"/>
          <w:sz w:val="16"/>
          <w:szCs w:val="16"/>
          <w:color w:val="00053B"/>
        </w:rPr>
        <w:t>870-4000 June 25, 2024</w:t>
      </w:r>
    </w:p>
    <w:p>
      <w:pPr>
        <w:spacing w:after="0"/>
        <w:rPr>
          <w:rFonts w:ascii="Arial" w:cs="Arial" w:eastAsia="Arial" w:hAnsi="Arial"/>
          <w:sz w:val="16"/>
          <w:szCs w:val="16"/>
          <w:color w:val="00053B"/>
        </w:rPr>
      </w:pPr>
      <w:r>
        <w:rPr>
          <w:rFonts w:ascii="Arial" w:cs="Arial" w:eastAsia="Arial" w:hAnsi="Arial"/>
          <w:sz w:val="16"/>
          <w:szCs w:val="16"/>
          <w:color w:val="00053B"/>
        </w:rPr>
        <w:t>Fellow Commvault stockholder:</w:t>
      </w:r>
    </w:p>
    <w:p>
      <w:pPr>
        <w:spacing w:after="0" w:line="248"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00053B"/>
        </w:rPr>
        <w:t>Whether you are an executive assessing a cyber resilience solution or an investor evaluating a stock, you want to choose a company you can rely on to deliver results. In fiscal year 2024, Commvault delivered while achieving a breakout year.</w:t>
      </w:r>
    </w:p>
    <w:p>
      <w:pPr>
        <w:spacing w:after="0" w:line="19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00053B"/>
        </w:rPr>
        <w:t>As a leader in our industry, we solve our customers’ hard problems in an increasingly difficult world, accelerate our growth, and deliver returns for investors like you. It’s a responsibility we take very seriously.</w:t>
      </w:r>
    </w:p>
    <w:p>
      <w:pPr>
        <w:spacing w:after="0" w:line="196"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00053B"/>
        </w:rPr>
        <w:t>First, we pride ourselves on innovation. This goes beyond delivering the best-in-class Commvault Cloud platform to help customers be resilient following a cyberattack or catastrophic event. We are also responsible in how we innovate our patented portfolio, including our unrivaled Cleanroom Recovery and newly acquired Appranix offerings. Which is why we have engineered responsible AI capabilities deep into our platform to enhance resilience without jeopardizing our customers’ data. After all, our customers data has and always will be our foremost responsibility.</w:t>
      </w:r>
    </w:p>
    <w:p>
      <w:pPr>
        <w:spacing w:after="0" w:line="200"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00053B"/>
        </w:rPr>
        <w:t>We will continue to focus on responsible growth. Last fiscal year, we increased total revenue by 7% to $839 million, which was led by 23% growth in subscription revenue. Total annual recurring revenue “ARR” grew 15% to $770 million. This was fueled by our high growth software-as-a-service platform, which crossed over 5,000 customers and ended the year with $168 million in ARR. With the unrelenting rise of cyberattacks, we believe this growth will continue in fiscal year 2025.</w:t>
      </w:r>
    </w:p>
    <w:p>
      <w:pPr>
        <w:spacing w:after="0" w:line="213" w:lineRule="exact"/>
        <w:rPr>
          <w:sz w:val="20"/>
          <w:szCs w:val="20"/>
          <w:color w:val="auto"/>
        </w:rPr>
      </w:pPr>
    </w:p>
    <w:p>
      <w:pPr>
        <w:spacing w:after="0" w:line="266" w:lineRule="auto"/>
        <w:rPr>
          <w:sz w:val="20"/>
          <w:szCs w:val="20"/>
          <w:color w:val="auto"/>
        </w:rPr>
      </w:pPr>
      <w:r>
        <w:rPr>
          <w:rFonts w:ascii="Arial" w:cs="Arial" w:eastAsia="Arial" w:hAnsi="Arial"/>
          <w:sz w:val="16"/>
          <w:szCs w:val="16"/>
          <w:color w:val="00053B"/>
        </w:rPr>
        <w:t>Which brings us to our third tenet – it is our responsibility to deliver returns for our investors. Our dedication to execution and responsible growth enabled us to deliver 21.1% non-GAAP EBIT margins while returning 92% of free cash flow, or $184 million, back to stockholders in share repurchases. Our subscription model and focus on ARR as a primary measure of our business gives us the confidence to share our aspiration of $1 billion in total ARR in fiscal year 2026.</w:t>
      </w:r>
    </w:p>
    <w:p>
      <w:pPr>
        <w:spacing w:after="0" w:line="21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00053B"/>
        </w:rPr>
        <w:t>I would like to thank CEO Sanjay Mirchandani and the company’s leadership team and employees for making recovery and resilience a reality while staying committed to delivering responsible growth. And thank you – our stockholders – for your strong support of Commvault.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00053B"/>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183515</wp:posOffset>
            </wp:positionV>
            <wp:extent cx="2588895" cy="1200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8889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0B2E44"/>
        </w:rPr>
        <w:t>Nicholas Adamo</w:t>
      </w:r>
    </w:p>
    <w:p>
      <w:pPr>
        <w:ind w:left="2520"/>
        <w:spacing w:after="0"/>
        <w:rPr>
          <w:sz w:val="20"/>
          <w:szCs w:val="20"/>
          <w:color w:val="auto"/>
        </w:rPr>
      </w:pPr>
      <w:r>
        <w:rPr>
          <w:rFonts w:ascii="Arial" w:cs="Arial" w:eastAsia="Arial" w:hAnsi="Arial"/>
          <w:sz w:val="16"/>
          <w:szCs w:val="16"/>
          <w:color w:val="0B2E44"/>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243205</wp:posOffset>
            </wp:positionV>
            <wp:extent cx="6995160" cy="1739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640" w:type="dxa"/>
            <w:vAlign w:val="bottom"/>
            <w:shd w:val="clear" w:color="auto" w:fill="00053B"/>
          </w:tcPr>
          <w:p>
            <w:pPr>
              <w:jc w:val="center"/>
              <w:spacing w:after="0"/>
              <w:rPr>
                <w:sz w:val="20"/>
                <w:szCs w:val="20"/>
                <w:color w:val="auto"/>
              </w:rPr>
            </w:pPr>
            <w:r>
              <w:rPr>
                <w:rFonts w:ascii="Arial" w:cs="Arial" w:eastAsia="Arial" w:hAnsi="Arial"/>
                <w:sz w:val="18"/>
                <w:szCs w:val="18"/>
                <w:b w:val="1"/>
                <w:bCs w:val="1"/>
                <w:color w:val="FFFFFF"/>
                <w:w w:val="99"/>
              </w:rPr>
              <w:t>Time and Date:</w:t>
            </w:r>
          </w:p>
        </w:tc>
        <w:tc>
          <w:tcPr>
            <w:tcW w:w="100" w:type="dxa"/>
            <w:vAlign w:val="bottom"/>
          </w:tcPr>
          <w:p>
            <w:pPr>
              <w:spacing w:after="0"/>
              <w:rPr>
                <w:sz w:val="19"/>
                <w:szCs w:val="19"/>
                <w:color w:val="auto"/>
              </w:rPr>
            </w:pPr>
          </w:p>
        </w:tc>
        <w:tc>
          <w:tcPr>
            <w:tcW w:w="3660" w:type="dxa"/>
            <w:vAlign w:val="bottom"/>
            <w:shd w:val="clear" w:color="auto" w:fill="00053B"/>
          </w:tcPr>
          <w:p>
            <w:pPr>
              <w:jc w:val="center"/>
              <w:spacing w:after="0"/>
              <w:rPr>
                <w:sz w:val="20"/>
                <w:szCs w:val="20"/>
                <w:color w:val="auto"/>
              </w:rPr>
            </w:pPr>
            <w:r>
              <w:rPr>
                <w:rFonts w:ascii="Arial" w:cs="Arial" w:eastAsia="Arial" w:hAnsi="Arial"/>
                <w:sz w:val="18"/>
                <w:szCs w:val="18"/>
                <w:b w:val="1"/>
                <w:bCs w:val="1"/>
                <w:color w:val="FFFFFF"/>
                <w:w w:val="98"/>
              </w:rPr>
              <w:t>Location:</w:t>
            </w:r>
          </w:p>
        </w:tc>
        <w:tc>
          <w:tcPr>
            <w:tcW w:w="120" w:type="dxa"/>
            <w:vAlign w:val="bottom"/>
          </w:tcPr>
          <w:p>
            <w:pPr>
              <w:spacing w:after="0"/>
              <w:rPr>
                <w:sz w:val="19"/>
                <w:szCs w:val="19"/>
                <w:color w:val="auto"/>
              </w:rPr>
            </w:pPr>
          </w:p>
        </w:tc>
        <w:tc>
          <w:tcPr>
            <w:tcW w:w="3640" w:type="dxa"/>
            <w:vAlign w:val="bottom"/>
            <w:shd w:val="clear" w:color="auto" w:fill="00053B"/>
          </w:tcPr>
          <w:p>
            <w:pPr>
              <w:jc w:val="center"/>
              <w:spacing w:after="0"/>
              <w:rPr>
                <w:sz w:val="20"/>
                <w:szCs w:val="20"/>
                <w:color w:val="auto"/>
              </w:rPr>
            </w:pPr>
            <w:r>
              <w:rPr>
                <w:rFonts w:ascii="Arial" w:cs="Arial" w:eastAsia="Arial" w:hAnsi="Arial"/>
                <w:sz w:val="18"/>
                <w:szCs w:val="18"/>
                <w:b w:val="1"/>
                <w:bCs w:val="1"/>
                <w:color w:val="FFFFFF"/>
                <w:w w:val="99"/>
              </w:rPr>
              <w:t>Record Date:</w:t>
            </w:r>
          </w:p>
        </w:tc>
      </w:tr>
      <w:tr>
        <w:trPr>
          <w:trHeight w:val="215"/>
        </w:trPr>
        <w:tc>
          <w:tcPr>
            <w:tcW w:w="3640" w:type="dxa"/>
            <w:vAlign w:val="bottom"/>
            <w:shd w:val="clear" w:color="auto" w:fill="00053B"/>
          </w:tcPr>
          <w:p>
            <w:pPr>
              <w:jc w:val="center"/>
              <w:spacing w:after="0"/>
              <w:rPr>
                <w:sz w:val="20"/>
                <w:szCs w:val="20"/>
                <w:color w:val="auto"/>
              </w:rPr>
            </w:pPr>
            <w:r>
              <w:rPr>
                <w:rFonts w:ascii="Arial" w:cs="Arial" w:eastAsia="Arial" w:hAnsi="Arial"/>
                <w:sz w:val="16"/>
                <w:szCs w:val="16"/>
                <w:color w:val="FFFFFF"/>
              </w:rPr>
              <w:t>Thursday, August 8, 2024</w:t>
            </w:r>
          </w:p>
        </w:tc>
        <w:tc>
          <w:tcPr>
            <w:tcW w:w="100" w:type="dxa"/>
            <w:vAlign w:val="bottom"/>
          </w:tcPr>
          <w:p>
            <w:pPr>
              <w:spacing w:after="0"/>
              <w:rPr>
                <w:sz w:val="18"/>
                <w:szCs w:val="18"/>
                <w:color w:val="auto"/>
              </w:rPr>
            </w:pPr>
          </w:p>
        </w:tc>
        <w:tc>
          <w:tcPr>
            <w:tcW w:w="3660" w:type="dxa"/>
            <w:vAlign w:val="bottom"/>
            <w:shd w:val="clear" w:color="auto" w:fill="00053B"/>
          </w:tcPr>
          <w:p>
            <w:pPr>
              <w:jc w:val="center"/>
              <w:spacing w:after="0"/>
              <w:rPr>
                <w:sz w:val="20"/>
                <w:szCs w:val="20"/>
                <w:color w:val="auto"/>
              </w:rPr>
            </w:pPr>
            <w:r>
              <w:rPr>
                <w:rFonts w:ascii="Arial" w:cs="Arial" w:eastAsia="Arial" w:hAnsi="Arial"/>
                <w:sz w:val="16"/>
                <w:szCs w:val="16"/>
                <w:color w:val="FFFFFF"/>
              </w:rPr>
              <w:t>Virtual only</w:t>
            </w:r>
          </w:p>
        </w:tc>
        <w:tc>
          <w:tcPr>
            <w:tcW w:w="120" w:type="dxa"/>
            <w:vAlign w:val="bottom"/>
          </w:tcPr>
          <w:p>
            <w:pPr>
              <w:spacing w:after="0"/>
              <w:rPr>
                <w:sz w:val="18"/>
                <w:szCs w:val="18"/>
                <w:color w:val="auto"/>
              </w:rPr>
            </w:pPr>
          </w:p>
        </w:tc>
        <w:tc>
          <w:tcPr>
            <w:tcW w:w="3640" w:type="dxa"/>
            <w:vAlign w:val="bottom"/>
            <w:shd w:val="clear" w:color="auto" w:fill="00053B"/>
          </w:tcPr>
          <w:p>
            <w:pPr>
              <w:jc w:val="center"/>
              <w:spacing w:after="0"/>
              <w:rPr>
                <w:sz w:val="20"/>
                <w:szCs w:val="20"/>
                <w:color w:val="auto"/>
              </w:rPr>
            </w:pPr>
            <w:r>
              <w:rPr>
                <w:rFonts w:ascii="Arial" w:cs="Arial" w:eastAsia="Arial" w:hAnsi="Arial"/>
                <w:sz w:val="16"/>
                <w:szCs w:val="16"/>
                <w:color w:val="FFFFFF"/>
              </w:rPr>
              <w:t>June 13, 2024</w:t>
            </w:r>
          </w:p>
        </w:tc>
      </w:tr>
      <w:tr>
        <w:trPr>
          <w:trHeight w:val="164"/>
        </w:trPr>
        <w:tc>
          <w:tcPr>
            <w:tcW w:w="3640" w:type="dxa"/>
            <w:vAlign w:val="bottom"/>
            <w:shd w:val="clear" w:color="auto" w:fill="00053B"/>
          </w:tcPr>
          <w:p>
            <w:pPr>
              <w:jc w:val="center"/>
              <w:spacing w:after="0" w:line="164" w:lineRule="exact"/>
              <w:rPr>
                <w:sz w:val="20"/>
                <w:szCs w:val="20"/>
                <w:color w:val="auto"/>
              </w:rPr>
            </w:pPr>
            <w:r>
              <w:rPr>
                <w:rFonts w:ascii="Arial" w:cs="Arial" w:eastAsia="Arial" w:hAnsi="Arial"/>
                <w:sz w:val="16"/>
                <w:szCs w:val="16"/>
                <w:color w:val="FFFFFF"/>
              </w:rPr>
              <w:t>10:00 a.m., Eastern Time</w:t>
            </w:r>
          </w:p>
        </w:tc>
        <w:tc>
          <w:tcPr>
            <w:tcW w:w="100" w:type="dxa"/>
            <w:vAlign w:val="bottom"/>
          </w:tcPr>
          <w:p>
            <w:pPr>
              <w:spacing w:after="0"/>
              <w:rPr>
                <w:sz w:val="14"/>
                <w:szCs w:val="14"/>
                <w:color w:val="auto"/>
              </w:rPr>
            </w:pPr>
          </w:p>
        </w:tc>
        <w:tc>
          <w:tcPr>
            <w:tcW w:w="3660" w:type="dxa"/>
            <w:vAlign w:val="bottom"/>
            <w:shd w:val="clear" w:color="auto" w:fill="00053B"/>
          </w:tcPr>
          <w:p>
            <w:pPr>
              <w:jc w:val="center"/>
              <w:spacing w:after="0" w:line="164" w:lineRule="exact"/>
              <w:rPr>
                <w:sz w:val="20"/>
                <w:szCs w:val="20"/>
                <w:color w:val="auto"/>
              </w:rPr>
            </w:pPr>
            <w:r>
              <w:rPr>
                <w:rFonts w:ascii="Arial" w:cs="Arial" w:eastAsia="Arial" w:hAnsi="Arial"/>
                <w:sz w:val="16"/>
                <w:szCs w:val="16"/>
                <w:color w:val="FFFFFF"/>
              </w:rPr>
              <w:t>https://ir.commvault.com/news-and-events/annual-</w:t>
            </w:r>
          </w:p>
        </w:tc>
        <w:tc>
          <w:tcPr>
            <w:tcW w:w="120" w:type="dxa"/>
            <w:vAlign w:val="bottom"/>
          </w:tcPr>
          <w:p>
            <w:pPr>
              <w:spacing w:after="0"/>
              <w:rPr>
                <w:sz w:val="14"/>
                <w:szCs w:val="14"/>
                <w:color w:val="auto"/>
              </w:rPr>
            </w:pPr>
          </w:p>
        </w:tc>
        <w:tc>
          <w:tcPr>
            <w:tcW w:w="3640" w:type="dxa"/>
            <w:vAlign w:val="bottom"/>
            <w:shd w:val="clear" w:color="auto" w:fill="00053B"/>
          </w:tcPr>
          <w:p>
            <w:pPr>
              <w:spacing w:after="0"/>
              <w:rPr>
                <w:sz w:val="14"/>
                <w:szCs w:val="14"/>
                <w:color w:val="auto"/>
              </w:rPr>
            </w:pPr>
          </w:p>
        </w:tc>
      </w:tr>
      <w:tr>
        <w:trPr>
          <w:trHeight w:val="216"/>
        </w:trPr>
        <w:tc>
          <w:tcPr>
            <w:tcW w:w="3640" w:type="dxa"/>
            <w:vAlign w:val="bottom"/>
            <w:shd w:val="clear" w:color="auto" w:fill="00053B"/>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shd w:val="clear" w:color="auto" w:fill="00053B"/>
          </w:tcPr>
          <w:p>
            <w:pPr>
              <w:jc w:val="center"/>
              <w:spacing w:after="0"/>
              <w:rPr>
                <w:sz w:val="20"/>
                <w:szCs w:val="20"/>
                <w:color w:val="auto"/>
              </w:rPr>
            </w:pPr>
            <w:r>
              <w:rPr>
                <w:rFonts w:ascii="Arial" w:cs="Arial" w:eastAsia="Arial" w:hAnsi="Arial"/>
                <w:sz w:val="16"/>
                <w:szCs w:val="16"/>
                <w:color w:val="FFFFFF"/>
              </w:rPr>
              <w:t>meeting</w:t>
            </w:r>
          </w:p>
        </w:tc>
        <w:tc>
          <w:tcPr>
            <w:tcW w:w="120" w:type="dxa"/>
            <w:vAlign w:val="bottom"/>
          </w:tcPr>
          <w:p>
            <w:pPr>
              <w:spacing w:after="0"/>
              <w:rPr>
                <w:sz w:val="18"/>
                <w:szCs w:val="18"/>
                <w:color w:val="auto"/>
              </w:rPr>
            </w:pPr>
          </w:p>
        </w:tc>
        <w:tc>
          <w:tcPr>
            <w:tcW w:w="3640" w:type="dxa"/>
            <w:vAlign w:val="bottom"/>
            <w:shd w:val="clear" w:color="auto" w:fill="00053B"/>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2420620</wp:posOffset>
            </wp:positionH>
            <wp:positionV relativeFrom="paragraph">
              <wp:posOffset>-128270</wp:posOffset>
            </wp:positionV>
            <wp:extent cx="2292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9235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-24765</wp:posOffset>
            </wp:positionV>
            <wp:extent cx="3657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576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p>
      <w:pPr>
        <w:spacing w:after="0" w:line="161" w:lineRule="exact"/>
        <w:rPr>
          <w:sz w:val="20"/>
          <w:szCs w:val="20"/>
          <w:color w:val="auto"/>
        </w:rPr>
      </w:pPr>
    </w:p>
    <w:p>
      <w:pPr>
        <w:ind w:left="80" w:right="20"/>
        <w:spacing w:after="0" w:line="282" w:lineRule="auto"/>
        <w:rPr>
          <w:sz w:val="20"/>
          <w:szCs w:val="20"/>
          <w:color w:val="auto"/>
        </w:rPr>
      </w:pPr>
      <w:r>
        <w:rPr>
          <w:rFonts w:ascii="Arial" w:cs="Arial" w:eastAsia="Arial" w:hAnsi="Arial"/>
          <w:sz w:val="22"/>
          <w:szCs w:val="22"/>
          <w:b w:val="1"/>
          <w:bCs w:val="1"/>
          <w:color w:val="00053B"/>
        </w:rPr>
        <w:t>It is my pleasure to notify our stockholders of our 2024 Annual Meeting. We look forward to your participation. The purposes of the meeting are:</w:t>
      </w:r>
    </w:p>
    <w:p>
      <w:pPr>
        <w:ind w:left="320" w:hanging="247"/>
        <w:spacing w:after="0"/>
        <w:tabs>
          <w:tab w:leader="none" w:pos="320" w:val="left"/>
        </w:tabs>
        <w:numPr>
          <w:ilvl w:val="0"/>
          <w:numId w:val="5"/>
        </w:numPr>
        <w:rPr>
          <w:rFonts w:ascii="Arial" w:cs="Arial" w:eastAsia="Arial" w:hAnsi="Arial"/>
          <w:sz w:val="16"/>
          <w:szCs w:val="16"/>
          <w:b w:val="1"/>
          <w:bCs w:val="1"/>
          <w:color w:val="00053B"/>
        </w:rPr>
      </w:pPr>
      <w:r>
        <w:rPr>
          <w:rFonts w:ascii="Arial" w:cs="Arial" w:eastAsia="Arial" w:hAnsi="Arial"/>
          <w:sz w:val="16"/>
          <w:szCs w:val="16"/>
          <w:color w:val="00053B"/>
        </w:rPr>
        <w:t>To elect nine directors for one-year terms;</w:t>
      </w:r>
    </w:p>
    <w:p>
      <w:pPr>
        <w:spacing w:after="0" w:line="38" w:lineRule="exact"/>
        <w:rPr>
          <w:rFonts w:ascii="Arial" w:cs="Arial" w:eastAsia="Arial" w:hAnsi="Arial"/>
          <w:sz w:val="16"/>
          <w:szCs w:val="16"/>
          <w:b w:val="1"/>
          <w:bCs w:val="1"/>
          <w:color w:val="00053B"/>
        </w:rPr>
      </w:pPr>
    </w:p>
    <w:p>
      <w:pPr>
        <w:ind w:left="320" w:hanging="247"/>
        <w:spacing w:after="0"/>
        <w:tabs>
          <w:tab w:leader="none" w:pos="320" w:val="left"/>
        </w:tabs>
        <w:numPr>
          <w:ilvl w:val="0"/>
          <w:numId w:val="5"/>
        </w:numPr>
        <w:rPr>
          <w:rFonts w:ascii="Arial" w:cs="Arial" w:eastAsia="Arial" w:hAnsi="Arial"/>
          <w:sz w:val="16"/>
          <w:szCs w:val="16"/>
          <w:b w:val="1"/>
          <w:bCs w:val="1"/>
          <w:color w:val="00053B"/>
        </w:rPr>
      </w:pPr>
      <w:r>
        <w:rPr>
          <w:rFonts w:ascii="Arial" w:cs="Arial" w:eastAsia="Arial" w:hAnsi="Arial"/>
          <w:sz w:val="16"/>
          <w:szCs w:val="16"/>
          <w:color w:val="00053B"/>
        </w:rPr>
        <w:t>To approve, on an advisory basis, Commvault’s executive compensation;</w:t>
      </w:r>
    </w:p>
    <w:p>
      <w:pPr>
        <w:spacing w:after="0" w:line="32" w:lineRule="exact"/>
        <w:rPr>
          <w:rFonts w:ascii="Arial" w:cs="Arial" w:eastAsia="Arial" w:hAnsi="Arial"/>
          <w:sz w:val="16"/>
          <w:szCs w:val="16"/>
          <w:b w:val="1"/>
          <w:bCs w:val="1"/>
          <w:color w:val="00053B"/>
        </w:rPr>
      </w:pPr>
    </w:p>
    <w:p>
      <w:pPr>
        <w:ind w:left="320" w:right="140" w:hanging="247"/>
        <w:spacing w:after="0" w:line="242" w:lineRule="auto"/>
        <w:tabs>
          <w:tab w:leader="none" w:pos="320" w:val="left"/>
        </w:tabs>
        <w:numPr>
          <w:ilvl w:val="0"/>
          <w:numId w:val="5"/>
        </w:numPr>
        <w:rPr>
          <w:rFonts w:ascii="Arial" w:cs="Arial" w:eastAsia="Arial" w:hAnsi="Arial"/>
          <w:sz w:val="16"/>
          <w:szCs w:val="16"/>
          <w:b w:val="1"/>
          <w:bCs w:val="1"/>
          <w:color w:val="00053B"/>
        </w:rPr>
      </w:pPr>
      <w:r>
        <w:rPr>
          <w:rFonts w:ascii="Arial" w:cs="Arial" w:eastAsia="Arial" w:hAnsi="Arial"/>
          <w:sz w:val="16"/>
          <w:szCs w:val="16"/>
          <w:color w:val="00053B"/>
        </w:rPr>
        <w:t>To ratify the appointment of Ernst &amp; Young LLP as Commvault’s independent public accountants for the fiscal year ending March 31, 2025;</w:t>
      </w:r>
    </w:p>
    <w:p>
      <w:pPr>
        <w:ind w:left="320" w:right="540" w:hanging="247"/>
        <w:spacing w:after="0" w:line="251" w:lineRule="auto"/>
        <w:tabs>
          <w:tab w:leader="none" w:pos="320" w:val="left"/>
        </w:tabs>
        <w:numPr>
          <w:ilvl w:val="0"/>
          <w:numId w:val="5"/>
        </w:numPr>
        <w:rPr>
          <w:rFonts w:ascii="Arial" w:cs="Arial" w:eastAsia="Arial" w:hAnsi="Arial"/>
          <w:sz w:val="16"/>
          <w:szCs w:val="16"/>
          <w:b w:val="1"/>
          <w:bCs w:val="1"/>
          <w:color w:val="00053B"/>
        </w:rPr>
      </w:pPr>
      <w:r>
        <w:rPr>
          <w:rFonts w:ascii="Arial" w:cs="Arial" w:eastAsia="Arial" w:hAnsi="Arial"/>
          <w:sz w:val="16"/>
          <w:szCs w:val="16"/>
          <w:color w:val="00053B"/>
        </w:rPr>
        <w:t>To transact such other business as may properly come before the meeting, or any adjournment or postponement thereof.</w:t>
      </w:r>
    </w:p>
    <w:p>
      <w:pPr>
        <w:spacing w:after="0" w:line="219" w:lineRule="exact"/>
        <w:rPr>
          <w:sz w:val="20"/>
          <w:szCs w:val="20"/>
          <w:color w:val="auto"/>
        </w:rPr>
      </w:pPr>
    </w:p>
    <w:p>
      <w:pPr>
        <w:jc w:val="both"/>
        <w:ind w:left="80"/>
        <w:spacing w:after="0" w:line="262" w:lineRule="auto"/>
        <w:rPr>
          <w:sz w:val="20"/>
          <w:szCs w:val="20"/>
          <w:color w:val="auto"/>
        </w:rPr>
      </w:pPr>
      <w:r>
        <w:rPr>
          <w:rFonts w:ascii="Arial" w:cs="Arial" w:eastAsia="Arial" w:hAnsi="Arial"/>
          <w:sz w:val="13"/>
          <w:szCs w:val="13"/>
          <w:color w:val="00053B"/>
        </w:rPr>
        <w:t>Only stockholders of record as of the Record Date are entitled to notice of, and to vote at, the Annual Meeting and any adjournment or postponement thereof. We will mail a Notice Regarding the Availability of Proxy Materials to stockholders of record on or before June 13, 2024, so you can access our proxy materials online or request paper copies of these materials.</w:t>
      </w:r>
    </w:p>
    <w:p>
      <w:pPr>
        <w:spacing w:after="0" w:line="23" w:lineRule="exact"/>
        <w:rPr>
          <w:sz w:val="20"/>
          <w:szCs w:val="20"/>
          <w:color w:val="auto"/>
        </w:rPr>
      </w:pPr>
    </w:p>
    <w:p>
      <w:pPr>
        <w:jc w:val="both"/>
        <w:ind w:left="80" w:firstLine="35"/>
        <w:spacing w:after="0" w:line="264" w:lineRule="auto"/>
        <w:rPr>
          <w:sz w:val="20"/>
          <w:szCs w:val="20"/>
          <w:color w:val="auto"/>
        </w:rPr>
      </w:pPr>
      <w:r>
        <w:rPr>
          <w:rFonts w:ascii="Arial" w:cs="Arial" w:eastAsia="Arial" w:hAnsi="Arial"/>
          <w:sz w:val="13"/>
          <w:szCs w:val="13"/>
          <w:color w:val="00053B"/>
        </w:rPr>
        <w:t>For information about how to access the virtual meeting, and what to do if you have technical difficulties, please see “Additional Information about the Annual Meeting.”</w:t>
      </w:r>
    </w:p>
    <w:p>
      <w:pPr>
        <w:spacing w:after="0" w:line="22" w:lineRule="exact"/>
        <w:rPr>
          <w:sz w:val="20"/>
          <w:szCs w:val="20"/>
          <w:color w:val="auto"/>
        </w:rPr>
      </w:pPr>
    </w:p>
    <w:p>
      <w:pPr>
        <w:jc w:val="both"/>
        <w:ind w:left="80"/>
        <w:spacing w:after="0" w:line="286" w:lineRule="auto"/>
        <w:rPr>
          <w:sz w:val="20"/>
          <w:szCs w:val="20"/>
          <w:color w:val="auto"/>
        </w:rPr>
      </w:pPr>
      <w:r>
        <w:rPr>
          <w:rFonts w:ascii="Arial" w:cs="Arial" w:eastAsia="Arial" w:hAnsi="Arial"/>
          <w:sz w:val="13"/>
          <w:szCs w:val="13"/>
          <w:color w:val="00053B"/>
        </w:rPr>
        <w:t>If you vote in advance using our telephone or Internet voting procedures or by sending in your proxy card, you may still attend and vote at the Annual Meeting.</w:t>
      </w:r>
    </w:p>
    <w:p>
      <w:pPr>
        <w:spacing w:after="0" w:line="8" w:lineRule="exact"/>
        <w:rPr>
          <w:sz w:val="20"/>
          <w:szCs w:val="20"/>
          <w:color w:val="auto"/>
        </w:rPr>
      </w:pPr>
    </w:p>
    <w:p>
      <w:pPr>
        <w:jc w:val="both"/>
        <w:ind w:left="80"/>
        <w:spacing w:after="0" w:line="251" w:lineRule="auto"/>
        <w:rPr>
          <w:sz w:val="20"/>
          <w:szCs w:val="20"/>
          <w:color w:val="auto"/>
        </w:rPr>
      </w:pPr>
      <w:r>
        <w:rPr>
          <w:rFonts w:ascii="Arial" w:cs="Arial" w:eastAsia="Arial" w:hAnsi="Arial"/>
          <w:sz w:val="13"/>
          <w:szCs w:val="13"/>
          <w:color w:val="00053B"/>
        </w:rPr>
        <w:t xml:space="preserve">A list of stockholders entitled to vote at the Annual Meeting will be available for examination by stockholders during the ten days preceding the meeting. Information regarding how to examine the stockholder list is available at the meeting website at </w:t>
      </w:r>
      <w:r>
        <w:rPr>
          <w:rFonts w:ascii="Arial" w:cs="Arial" w:eastAsia="Arial" w:hAnsi="Arial"/>
          <w:sz w:val="13"/>
          <w:szCs w:val="13"/>
          <w:u w:val="single" w:color="auto"/>
          <w:color w:val="844896"/>
        </w:rPr>
        <w:t>https://ir.commvault.com/news-and-events/annual-meeting</w:t>
      </w:r>
      <w:r>
        <w:rPr>
          <w:rFonts w:ascii="Arial" w:cs="Arial" w:eastAsia="Arial" w:hAnsi="Arial"/>
          <w:sz w:val="13"/>
          <w:szCs w:val="13"/>
          <w:color w:val="00053B"/>
        </w:rPr>
        <w:t>.</w:t>
      </w:r>
    </w:p>
    <w:p>
      <w:pPr>
        <w:spacing w:after="0" w:line="84" w:lineRule="exact"/>
        <w:rPr>
          <w:sz w:val="20"/>
          <w:szCs w:val="20"/>
          <w:color w:val="auto"/>
        </w:rPr>
      </w:pPr>
    </w:p>
    <w:p>
      <w:pPr>
        <w:jc w:val="both"/>
        <w:ind w:left="80"/>
        <w:spacing w:after="0" w:line="264" w:lineRule="auto"/>
        <w:rPr>
          <w:sz w:val="20"/>
          <w:szCs w:val="20"/>
          <w:color w:val="auto"/>
        </w:rPr>
      </w:pPr>
      <w:r>
        <w:rPr>
          <w:rFonts w:ascii="Arial" w:cs="Arial" w:eastAsia="Arial" w:hAnsi="Arial"/>
          <w:sz w:val="13"/>
          <w:szCs w:val="13"/>
          <w:b w:val="1"/>
          <w:bCs w:val="1"/>
          <w:color w:val="00053B"/>
        </w:rPr>
        <w:t xml:space="preserve">Important Notice Regarding the Availability of Proxy Materials for the Meeting to be held on August 8, 2024: </w:t>
      </w:r>
      <w:r>
        <w:rPr>
          <w:rFonts w:ascii="Arial" w:cs="Arial" w:eastAsia="Arial" w:hAnsi="Arial"/>
          <w:sz w:val="13"/>
          <w:szCs w:val="13"/>
          <w:color w:val="00053B"/>
        </w:rPr>
        <w:t>This proxy statement</w:t>
      </w:r>
      <w:r>
        <w:rPr>
          <w:rFonts w:ascii="Arial" w:cs="Arial" w:eastAsia="Arial" w:hAnsi="Arial"/>
          <w:sz w:val="13"/>
          <w:szCs w:val="13"/>
          <w:b w:val="1"/>
          <w:bCs w:val="1"/>
          <w:color w:val="00053B"/>
        </w:rPr>
        <w:t xml:space="preserve"> </w:t>
      </w:r>
      <w:r>
        <w:rPr>
          <w:rFonts w:ascii="Arial" w:cs="Arial" w:eastAsia="Arial" w:hAnsi="Arial"/>
          <w:sz w:val="13"/>
          <w:szCs w:val="13"/>
          <w:color w:val="00053B"/>
        </w:rPr>
        <w:t xml:space="preserve">and our annual report to stockholders are available at </w:t>
      </w:r>
      <w:r>
        <w:rPr>
          <w:rFonts w:ascii="Arial" w:cs="Arial" w:eastAsia="Arial" w:hAnsi="Arial"/>
          <w:sz w:val="13"/>
          <w:szCs w:val="13"/>
          <w:u w:val="single" w:color="auto"/>
          <w:color w:val="844896"/>
        </w:rPr>
        <w:t>www.edocumentview.com/CVLT</w:t>
      </w:r>
      <w:r>
        <w:rPr>
          <w:rFonts w:ascii="Arial" w:cs="Arial" w:eastAsia="Arial" w:hAnsi="Arial"/>
          <w:sz w:val="13"/>
          <w:szCs w:val="13"/>
          <w:color w:val="00053B"/>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00053B"/>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31115</wp:posOffset>
            </wp:positionV>
            <wp:extent cx="2288540" cy="9855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88540" cy="98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00053B"/>
        </w:rPr>
        <w:t>Danielle Sheer</w:t>
      </w:r>
    </w:p>
    <w:p>
      <w:pPr>
        <w:spacing w:after="0" w:line="6" w:lineRule="exact"/>
        <w:rPr>
          <w:sz w:val="20"/>
          <w:szCs w:val="20"/>
          <w:color w:val="auto"/>
        </w:rPr>
      </w:pPr>
    </w:p>
    <w:p>
      <w:pPr>
        <w:ind w:left="2040"/>
        <w:spacing w:after="0"/>
        <w:rPr>
          <w:sz w:val="20"/>
          <w:szCs w:val="20"/>
          <w:color w:val="auto"/>
        </w:rPr>
      </w:pPr>
      <w:r>
        <w:rPr>
          <w:rFonts w:ascii="Arial" w:cs="Arial" w:eastAsia="Arial" w:hAnsi="Arial"/>
          <w:sz w:val="15"/>
          <w:szCs w:val="15"/>
          <w:i w:val="1"/>
          <w:iCs w:val="1"/>
          <w:color w:val="00053B"/>
        </w:rPr>
        <w:t>Chief Legal and Trust Officer</w:t>
      </w:r>
    </w:p>
    <w:p>
      <w:pPr>
        <w:spacing w:after="0" w:line="30" w:lineRule="exact"/>
        <w:rPr>
          <w:sz w:val="20"/>
          <w:szCs w:val="20"/>
          <w:color w:val="auto"/>
        </w:rPr>
      </w:pPr>
    </w:p>
    <w:p>
      <w:pPr>
        <w:ind w:left="2040"/>
        <w:spacing w:after="0"/>
        <w:rPr>
          <w:sz w:val="20"/>
          <w:szCs w:val="20"/>
          <w:color w:val="auto"/>
        </w:rPr>
      </w:pPr>
      <w:r>
        <w:rPr>
          <w:rFonts w:ascii="Arial" w:cs="Arial" w:eastAsia="Arial" w:hAnsi="Arial"/>
          <w:sz w:val="15"/>
          <w:szCs w:val="15"/>
          <w:color w:val="00053B"/>
        </w:rPr>
        <w:t>June 25, 2024</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2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00053B"/>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200660</wp:posOffset>
            </wp:positionV>
            <wp:extent cx="325755" cy="214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755" cy="214630"/>
                    </a:xfrm>
                    <a:prstGeom prst="rect">
                      <a:avLst/>
                    </a:prstGeom>
                    <a:noFill/>
                  </pic:spPr>
                </pic:pic>
              </a:graphicData>
            </a:graphic>
          </wp:anchor>
        </w:drawing>
      </w:r>
    </w:p>
    <w:p>
      <w:pPr>
        <w:spacing w:after="0" w:line="3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844896"/>
        </w:rPr>
        <w:t>Online During</w:t>
      </w:r>
    </w:p>
    <w:p>
      <w:pPr>
        <w:ind w:left="800"/>
        <w:spacing w:after="0"/>
        <w:rPr>
          <w:sz w:val="20"/>
          <w:szCs w:val="20"/>
          <w:color w:val="auto"/>
        </w:rPr>
      </w:pPr>
      <w:r>
        <w:rPr>
          <w:rFonts w:ascii="Arial" w:cs="Arial" w:eastAsia="Arial" w:hAnsi="Arial"/>
          <w:sz w:val="18"/>
          <w:szCs w:val="18"/>
          <w:b w:val="1"/>
          <w:bCs w:val="1"/>
          <w:color w:val="844896"/>
        </w:rPr>
        <w:t>the Meeting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00053B"/>
        </w:rPr>
        <w:t>Attend the Annual Meeting virtually at</w:t>
      </w:r>
    </w:p>
    <w:p>
      <w:pPr>
        <w:spacing w:after="0"/>
        <w:rPr>
          <w:sz w:val="20"/>
          <w:szCs w:val="20"/>
          <w:color w:val="auto"/>
        </w:rPr>
      </w:pPr>
      <w:r>
        <w:rPr>
          <w:rFonts w:ascii="Arial" w:cs="Arial" w:eastAsia="Arial" w:hAnsi="Arial"/>
          <w:sz w:val="16"/>
          <w:szCs w:val="16"/>
          <w:u w:val="single" w:color="auto"/>
          <w:color w:val="844896"/>
        </w:rPr>
        <w:t>https://ir.commvault.com/news-and-</w:t>
      </w:r>
    </w:p>
    <w:p>
      <w:pPr>
        <w:ind w:right="500"/>
        <w:spacing w:after="0" w:line="235" w:lineRule="auto"/>
        <w:rPr>
          <w:sz w:val="20"/>
          <w:szCs w:val="20"/>
          <w:color w:val="auto"/>
        </w:rPr>
      </w:pPr>
      <w:r>
        <w:rPr>
          <w:rFonts w:ascii="Arial" w:cs="Arial" w:eastAsia="Arial" w:hAnsi="Arial"/>
          <w:sz w:val="16"/>
          <w:szCs w:val="16"/>
          <w:u w:val="single" w:color="auto"/>
          <w:color w:val="844896"/>
        </w:rPr>
        <w:t>events/annual-meeting</w:t>
      </w:r>
      <w:r>
        <w:rPr>
          <w:rFonts w:ascii="Arial" w:cs="Arial" w:eastAsia="Arial" w:hAnsi="Arial"/>
          <w:sz w:val="16"/>
          <w:szCs w:val="16"/>
          <w:color w:val="844896"/>
        </w:rPr>
        <w:t xml:space="preserve"> </w:t>
      </w:r>
      <w:r>
        <w:rPr>
          <w:rFonts w:ascii="Arial" w:cs="Arial" w:eastAsia="Arial" w:hAnsi="Arial"/>
          <w:sz w:val="16"/>
          <w:szCs w:val="16"/>
          <w:color w:val="00053B"/>
        </w:rPr>
        <w:t>and follow the</w:t>
      </w:r>
      <w:r>
        <w:rPr>
          <w:rFonts w:ascii="Arial" w:cs="Arial" w:eastAsia="Arial" w:hAnsi="Arial"/>
          <w:sz w:val="16"/>
          <w:szCs w:val="16"/>
          <w:color w:val="844896"/>
        </w:rPr>
        <w:t xml:space="preserve"> </w:t>
      </w:r>
      <w:r>
        <w:rPr>
          <w:rFonts w:ascii="Arial" w:cs="Arial" w:eastAsia="Arial" w:hAnsi="Arial"/>
          <w:sz w:val="16"/>
          <w:szCs w:val="16"/>
          <w:color w:val="00053B"/>
        </w:rPr>
        <w:t>instructions on the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78740</wp:posOffset>
            </wp:positionV>
            <wp:extent cx="325755" cy="316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755" cy="316865"/>
                    </a:xfrm>
                    <a:prstGeom prst="rect">
                      <a:avLst/>
                    </a:prstGeom>
                    <a:noFill/>
                  </pic:spPr>
                </pic:pic>
              </a:graphicData>
            </a:graphic>
          </wp:anchor>
        </w:drawing>
      </w:r>
    </w:p>
    <w:p>
      <w:pPr>
        <w:spacing w:after="0" w:line="38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844896"/>
        </w:rPr>
        <w:t>Online Before</w:t>
      </w:r>
    </w:p>
    <w:p>
      <w:pPr>
        <w:ind w:left="800"/>
        <w:spacing w:after="0"/>
        <w:rPr>
          <w:sz w:val="20"/>
          <w:szCs w:val="20"/>
          <w:color w:val="auto"/>
        </w:rPr>
      </w:pPr>
      <w:r>
        <w:rPr>
          <w:rFonts w:ascii="Arial" w:cs="Arial" w:eastAsia="Arial" w:hAnsi="Arial"/>
          <w:sz w:val="18"/>
          <w:szCs w:val="18"/>
          <w:b w:val="1"/>
          <w:bCs w:val="1"/>
          <w:color w:val="844896"/>
        </w:rPr>
        <w:t>the Meeting</w:t>
      </w:r>
    </w:p>
    <w:p>
      <w:pPr>
        <w:spacing w:after="0" w:line="15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00053B"/>
        </w:rPr>
        <w:t xml:space="preserve">Visit </w:t>
      </w:r>
      <w:r>
        <w:rPr>
          <w:rFonts w:ascii="Arial" w:cs="Arial" w:eastAsia="Arial" w:hAnsi="Arial"/>
          <w:sz w:val="16"/>
          <w:szCs w:val="16"/>
          <w:u w:val="single" w:color="auto"/>
          <w:color w:val="844896"/>
        </w:rPr>
        <w:t>www.investorvote.com/CVLT</w:t>
      </w:r>
      <w:r>
        <w:rPr>
          <w:rFonts w:ascii="Arial" w:cs="Arial" w:eastAsia="Arial" w:hAnsi="Arial"/>
          <w:sz w:val="16"/>
          <w:szCs w:val="16"/>
          <w:color w:val="00053B"/>
        </w:rPr>
        <w:t xml:space="preserve"> and finish voting before 3:00 a.m. EST on August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-249555</wp:posOffset>
            </wp:positionV>
            <wp:extent cx="285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109855</wp:posOffset>
            </wp:positionV>
            <wp:extent cx="325755"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755" cy="29146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844896"/>
        </w:rPr>
        <w:t>Mail</w:t>
      </w:r>
    </w:p>
    <w:p>
      <w:pPr>
        <w:spacing w:after="0" w:line="230"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00053B"/>
        </w:rPr>
        <w:t>Sign, date and return your proxy card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325755" cy="317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755" cy="31750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844896"/>
        </w:rPr>
        <w:t>Telephone</w:t>
      </w:r>
    </w:p>
    <w:p>
      <w:pPr>
        <w:spacing w:after="0" w:line="216"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00053B"/>
        </w:rPr>
        <w:t>Call the telephone number on your proxy card</w:t>
      </w:r>
    </w:p>
    <w:p>
      <w:pPr>
        <w:sectPr>
          <w:pgSz w:w="11900" w:h="16838" w:orient="portrait"/>
          <w:cols w:equalWidth="0" w:num="2">
            <w:col w:w="7840" w:space="180"/>
            <w:col w:w="3180"/>
          </w:cols>
          <w:pgMar w:left="320" w:top="1440" w:right="379" w:bottom="144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400" w:type="dxa"/>
            <w:vAlign w:val="bottom"/>
            <w:gridSpan w:val="19"/>
          </w:tcPr>
          <w:p>
            <w:pPr>
              <w:spacing w:after="0"/>
              <w:rPr>
                <w:sz w:val="20"/>
                <w:szCs w:val="20"/>
                <w:color w:val="auto"/>
              </w:rPr>
            </w:pPr>
            <w:r>
              <w:rPr>
                <w:rFonts w:ascii="Arial" w:cs="Arial" w:eastAsia="Arial" w:hAnsi="Arial"/>
                <w:sz w:val="16"/>
                <w:szCs w:val="16"/>
                <w:b w:val="1"/>
                <w:bCs w:val="1"/>
                <w:color w:val="00053B"/>
              </w:rPr>
              <w:t>Proxy Summary</w:t>
            </w:r>
          </w:p>
        </w:tc>
        <w:tc>
          <w:tcPr>
            <w:tcW w:w="680" w:type="dxa"/>
            <w:vAlign w:val="bottom"/>
          </w:tcPr>
          <w:p>
            <w:pPr>
              <w:ind w:left="500"/>
              <w:spacing w:after="0"/>
              <w:rPr>
                <w:sz w:val="20"/>
                <w:szCs w:val="20"/>
                <w:color w:val="auto"/>
              </w:rPr>
            </w:pPr>
            <w:r>
              <w:rPr>
                <w:rFonts w:ascii="Arial" w:cs="Arial" w:eastAsia="Arial" w:hAnsi="Arial"/>
                <w:sz w:val="16"/>
                <w:szCs w:val="16"/>
                <w:b w:val="1"/>
                <w:bCs w:val="1"/>
                <w:color w:val="00053B"/>
              </w:rPr>
              <w:t>4</w:t>
            </w:r>
          </w:p>
        </w:tc>
        <w:tc>
          <w:tcPr>
            <w:tcW w:w="0" w:type="dxa"/>
            <w:vAlign w:val="bottom"/>
          </w:tcPr>
          <w:p>
            <w:pPr>
              <w:spacing w:after="0"/>
              <w:rPr>
                <w:sz w:val="1"/>
                <w:szCs w:val="1"/>
                <w:color w:val="auto"/>
              </w:rPr>
            </w:pPr>
          </w:p>
        </w:tc>
      </w:tr>
      <w:tr>
        <w:trPr>
          <w:trHeight w:val="264"/>
        </w:trPr>
        <w:tc>
          <w:tcPr>
            <w:tcW w:w="300" w:type="dxa"/>
            <w:vAlign w:val="bottom"/>
            <w:tcBorders>
              <w:top w:val="single" w:sz="8" w:color="00053B"/>
            </w:tcBorders>
          </w:tcPr>
          <w:p>
            <w:pPr>
              <w:spacing w:after="0"/>
              <w:rPr>
                <w:sz w:val="22"/>
                <w:szCs w:val="22"/>
                <w:color w:val="auto"/>
              </w:rPr>
            </w:pPr>
          </w:p>
        </w:tc>
        <w:tc>
          <w:tcPr>
            <w:tcW w:w="860" w:type="dxa"/>
            <w:vAlign w:val="bottom"/>
            <w:tcBorders>
              <w:top w:val="single" w:sz="8" w:color="00053B"/>
              <w:bottom w:val="single" w:sz="8" w:color="00053B"/>
            </w:tcBorders>
            <w:gridSpan w:val="2"/>
          </w:tcPr>
          <w:p>
            <w:pPr>
              <w:spacing w:after="0"/>
              <w:rPr>
                <w:sz w:val="20"/>
                <w:szCs w:val="20"/>
                <w:color w:val="auto"/>
              </w:rPr>
            </w:pPr>
            <w:r>
              <w:rPr>
                <w:rFonts w:ascii="Arial" w:cs="Arial" w:eastAsia="Arial" w:hAnsi="Arial"/>
                <w:sz w:val="16"/>
                <w:szCs w:val="16"/>
                <w:color w:val="00053B"/>
                <w:w w:val="98"/>
              </w:rPr>
              <w:t>What’s New</w:t>
            </w:r>
          </w:p>
        </w:tc>
        <w:tc>
          <w:tcPr>
            <w:tcW w:w="80" w:type="dxa"/>
            <w:vAlign w:val="bottom"/>
            <w:tcBorders>
              <w:top w:val="single" w:sz="8" w:color="00053B"/>
            </w:tcBorders>
          </w:tcPr>
          <w:p>
            <w:pPr>
              <w:spacing w:after="0"/>
              <w:rPr>
                <w:sz w:val="22"/>
                <w:szCs w:val="22"/>
                <w:color w:val="auto"/>
              </w:rPr>
            </w:pPr>
          </w:p>
        </w:tc>
        <w:tc>
          <w:tcPr>
            <w:tcW w:w="3160" w:type="dxa"/>
            <w:vAlign w:val="bottom"/>
            <w:gridSpan w:val="15"/>
          </w:tcPr>
          <w:p>
            <w:pPr>
              <w:spacing w:after="0"/>
              <w:rPr>
                <w:sz w:val="22"/>
                <w:szCs w:val="22"/>
                <w:color w:val="auto"/>
              </w:rPr>
            </w:pPr>
          </w:p>
        </w:tc>
        <w:tc>
          <w:tcPr>
            <w:tcW w:w="680" w:type="dxa"/>
            <w:vAlign w:val="bottom"/>
          </w:tcPr>
          <w:p>
            <w:pPr>
              <w:ind w:left="500"/>
              <w:spacing w:after="0"/>
              <w:rPr>
                <w:sz w:val="20"/>
                <w:szCs w:val="20"/>
                <w:color w:val="auto"/>
              </w:rPr>
            </w:pPr>
            <w:r>
              <w:rPr>
                <w:rFonts w:ascii="Arial" w:cs="Arial" w:eastAsia="Arial" w:hAnsi="Arial"/>
                <w:sz w:val="16"/>
                <w:szCs w:val="16"/>
                <w:color w:val="00053B"/>
              </w:rPr>
              <w:t>4</w:t>
            </w:r>
          </w:p>
        </w:tc>
        <w:tc>
          <w:tcPr>
            <w:tcW w:w="0" w:type="dxa"/>
            <w:vAlign w:val="bottom"/>
          </w:tcPr>
          <w:p>
            <w:pPr>
              <w:spacing w:after="0"/>
              <w:rPr>
                <w:sz w:val="1"/>
                <w:szCs w:val="1"/>
                <w:color w:val="auto"/>
              </w:rPr>
            </w:pPr>
          </w:p>
        </w:tc>
      </w:tr>
      <w:tr>
        <w:trPr>
          <w:trHeight w:val="264"/>
        </w:trPr>
        <w:tc>
          <w:tcPr>
            <w:tcW w:w="300" w:type="dxa"/>
            <w:vAlign w:val="bottom"/>
          </w:tcPr>
          <w:p>
            <w:pPr>
              <w:spacing w:after="0"/>
              <w:rPr>
                <w:sz w:val="22"/>
                <w:szCs w:val="22"/>
                <w:color w:val="auto"/>
              </w:rPr>
            </w:pPr>
          </w:p>
        </w:tc>
        <w:tc>
          <w:tcPr>
            <w:tcW w:w="4100" w:type="dxa"/>
            <w:vAlign w:val="bottom"/>
            <w:gridSpan w:val="18"/>
          </w:tcPr>
          <w:p>
            <w:pPr>
              <w:spacing w:after="0"/>
              <w:rPr>
                <w:sz w:val="20"/>
                <w:szCs w:val="20"/>
                <w:color w:val="auto"/>
              </w:rPr>
            </w:pPr>
            <w:r>
              <w:rPr>
                <w:rFonts w:ascii="Arial" w:cs="Arial" w:eastAsia="Arial" w:hAnsi="Arial"/>
                <w:sz w:val="16"/>
                <w:szCs w:val="16"/>
                <w:color w:val="00053B"/>
              </w:rPr>
              <w:t>Election of Directors</w:t>
            </w:r>
          </w:p>
        </w:tc>
        <w:tc>
          <w:tcPr>
            <w:tcW w:w="680" w:type="dxa"/>
            <w:vAlign w:val="bottom"/>
          </w:tcPr>
          <w:p>
            <w:pPr>
              <w:ind w:left="500"/>
              <w:spacing w:after="0"/>
              <w:rPr>
                <w:sz w:val="20"/>
                <w:szCs w:val="20"/>
                <w:color w:val="auto"/>
              </w:rPr>
            </w:pPr>
            <w:r>
              <w:rPr>
                <w:rFonts w:ascii="Arial" w:cs="Arial" w:eastAsia="Arial" w:hAnsi="Arial"/>
                <w:sz w:val="16"/>
                <w:szCs w:val="16"/>
                <w:color w:val="00053B"/>
              </w:rPr>
              <w:t>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60" w:type="dxa"/>
            <w:vAlign w:val="bottom"/>
            <w:shd w:val="clear" w:color="auto" w:fill="00053B"/>
          </w:tcPr>
          <w:p>
            <w:pPr>
              <w:spacing w:after="0" w:line="20" w:lineRule="exact"/>
              <w:rPr>
                <w:sz w:val="1"/>
                <w:szCs w:val="1"/>
                <w:color w:val="auto"/>
              </w:rPr>
            </w:pPr>
          </w:p>
        </w:tc>
        <w:tc>
          <w:tcPr>
            <w:tcW w:w="320" w:type="dxa"/>
            <w:vAlign w:val="bottom"/>
            <w:gridSpan w:val="3"/>
            <w:shd w:val="clear" w:color="auto" w:fill="00053B"/>
          </w:tcPr>
          <w:p>
            <w:pPr>
              <w:spacing w:after="0" w:line="20" w:lineRule="exact"/>
              <w:rPr>
                <w:sz w:val="1"/>
                <w:szCs w:val="1"/>
                <w:color w:val="auto"/>
              </w:rPr>
            </w:pPr>
          </w:p>
        </w:tc>
        <w:tc>
          <w:tcPr>
            <w:tcW w:w="120" w:type="dxa"/>
            <w:vAlign w:val="bottom"/>
            <w:shd w:val="clear" w:color="auto" w:fill="00053B"/>
          </w:tcPr>
          <w:p>
            <w:pPr>
              <w:spacing w:after="0" w:line="20" w:lineRule="exact"/>
              <w:rPr>
                <w:sz w:val="1"/>
                <w:szCs w:val="1"/>
                <w:color w:val="auto"/>
              </w:rPr>
            </w:pPr>
          </w:p>
        </w:tc>
        <w:tc>
          <w:tcPr>
            <w:tcW w:w="340" w:type="dxa"/>
            <w:vAlign w:val="bottom"/>
            <w:shd w:val="clear" w:color="auto" w:fill="00053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00" w:type="dxa"/>
            <w:vAlign w:val="bottom"/>
          </w:tcPr>
          <w:p>
            <w:pPr>
              <w:spacing w:after="0"/>
              <w:rPr>
                <w:sz w:val="22"/>
                <w:szCs w:val="22"/>
                <w:color w:val="auto"/>
              </w:rPr>
            </w:pPr>
          </w:p>
        </w:tc>
        <w:tc>
          <w:tcPr>
            <w:tcW w:w="2400" w:type="dxa"/>
            <w:vAlign w:val="bottom"/>
            <w:tcBorders>
              <w:bottom w:val="single" w:sz="8" w:color="00053B"/>
            </w:tcBorders>
            <w:gridSpan w:val="15"/>
          </w:tcPr>
          <w:p>
            <w:pPr>
              <w:spacing w:after="0"/>
              <w:rPr>
                <w:sz w:val="20"/>
                <w:szCs w:val="20"/>
                <w:color w:val="auto"/>
              </w:rPr>
            </w:pPr>
            <w:r>
              <w:rPr>
                <w:rFonts w:ascii="Arial" w:cs="Arial" w:eastAsia="Arial" w:hAnsi="Arial"/>
                <w:sz w:val="16"/>
                <w:szCs w:val="16"/>
                <w:color w:val="00053B"/>
                <w:w w:val="99"/>
              </w:rPr>
              <w:t>Diversity and Tenure of the Board</w:t>
            </w:r>
          </w:p>
        </w:tc>
        <w:tc>
          <w:tcPr>
            <w:tcW w:w="1700" w:type="dxa"/>
            <w:vAlign w:val="bottom"/>
            <w:gridSpan w:val="3"/>
          </w:tcPr>
          <w:p>
            <w:pPr>
              <w:spacing w:after="0"/>
              <w:rPr>
                <w:sz w:val="22"/>
                <w:szCs w:val="22"/>
                <w:color w:val="auto"/>
              </w:rPr>
            </w:pPr>
          </w:p>
        </w:tc>
        <w:tc>
          <w:tcPr>
            <w:tcW w:w="680" w:type="dxa"/>
            <w:vAlign w:val="bottom"/>
          </w:tcPr>
          <w:p>
            <w:pPr>
              <w:ind w:left="500"/>
              <w:spacing w:after="0"/>
              <w:rPr>
                <w:sz w:val="20"/>
                <w:szCs w:val="20"/>
                <w:color w:val="auto"/>
              </w:rPr>
            </w:pPr>
            <w:r>
              <w:rPr>
                <w:rFonts w:ascii="Arial" w:cs="Arial" w:eastAsia="Arial" w:hAnsi="Arial"/>
                <w:sz w:val="16"/>
                <w:szCs w:val="16"/>
                <w:color w:val="00053B"/>
              </w:rPr>
              <w:t>5</w:t>
            </w:r>
          </w:p>
        </w:tc>
        <w:tc>
          <w:tcPr>
            <w:tcW w:w="0" w:type="dxa"/>
            <w:vAlign w:val="bottom"/>
          </w:tcPr>
          <w:p>
            <w:pPr>
              <w:spacing w:after="0"/>
              <w:rPr>
                <w:sz w:val="1"/>
                <w:szCs w:val="1"/>
                <w:color w:val="auto"/>
              </w:rPr>
            </w:pPr>
          </w:p>
        </w:tc>
      </w:tr>
      <w:tr>
        <w:trPr>
          <w:trHeight w:val="264"/>
        </w:trPr>
        <w:tc>
          <w:tcPr>
            <w:tcW w:w="300" w:type="dxa"/>
            <w:vAlign w:val="bottom"/>
          </w:tcPr>
          <w:p>
            <w:pPr>
              <w:spacing w:after="0"/>
              <w:rPr>
                <w:sz w:val="22"/>
                <w:szCs w:val="22"/>
                <w:color w:val="auto"/>
              </w:rPr>
            </w:pPr>
          </w:p>
        </w:tc>
        <w:tc>
          <w:tcPr>
            <w:tcW w:w="2280" w:type="dxa"/>
            <w:vAlign w:val="bottom"/>
            <w:tcBorders>
              <w:bottom w:val="single" w:sz="8" w:color="00053B"/>
            </w:tcBorders>
            <w:gridSpan w:val="14"/>
          </w:tcPr>
          <w:p>
            <w:pPr>
              <w:spacing w:after="0"/>
              <w:rPr>
                <w:sz w:val="20"/>
                <w:szCs w:val="20"/>
                <w:color w:val="auto"/>
              </w:rPr>
            </w:pPr>
            <w:r>
              <w:rPr>
                <w:rFonts w:ascii="Arial" w:cs="Arial" w:eastAsia="Arial" w:hAnsi="Arial"/>
                <w:sz w:val="16"/>
                <w:szCs w:val="16"/>
                <w:color w:val="00053B"/>
              </w:rPr>
              <w:t>Fiscal 2024 Financial Highlights</w:t>
            </w:r>
          </w:p>
        </w:tc>
        <w:tc>
          <w:tcPr>
            <w:tcW w:w="1820" w:type="dxa"/>
            <w:vAlign w:val="bottom"/>
            <w:gridSpan w:val="4"/>
          </w:tcPr>
          <w:p>
            <w:pPr>
              <w:spacing w:after="0"/>
              <w:rPr>
                <w:sz w:val="22"/>
                <w:szCs w:val="22"/>
                <w:color w:val="auto"/>
              </w:rPr>
            </w:pPr>
          </w:p>
        </w:tc>
        <w:tc>
          <w:tcPr>
            <w:tcW w:w="680" w:type="dxa"/>
            <w:vAlign w:val="bottom"/>
          </w:tcPr>
          <w:p>
            <w:pPr>
              <w:ind w:left="500"/>
              <w:spacing w:after="0"/>
              <w:rPr>
                <w:sz w:val="20"/>
                <w:szCs w:val="20"/>
                <w:color w:val="auto"/>
              </w:rPr>
            </w:pPr>
            <w:r>
              <w:rPr>
                <w:rFonts w:ascii="Arial" w:cs="Arial" w:eastAsia="Arial" w:hAnsi="Arial"/>
                <w:sz w:val="16"/>
                <w:szCs w:val="16"/>
                <w:color w:val="00053B"/>
              </w:rPr>
              <w:t>6</w:t>
            </w:r>
          </w:p>
        </w:tc>
        <w:tc>
          <w:tcPr>
            <w:tcW w:w="0" w:type="dxa"/>
            <w:vAlign w:val="bottom"/>
          </w:tcPr>
          <w:p>
            <w:pPr>
              <w:spacing w:after="0"/>
              <w:rPr>
                <w:sz w:val="1"/>
                <w:szCs w:val="1"/>
                <w:color w:val="auto"/>
              </w:rPr>
            </w:pPr>
          </w:p>
        </w:tc>
      </w:tr>
      <w:tr>
        <w:trPr>
          <w:trHeight w:val="263"/>
        </w:trPr>
        <w:tc>
          <w:tcPr>
            <w:tcW w:w="300" w:type="dxa"/>
            <w:vAlign w:val="bottom"/>
          </w:tcPr>
          <w:p>
            <w:pPr>
              <w:spacing w:after="0"/>
              <w:rPr>
                <w:sz w:val="22"/>
                <w:szCs w:val="22"/>
                <w:color w:val="auto"/>
              </w:rPr>
            </w:pPr>
          </w:p>
        </w:tc>
        <w:tc>
          <w:tcPr>
            <w:tcW w:w="1640" w:type="dxa"/>
            <w:vAlign w:val="bottom"/>
            <w:tcBorders>
              <w:bottom w:val="single" w:sz="8" w:color="00053B"/>
            </w:tcBorders>
            <w:gridSpan w:val="9"/>
          </w:tcPr>
          <w:p>
            <w:pPr>
              <w:spacing w:after="0"/>
              <w:rPr>
                <w:sz w:val="20"/>
                <w:szCs w:val="20"/>
                <w:color w:val="auto"/>
              </w:rPr>
            </w:pPr>
            <w:r>
              <w:rPr>
                <w:rFonts w:ascii="Arial" w:cs="Arial" w:eastAsia="Arial" w:hAnsi="Arial"/>
                <w:sz w:val="16"/>
                <w:szCs w:val="16"/>
                <w:color w:val="00053B"/>
              </w:rPr>
              <w:t>Governance Highlights</w:t>
            </w:r>
          </w:p>
        </w:tc>
        <w:tc>
          <w:tcPr>
            <w:tcW w:w="2460" w:type="dxa"/>
            <w:vAlign w:val="bottom"/>
            <w:gridSpan w:val="9"/>
          </w:tcPr>
          <w:p>
            <w:pPr>
              <w:spacing w:after="0"/>
              <w:rPr>
                <w:sz w:val="22"/>
                <w:szCs w:val="22"/>
                <w:color w:val="auto"/>
              </w:rPr>
            </w:pPr>
          </w:p>
        </w:tc>
        <w:tc>
          <w:tcPr>
            <w:tcW w:w="680" w:type="dxa"/>
            <w:vAlign w:val="bottom"/>
          </w:tcPr>
          <w:p>
            <w:pPr>
              <w:ind w:left="500"/>
              <w:spacing w:after="0"/>
              <w:rPr>
                <w:sz w:val="20"/>
                <w:szCs w:val="20"/>
                <w:color w:val="auto"/>
              </w:rPr>
            </w:pPr>
            <w:r>
              <w:rPr>
                <w:rFonts w:ascii="Arial" w:cs="Arial" w:eastAsia="Arial" w:hAnsi="Arial"/>
                <w:sz w:val="16"/>
                <w:szCs w:val="16"/>
                <w:color w:val="00053B"/>
              </w:rPr>
              <w:t>7</w:t>
            </w:r>
          </w:p>
        </w:tc>
        <w:tc>
          <w:tcPr>
            <w:tcW w:w="0" w:type="dxa"/>
            <w:vAlign w:val="bottom"/>
          </w:tcPr>
          <w:p>
            <w:pPr>
              <w:spacing w:after="0"/>
              <w:rPr>
                <w:sz w:val="1"/>
                <w:szCs w:val="1"/>
                <w:color w:val="auto"/>
              </w:rPr>
            </w:pPr>
          </w:p>
        </w:tc>
      </w:tr>
      <w:tr>
        <w:trPr>
          <w:trHeight w:val="264"/>
        </w:trPr>
        <w:tc>
          <w:tcPr>
            <w:tcW w:w="300" w:type="dxa"/>
            <w:vAlign w:val="bottom"/>
          </w:tcPr>
          <w:p>
            <w:pPr>
              <w:spacing w:after="0"/>
              <w:rPr>
                <w:sz w:val="22"/>
                <w:szCs w:val="22"/>
                <w:color w:val="auto"/>
              </w:rPr>
            </w:pPr>
          </w:p>
        </w:tc>
        <w:tc>
          <w:tcPr>
            <w:tcW w:w="4100" w:type="dxa"/>
            <w:vAlign w:val="bottom"/>
            <w:gridSpan w:val="18"/>
          </w:tcPr>
          <w:p>
            <w:pPr>
              <w:spacing w:after="0"/>
              <w:rPr>
                <w:sz w:val="20"/>
                <w:szCs w:val="20"/>
                <w:color w:val="auto"/>
              </w:rPr>
            </w:pPr>
            <w:r>
              <w:rPr>
                <w:rFonts w:ascii="Arial" w:cs="Arial" w:eastAsia="Arial" w:hAnsi="Arial"/>
                <w:sz w:val="16"/>
                <w:szCs w:val="16"/>
                <w:color w:val="00053B"/>
              </w:rPr>
              <w:t>Executive Compensation Highlights</w:t>
            </w:r>
          </w:p>
        </w:tc>
        <w:tc>
          <w:tcPr>
            <w:tcW w:w="680" w:type="dxa"/>
            <w:vAlign w:val="bottom"/>
          </w:tcPr>
          <w:p>
            <w:pPr>
              <w:ind w:left="500"/>
              <w:spacing w:after="0"/>
              <w:rPr>
                <w:sz w:val="20"/>
                <w:szCs w:val="20"/>
                <w:color w:val="auto"/>
              </w:rPr>
            </w:pPr>
            <w:r>
              <w:rPr>
                <w:rFonts w:ascii="Arial" w:cs="Arial" w:eastAsia="Arial" w:hAnsi="Arial"/>
                <w:sz w:val="16"/>
                <w:szCs w:val="16"/>
                <w:color w:val="00053B"/>
              </w:rPr>
              <w:t>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60" w:type="dxa"/>
            <w:vAlign w:val="bottom"/>
            <w:shd w:val="clear" w:color="auto" w:fill="00053B"/>
          </w:tcPr>
          <w:p>
            <w:pPr>
              <w:spacing w:after="0" w:line="20" w:lineRule="exact"/>
              <w:rPr>
                <w:sz w:val="1"/>
                <w:szCs w:val="1"/>
                <w:color w:val="auto"/>
              </w:rPr>
            </w:pPr>
          </w:p>
        </w:tc>
        <w:tc>
          <w:tcPr>
            <w:tcW w:w="320" w:type="dxa"/>
            <w:vAlign w:val="bottom"/>
            <w:gridSpan w:val="3"/>
            <w:shd w:val="clear" w:color="auto" w:fill="00053B"/>
          </w:tcPr>
          <w:p>
            <w:pPr>
              <w:spacing w:after="0" w:line="20" w:lineRule="exact"/>
              <w:rPr>
                <w:sz w:val="1"/>
                <w:szCs w:val="1"/>
                <w:color w:val="auto"/>
              </w:rPr>
            </w:pPr>
          </w:p>
        </w:tc>
        <w:tc>
          <w:tcPr>
            <w:tcW w:w="120" w:type="dxa"/>
            <w:vAlign w:val="bottom"/>
            <w:shd w:val="clear" w:color="auto" w:fill="00053B"/>
          </w:tcPr>
          <w:p>
            <w:pPr>
              <w:spacing w:after="0" w:line="20" w:lineRule="exact"/>
              <w:rPr>
                <w:sz w:val="1"/>
                <w:szCs w:val="1"/>
                <w:color w:val="auto"/>
              </w:rPr>
            </w:pPr>
          </w:p>
        </w:tc>
        <w:tc>
          <w:tcPr>
            <w:tcW w:w="360" w:type="dxa"/>
            <w:vAlign w:val="bottom"/>
            <w:gridSpan w:val="2"/>
            <w:shd w:val="clear" w:color="auto" w:fill="00053B"/>
          </w:tcPr>
          <w:p>
            <w:pPr>
              <w:spacing w:after="0" w:line="20" w:lineRule="exact"/>
              <w:rPr>
                <w:sz w:val="1"/>
                <w:szCs w:val="1"/>
                <w:color w:val="auto"/>
              </w:rPr>
            </w:pPr>
          </w:p>
        </w:tc>
        <w:tc>
          <w:tcPr>
            <w:tcW w:w="120" w:type="dxa"/>
            <w:vAlign w:val="bottom"/>
            <w:shd w:val="clear" w:color="auto" w:fill="00053B"/>
          </w:tcPr>
          <w:p>
            <w:pPr>
              <w:spacing w:after="0" w:line="20" w:lineRule="exact"/>
              <w:rPr>
                <w:sz w:val="1"/>
                <w:szCs w:val="1"/>
                <w:color w:val="auto"/>
              </w:rPr>
            </w:pPr>
          </w:p>
        </w:tc>
        <w:tc>
          <w:tcPr>
            <w:tcW w:w="60" w:type="dxa"/>
            <w:vAlign w:val="bottom"/>
            <w:shd w:val="clear" w:color="auto" w:fill="00053B"/>
          </w:tcPr>
          <w:p>
            <w:pPr>
              <w:spacing w:after="0" w:line="20" w:lineRule="exact"/>
              <w:rPr>
                <w:sz w:val="1"/>
                <w:szCs w:val="1"/>
                <w:color w:val="auto"/>
              </w:rPr>
            </w:pPr>
          </w:p>
        </w:tc>
        <w:tc>
          <w:tcPr>
            <w:tcW w:w="60" w:type="dxa"/>
            <w:vAlign w:val="bottom"/>
            <w:shd w:val="clear" w:color="auto" w:fill="00053B"/>
          </w:tcPr>
          <w:p>
            <w:pPr>
              <w:spacing w:after="0" w:line="20" w:lineRule="exact"/>
              <w:rPr>
                <w:sz w:val="1"/>
                <w:szCs w:val="1"/>
                <w:color w:val="auto"/>
              </w:rPr>
            </w:pPr>
          </w:p>
        </w:tc>
        <w:tc>
          <w:tcPr>
            <w:tcW w:w="120" w:type="dxa"/>
            <w:vAlign w:val="bottom"/>
            <w:shd w:val="clear" w:color="auto" w:fill="00053B"/>
          </w:tcPr>
          <w:p>
            <w:pPr>
              <w:spacing w:after="0" w:line="20" w:lineRule="exact"/>
              <w:rPr>
                <w:sz w:val="1"/>
                <w:szCs w:val="1"/>
                <w:color w:val="auto"/>
              </w:rPr>
            </w:pPr>
          </w:p>
        </w:tc>
        <w:tc>
          <w:tcPr>
            <w:tcW w:w="80" w:type="dxa"/>
            <w:vAlign w:val="bottom"/>
            <w:shd w:val="clear" w:color="auto" w:fill="00053B"/>
          </w:tcPr>
          <w:p>
            <w:pPr>
              <w:spacing w:after="0" w:line="20" w:lineRule="exact"/>
              <w:rPr>
                <w:sz w:val="1"/>
                <w:szCs w:val="1"/>
                <w:color w:val="auto"/>
              </w:rPr>
            </w:pPr>
          </w:p>
        </w:tc>
        <w:tc>
          <w:tcPr>
            <w:tcW w:w="80" w:type="dxa"/>
            <w:vAlign w:val="bottom"/>
            <w:shd w:val="clear" w:color="auto" w:fill="00053B"/>
          </w:tcPr>
          <w:p>
            <w:pPr>
              <w:spacing w:after="0" w:line="20" w:lineRule="exact"/>
              <w:rPr>
                <w:sz w:val="1"/>
                <w:szCs w:val="1"/>
                <w:color w:val="auto"/>
              </w:rPr>
            </w:pPr>
          </w:p>
        </w:tc>
        <w:tc>
          <w:tcPr>
            <w:tcW w:w="560" w:type="dxa"/>
            <w:vAlign w:val="bottom"/>
            <w:tcBorders>
              <w:right w:val="single" w:sz="8" w:color="00053B"/>
            </w:tcBorders>
            <w:gridSpan w:val="3"/>
            <w:shd w:val="clear" w:color="auto" w:fill="00053B"/>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00" w:type="dxa"/>
            <w:vAlign w:val="bottom"/>
          </w:tcPr>
          <w:p>
            <w:pPr>
              <w:spacing w:after="0"/>
              <w:rPr>
                <w:sz w:val="22"/>
                <w:szCs w:val="22"/>
                <w:color w:val="auto"/>
              </w:rPr>
            </w:pPr>
          </w:p>
        </w:tc>
        <w:tc>
          <w:tcPr>
            <w:tcW w:w="4100" w:type="dxa"/>
            <w:vAlign w:val="bottom"/>
            <w:gridSpan w:val="18"/>
          </w:tcPr>
          <w:p>
            <w:pPr>
              <w:spacing w:after="0"/>
              <w:rPr>
                <w:sz w:val="20"/>
                <w:szCs w:val="20"/>
                <w:color w:val="auto"/>
              </w:rPr>
            </w:pPr>
            <w:r>
              <w:rPr>
                <w:rFonts w:ascii="Arial" w:cs="Arial" w:eastAsia="Arial" w:hAnsi="Arial"/>
                <w:sz w:val="16"/>
                <w:szCs w:val="16"/>
                <w:color w:val="00053B"/>
              </w:rPr>
              <w:t>Environmental, Social and Governance Developments</w:t>
            </w:r>
          </w:p>
        </w:tc>
        <w:tc>
          <w:tcPr>
            <w:tcW w:w="680" w:type="dxa"/>
            <w:vAlign w:val="bottom"/>
          </w:tcPr>
          <w:p>
            <w:pPr>
              <w:ind w:left="500"/>
              <w:spacing w:after="0"/>
              <w:rPr>
                <w:sz w:val="20"/>
                <w:szCs w:val="20"/>
                <w:color w:val="auto"/>
              </w:rPr>
            </w:pPr>
            <w:r>
              <w:rPr>
                <w:rFonts w:ascii="Arial" w:cs="Arial" w:eastAsia="Arial" w:hAnsi="Arial"/>
                <w:sz w:val="16"/>
                <w:szCs w:val="16"/>
                <w:color w:val="00053B"/>
              </w:rPr>
              <w:t>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60" w:type="dxa"/>
            <w:vAlign w:val="bottom"/>
            <w:shd w:val="clear" w:color="auto" w:fill="00053B"/>
          </w:tcPr>
          <w:p>
            <w:pPr>
              <w:spacing w:after="0" w:line="20" w:lineRule="exact"/>
              <w:rPr>
                <w:sz w:val="1"/>
                <w:szCs w:val="1"/>
                <w:color w:val="auto"/>
              </w:rPr>
            </w:pPr>
          </w:p>
        </w:tc>
        <w:tc>
          <w:tcPr>
            <w:tcW w:w="320" w:type="dxa"/>
            <w:vAlign w:val="bottom"/>
            <w:gridSpan w:val="3"/>
            <w:shd w:val="clear" w:color="auto" w:fill="00053B"/>
          </w:tcPr>
          <w:p>
            <w:pPr>
              <w:spacing w:after="0" w:line="20" w:lineRule="exact"/>
              <w:rPr>
                <w:sz w:val="1"/>
                <w:szCs w:val="1"/>
                <w:color w:val="auto"/>
              </w:rPr>
            </w:pPr>
          </w:p>
        </w:tc>
        <w:tc>
          <w:tcPr>
            <w:tcW w:w="120" w:type="dxa"/>
            <w:vAlign w:val="bottom"/>
            <w:shd w:val="clear" w:color="auto" w:fill="00053B"/>
          </w:tcPr>
          <w:p>
            <w:pPr>
              <w:spacing w:after="0" w:line="20" w:lineRule="exact"/>
              <w:rPr>
                <w:sz w:val="1"/>
                <w:szCs w:val="1"/>
                <w:color w:val="auto"/>
              </w:rPr>
            </w:pPr>
          </w:p>
        </w:tc>
        <w:tc>
          <w:tcPr>
            <w:tcW w:w="360" w:type="dxa"/>
            <w:vAlign w:val="bottom"/>
            <w:gridSpan w:val="2"/>
            <w:shd w:val="clear" w:color="auto" w:fill="00053B"/>
          </w:tcPr>
          <w:p>
            <w:pPr>
              <w:spacing w:after="0" w:line="20" w:lineRule="exact"/>
              <w:rPr>
                <w:sz w:val="1"/>
                <w:szCs w:val="1"/>
                <w:color w:val="auto"/>
              </w:rPr>
            </w:pPr>
          </w:p>
        </w:tc>
        <w:tc>
          <w:tcPr>
            <w:tcW w:w="120" w:type="dxa"/>
            <w:vAlign w:val="bottom"/>
            <w:shd w:val="clear" w:color="auto" w:fill="00053B"/>
          </w:tcPr>
          <w:p>
            <w:pPr>
              <w:spacing w:after="0" w:line="20" w:lineRule="exact"/>
              <w:rPr>
                <w:sz w:val="1"/>
                <w:szCs w:val="1"/>
                <w:color w:val="auto"/>
              </w:rPr>
            </w:pPr>
          </w:p>
        </w:tc>
        <w:tc>
          <w:tcPr>
            <w:tcW w:w="60" w:type="dxa"/>
            <w:vAlign w:val="bottom"/>
            <w:shd w:val="clear" w:color="auto" w:fill="00053B"/>
          </w:tcPr>
          <w:p>
            <w:pPr>
              <w:spacing w:after="0" w:line="20" w:lineRule="exact"/>
              <w:rPr>
                <w:sz w:val="1"/>
                <w:szCs w:val="1"/>
                <w:color w:val="auto"/>
              </w:rPr>
            </w:pPr>
          </w:p>
        </w:tc>
        <w:tc>
          <w:tcPr>
            <w:tcW w:w="60" w:type="dxa"/>
            <w:vAlign w:val="bottom"/>
            <w:shd w:val="clear" w:color="auto" w:fill="00053B"/>
          </w:tcPr>
          <w:p>
            <w:pPr>
              <w:spacing w:after="0" w:line="20" w:lineRule="exact"/>
              <w:rPr>
                <w:sz w:val="1"/>
                <w:szCs w:val="1"/>
                <w:color w:val="auto"/>
              </w:rPr>
            </w:pPr>
          </w:p>
        </w:tc>
        <w:tc>
          <w:tcPr>
            <w:tcW w:w="120" w:type="dxa"/>
            <w:vAlign w:val="bottom"/>
            <w:shd w:val="clear" w:color="auto" w:fill="00053B"/>
          </w:tcPr>
          <w:p>
            <w:pPr>
              <w:spacing w:after="0" w:line="20" w:lineRule="exact"/>
              <w:rPr>
                <w:sz w:val="1"/>
                <w:szCs w:val="1"/>
                <w:color w:val="auto"/>
              </w:rPr>
            </w:pPr>
          </w:p>
        </w:tc>
        <w:tc>
          <w:tcPr>
            <w:tcW w:w="80" w:type="dxa"/>
            <w:vAlign w:val="bottom"/>
            <w:shd w:val="clear" w:color="auto" w:fill="00053B"/>
          </w:tcPr>
          <w:p>
            <w:pPr>
              <w:spacing w:after="0" w:line="20" w:lineRule="exact"/>
              <w:rPr>
                <w:sz w:val="1"/>
                <w:szCs w:val="1"/>
                <w:color w:val="auto"/>
              </w:rPr>
            </w:pPr>
          </w:p>
        </w:tc>
        <w:tc>
          <w:tcPr>
            <w:tcW w:w="80" w:type="dxa"/>
            <w:vAlign w:val="bottom"/>
            <w:shd w:val="clear" w:color="auto" w:fill="00053B"/>
          </w:tcPr>
          <w:p>
            <w:pPr>
              <w:spacing w:after="0" w:line="20" w:lineRule="exact"/>
              <w:rPr>
                <w:sz w:val="1"/>
                <w:szCs w:val="1"/>
                <w:color w:val="auto"/>
              </w:rPr>
            </w:pPr>
          </w:p>
        </w:tc>
        <w:tc>
          <w:tcPr>
            <w:tcW w:w="560" w:type="dxa"/>
            <w:vAlign w:val="bottom"/>
            <w:tcBorders>
              <w:right w:val="single" w:sz="8" w:color="00053B"/>
            </w:tcBorders>
            <w:gridSpan w:val="3"/>
            <w:shd w:val="clear" w:color="auto" w:fill="00053B"/>
          </w:tcPr>
          <w:p>
            <w:pPr>
              <w:spacing w:after="0" w:line="20" w:lineRule="exact"/>
              <w:rPr>
                <w:sz w:val="1"/>
                <w:szCs w:val="1"/>
                <w:color w:val="auto"/>
              </w:rPr>
            </w:pPr>
          </w:p>
        </w:tc>
        <w:tc>
          <w:tcPr>
            <w:tcW w:w="1340" w:type="dxa"/>
            <w:vAlign w:val="bottom"/>
            <w:shd w:val="clear" w:color="auto" w:fill="00053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400" w:type="dxa"/>
            <w:vAlign w:val="bottom"/>
            <w:gridSpan w:val="19"/>
          </w:tcPr>
          <w:p>
            <w:pPr>
              <w:spacing w:after="0"/>
              <w:rPr>
                <w:sz w:val="20"/>
                <w:szCs w:val="20"/>
                <w:color w:val="auto"/>
              </w:rPr>
            </w:pPr>
            <w:r>
              <w:rPr>
                <w:rFonts w:ascii="Arial" w:cs="Arial" w:eastAsia="Arial" w:hAnsi="Arial"/>
                <w:sz w:val="16"/>
                <w:szCs w:val="16"/>
                <w:b w:val="1"/>
                <w:bCs w:val="1"/>
                <w:color w:val="00053B"/>
              </w:rPr>
              <w:t>Proposal No. 1: Election of Directors</w:t>
            </w:r>
          </w:p>
        </w:tc>
        <w:tc>
          <w:tcPr>
            <w:tcW w:w="680" w:type="dxa"/>
            <w:vAlign w:val="bottom"/>
          </w:tcPr>
          <w:p>
            <w:pPr>
              <w:ind w:left="500"/>
              <w:spacing w:after="0"/>
              <w:rPr>
                <w:sz w:val="20"/>
                <w:szCs w:val="20"/>
                <w:color w:val="auto"/>
              </w:rPr>
            </w:pPr>
            <w:r>
              <w:rPr>
                <w:rFonts w:ascii="Arial" w:cs="Arial" w:eastAsia="Arial" w:hAnsi="Arial"/>
                <w:sz w:val="16"/>
                <w:szCs w:val="16"/>
                <w:b w:val="1"/>
                <w:bCs w:val="1"/>
                <w:color w:val="00053B"/>
                <w:w w:val="89"/>
              </w:rPr>
              <w:t>10</w:t>
            </w:r>
          </w:p>
        </w:tc>
        <w:tc>
          <w:tcPr>
            <w:tcW w:w="0" w:type="dxa"/>
            <w:vAlign w:val="bottom"/>
          </w:tcPr>
          <w:p>
            <w:pPr>
              <w:spacing w:after="0"/>
              <w:rPr>
                <w:sz w:val="1"/>
                <w:szCs w:val="1"/>
                <w:color w:val="auto"/>
              </w:rPr>
            </w:pPr>
          </w:p>
        </w:tc>
      </w:tr>
      <w:tr>
        <w:trPr>
          <w:trHeight w:val="264"/>
        </w:trPr>
        <w:tc>
          <w:tcPr>
            <w:tcW w:w="300" w:type="dxa"/>
            <w:vAlign w:val="bottom"/>
            <w:tcBorders>
              <w:top w:val="single" w:sz="8" w:color="00053B"/>
            </w:tcBorders>
          </w:tcPr>
          <w:p>
            <w:pPr>
              <w:spacing w:after="0"/>
              <w:rPr>
                <w:sz w:val="22"/>
                <w:szCs w:val="22"/>
                <w:color w:val="auto"/>
              </w:rPr>
            </w:pPr>
          </w:p>
        </w:tc>
        <w:tc>
          <w:tcPr>
            <w:tcW w:w="1640" w:type="dxa"/>
            <w:vAlign w:val="bottom"/>
            <w:tcBorders>
              <w:top w:val="single" w:sz="8" w:color="00053B"/>
              <w:bottom w:val="single" w:sz="8" w:color="00053B"/>
            </w:tcBorders>
            <w:gridSpan w:val="9"/>
          </w:tcPr>
          <w:p>
            <w:pPr>
              <w:spacing w:after="0"/>
              <w:rPr>
                <w:sz w:val="20"/>
                <w:szCs w:val="20"/>
                <w:color w:val="auto"/>
              </w:rPr>
            </w:pPr>
            <w:r>
              <w:rPr>
                <w:rFonts w:ascii="Arial" w:cs="Arial" w:eastAsia="Arial" w:hAnsi="Arial"/>
                <w:sz w:val="16"/>
                <w:szCs w:val="16"/>
                <w:color w:val="00053B"/>
              </w:rPr>
              <w:t>Director Independence</w:t>
            </w:r>
          </w:p>
        </w:tc>
        <w:tc>
          <w:tcPr>
            <w:tcW w:w="900" w:type="dxa"/>
            <w:vAlign w:val="bottom"/>
            <w:tcBorders>
              <w:top w:val="single" w:sz="8" w:color="00053B"/>
            </w:tcBorders>
            <w:gridSpan w:val="7"/>
          </w:tcPr>
          <w:p>
            <w:pPr>
              <w:spacing w:after="0"/>
              <w:rPr>
                <w:sz w:val="22"/>
                <w:szCs w:val="22"/>
                <w:color w:val="auto"/>
              </w:rPr>
            </w:pPr>
          </w:p>
        </w:tc>
        <w:tc>
          <w:tcPr>
            <w:tcW w:w="1560" w:type="dxa"/>
            <w:vAlign w:val="bottom"/>
            <w:gridSpan w:val="2"/>
          </w:tcPr>
          <w:p>
            <w:pPr>
              <w:spacing w:after="0"/>
              <w:rPr>
                <w:sz w:val="22"/>
                <w:szCs w:val="22"/>
                <w:color w:val="auto"/>
              </w:rPr>
            </w:pPr>
          </w:p>
        </w:tc>
        <w:tc>
          <w:tcPr>
            <w:tcW w:w="680" w:type="dxa"/>
            <w:vAlign w:val="bottom"/>
          </w:tcPr>
          <w:p>
            <w:pPr>
              <w:ind w:left="500"/>
              <w:spacing w:after="0"/>
              <w:rPr>
                <w:sz w:val="20"/>
                <w:szCs w:val="20"/>
                <w:color w:val="auto"/>
              </w:rPr>
            </w:pPr>
            <w:r>
              <w:rPr>
                <w:rFonts w:ascii="Arial" w:cs="Arial" w:eastAsia="Arial" w:hAnsi="Arial"/>
                <w:sz w:val="16"/>
                <w:szCs w:val="16"/>
                <w:color w:val="00053B"/>
                <w:w w:val="89"/>
              </w:rPr>
              <w:t>10</w:t>
            </w:r>
          </w:p>
        </w:tc>
        <w:tc>
          <w:tcPr>
            <w:tcW w:w="0" w:type="dxa"/>
            <w:vAlign w:val="bottom"/>
          </w:tcPr>
          <w:p>
            <w:pPr>
              <w:spacing w:after="0"/>
              <w:rPr>
                <w:sz w:val="1"/>
                <w:szCs w:val="1"/>
                <w:color w:val="auto"/>
              </w:rPr>
            </w:pPr>
          </w:p>
        </w:tc>
      </w:tr>
      <w:tr>
        <w:trPr>
          <w:trHeight w:val="263"/>
        </w:trPr>
        <w:tc>
          <w:tcPr>
            <w:tcW w:w="300" w:type="dxa"/>
            <w:vAlign w:val="bottom"/>
          </w:tcPr>
          <w:p>
            <w:pPr>
              <w:spacing w:after="0"/>
              <w:rPr>
                <w:sz w:val="22"/>
                <w:szCs w:val="22"/>
                <w:color w:val="auto"/>
              </w:rPr>
            </w:pPr>
          </w:p>
        </w:tc>
        <w:tc>
          <w:tcPr>
            <w:tcW w:w="1100" w:type="dxa"/>
            <w:vAlign w:val="bottom"/>
            <w:tcBorders>
              <w:bottom w:val="single" w:sz="8" w:color="00053B"/>
            </w:tcBorders>
            <w:gridSpan w:val="5"/>
          </w:tcPr>
          <w:p>
            <w:pPr>
              <w:spacing w:after="0"/>
              <w:rPr>
                <w:sz w:val="20"/>
                <w:szCs w:val="20"/>
                <w:color w:val="auto"/>
              </w:rPr>
            </w:pPr>
            <w:r>
              <w:rPr>
                <w:rFonts w:ascii="Arial" w:cs="Arial" w:eastAsia="Arial" w:hAnsi="Arial"/>
                <w:sz w:val="16"/>
                <w:szCs w:val="16"/>
                <w:color w:val="00053B"/>
                <w:w w:val="99"/>
              </w:rPr>
              <w:t>Board Diversity</w:t>
            </w:r>
          </w:p>
        </w:tc>
        <w:tc>
          <w:tcPr>
            <w:tcW w:w="3000" w:type="dxa"/>
            <w:vAlign w:val="bottom"/>
            <w:gridSpan w:val="13"/>
          </w:tcPr>
          <w:p>
            <w:pPr>
              <w:spacing w:after="0"/>
              <w:rPr>
                <w:sz w:val="22"/>
                <w:szCs w:val="22"/>
                <w:color w:val="auto"/>
              </w:rPr>
            </w:pPr>
          </w:p>
        </w:tc>
        <w:tc>
          <w:tcPr>
            <w:tcW w:w="680" w:type="dxa"/>
            <w:vAlign w:val="bottom"/>
          </w:tcPr>
          <w:p>
            <w:pPr>
              <w:ind w:left="500"/>
              <w:spacing w:after="0"/>
              <w:rPr>
                <w:sz w:val="20"/>
                <w:szCs w:val="20"/>
                <w:color w:val="auto"/>
              </w:rPr>
            </w:pPr>
            <w:r>
              <w:rPr>
                <w:rFonts w:ascii="Arial" w:cs="Arial" w:eastAsia="Arial" w:hAnsi="Arial"/>
                <w:sz w:val="16"/>
                <w:szCs w:val="16"/>
                <w:color w:val="00053B"/>
                <w:w w:val="89"/>
              </w:rPr>
              <w:t>11</w:t>
            </w:r>
          </w:p>
        </w:tc>
        <w:tc>
          <w:tcPr>
            <w:tcW w:w="0" w:type="dxa"/>
            <w:vAlign w:val="bottom"/>
          </w:tcPr>
          <w:p>
            <w:pPr>
              <w:spacing w:after="0"/>
              <w:rPr>
                <w:sz w:val="1"/>
                <w:szCs w:val="1"/>
                <w:color w:val="auto"/>
              </w:rPr>
            </w:pPr>
          </w:p>
        </w:tc>
      </w:tr>
      <w:tr>
        <w:trPr>
          <w:trHeight w:val="263"/>
        </w:trPr>
        <w:tc>
          <w:tcPr>
            <w:tcW w:w="300" w:type="dxa"/>
            <w:vAlign w:val="bottom"/>
          </w:tcPr>
          <w:p>
            <w:pPr>
              <w:spacing w:after="0"/>
              <w:rPr>
                <w:sz w:val="22"/>
                <w:szCs w:val="22"/>
                <w:color w:val="auto"/>
              </w:rPr>
            </w:pPr>
          </w:p>
        </w:tc>
        <w:tc>
          <w:tcPr>
            <w:tcW w:w="1580" w:type="dxa"/>
            <w:vAlign w:val="bottom"/>
            <w:tcBorders>
              <w:bottom w:val="single" w:sz="8" w:color="00053B"/>
            </w:tcBorders>
            <w:gridSpan w:val="8"/>
          </w:tcPr>
          <w:p>
            <w:pPr>
              <w:spacing w:after="0"/>
              <w:rPr>
                <w:sz w:val="20"/>
                <w:szCs w:val="20"/>
                <w:color w:val="auto"/>
              </w:rPr>
            </w:pPr>
            <w:r>
              <w:rPr>
                <w:rFonts w:ascii="Arial" w:cs="Arial" w:eastAsia="Arial" w:hAnsi="Arial"/>
                <w:sz w:val="16"/>
                <w:szCs w:val="16"/>
                <w:color w:val="00053B"/>
                <w:w w:val="99"/>
              </w:rPr>
              <w:t>Nominees for Election</w:t>
            </w:r>
          </w:p>
        </w:tc>
        <w:tc>
          <w:tcPr>
            <w:tcW w:w="2520" w:type="dxa"/>
            <w:vAlign w:val="bottom"/>
            <w:gridSpan w:val="10"/>
          </w:tcPr>
          <w:p>
            <w:pPr>
              <w:spacing w:after="0"/>
              <w:rPr>
                <w:sz w:val="22"/>
                <w:szCs w:val="22"/>
                <w:color w:val="auto"/>
              </w:rPr>
            </w:pPr>
          </w:p>
        </w:tc>
        <w:tc>
          <w:tcPr>
            <w:tcW w:w="680" w:type="dxa"/>
            <w:vAlign w:val="bottom"/>
          </w:tcPr>
          <w:p>
            <w:pPr>
              <w:ind w:left="500"/>
              <w:spacing w:after="0"/>
              <w:rPr>
                <w:sz w:val="20"/>
                <w:szCs w:val="20"/>
                <w:color w:val="auto"/>
              </w:rPr>
            </w:pPr>
            <w:r>
              <w:rPr>
                <w:rFonts w:ascii="Arial" w:cs="Arial" w:eastAsia="Arial" w:hAnsi="Arial"/>
                <w:sz w:val="16"/>
                <w:szCs w:val="16"/>
                <w:color w:val="00053B"/>
                <w:w w:val="89"/>
              </w:rPr>
              <w:t>12</w:t>
            </w:r>
          </w:p>
        </w:tc>
        <w:tc>
          <w:tcPr>
            <w:tcW w:w="0" w:type="dxa"/>
            <w:vAlign w:val="bottom"/>
          </w:tcPr>
          <w:p>
            <w:pPr>
              <w:spacing w:after="0"/>
              <w:rPr>
                <w:sz w:val="1"/>
                <w:szCs w:val="1"/>
                <w:color w:val="auto"/>
              </w:rPr>
            </w:pPr>
          </w:p>
        </w:tc>
      </w:tr>
      <w:tr>
        <w:trPr>
          <w:trHeight w:val="264"/>
        </w:trPr>
        <w:tc>
          <w:tcPr>
            <w:tcW w:w="300" w:type="dxa"/>
            <w:vAlign w:val="bottom"/>
          </w:tcPr>
          <w:p>
            <w:pPr>
              <w:spacing w:after="0"/>
              <w:rPr>
                <w:sz w:val="22"/>
                <w:szCs w:val="22"/>
                <w:color w:val="auto"/>
              </w:rPr>
            </w:pPr>
          </w:p>
        </w:tc>
        <w:tc>
          <w:tcPr>
            <w:tcW w:w="4100" w:type="dxa"/>
            <w:vAlign w:val="bottom"/>
            <w:tcBorders>
              <w:bottom w:val="single" w:sz="8" w:color="00053B"/>
            </w:tcBorders>
            <w:gridSpan w:val="18"/>
          </w:tcPr>
          <w:p>
            <w:pPr>
              <w:spacing w:after="0"/>
              <w:rPr>
                <w:sz w:val="20"/>
                <w:szCs w:val="20"/>
                <w:color w:val="auto"/>
              </w:rPr>
            </w:pPr>
            <w:r>
              <w:rPr>
                <w:rFonts w:ascii="Arial" w:cs="Arial" w:eastAsia="Arial" w:hAnsi="Arial"/>
                <w:sz w:val="16"/>
                <w:szCs w:val="16"/>
                <w:color w:val="00053B"/>
              </w:rPr>
              <w:t>Majority Vote Standard and Resignation Policy in Director</w:t>
            </w:r>
          </w:p>
        </w:tc>
        <w:tc>
          <w:tcPr>
            <w:tcW w:w="680" w:type="dxa"/>
            <w:vAlign w:val="bottom"/>
            <w:vMerge w:val="restart"/>
          </w:tcPr>
          <w:p>
            <w:pPr>
              <w:ind w:left="500"/>
              <w:spacing w:after="0"/>
              <w:rPr>
                <w:sz w:val="20"/>
                <w:szCs w:val="20"/>
                <w:color w:val="auto"/>
              </w:rPr>
            </w:pPr>
            <w:r>
              <w:rPr>
                <w:rFonts w:ascii="Arial" w:cs="Arial" w:eastAsia="Arial" w:hAnsi="Arial"/>
                <w:sz w:val="16"/>
                <w:szCs w:val="16"/>
                <w:color w:val="00053B"/>
                <w:w w:val="89"/>
              </w:rPr>
              <w:t>16</w:t>
            </w:r>
          </w:p>
        </w:tc>
        <w:tc>
          <w:tcPr>
            <w:tcW w:w="0" w:type="dxa"/>
            <w:vAlign w:val="bottom"/>
          </w:tcPr>
          <w:p>
            <w:pPr>
              <w:spacing w:after="0"/>
              <w:rPr>
                <w:sz w:val="1"/>
                <w:szCs w:val="1"/>
                <w:color w:val="auto"/>
              </w:rPr>
            </w:pPr>
          </w:p>
        </w:tc>
      </w:tr>
      <w:tr>
        <w:trPr>
          <w:trHeight w:val="100"/>
        </w:trPr>
        <w:tc>
          <w:tcPr>
            <w:tcW w:w="300" w:type="dxa"/>
            <w:vAlign w:val="bottom"/>
          </w:tcPr>
          <w:p>
            <w:pPr>
              <w:spacing w:after="0"/>
              <w:rPr>
                <w:sz w:val="8"/>
                <w:szCs w:val="8"/>
                <w:color w:val="auto"/>
              </w:rPr>
            </w:pPr>
          </w:p>
        </w:tc>
        <w:tc>
          <w:tcPr>
            <w:tcW w:w="660" w:type="dxa"/>
            <w:vAlign w:val="bottom"/>
            <w:vMerge w:val="restart"/>
          </w:tcPr>
          <w:p>
            <w:pPr>
              <w:spacing w:after="0" w:line="142" w:lineRule="exact"/>
              <w:rPr>
                <w:sz w:val="20"/>
                <w:szCs w:val="20"/>
                <w:color w:val="auto"/>
              </w:rPr>
            </w:pPr>
            <w:r>
              <w:rPr>
                <w:rFonts w:ascii="Arial" w:cs="Arial" w:eastAsia="Arial" w:hAnsi="Arial"/>
                <w:sz w:val="16"/>
                <w:szCs w:val="16"/>
                <w:color w:val="00053B"/>
                <w:w w:val="98"/>
              </w:rPr>
              <w:t>Elections</w:t>
            </w:r>
          </w:p>
        </w:tc>
        <w:tc>
          <w:tcPr>
            <w:tcW w:w="3440" w:type="dxa"/>
            <w:vAlign w:val="bottom"/>
            <w:gridSpan w:val="17"/>
            <w:vMerge w:val="restart"/>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300" w:type="dxa"/>
            <w:vAlign w:val="bottom"/>
          </w:tcPr>
          <w:p>
            <w:pPr>
              <w:spacing w:after="0"/>
              <w:rPr>
                <w:sz w:val="3"/>
                <w:szCs w:val="3"/>
                <w:color w:val="auto"/>
              </w:rPr>
            </w:pPr>
          </w:p>
        </w:tc>
        <w:tc>
          <w:tcPr>
            <w:tcW w:w="660" w:type="dxa"/>
            <w:vAlign w:val="bottom"/>
            <w:tcBorders>
              <w:bottom w:val="single" w:sz="8" w:color="00053B"/>
            </w:tcBorders>
            <w:vMerge w:val="continue"/>
          </w:tcPr>
          <w:p>
            <w:pPr>
              <w:spacing w:after="0"/>
              <w:rPr>
                <w:sz w:val="3"/>
                <w:szCs w:val="3"/>
                <w:color w:val="auto"/>
              </w:rPr>
            </w:pPr>
          </w:p>
        </w:tc>
        <w:tc>
          <w:tcPr>
            <w:tcW w:w="3440" w:type="dxa"/>
            <w:vAlign w:val="bottom"/>
            <w:gridSpan w:val="17"/>
            <w:vMerge w:val="continue"/>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400" w:type="dxa"/>
            <w:vAlign w:val="bottom"/>
            <w:gridSpan w:val="19"/>
          </w:tcPr>
          <w:p>
            <w:pPr>
              <w:spacing w:after="0"/>
              <w:rPr>
                <w:sz w:val="20"/>
                <w:szCs w:val="20"/>
                <w:color w:val="auto"/>
              </w:rPr>
            </w:pPr>
            <w:r>
              <w:rPr>
                <w:rFonts w:ascii="Arial" w:cs="Arial" w:eastAsia="Arial" w:hAnsi="Arial"/>
                <w:sz w:val="16"/>
                <w:szCs w:val="16"/>
                <w:b w:val="1"/>
                <w:bCs w:val="1"/>
                <w:color w:val="00053B"/>
              </w:rPr>
              <w:t>Corporate Governance</w:t>
            </w:r>
          </w:p>
        </w:tc>
        <w:tc>
          <w:tcPr>
            <w:tcW w:w="680" w:type="dxa"/>
            <w:vAlign w:val="bottom"/>
          </w:tcPr>
          <w:p>
            <w:pPr>
              <w:ind w:left="500"/>
              <w:spacing w:after="0"/>
              <w:rPr>
                <w:sz w:val="20"/>
                <w:szCs w:val="20"/>
                <w:color w:val="auto"/>
              </w:rPr>
            </w:pPr>
            <w:r>
              <w:rPr>
                <w:rFonts w:ascii="Arial" w:cs="Arial" w:eastAsia="Arial" w:hAnsi="Arial"/>
                <w:sz w:val="16"/>
                <w:szCs w:val="16"/>
                <w:b w:val="1"/>
                <w:bCs w:val="1"/>
                <w:color w:val="00053B"/>
                <w:w w:val="89"/>
              </w:rPr>
              <w:t>17</w:t>
            </w:r>
          </w:p>
        </w:tc>
        <w:tc>
          <w:tcPr>
            <w:tcW w:w="0" w:type="dxa"/>
            <w:vAlign w:val="bottom"/>
          </w:tcPr>
          <w:p>
            <w:pPr>
              <w:spacing w:after="0"/>
              <w:rPr>
                <w:sz w:val="1"/>
                <w:szCs w:val="1"/>
                <w:color w:val="auto"/>
              </w:rPr>
            </w:pPr>
          </w:p>
        </w:tc>
      </w:tr>
      <w:tr>
        <w:trPr>
          <w:trHeight w:val="277"/>
        </w:trPr>
        <w:tc>
          <w:tcPr>
            <w:tcW w:w="300" w:type="dxa"/>
            <w:vAlign w:val="bottom"/>
            <w:tcBorders>
              <w:top w:val="single" w:sz="8" w:color="00053B"/>
            </w:tcBorders>
          </w:tcPr>
          <w:p>
            <w:pPr>
              <w:spacing w:after="0"/>
              <w:rPr>
                <w:sz w:val="24"/>
                <w:szCs w:val="24"/>
                <w:color w:val="auto"/>
              </w:rPr>
            </w:pPr>
          </w:p>
        </w:tc>
        <w:tc>
          <w:tcPr>
            <w:tcW w:w="1460" w:type="dxa"/>
            <w:vAlign w:val="bottom"/>
            <w:tcBorders>
              <w:top w:val="single" w:sz="8" w:color="00053B"/>
            </w:tcBorders>
            <w:gridSpan w:val="7"/>
          </w:tcPr>
          <w:p>
            <w:pPr>
              <w:spacing w:after="0"/>
              <w:rPr>
                <w:sz w:val="20"/>
                <w:szCs w:val="20"/>
                <w:color w:val="auto"/>
              </w:rPr>
            </w:pPr>
            <w:r>
              <w:rPr>
                <w:rFonts w:ascii="Arial" w:cs="Arial" w:eastAsia="Arial" w:hAnsi="Arial"/>
                <w:sz w:val="16"/>
                <w:szCs w:val="16"/>
                <w:color w:val="00053B"/>
              </w:rPr>
              <w:t>Overview</w:t>
            </w:r>
          </w:p>
        </w:tc>
        <w:tc>
          <w:tcPr>
            <w:tcW w:w="2640" w:type="dxa"/>
            <w:vAlign w:val="bottom"/>
            <w:gridSpan w:val="11"/>
          </w:tcPr>
          <w:p>
            <w:pPr>
              <w:spacing w:after="0"/>
              <w:rPr>
                <w:sz w:val="24"/>
                <w:szCs w:val="24"/>
                <w:color w:val="auto"/>
              </w:rPr>
            </w:pPr>
          </w:p>
        </w:tc>
        <w:tc>
          <w:tcPr>
            <w:tcW w:w="680" w:type="dxa"/>
            <w:vAlign w:val="bottom"/>
          </w:tcPr>
          <w:p>
            <w:pPr>
              <w:ind w:left="500"/>
              <w:spacing w:after="0"/>
              <w:rPr>
                <w:sz w:val="20"/>
                <w:szCs w:val="20"/>
                <w:color w:val="auto"/>
              </w:rPr>
            </w:pPr>
            <w:r>
              <w:rPr>
                <w:rFonts w:ascii="Arial" w:cs="Arial" w:eastAsia="Arial" w:hAnsi="Arial"/>
                <w:sz w:val="16"/>
                <w:szCs w:val="16"/>
                <w:color w:val="00053B"/>
                <w:w w:val="89"/>
              </w:rPr>
              <w:t>17</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60" w:type="dxa"/>
            <w:vAlign w:val="bottom"/>
            <w:shd w:val="clear" w:color="auto" w:fill="00053B"/>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00" w:type="dxa"/>
            <w:vAlign w:val="bottom"/>
          </w:tcPr>
          <w:p>
            <w:pPr>
              <w:spacing w:after="0"/>
              <w:rPr>
                <w:sz w:val="22"/>
                <w:szCs w:val="22"/>
                <w:color w:val="auto"/>
              </w:rPr>
            </w:pPr>
          </w:p>
        </w:tc>
        <w:tc>
          <w:tcPr>
            <w:tcW w:w="4100" w:type="dxa"/>
            <w:vAlign w:val="bottom"/>
            <w:gridSpan w:val="18"/>
          </w:tcPr>
          <w:p>
            <w:pPr>
              <w:spacing w:after="0"/>
              <w:rPr>
                <w:sz w:val="20"/>
                <w:szCs w:val="20"/>
                <w:color w:val="auto"/>
              </w:rPr>
            </w:pPr>
            <w:r>
              <w:rPr>
                <w:rFonts w:ascii="Arial" w:cs="Arial" w:eastAsia="Arial" w:hAnsi="Arial"/>
                <w:sz w:val="16"/>
                <w:szCs w:val="16"/>
                <w:color w:val="00053B"/>
              </w:rPr>
              <w:t>Cybersecurity</w:t>
            </w:r>
          </w:p>
        </w:tc>
        <w:tc>
          <w:tcPr>
            <w:tcW w:w="680" w:type="dxa"/>
            <w:vAlign w:val="bottom"/>
          </w:tcPr>
          <w:p>
            <w:pPr>
              <w:ind w:left="500"/>
              <w:spacing w:after="0"/>
              <w:rPr>
                <w:sz w:val="20"/>
                <w:szCs w:val="20"/>
                <w:color w:val="auto"/>
              </w:rPr>
            </w:pPr>
            <w:r>
              <w:rPr>
                <w:rFonts w:ascii="Arial" w:cs="Arial" w:eastAsia="Arial" w:hAnsi="Arial"/>
                <w:sz w:val="16"/>
                <w:szCs w:val="16"/>
                <w:color w:val="00053B"/>
                <w:w w:val="89"/>
              </w:rPr>
              <w:t>18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980" w:type="dxa"/>
            <w:vAlign w:val="bottom"/>
            <w:gridSpan w:val="4"/>
            <w:shd w:val="clear" w:color="auto" w:fill="00053B"/>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00" w:type="dxa"/>
            <w:vAlign w:val="bottom"/>
          </w:tcPr>
          <w:p>
            <w:pPr>
              <w:spacing w:after="0"/>
              <w:rPr>
                <w:sz w:val="24"/>
                <w:szCs w:val="24"/>
                <w:color w:val="auto"/>
              </w:rPr>
            </w:pPr>
          </w:p>
        </w:tc>
        <w:tc>
          <w:tcPr>
            <w:tcW w:w="1980" w:type="dxa"/>
            <w:vAlign w:val="bottom"/>
            <w:tcBorders>
              <w:bottom w:val="single" w:sz="8" w:color="00053B"/>
            </w:tcBorders>
            <w:gridSpan w:val="13"/>
          </w:tcPr>
          <w:p>
            <w:pPr>
              <w:spacing w:after="0"/>
              <w:rPr>
                <w:sz w:val="20"/>
                <w:szCs w:val="20"/>
                <w:color w:val="auto"/>
              </w:rPr>
            </w:pPr>
            <w:r>
              <w:rPr>
                <w:rFonts w:ascii="Arial" w:cs="Arial" w:eastAsia="Arial" w:hAnsi="Arial"/>
                <w:sz w:val="16"/>
                <w:szCs w:val="16"/>
                <w:color w:val="00053B"/>
              </w:rPr>
              <w:t>Board Leadership Structure</w:t>
            </w:r>
          </w:p>
        </w:tc>
        <w:tc>
          <w:tcPr>
            <w:tcW w:w="2120" w:type="dxa"/>
            <w:vAlign w:val="bottom"/>
            <w:gridSpan w:val="5"/>
          </w:tcPr>
          <w:p>
            <w:pPr>
              <w:spacing w:after="0"/>
              <w:rPr>
                <w:sz w:val="24"/>
                <w:szCs w:val="24"/>
                <w:color w:val="auto"/>
              </w:rPr>
            </w:pPr>
          </w:p>
        </w:tc>
        <w:tc>
          <w:tcPr>
            <w:tcW w:w="680" w:type="dxa"/>
            <w:vAlign w:val="bottom"/>
          </w:tcPr>
          <w:p>
            <w:pPr>
              <w:ind w:left="500"/>
              <w:spacing w:after="0"/>
              <w:rPr>
                <w:sz w:val="20"/>
                <w:szCs w:val="20"/>
                <w:color w:val="auto"/>
              </w:rPr>
            </w:pPr>
            <w:r>
              <w:rPr>
                <w:rFonts w:ascii="Arial" w:cs="Arial" w:eastAsia="Arial" w:hAnsi="Arial"/>
                <w:sz w:val="16"/>
                <w:szCs w:val="16"/>
                <w:color w:val="00053B"/>
                <w:w w:val="89"/>
              </w:rPr>
              <w:t>18</w:t>
            </w:r>
          </w:p>
        </w:tc>
        <w:tc>
          <w:tcPr>
            <w:tcW w:w="0" w:type="dxa"/>
            <w:vAlign w:val="bottom"/>
          </w:tcPr>
          <w:p>
            <w:pPr>
              <w:spacing w:after="0"/>
              <w:rPr>
                <w:sz w:val="1"/>
                <w:szCs w:val="1"/>
                <w:color w:val="auto"/>
              </w:rPr>
            </w:pPr>
          </w:p>
        </w:tc>
      </w:tr>
      <w:tr>
        <w:trPr>
          <w:trHeight w:val="263"/>
        </w:trPr>
        <w:tc>
          <w:tcPr>
            <w:tcW w:w="300" w:type="dxa"/>
            <w:vAlign w:val="bottom"/>
          </w:tcPr>
          <w:p>
            <w:pPr>
              <w:spacing w:after="0"/>
              <w:rPr>
                <w:sz w:val="22"/>
                <w:szCs w:val="22"/>
                <w:color w:val="auto"/>
              </w:rPr>
            </w:pPr>
          </w:p>
        </w:tc>
        <w:tc>
          <w:tcPr>
            <w:tcW w:w="4100" w:type="dxa"/>
            <w:vAlign w:val="bottom"/>
            <w:gridSpan w:val="18"/>
          </w:tcPr>
          <w:p>
            <w:pPr>
              <w:spacing w:after="0"/>
              <w:rPr>
                <w:sz w:val="20"/>
                <w:szCs w:val="20"/>
                <w:color w:val="auto"/>
              </w:rPr>
            </w:pPr>
            <w:r>
              <w:rPr>
                <w:rFonts w:ascii="Arial" w:cs="Arial" w:eastAsia="Arial" w:hAnsi="Arial"/>
                <w:sz w:val="16"/>
                <w:szCs w:val="16"/>
                <w:color w:val="00053B"/>
              </w:rPr>
              <w:t>Board Oversight of Risk</w:t>
            </w:r>
          </w:p>
        </w:tc>
        <w:tc>
          <w:tcPr>
            <w:tcW w:w="680" w:type="dxa"/>
            <w:vAlign w:val="bottom"/>
          </w:tcPr>
          <w:p>
            <w:pPr>
              <w:ind w:left="500"/>
              <w:spacing w:after="0"/>
              <w:rPr>
                <w:sz w:val="20"/>
                <w:szCs w:val="20"/>
                <w:color w:val="auto"/>
              </w:rPr>
            </w:pPr>
            <w:r>
              <w:rPr>
                <w:rFonts w:ascii="Arial" w:cs="Arial" w:eastAsia="Arial" w:hAnsi="Arial"/>
                <w:sz w:val="16"/>
                <w:szCs w:val="16"/>
                <w:color w:val="00053B"/>
                <w:w w:val="89"/>
              </w:rPr>
              <w:t>19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700" w:type="dxa"/>
            <w:vAlign w:val="bottom"/>
            <w:gridSpan w:val="10"/>
            <w:shd w:val="clear" w:color="auto" w:fill="00053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00" w:type="dxa"/>
            <w:vAlign w:val="bottom"/>
          </w:tcPr>
          <w:p>
            <w:pPr>
              <w:spacing w:after="0"/>
              <w:rPr>
                <w:sz w:val="22"/>
                <w:szCs w:val="22"/>
                <w:color w:val="auto"/>
              </w:rPr>
            </w:pPr>
          </w:p>
        </w:tc>
        <w:tc>
          <w:tcPr>
            <w:tcW w:w="1820" w:type="dxa"/>
            <w:vAlign w:val="bottom"/>
            <w:tcBorders>
              <w:bottom w:val="single" w:sz="8" w:color="00053B"/>
            </w:tcBorders>
            <w:gridSpan w:val="11"/>
          </w:tcPr>
          <w:p>
            <w:pPr>
              <w:spacing w:after="0"/>
              <w:rPr>
                <w:sz w:val="20"/>
                <w:szCs w:val="20"/>
                <w:color w:val="auto"/>
              </w:rPr>
            </w:pPr>
            <w:r>
              <w:rPr>
                <w:rFonts w:ascii="Arial" w:cs="Arial" w:eastAsia="Arial" w:hAnsi="Arial"/>
                <w:sz w:val="16"/>
                <w:szCs w:val="16"/>
                <w:color w:val="00053B"/>
              </w:rPr>
              <w:t>Stockholder Engagement</w:t>
            </w:r>
          </w:p>
        </w:tc>
        <w:tc>
          <w:tcPr>
            <w:tcW w:w="2280" w:type="dxa"/>
            <w:vAlign w:val="bottom"/>
            <w:gridSpan w:val="7"/>
          </w:tcPr>
          <w:p>
            <w:pPr>
              <w:spacing w:after="0"/>
              <w:rPr>
                <w:sz w:val="22"/>
                <w:szCs w:val="22"/>
                <w:color w:val="auto"/>
              </w:rPr>
            </w:pPr>
          </w:p>
        </w:tc>
        <w:tc>
          <w:tcPr>
            <w:tcW w:w="680" w:type="dxa"/>
            <w:vAlign w:val="bottom"/>
          </w:tcPr>
          <w:p>
            <w:pPr>
              <w:ind w:left="500"/>
              <w:spacing w:after="0"/>
              <w:rPr>
                <w:sz w:val="20"/>
                <w:szCs w:val="20"/>
                <w:color w:val="auto"/>
              </w:rPr>
            </w:pPr>
            <w:r>
              <w:rPr>
                <w:rFonts w:ascii="Arial" w:cs="Arial" w:eastAsia="Arial" w:hAnsi="Arial"/>
                <w:sz w:val="16"/>
                <w:szCs w:val="16"/>
                <w:color w:val="00053B"/>
                <w:w w:val="89"/>
              </w:rPr>
              <w:t>20</w:t>
            </w:r>
          </w:p>
        </w:tc>
        <w:tc>
          <w:tcPr>
            <w:tcW w:w="0" w:type="dxa"/>
            <w:vAlign w:val="bottom"/>
          </w:tcPr>
          <w:p>
            <w:pPr>
              <w:spacing w:after="0"/>
              <w:rPr>
                <w:sz w:val="1"/>
                <w:szCs w:val="1"/>
                <w:color w:val="auto"/>
              </w:rPr>
            </w:pPr>
          </w:p>
        </w:tc>
      </w:tr>
      <w:tr>
        <w:trPr>
          <w:trHeight w:val="263"/>
        </w:trPr>
        <w:tc>
          <w:tcPr>
            <w:tcW w:w="300" w:type="dxa"/>
            <w:vAlign w:val="bottom"/>
          </w:tcPr>
          <w:p>
            <w:pPr>
              <w:spacing w:after="0"/>
              <w:rPr>
                <w:sz w:val="22"/>
                <w:szCs w:val="22"/>
                <w:color w:val="auto"/>
              </w:rPr>
            </w:pPr>
          </w:p>
        </w:tc>
        <w:tc>
          <w:tcPr>
            <w:tcW w:w="4100" w:type="dxa"/>
            <w:vAlign w:val="bottom"/>
            <w:gridSpan w:val="18"/>
          </w:tcPr>
          <w:p>
            <w:pPr>
              <w:spacing w:after="0"/>
              <w:rPr>
                <w:sz w:val="20"/>
                <w:szCs w:val="20"/>
                <w:color w:val="auto"/>
              </w:rPr>
            </w:pPr>
            <w:r>
              <w:rPr>
                <w:rFonts w:ascii="Arial" w:cs="Arial" w:eastAsia="Arial" w:hAnsi="Arial"/>
                <w:sz w:val="16"/>
                <w:szCs w:val="16"/>
                <w:color w:val="00053B"/>
              </w:rPr>
              <w:t>How We Choose Directors</w:t>
            </w:r>
          </w:p>
        </w:tc>
        <w:tc>
          <w:tcPr>
            <w:tcW w:w="680" w:type="dxa"/>
            <w:vAlign w:val="bottom"/>
          </w:tcPr>
          <w:p>
            <w:pPr>
              <w:ind w:left="500"/>
              <w:spacing w:after="0"/>
              <w:rPr>
                <w:sz w:val="20"/>
                <w:szCs w:val="20"/>
                <w:color w:val="auto"/>
              </w:rPr>
            </w:pPr>
            <w:r>
              <w:rPr>
                <w:rFonts w:ascii="Arial" w:cs="Arial" w:eastAsia="Arial" w:hAnsi="Arial"/>
                <w:sz w:val="16"/>
                <w:szCs w:val="16"/>
                <w:color w:val="00053B"/>
                <w:w w:val="89"/>
              </w:rPr>
              <w:t>20</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60" w:type="dxa"/>
            <w:vAlign w:val="bottom"/>
            <w:shd w:val="clear" w:color="auto" w:fill="00053B"/>
          </w:tcPr>
          <w:p>
            <w:pPr>
              <w:spacing w:after="0" w:line="20" w:lineRule="exact"/>
              <w:rPr>
                <w:sz w:val="1"/>
                <w:szCs w:val="1"/>
                <w:color w:val="auto"/>
              </w:rPr>
            </w:pPr>
          </w:p>
        </w:tc>
        <w:tc>
          <w:tcPr>
            <w:tcW w:w="200" w:type="dxa"/>
            <w:vAlign w:val="bottom"/>
            <w:shd w:val="clear" w:color="auto" w:fill="00053B"/>
          </w:tcPr>
          <w:p>
            <w:pPr>
              <w:spacing w:after="0" w:line="20" w:lineRule="exact"/>
              <w:rPr>
                <w:sz w:val="1"/>
                <w:szCs w:val="1"/>
                <w:color w:val="auto"/>
              </w:rPr>
            </w:pPr>
          </w:p>
        </w:tc>
        <w:tc>
          <w:tcPr>
            <w:tcW w:w="80" w:type="dxa"/>
            <w:vAlign w:val="bottom"/>
            <w:shd w:val="clear" w:color="auto" w:fill="00053B"/>
          </w:tcPr>
          <w:p>
            <w:pPr>
              <w:spacing w:after="0" w:line="20" w:lineRule="exact"/>
              <w:rPr>
                <w:sz w:val="1"/>
                <w:szCs w:val="1"/>
                <w:color w:val="auto"/>
              </w:rPr>
            </w:pPr>
          </w:p>
        </w:tc>
        <w:tc>
          <w:tcPr>
            <w:tcW w:w="40" w:type="dxa"/>
            <w:vAlign w:val="bottom"/>
            <w:shd w:val="clear" w:color="auto" w:fill="00053B"/>
          </w:tcPr>
          <w:p>
            <w:pPr>
              <w:spacing w:after="0" w:line="20" w:lineRule="exact"/>
              <w:rPr>
                <w:sz w:val="1"/>
                <w:szCs w:val="1"/>
                <w:color w:val="auto"/>
              </w:rPr>
            </w:pPr>
          </w:p>
        </w:tc>
        <w:tc>
          <w:tcPr>
            <w:tcW w:w="120" w:type="dxa"/>
            <w:vAlign w:val="bottom"/>
            <w:shd w:val="clear" w:color="auto" w:fill="00053B"/>
          </w:tcPr>
          <w:p>
            <w:pPr>
              <w:spacing w:after="0" w:line="20" w:lineRule="exact"/>
              <w:rPr>
                <w:sz w:val="1"/>
                <w:szCs w:val="1"/>
                <w:color w:val="auto"/>
              </w:rPr>
            </w:pPr>
          </w:p>
        </w:tc>
        <w:tc>
          <w:tcPr>
            <w:tcW w:w="340" w:type="dxa"/>
            <w:vAlign w:val="bottom"/>
            <w:shd w:val="clear" w:color="auto" w:fill="00053B"/>
          </w:tcPr>
          <w:p>
            <w:pPr>
              <w:spacing w:after="0" w:line="20" w:lineRule="exact"/>
              <w:rPr>
                <w:sz w:val="1"/>
                <w:szCs w:val="1"/>
                <w:color w:val="auto"/>
              </w:rPr>
            </w:pPr>
          </w:p>
        </w:tc>
        <w:tc>
          <w:tcPr>
            <w:tcW w:w="20" w:type="dxa"/>
            <w:vAlign w:val="bottom"/>
            <w:shd w:val="clear" w:color="auto" w:fill="00053B"/>
          </w:tcPr>
          <w:p>
            <w:pPr>
              <w:spacing w:after="0" w:line="20" w:lineRule="exact"/>
              <w:rPr>
                <w:sz w:val="1"/>
                <w:szCs w:val="1"/>
                <w:color w:val="auto"/>
              </w:rPr>
            </w:pPr>
          </w:p>
        </w:tc>
        <w:tc>
          <w:tcPr>
            <w:tcW w:w="120" w:type="dxa"/>
            <w:vAlign w:val="bottom"/>
            <w:shd w:val="clear" w:color="auto" w:fill="00053B"/>
          </w:tcPr>
          <w:p>
            <w:pPr>
              <w:spacing w:after="0" w:line="20" w:lineRule="exact"/>
              <w:rPr>
                <w:sz w:val="1"/>
                <w:szCs w:val="1"/>
                <w:color w:val="auto"/>
              </w:rPr>
            </w:pPr>
          </w:p>
        </w:tc>
        <w:tc>
          <w:tcPr>
            <w:tcW w:w="60" w:type="dxa"/>
            <w:vAlign w:val="bottom"/>
            <w:shd w:val="clear" w:color="auto" w:fill="00053B"/>
          </w:tcPr>
          <w:p>
            <w:pPr>
              <w:spacing w:after="0" w:line="20" w:lineRule="exact"/>
              <w:rPr>
                <w:sz w:val="1"/>
                <w:szCs w:val="1"/>
                <w:color w:val="auto"/>
              </w:rPr>
            </w:pPr>
          </w:p>
        </w:tc>
        <w:tc>
          <w:tcPr>
            <w:tcW w:w="60" w:type="dxa"/>
            <w:vAlign w:val="bottom"/>
            <w:shd w:val="clear" w:color="auto" w:fill="00053B"/>
          </w:tcPr>
          <w:p>
            <w:pPr>
              <w:spacing w:after="0" w:line="20" w:lineRule="exact"/>
              <w:rPr>
                <w:sz w:val="1"/>
                <w:szCs w:val="1"/>
                <w:color w:val="auto"/>
              </w:rPr>
            </w:pPr>
          </w:p>
        </w:tc>
        <w:tc>
          <w:tcPr>
            <w:tcW w:w="120" w:type="dxa"/>
            <w:vAlign w:val="bottom"/>
            <w:shd w:val="clear" w:color="auto" w:fill="00053B"/>
          </w:tcPr>
          <w:p>
            <w:pPr>
              <w:spacing w:after="0" w:line="20" w:lineRule="exact"/>
              <w:rPr>
                <w:sz w:val="1"/>
                <w:szCs w:val="1"/>
                <w:color w:val="auto"/>
              </w:rPr>
            </w:pPr>
          </w:p>
        </w:tc>
        <w:tc>
          <w:tcPr>
            <w:tcW w:w="80" w:type="dxa"/>
            <w:vAlign w:val="bottom"/>
            <w:shd w:val="clear" w:color="auto" w:fill="00053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3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00053B"/>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-3698240</wp:posOffset>
            </wp:positionH>
            <wp:positionV relativeFrom="paragraph">
              <wp:posOffset>-2078990</wp:posOffset>
            </wp:positionV>
            <wp:extent cx="6995160" cy="1739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39900"/>
                    </a:xfrm>
                    <a:prstGeom prst="rect">
                      <a:avLst/>
                    </a:prstGeom>
                    <a:noFill/>
                  </pic:spPr>
                </pic:pic>
              </a:graphicData>
            </a:graphic>
          </wp:anchor>
        </w:drawing>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00053B"/>
        </w:rPr>
        <w:t>Meetings of the Board</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00053B"/>
        </w:rPr>
        <w:t>How to Contact Our Board</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00053B"/>
        </w:rPr>
        <w:t>Governance Documents</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00053B"/>
        </w:rPr>
        <w:t>Transactions With Related Persons</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00053B"/>
        </w:rPr>
        <w:t>Director Compensation</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00053B"/>
        </w:rPr>
        <w:t>Stock Ownership Guidelines for Independent Directors</w:t>
      </w:r>
    </w:p>
    <w:p>
      <w:pPr>
        <w:spacing w:after="0" w:line="100" w:lineRule="exact"/>
        <w:rPr>
          <w:sz w:val="20"/>
          <w:szCs w:val="20"/>
          <w:color w:val="auto"/>
        </w:rPr>
      </w:pPr>
    </w:p>
    <w:p>
      <w:pPr>
        <w:ind w:left="300"/>
        <w:spacing w:after="0" w:line="251" w:lineRule="auto"/>
        <w:rPr>
          <w:sz w:val="20"/>
          <w:szCs w:val="20"/>
          <w:color w:val="auto"/>
        </w:rPr>
      </w:pPr>
      <w:r>
        <w:rPr>
          <w:rFonts w:ascii="Arial" w:cs="Arial" w:eastAsia="Arial" w:hAnsi="Arial"/>
          <w:sz w:val="16"/>
          <w:szCs w:val="16"/>
          <w:u w:val="single" w:color="auto"/>
          <w:color w:val="00053B"/>
        </w:rPr>
        <w:t>Security Ownership of Management and Certain Beneficial Owners</w:t>
      </w:r>
    </w:p>
    <w:p>
      <w:pPr>
        <w:spacing w:after="0" w:line="115"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b w:val="1"/>
          <w:bCs w:val="1"/>
          <w:u w:val="single" w:color="auto"/>
          <w:color w:val="00053B"/>
        </w:rPr>
        <w:t>Proposal No. 2: Advisory Vote on Commvault’s Executive Compensation</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53B"/>
        </w:rPr>
        <w:t>Executive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53B"/>
        </w:rPr>
        <w:t>Talent Management and Compensation Committee Report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53B"/>
        </w:rPr>
        <w:t>Audit Committee Report</w:t>
      </w:r>
    </w:p>
    <w:p>
      <w:pPr>
        <w:spacing w:after="0" w:line="167" w:lineRule="exact"/>
        <w:rPr>
          <w:sz w:val="20"/>
          <w:szCs w:val="20"/>
          <w:color w:val="auto"/>
        </w:rPr>
      </w:pPr>
    </w:p>
    <w:p>
      <w:pPr>
        <w:ind w:right="660"/>
        <w:spacing w:after="0" w:line="314" w:lineRule="auto"/>
        <w:rPr>
          <w:sz w:val="20"/>
          <w:szCs w:val="20"/>
          <w:color w:val="auto"/>
        </w:rPr>
      </w:pPr>
      <w:r>
        <w:rPr>
          <w:rFonts w:ascii="Arial" w:cs="Arial" w:eastAsia="Arial" w:hAnsi="Arial"/>
          <w:sz w:val="16"/>
          <w:szCs w:val="16"/>
          <w:b w:val="1"/>
          <w:bCs w:val="1"/>
          <w:u w:val="single" w:color="auto"/>
          <w:color w:val="00053B"/>
        </w:rPr>
        <w:t>Proposal No. 3: Ratification of the Appointment of Independent Auditors</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6"/>
          <w:szCs w:val="16"/>
          <w:u w:val="single" w:color="auto"/>
          <w:color w:val="00053B"/>
        </w:rPr>
        <w:t>Audit, Audit-Related, Tax, and All Other Fees</w:t>
      </w:r>
    </w:p>
    <w:p>
      <w:pPr>
        <w:spacing w:after="0" w:line="100" w:lineRule="exact"/>
        <w:rPr>
          <w:sz w:val="20"/>
          <w:szCs w:val="20"/>
          <w:color w:val="auto"/>
        </w:rPr>
      </w:pPr>
    </w:p>
    <w:p>
      <w:pPr>
        <w:ind w:left="300" w:right="20"/>
        <w:spacing w:after="0" w:line="251" w:lineRule="auto"/>
        <w:rPr>
          <w:sz w:val="20"/>
          <w:szCs w:val="20"/>
          <w:color w:val="auto"/>
        </w:rPr>
      </w:pPr>
      <w:r>
        <w:rPr>
          <w:rFonts w:ascii="Arial" w:cs="Arial" w:eastAsia="Arial" w:hAnsi="Arial"/>
          <w:sz w:val="16"/>
          <w:szCs w:val="16"/>
          <w:u w:val="single" w:color="auto"/>
          <w:color w:val="00053B"/>
        </w:rPr>
        <w:t>Policy on Audit Committee Pre-Approval of Audit and Non-Audit Services of Independent Auditor</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53B"/>
        </w:rPr>
        <w:t>Additional Information About the Annual Meeting</w:t>
      </w:r>
    </w:p>
    <w:p>
      <w:pPr>
        <w:spacing w:after="0" w:line="127"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b w:val="1"/>
          <w:bCs w:val="1"/>
          <w:u w:val="single" w:color="auto"/>
          <w:color w:val="00053B"/>
        </w:rPr>
        <w:t>Annex A: Reconciliation of GAAP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796290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00053B"/>
        </w:rPr>
        <w:t>21</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00053B"/>
        </w:rPr>
        <w:t>22</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00053B"/>
        </w:rPr>
        <w:t>22</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00053B"/>
        </w:rPr>
        <w:t>23</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00053B"/>
        </w:rPr>
        <w:t>23</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00053B"/>
        </w:rPr>
        <w:t>24</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00053B"/>
        </w:rPr>
        <w:t>25</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00053B"/>
        </w:rPr>
        <w:t>26</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28</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29</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40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52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53</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00053B"/>
        </w:rPr>
        <w:t>53</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00053B"/>
        </w:rPr>
        <w:t>54</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55</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59</w:t>
      </w:r>
    </w:p>
    <w:p>
      <w:pPr>
        <w:sectPr>
          <w:pgSz w:w="11900" w:h="16838" w:orient="portrait"/>
          <w:cols w:equalWidth="0" w:num="3">
            <w:col w:w="5180" w:space="720"/>
            <w:col w:w="4500" w:space="400"/>
            <w:col w:w="180"/>
          </w:cols>
          <w:pgMar w:left="320" w:top="1440" w:right="5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445770</wp:posOffset>
            </wp:positionV>
            <wp:extent cx="6995160" cy="1739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00053B"/>
        </w:rPr>
        <w:t>This proxy summary highlights information contained elsewhere in this proxy statement. It does not contain all the information that you should consider. Please read the entire proxy statement carefully before voting. This proxy statement is first being made available to stockholders on or about June 25,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3640" w:type="dxa"/>
            <w:vAlign w:val="bottom"/>
            <w:shd w:val="clear" w:color="auto" w:fill="00053B"/>
          </w:tcPr>
          <w:p>
            <w:pPr>
              <w:jc w:val="center"/>
              <w:spacing w:after="0"/>
              <w:rPr>
                <w:sz w:val="20"/>
                <w:szCs w:val="20"/>
                <w:color w:val="auto"/>
              </w:rPr>
            </w:pPr>
            <w:r>
              <w:rPr>
                <w:rFonts w:ascii="Arial" w:cs="Arial" w:eastAsia="Arial" w:hAnsi="Arial"/>
                <w:sz w:val="18"/>
                <w:szCs w:val="18"/>
                <w:b w:val="1"/>
                <w:bCs w:val="1"/>
                <w:color w:val="FFFFFF"/>
                <w:w w:val="99"/>
              </w:rPr>
              <w:t>Time and Date:</w:t>
            </w:r>
          </w:p>
        </w:tc>
        <w:tc>
          <w:tcPr>
            <w:tcW w:w="100" w:type="dxa"/>
            <w:vAlign w:val="bottom"/>
          </w:tcPr>
          <w:p>
            <w:pPr>
              <w:spacing w:after="0"/>
              <w:rPr>
                <w:sz w:val="19"/>
                <w:szCs w:val="19"/>
                <w:color w:val="auto"/>
              </w:rPr>
            </w:pPr>
          </w:p>
        </w:tc>
        <w:tc>
          <w:tcPr>
            <w:tcW w:w="3660" w:type="dxa"/>
            <w:vAlign w:val="bottom"/>
            <w:shd w:val="clear" w:color="auto" w:fill="00053B"/>
          </w:tcPr>
          <w:p>
            <w:pPr>
              <w:jc w:val="center"/>
              <w:spacing w:after="0"/>
              <w:rPr>
                <w:sz w:val="20"/>
                <w:szCs w:val="20"/>
                <w:color w:val="auto"/>
              </w:rPr>
            </w:pPr>
            <w:r>
              <w:rPr>
                <w:rFonts w:ascii="Arial" w:cs="Arial" w:eastAsia="Arial" w:hAnsi="Arial"/>
                <w:sz w:val="18"/>
                <w:szCs w:val="18"/>
                <w:b w:val="1"/>
                <w:bCs w:val="1"/>
                <w:color w:val="FFFFFF"/>
                <w:w w:val="98"/>
              </w:rPr>
              <w:t>Location:</w:t>
            </w:r>
          </w:p>
        </w:tc>
        <w:tc>
          <w:tcPr>
            <w:tcW w:w="120" w:type="dxa"/>
            <w:vAlign w:val="bottom"/>
          </w:tcPr>
          <w:p>
            <w:pPr>
              <w:spacing w:after="0"/>
              <w:rPr>
                <w:sz w:val="19"/>
                <w:szCs w:val="19"/>
                <w:color w:val="auto"/>
              </w:rPr>
            </w:pPr>
          </w:p>
        </w:tc>
        <w:tc>
          <w:tcPr>
            <w:tcW w:w="1120" w:type="dxa"/>
            <w:vAlign w:val="bottom"/>
            <w:shd w:val="clear" w:color="auto" w:fill="00053B"/>
          </w:tcPr>
          <w:p>
            <w:pPr>
              <w:spacing w:after="0"/>
              <w:rPr>
                <w:sz w:val="19"/>
                <w:szCs w:val="19"/>
                <w:color w:val="auto"/>
              </w:rPr>
            </w:pPr>
          </w:p>
        </w:tc>
        <w:tc>
          <w:tcPr>
            <w:tcW w:w="2520" w:type="dxa"/>
            <w:vAlign w:val="bottom"/>
            <w:shd w:val="clear" w:color="auto" w:fill="00053B"/>
          </w:tcPr>
          <w:p>
            <w:pPr>
              <w:jc w:val="center"/>
              <w:ind w:right="1044"/>
              <w:spacing w:after="0"/>
              <w:rPr>
                <w:sz w:val="20"/>
                <w:szCs w:val="20"/>
                <w:color w:val="auto"/>
              </w:rPr>
            </w:pPr>
            <w:r>
              <w:rPr>
                <w:rFonts w:ascii="Arial" w:cs="Arial" w:eastAsia="Arial" w:hAnsi="Arial"/>
                <w:sz w:val="18"/>
                <w:szCs w:val="18"/>
                <w:b w:val="1"/>
                <w:bCs w:val="1"/>
                <w:color w:val="FFFFFF"/>
                <w:w w:val="99"/>
              </w:rPr>
              <w:t>Record Date: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3640" w:type="dxa"/>
            <w:vAlign w:val="bottom"/>
            <w:shd w:val="clear" w:color="auto" w:fill="00053B"/>
          </w:tcPr>
          <w:p>
            <w:pPr>
              <w:jc w:val="center"/>
              <w:spacing w:after="0"/>
              <w:rPr>
                <w:sz w:val="20"/>
                <w:szCs w:val="20"/>
                <w:color w:val="auto"/>
              </w:rPr>
            </w:pPr>
            <w:r>
              <w:rPr>
                <w:rFonts w:ascii="Arial" w:cs="Arial" w:eastAsia="Arial" w:hAnsi="Arial"/>
                <w:sz w:val="16"/>
                <w:szCs w:val="16"/>
                <w:color w:val="FFFFFF"/>
              </w:rPr>
              <w:t>Thursday, August 8, 2024</w:t>
            </w:r>
          </w:p>
        </w:tc>
        <w:tc>
          <w:tcPr>
            <w:tcW w:w="100" w:type="dxa"/>
            <w:vAlign w:val="bottom"/>
          </w:tcPr>
          <w:p>
            <w:pPr>
              <w:spacing w:after="0"/>
              <w:rPr>
                <w:sz w:val="18"/>
                <w:szCs w:val="18"/>
                <w:color w:val="auto"/>
              </w:rPr>
            </w:pPr>
          </w:p>
        </w:tc>
        <w:tc>
          <w:tcPr>
            <w:tcW w:w="3660" w:type="dxa"/>
            <w:vAlign w:val="bottom"/>
            <w:shd w:val="clear" w:color="auto" w:fill="00053B"/>
          </w:tcPr>
          <w:p>
            <w:pPr>
              <w:jc w:val="center"/>
              <w:spacing w:after="0"/>
              <w:rPr>
                <w:sz w:val="20"/>
                <w:szCs w:val="20"/>
                <w:color w:val="auto"/>
              </w:rPr>
            </w:pPr>
            <w:r>
              <w:rPr>
                <w:rFonts w:ascii="Arial" w:cs="Arial" w:eastAsia="Arial" w:hAnsi="Arial"/>
                <w:sz w:val="16"/>
                <w:szCs w:val="16"/>
                <w:color w:val="FFFFFF"/>
              </w:rPr>
              <w:t>Virtual only</w:t>
            </w:r>
          </w:p>
        </w:tc>
        <w:tc>
          <w:tcPr>
            <w:tcW w:w="120" w:type="dxa"/>
            <w:vAlign w:val="bottom"/>
          </w:tcPr>
          <w:p>
            <w:pPr>
              <w:spacing w:after="0"/>
              <w:rPr>
                <w:sz w:val="18"/>
                <w:szCs w:val="18"/>
                <w:color w:val="auto"/>
              </w:rPr>
            </w:pPr>
          </w:p>
        </w:tc>
        <w:tc>
          <w:tcPr>
            <w:tcW w:w="1120" w:type="dxa"/>
            <w:vAlign w:val="bottom"/>
            <w:shd w:val="clear" w:color="auto" w:fill="00053B"/>
          </w:tcPr>
          <w:p>
            <w:pPr>
              <w:spacing w:after="0"/>
              <w:rPr>
                <w:sz w:val="18"/>
                <w:szCs w:val="18"/>
                <w:color w:val="auto"/>
              </w:rPr>
            </w:pPr>
          </w:p>
        </w:tc>
        <w:tc>
          <w:tcPr>
            <w:tcW w:w="2520" w:type="dxa"/>
            <w:vAlign w:val="bottom"/>
            <w:shd w:val="clear" w:color="auto" w:fill="00053B"/>
          </w:tcPr>
          <w:p>
            <w:pPr>
              <w:jc w:val="center"/>
              <w:ind w:right="1044"/>
              <w:spacing w:after="0"/>
              <w:rPr>
                <w:sz w:val="20"/>
                <w:szCs w:val="20"/>
                <w:color w:val="auto"/>
              </w:rPr>
            </w:pPr>
            <w:r>
              <w:rPr>
                <w:rFonts w:ascii="Arial" w:cs="Arial" w:eastAsia="Arial" w:hAnsi="Arial"/>
                <w:sz w:val="16"/>
                <w:szCs w:val="16"/>
                <w:color w:val="FFFFFF"/>
              </w:rPr>
              <w:t>June 13, 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3640" w:type="dxa"/>
            <w:vAlign w:val="bottom"/>
            <w:shd w:val="clear" w:color="auto" w:fill="00053B"/>
          </w:tcPr>
          <w:p>
            <w:pPr>
              <w:jc w:val="center"/>
              <w:spacing w:after="0" w:line="164" w:lineRule="exact"/>
              <w:rPr>
                <w:sz w:val="20"/>
                <w:szCs w:val="20"/>
                <w:color w:val="auto"/>
              </w:rPr>
            </w:pPr>
            <w:r>
              <w:rPr>
                <w:rFonts w:ascii="Arial" w:cs="Arial" w:eastAsia="Arial" w:hAnsi="Arial"/>
                <w:sz w:val="16"/>
                <w:szCs w:val="16"/>
                <w:color w:val="FFFFFF"/>
              </w:rPr>
              <w:t>10:00 a.m., Eastern Time</w:t>
            </w:r>
          </w:p>
        </w:tc>
        <w:tc>
          <w:tcPr>
            <w:tcW w:w="100" w:type="dxa"/>
            <w:vAlign w:val="bottom"/>
          </w:tcPr>
          <w:p>
            <w:pPr>
              <w:spacing w:after="0"/>
              <w:rPr>
                <w:sz w:val="14"/>
                <w:szCs w:val="14"/>
                <w:color w:val="auto"/>
              </w:rPr>
            </w:pPr>
          </w:p>
        </w:tc>
        <w:tc>
          <w:tcPr>
            <w:tcW w:w="3660" w:type="dxa"/>
            <w:vAlign w:val="bottom"/>
            <w:shd w:val="clear" w:color="auto" w:fill="00053B"/>
          </w:tcPr>
          <w:p>
            <w:pPr>
              <w:jc w:val="center"/>
              <w:spacing w:after="0" w:line="164" w:lineRule="exact"/>
              <w:rPr>
                <w:sz w:val="20"/>
                <w:szCs w:val="20"/>
                <w:color w:val="auto"/>
              </w:rPr>
            </w:pPr>
            <w:r>
              <w:rPr>
                <w:rFonts w:ascii="Arial" w:cs="Arial" w:eastAsia="Arial" w:hAnsi="Arial"/>
                <w:sz w:val="16"/>
                <w:szCs w:val="16"/>
                <w:color w:val="FFFFFF"/>
              </w:rPr>
              <w:t>https://ir.commvault.com/news-and-events/annual-</w:t>
            </w:r>
          </w:p>
        </w:tc>
        <w:tc>
          <w:tcPr>
            <w:tcW w:w="120" w:type="dxa"/>
            <w:vAlign w:val="bottom"/>
          </w:tcPr>
          <w:p>
            <w:pPr>
              <w:spacing w:after="0"/>
              <w:rPr>
                <w:sz w:val="14"/>
                <w:szCs w:val="14"/>
                <w:color w:val="auto"/>
              </w:rPr>
            </w:pPr>
          </w:p>
        </w:tc>
        <w:tc>
          <w:tcPr>
            <w:tcW w:w="1120" w:type="dxa"/>
            <w:vAlign w:val="bottom"/>
            <w:shd w:val="clear" w:color="auto" w:fill="00053B"/>
          </w:tcPr>
          <w:p>
            <w:pPr>
              <w:spacing w:after="0"/>
              <w:rPr>
                <w:sz w:val="14"/>
                <w:szCs w:val="14"/>
                <w:color w:val="auto"/>
              </w:rPr>
            </w:pPr>
          </w:p>
        </w:tc>
        <w:tc>
          <w:tcPr>
            <w:tcW w:w="2520" w:type="dxa"/>
            <w:vAlign w:val="bottom"/>
            <w:shd w:val="clear" w:color="auto" w:fill="00053B"/>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640" w:type="dxa"/>
            <w:vAlign w:val="bottom"/>
            <w:shd w:val="clear" w:color="auto" w:fill="00053B"/>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shd w:val="clear" w:color="auto" w:fill="00053B"/>
          </w:tcPr>
          <w:p>
            <w:pPr>
              <w:jc w:val="center"/>
              <w:spacing w:after="0"/>
              <w:rPr>
                <w:sz w:val="20"/>
                <w:szCs w:val="20"/>
                <w:color w:val="auto"/>
              </w:rPr>
            </w:pPr>
            <w:r>
              <w:rPr>
                <w:rFonts w:ascii="Arial" w:cs="Arial" w:eastAsia="Arial" w:hAnsi="Arial"/>
                <w:sz w:val="16"/>
                <w:szCs w:val="16"/>
                <w:color w:val="FFFFFF"/>
              </w:rPr>
              <w:t>meeting</w:t>
            </w:r>
          </w:p>
        </w:tc>
        <w:tc>
          <w:tcPr>
            <w:tcW w:w="120" w:type="dxa"/>
            <w:vAlign w:val="bottom"/>
          </w:tcPr>
          <w:p>
            <w:pPr>
              <w:spacing w:after="0"/>
              <w:rPr>
                <w:sz w:val="18"/>
                <w:szCs w:val="18"/>
                <w:color w:val="auto"/>
              </w:rPr>
            </w:pPr>
          </w:p>
        </w:tc>
        <w:tc>
          <w:tcPr>
            <w:tcW w:w="1120" w:type="dxa"/>
            <w:vAlign w:val="bottom"/>
            <w:shd w:val="clear" w:color="auto" w:fill="00053B"/>
          </w:tcPr>
          <w:p>
            <w:pPr>
              <w:spacing w:after="0"/>
              <w:rPr>
                <w:sz w:val="18"/>
                <w:szCs w:val="18"/>
                <w:color w:val="auto"/>
              </w:rPr>
            </w:pPr>
          </w:p>
        </w:tc>
        <w:tc>
          <w:tcPr>
            <w:tcW w:w="2520" w:type="dxa"/>
            <w:vAlign w:val="bottom"/>
            <w:shd w:val="clear" w:color="auto" w:fill="00053B"/>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2"/>
        </w:trPr>
        <w:tc>
          <w:tcPr>
            <w:tcW w:w="3780" w:type="dxa"/>
            <w:vAlign w:val="bottom"/>
            <w:gridSpan w:val="3"/>
          </w:tcPr>
          <w:p>
            <w:pPr>
              <w:spacing w:after="0"/>
              <w:rPr>
                <w:sz w:val="20"/>
                <w:szCs w:val="20"/>
                <w:color w:val="auto"/>
              </w:rPr>
            </w:pPr>
            <w:r>
              <w:rPr>
                <w:rFonts w:ascii="Arial" w:cs="Arial" w:eastAsia="Arial" w:hAnsi="Arial"/>
                <w:sz w:val="18"/>
                <w:szCs w:val="18"/>
                <w:b w:val="1"/>
                <w:bCs w:val="1"/>
                <w:color w:val="844896"/>
              </w:rPr>
              <w:t>MEETING AGENDA</w:t>
            </w: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0" w:type="dxa"/>
            <w:vAlign w:val="bottom"/>
          </w:tcPr>
          <w:p>
            <w:pPr>
              <w:spacing w:after="0"/>
              <w:rPr>
                <w:sz w:val="23"/>
                <w:szCs w:val="23"/>
                <w:color w:val="auto"/>
              </w:rPr>
            </w:pPr>
          </w:p>
        </w:tc>
        <w:tc>
          <w:tcPr>
            <w:tcW w:w="3740" w:type="dxa"/>
            <w:vAlign w:val="bottom"/>
            <w:gridSpan w:val="2"/>
          </w:tcPr>
          <w:p>
            <w:pPr>
              <w:ind w:left="180"/>
              <w:spacing w:after="0"/>
              <w:rPr>
                <w:sz w:val="20"/>
                <w:szCs w:val="20"/>
                <w:color w:val="auto"/>
              </w:rPr>
            </w:pPr>
            <w:r>
              <w:rPr>
                <w:rFonts w:ascii="Arial" w:cs="Arial" w:eastAsia="Arial" w:hAnsi="Arial"/>
                <w:sz w:val="14"/>
                <w:szCs w:val="14"/>
                <w:b w:val="1"/>
                <w:bCs w:val="1"/>
                <w:color w:val="00053B"/>
              </w:rPr>
              <w:t>Proposal</w:t>
            </w:r>
          </w:p>
        </w:tc>
        <w:tc>
          <w:tcPr>
            <w:tcW w:w="3660" w:type="dxa"/>
            <w:vAlign w:val="bottom"/>
          </w:tcPr>
          <w:p>
            <w:pPr>
              <w:spacing w:after="0"/>
              <w:rPr>
                <w:sz w:val="23"/>
                <w:szCs w:val="23"/>
                <w:color w:val="auto"/>
              </w:rPr>
            </w:pPr>
          </w:p>
        </w:tc>
        <w:tc>
          <w:tcPr>
            <w:tcW w:w="124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00053B"/>
              </w:rPr>
              <w:t>Board’s voting</w:t>
            </w:r>
          </w:p>
        </w:tc>
        <w:tc>
          <w:tcPr>
            <w:tcW w:w="2520" w:type="dxa"/>
            <w:vAlign w:val="bottom"/>
          </w:tcPr>
          <w:p>
            <w:pPr>
              <w:jc w:val="center"/>
              <w:ind w:left="304"/>
              <w:spacing w:after="0"/>
              <w:rPr>
                <w:sz w:val="20"/>
                <w:szCs w:val="20"/>
                <w:color w:val="auto"/>
              </w:rPr>
            </w:pPr>
            <w:r>
              <w:rPr>
                <w:rFonts w:ascii="Arial" w:cs="Arial" w:eastAsia="Arial" w:hAnsi="Arial"/>
                <w:sz w:val="14"/>
                <w:szCs w:val="14"/>
                <w:b w:val="1"/>
                <w:bCs w:val="1"/>
                <w:color w:val="00053B"/>
              </w:rPr>
              <w:t>For more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640" w:type="dxa"/>
            <w:vAlign w:val="bottom"/>
            <w:tcBorders>
              <w:bottom w:val="single" w:sz="8" w:color="844896"/>
            </w:tcBorders>
          </w:tcPr>
          <w:p>
            <w:pPr>
              <w:spacing w:after="0"/>
              <w:rPr>
                <w:sz w:val="14"/>
                <w:szCs w:val="14"/>
                <w:color w:val="auto"/>
              </w:rPr>
            </w:pPr>
          </w:p>
        </w:tc>
        <w:tc>
          <w:tcPr>
            <w:tcW w:w="100" w:type="dxa"/>
            <w:vAlign w:val="bottom"/>
            <w:tcBorders>
              <w:bottom w:val="single" w:sz="8" w:color="844896"/>
            </w:tcBorders>
          </w:tcPr>
          <w:p>
            <w:pPr>
              <w:spacing w:after="0"/>
              <w:rPr>
                <w:sz w:val="14"/>
                <w:szCs w:val="14"/>
                <w:color w:val="auto"/>
              </w:rPr>
            </w:pPr>
          </w:p>
        </w:tc>
        <w:tc>
          <w:tcPr>
            <w:tcW w:w="4900" w:type="dxa"/>
            <w:vAlign w:val="bottom"/>
            <w:tcBorders>
              <w:bottom w:val="single" w:sz="8" w:color="844896"/>
            </w:tcBorders>
            <w:gridSpan w:val="3"/>
          </w:tcPr>
          <w:p>
            <w:pPr>
              <w:jc w:val="center"/>
              <w:ind w:left="3349"/>
              <w:spacing w:after="0"/>
              <w:rPr>
                <w:sz w:val="20"/>
                <w:szCs w:val="20"/>
                <w:color w:val="auto"/>
              </w:rPr>
            </w:pPr>
            <w:r>
              <w:rPr>
                <w:rFonts w:ascii="Arial" w:cs="Arial" w:eastAsia="Arial" w:hAnsi="Arial"/>
                <w:sz w:val="14"/>
                <w:szCs w:val="14"/>
                <w:b w:val="1"/>
                <w:bCs w:val="1"/>
                <w:color w:val="00053B"/>
              </w:rPr>
              <w:t>recommendation</w:t>
            </w:r>
          </w:p>
        </w:tc>
        <w:tc>
          <w:tcPr>
            <w:tcW w:w="2520" w:type="dxa"/>
            <w:vAlign w:val="bottom"/>
            <w:tcBorders>
              <w:bottom w:val="single" w:sz="8" w:color="844896"/>
            </w:tcBorders>
          </w:tcPr>
          <w:p>
            <w:pPr>
              <w:jc w:val="center"/>
              <w:ind w:left="304"/>
              <w:spacing w:after="0"/>
              <w:rPr>
                <w:sz w:val="20"/>
                <w:szCs w:val="20"/>
                <w:color w:val="auto"/>
              </w:rPr>
            </w:pPr>
            <w:r>
              <w:rPr>
                <w:rFonts w:ascii="Arial" w:cs="Arial" w:eastAsia="Arial" w:hAnsi="Arial"/>
                <w:sz w:val="14"/>
                <w:szCs w:val="14"/>
                <w:b w:val="1"/>
                <w:bCs w:val="1"/>
                <w:color w:val="00053B"/>
              </w:rPr>
              <w:t>information</w:t>
            </w:r>
          </w:p>
        </w:tc>
        <w:tc>
          <w:tcPr>
            <w:tcW w:w="20" w:type="dxa"/>
            <w:vAlign w:val="bottom"/>
            <w:tcBorders>
              <w:bottom w:val="single" w:sz="8" w:color="844896"/>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3740" w:type="dxa"/>
            <w:vAlign w:val="bottom"/>
            <w:gridSpan w:val="2"/>
            <w:vMerge w:val="restart"/>
            <w:shd w:val="clear" w:color="auto" w:fill="EAEAEA"/>
          </w:tcPr>
          <w:p>
            <w:pPr>
              <w:ind w:left="140"/>
              <w:spacing w:after="0"/>
              <w:rPr>
                <w:sz w:val="20"/>
                <w:szCs w:val="20"/>
                <w:color w:val="auto"/>
              </w:rPr>
            </w:pPr>
            <w:r>
              <w:rPr>
                <w:rFonts w:ascii="Arial" w:cs="Arial" w:eastAsia="Arial" w:hAnsi="Arial"/>
                <w:sz w:val="14"/>
                <w:szCs w:val="14"/>
                <w:color w:val="00053B"/>
              </w:rPr>
              <w:t>Election of directors</w:t>
            </w:r>
          </w:p>
        </w:tc>
        <w:tc>
          <w:tcPr>
            <w:tcW w:w="3780" w:type="dxa"/>
            <w:vAlign w:val="bottom"/>
            <w:gridSpan w:val="2"/>
            <w:vMerge w:val="restart"/>
            <w:shd w:val="clear" w:color="auto" w:fill="EAEAEA"/>
          </w:tcPr>
          <w:p>
            <w:pPr>
              <w:ind w:left="3420"/>
              <w:spacing w:after="0" w:line="321" w:lineRule="exact"/>
              <w:rPr>
                <w:sz w:val="20"/>
                <w:szCs w:val="20"/>
                <w:color w:val="auto"/>
              </w:rPr>
            </w:pPr>
            <w:r>
              <w:rPr>
                <w:rFonts w:ascii="MS PGothic" w:cs="MS PGothic" w:eastAsia="MS PGothic" w:hAnsi="MS PGothic"/>
                <w:sz w:val="32"/>
                <w:szCs w:val="32"/>
                <w:color w:val="844896"/>
              </w:rPr>
              <w:t>✓</w:t>
            </w:r>
          </w:p>
        </w:tc>
        <w:tc>
          <w:tcPr>
            <w:tcW w:w="1120" w:type="dxa"/>
            <w:vAlign w:val="bottom"/>
            <w:shd w:val="clear" w:color="auto" w:fill="EAEAEA"/>
          </w:tcPr>
          <w:p>
            <w:pPr>
              <w:ind w:left="320"/>
              <w:spacing w:after="0"/>
              <w:rPr>
                <w:sz w:val="20"/>
                <w:szCs w:val="20"/>
                <w:color w:val="auto"/>
              </w:rPr>
            </w:pPr>
            <w:r>
              <w:rPr>
                <w:rFonts w:ascii="Arial" w:cs="Arial" w:eastAsia="Arial" w:hAnsi="Arial"/>
                <w:sz w:val="14"/>
                <w:szCs w:val="14"/>
                <w:b w:val="1"/>
                <w:bCs w:val="1"/>
                <w:color w:val="00053B"/>
              </w:rPr>
              <w:t>FOR each</w:t>
            </w:r>
          </w:p>
        </w:tc>
        <w:tc>
          <w:tcPr>
            <w:tcW w:w="2520" w:type="dxa"/>
            <w:vAlign w:val="bottom"/>
            <w:vMerge w:val="restart"/>
            <w:shd w:val="clear" w:color="auto" w:fill="EAEAEA"/>
          </w:tcPr>
          <w:p>
            <w:pPr>
              <w:jc w:val="center"/>
              <w:ind w:left="304"/>
              <w:spacing w:after="0"/>
              <w:rPr>
                <w:sz w:val="20"/>
                <w:szCs w:val="20"/>
                <w:color w:val="auto"/>
              </w:rPr>
            </w:pPr>
            <w:r>
              <w:rPr>
                <w:rFonts w:ascii="Arial" w:cs="Arial" w:eastAsia="Arial" w:hAnsi="Arial"/>
                <w:sz w:val="14"/>
                <w:szCs w:val="14"/>
                <w:color w:val="00053B"/>
              </w:rPr>
              <w:t>Page 10</w:t>
            </w:r>
          </w:p>
        </w:tc>
        <w:tc>
          <w:tcPr>
            <w:tcW w:w="20" w:type="dxa"/>
            <w:vAlign w:val="bottom"/>
            <w:shd w:val="clear" w:color="auto" w:fill="EAEAEA"/>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3740" w:type="dxa"/>
            <w:vAlign w:val="bottom"/>
            <w:gridSpan w:val="2"/>
            <w:vMerge w:val="continue"/>
            <w:shd w:val="clear" w:color="auto" w:fill="EAEAEA"/>
          </w:tcPr>
          <w:p>
            <w:pPr>
              <w:spacing w:after="0"/>
              <w:rPr>
                <w:sz w:val="9"/>
                <w:szCs w:val="9"/>
                <w:color w:val="auto"/>
              </w:rPr>
            </w:pPr>
          </w:p>
        </w:tc>
        <w:tc>
          <w:tcPr>
            <w:tcW w:w="3780" w:type="dxa"/>
            <w:vAlign w:val="bottom"/>
            <w:gridSpan w:val="2"/>
            <w:vMerge w:val="continue"/>
            <w:shd w:val="clear" w:color="auto" w:fill="EAEAEA"/>
          </w:tcPr>
          <w:p>
            <w:pPr>
              <w:spacing w:after="0"/>
              <w:rPr>
                <w:sz w:val="9"/>
                <w:szCs w:val="9"/>
                <w:color w:val="auto"/>
              </w:rPr>
            </w:pPr>
          </w:p>
        </w:tc>
        <w:tc>
          <w:tcPr>
            <w:tcW w:w="1120" w:type="dxa"/>
            <w:vAlign w:val="bottom"/>
            <w:vMerge w:val="restart"/>
            <w:shd w:val="clear" w:color="auto" w:fill="EAEAEA"/>
          </w:tcPr>
          <w:p>
            <w:pPr>
              <w:ind w:left="320"/>
              <w:spacing w:after="0"/>
              <w:rPr>
                <w:sz w:val="20"/>
                <w:szCs w:val="20"/>
                <w:color w:val="auto"/>
              </w:rPr>
            </w:pPr>
            <w:r>
              <w:rPr>
                <w:rFonts w:ascii="Arial" w:cs="Arial" w:eastAsia="Arial" w:hAnsi="Arial"/>
                <w:sz w:val="14"/>
                <w:szCs w:val="14"/>
                <w:b w:val="1"/>
                <w:bCs w:val="1"/>
                <w:color w:val="00053B"/>
              </w:rPr>
              <w:t>nominee</w:t>
            </w:r>
          </w:p>
        </w:tc>
        <w:tc>
          <w:tcPr>
            <w:tcW w:w="2520" w:type="dxa"/>
            <w:vAlign w:val="bottom"/>
            <w:vMerge w:val="continue"/>
            <w:shd w:val="clear" w:color="auto" w:fill="EAEAEA"/>
          </w:tcPr>
          <w:p>
            <w:pPr>
              <w:spacing w:after="0"/>
              <w:rPr>
                <w:sz w:val="9"/>
                <w:szCs w:val="9"/>
                <w:color w:val="auto"/>
              </w:rPr>
            </w:pPr>
          </w:p>
        </w:tc>
        <w:tc>
          <w:tcPr>
            <w:tcW w:w="20" w:type="dxa"/>
            <w:vAlign w:val="bottom"/>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40" w:type="dxa"/>
            <w:vAlign w:val="bottom"/>
          </w:tcPr>
          <w:p>
            <w:pPr>
              <w:spacing w:after="0"/>
              <w:rPr>
                <w:sz w:val="8"/>
                <w:szCs w:val="8"/>
                <w:color w:val="auto"/>
              </w:rPr>
            </w:pPr>
          </w:p>
        </w:tc>
        <w:tc>
          <w:tcPr>
            <w:tcW w:w="3640" w:type="dxa"/>
            <w:vAlign w:val="bottom"/>
            <w:shd w:val="clear" w:color="auto" w:fill="EAEAEA"/>
          </w:tcPr>
          <w:p>
            <w:pPr>
              <w:spacing w:after="0"/>
              <w:rPr>
                <w:sz w:val="8"/>
                <w:szCs w:val="8"/>
                <w:color w:val="auto"/>
              </w:rPr>
            </w:pPr>
          </w:p>
        </w:tc>
        <w:tc>
          <w:tcPr>
            <w:tcW w:w="100" w:type="dxa"/>
            <w:vAlign w:val="bottom"/>
            <w:shd w:val="clear" w:color="auto" w:fill="EAEAEA"/>
          </w:tcPr>
          <w:p>
            <w:pPr>
              <w:spacing w:after="0"/>
              <w:rPr>
                <w:sz w:val="8"/>
                <w:szCs w:val="8"/>
                <w:color w:val="auto"/>
              </w:rPr>
            </w:pPr>
          </w:p>
        </w:tc>
        <w:tc>
          <w:tcPr>
            <w:tcW w:w="3780" w:type="dxa"/>
            <w:vAlign w:val="bottom"/>
            <w:gridSpan w:val="2"/>
            <w:vMerge w:val="continue"/>
            <w:shd w:val="clear" w:color="auto" w:fill="EAEAEA"/>
          </w:tcPr>
          <w:p>
            <w:pPr>
              <w:spacing w:after="0"/>
              <w:rPr>
                <w:sz w:val="8"/>
                <w:szCs w:val="8"/>
                <w:color w:val="auto"/>
              </w:rPr>
            </w:pPr>
          </w:p>
        </w:tc>
        <w:tc>
          <w:tcPr>
            <w:tcW w:w="1120" w:type="dxa"/>
            <w:vAlign w:val="bottom"/>
            <w:vMerge w:val="continue"/>
            <w:shd w:val="clear" w:color="auto" w:fill="EAEAEA"/>
          </w:tcPr>
          <w:p>
            <w:pPr>
              <w:spacing w:after="0"/>
              <w:rPr>
                <w:sz w:val="8"/>
                <w:szCs w:val="8"/>
                <w:color w:val="auto"/>
              </w:rPr>
            </w:pPr>
          </w:p>
        </w:tc>
        <w:tc>
          <w:tcPr>
            <w:tcW w:w="2520" w:type="dxa"/>
            <w:vAlign w:val="bottom"/>
            <w:shd w:val="clear" w:color="auto" w:fill="EAEAEA"/>
          </w:tcPr>
          <w:p>
            <w:pPr>
              <w:spacing w:after="0"/>
              <w:rPr>
                <w:sz w:val="8"/>
                <w:szCs w:val="8"/>
                <w:color w:val="auto"/>
              </w:rPr>
            </w:pPr>
          </w:p>
        </w:tc>
        <w:tc>
          <w:tcPr>
            <w:tcW w:w="20" w:type="dxa"/>
            <w:vAlign w:val="bottom"/>
            <w:shd w:val="clear" w:color="auto" w:fill="EAEAEA"/>
          </w:tcPr>
          <w:p>
            <w:pPr>
              <w:spacing w:after="0"/>
              <w:rPr>
                <w:sz w:val="8"/>
                <w:szCs w:val="8"/>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3740" w:type="dxa"/>
            <w:vAlign w:val="bottom"/>
            <w:gridSpan w:val="2"/>
          </w:tcPr>
          <w:p>
            <w:pPr>
              <w:ind w:left="140"/>
              <w:spacing w:after="0"/>
              <w:rPr>
                <w:sz w:val="20"/>
                <w:szCs w:val="20"/>
                <w:color w:val="auto"/>
              </w:rPr>
            </w:pPr>
            <w:r>
              <w:rPr>
                <w:rFonts w:ascii="Arial" w:cs="Arial" w:eastAsia="Arial" w:hAnsi="Arial"/>
                <w:sz w:val="14"/>
                <w:szCs w:val="14"/>
                <w:color w:val="00053B"/>
              </w:rPr>
              <w:t>Advisory vote on Commvault’s executive compensation</w:t>
            </w:r>
          </w:p>
        </w:tc>
        <w:tc>
          <w:tcPr>
            <w:tcW w:w="3780" w:type="dxa"/>
            <w:vAlign w:val="bottom"/>
            <w:gridSpan w:val="2"/>
          </w:tcPr>
          <w:p>
            <w:pPr>
              <w:ind w:left="3420"/>
              <w:spacing w:after="0" w:line="321" w:lineRule="exact"/>
              <w:rPr>
                <w:sz w:val="20"/>
                <w:szCs w:val="20"/>
                <w:color w:val="auto"/>
              </w:rPr>
            </w:pPr>
            <w:r>
              <w:rPr>
                <w:rFonts w:ascii="MS PGothic" w:cs="MS PGothic" w:eastAsia="MS PGothic" w:hAnsi="MS PGothic"/>
                <w:sz w:val="32"/>
                <w:szCs w:val="32"/>
                <w:color w:val="844896"/>
              </w:rPr>
              <w:t>✓</w:t>
            </w:r>
          </w:p>
        </w:tc>
        <w:tc>
          <w:tcPr>
            <w:tcW w:w="1120" w:type="dxa"/>
            <w:vAlign w:val="bottom"/>
          </w:tcPr>
          <w:p>
            <w:pPr>
              <w:ind w:left="320"/>
              <w:spacing w:after="0"/>
              <w:rPr>
                <w:sz w:val="20"/>
                <w:szCs w:val="20"/>
                <w:color w:val="auto"/>
              </w:rPr>
            </w:pPr>
            <w:r>
              <w:rPr>
                <w:rFonts w:ascii="Arial" w:cs="Arial" w:eastAsia="Arial" w:hAnsi="Arial"/>
                <w:sz w:val="14"/>
                <w:szCs w:val="14"/>
                <w:b w:val="1"/>
                <w:bCs w:val="1"/>
                <w:color w:val="00053B"/>
              </w:rPr>
              <w:t>FOR</w:t>
            </w:r>
          </w:p>
        </w:tc>
        <w:tc>
          <w:tcPr>
            <w:tcW w:w="2520" w:type="dxa"/>
            <w:vAlign w:val="bottom"/>
          </w:tcPr>
          <w:p>
            <w:pPr>
              <w:jc w:val="center"/>
              <w:ind w:left="304"/>
              <w:spacing w:after="0"/>
              <w:rPr>
                <w:sz w:val="20"/>
                <w:szCs w:val="20"/>
                <w:color w:val="auto"/>
              </w:rPr>
            </w:pPr>
            <w:r>
              <w:rPr>
                <w:rFonts w:ascii="Arial" w:cs="Arial" w:eastAsia="Arial" w:hAnsi="Arial"/>
                <w:sz w:val="14"/>
                <w:szCs w:val="14"/>
                <w:color w:val="00053B"/>
              </w:rPr>
              <w:t>Page 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3740" w:type="dxa"/>
            <w:vAlign w:val="bottom"/>
            <w:gridSpan w:val="2"/>
            <w:shd w:val="clear" w:color="auto" w:fill="EAEAEA"/>
          </w:tcPr>
          <w:p>
            <w:pPr>
              <w:ind w:left="140"/>
              <w:spacing w:after="0"/>
              <w:rPr>
                <w:sz w:val="20"/>
                <w:szCs w:val="20"/>
                <w:color w:val="auto"/>
              </w:rPr>
            </w:pPr>
            <w:r>
              <w:rPr>
                <w:rFonts w:ascii="Arial" w:cs="Arial" w:eastAsia="Arial" w:hAnsi="Arial"/>
                <w:sz w:val="14"/>
                <w:szCs w:val="14"/>
                <w:color w:val="00053B"/>
              </w:rPr>
              <w:t>Ratification of independent auditors</w:t>
            </w:r>
          </w:p>
        </w:tc>
        <w:tc>
          <w:tcPr>
            <w:tcW w:w="3780" w:type="dxa"/>
            <w:vAlign w:val="bottom"/>
            <w:gridSpan w:val="2"/>
            <w:shd w:val="clear" w:color="auto" w:fill="EAEAEA"/>
          </w:tcPr>
          <w:p>
            <w:pPr>
              <w:ind w:left="3420"/>
              <w:spacing w:after="0" w:line="321" w:lineRule="exact"/>
              <w:rPr>
                <w:sz w:val="20"/>
                <w:szCs w:val="20"/>
                <w:color w:val="auto"/>
              </w:rPr>
            </w:pPr>
            <w:r>
              <w:rPr>
                <w:rFonts w:ascii="MS PGothic" w:cs="MS PGothic" w:eastAsia="MS PGothic" w:hAnsi="MS PGothic"/>
                <w:sz w:val="32"/>
                <w:szCs w:val="32"/>
                <w:color w:val="844896"/>
              </w:rPr>
              <w:t>✓</w:t>
            </w:r>
          </w:p>
        </w:tc>
        <w:tc>
          <w:tcPr>
            <w:tcW w:w="1120" w:type="dxa"/>
            <w:vAlign w:val="bottom"/>
            <w:shd w:val="clear" w:color="auto" w:fill="EAEAEA"/>
          </w:tcPr>
          <w:p>
            <w:pPr>
              <w:ind w:left="320"/>
              <w:spacing w:after="0"/>
              <w:rPr>
                <w:sz w:val="20"/>
                <w:szCs w:val="20"/>
                <w:color w:val="auto"/>
              </w:rPr>
            </w:pPr>
            <w:r>
              <w:rPr>
                <w:rFonts w:ascii="Arial" w:cs="Arial" w:eastAsia="Arial" w:hAnsi="Arial"/>
                <w:sz w:val="14"/>
                <w:szCs w:val="14"/>
                <w:b w:val="1"/>
                <w:bCs w:val="1"/>
                <w:color w:val="00053B"/>
              </w:rPr>
              <w:t>FOR</w:t>
            </w:r>
          </w:p>
        </w:tc>
        <w:tc>
          <w:tcPr>
            <w:tcW w:w="2520" w:type="dxa"/>
            <w:vAlign w:val="bottom"/>
            <w:shd w:val="clear" w:color="auto" w:fill="EAEAEA"/>
          </w:tcPr>
          <w:p>
            <w:pPr>
              <w:jc w:val="center"/>
              <w:ind w:left="304"/>
              <w:spacing w:after="0"/>
              <w:rPr>
                <w:sz w:val="20"/>
                <w:szCs w:val="20"/>
                <w:color w:val="auto"/>
              </w:rPr>
            </w:pPr>
            <w:r>
              <w:rPr>
                <w:rFonts w:ascii="Arial" w:cs="Arial" w:eastAsia="Arial" w:hAnsi="Arial"/>
                <w:sz w:val="14"/>
                <w:szCs w:val="14"/>
                <w:color w:val="00053B"/>
              </w:rPr>
              <w:t>Page 53</w:t>
            </w:r>
          </w:p>
        </w:tc>
        <w:tc>
          <w:tcPr>
            <w:tcW w:w="20" w:type="dxa"/>
            <w:vAlign w:val="bottom"/>
            <w:shd w:val="clear" w:color="auto" w:fill="EAEAEA"/>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2420620</wp:posOffset>
            </wp:positionH>
            <wp:positionV relativeFrom="paragraph">
              <wp:posOffset>-1490980</wp:posOffset>
            </wp:positionV>
            <wp:extent cx="22923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9235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-1388110</wp:posOffset>
            </wp:positionV>
            <wp:extent cx="3657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5760"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What’s New</w:t>
      </w:r>
    </w:p>
    <w:p>
      <w:pPr>
        <w:sectPr>
          <w:pgSz w:w="11900" w:h="16838" w:orient="portrait"/>
          <w:cols w:equalWidth="0" w:num="1">
            <w:col w:w="11240"/>
          </w:cols>
          <w:pgMar w:left="320" w:top="121" w:right="339" w:bottom="1440" w:gutter="0" w:footer="0" w:header="0"/>
        </w:sectPr>
      </w:pPr>
    </w:p>
    <w:p>
      <w:pPr>
        <w:spacing w:after="0" w:line="263" w:lineRule="exact"/>
        <w:rPr>
          <w:sz w:val="20"/>
          <w:szCs w:val="20"/>
          <w:color w:val="auto"/>
        </w:rPr>
      </w:pPr>
    </w:p>
    <w:p>
      <w:pPr>
        <w:ind w:left="240" w:right="100" w:hanging="135"/>
        <w:spacing w:after="0" w:line="304" w:lineRule="auto"/>
        <w:tabs>
          <w:tab w:leader="none" w:pos="234" w:val="left"/>
        </w:tabs>
        <w:numPr>
          <w:ilvl w:val="0"/>
          <w:numId w:val="6"/>
        </w:numPr>
        <w:rPr>
          <w:rFonts w:ascii="Arial" w:cs="Arial" w:eastAsia="Arial" w:hAnsi="Arial"/>
          <w:sz w:val="16"/>
          <w:szCs w:val="16"/>
          <w:color w:val="00053B"/>
        </w:rPr>
      </w:pPr>
      <w:r>
        <w:rPr>
          <w:rFonts w:ascii="Arial" w:cs="Arial" w:eastAsia="Arial" w:hAnsi="Arial"/>
          <w:sz w:val="16"/>
          <w:szCs w:val="16"/>
          <w:color w:val="00053B"/>
        </w:rPr>
        <w:t>We adopted a clawback policy which is compliant with the Dodd-Frank Act.</w:t>
      </w:r>
    </w:p>
    <w:p>
      <w:pPr>
        <w:spacing w:after="0" w:line="33" w:lineRule="exact"/>
        <w:rPr>
          <w:rFonts w:ascii="Arial" w:cs="Arial" w:eastAsia="Arial" w:hAnsi="Arial"/>
          <w:sz w:val="16"/>
          <w:szCs w:val="16"/>
          <w:color w:val="00053B"/>
        </w:rPr>
      </w:pPr>
    </w:p>
    <w:p>
      <w:pPr>
        <w:jc w:val="both"/>
        <w:ind w:left="240" w:hanging="135"/>
        <w:spacing w:after="0" w:line="275" w:lineRule="auto"/>
        <w:tabs>
          <w:tab w:leader="none" w:pos="234" w:val="left"/>
        </w:tabs>
        <w:numPr>
          <w:ilvl w:val="0"/>
          <w:numId w:val="6"/>
        </w:numPr>
        <w:rPr>
          <w:rFonts w:ascii="Arial" w:cs="Arial" w:eastAsia="Arial" w:hAnsi="Arial"/>
          <w:sz w:val="16"/>
          <w:szCs w:val="16"/>
          <w:color w:val="00053B"/>
        </w:rPr>
      </w:pPr>
      <w:r>
        <w:rPr>
          <w:rFonts w:ascii="Arial" w:cs="Arial" w:eastAsia="Arial" w:hAnsi="Arial"/>
          <w:sz w:val="16"/>
          <w:szCs w:val="16"/>
          <w:color w:val="00053B"/>
        </w:rPr>
        <w:t>We established our Enterprise Risk Management Committee comprised of senior management to address risks the Company faces in our ever-evolving world.</w:t>
      </w:r>
    </w:p>
    <w:p>
      <w:pPr>
        <w:spacing w:after="0" w:line="56" w:lineRule="exact"/>
        <w:rPr>
          <w:rFonts w:ascii="Arial" w:cs="Arial" w:eastAsia="Arial" w:hAnsi="Arial"/>
          <w:sz w:val="16"/>
          <w:szCs w:val="16"/>
          <w:color w:val="00053B"/>
        </w:rPr>
      </w:pPr>
    </w:p>
    <w:p>
      <w:pPr>
        <w:ind w:left="240" w:right="220" w:hanging="135"/>
        <w:spacing w:after="0" w:line="304" w:lineRule="auto"/>
        <w:tabs>
          <w:tab w:leader="none" w:pos="234" w:val="left"/>
        </w:tabs>
        <w:numPr>
          <w:ilvl w:val="0"/>
          <w:numId w:val="6"/>
        </w:numPr>
        <w:rPr>
          <w:rFonts w:ascii="Arial" w:cs="Arial" w:eastAsia="Arial" w:hAnsi="Arial"/>
          <w:sz w:val="16"/>
          <w:szCs w:val="16"/>
          <w:color w:val="00053B"/>
        </w:rPr>
      </w:pPr>
      <w:r>
        <w:rPr>
          <w:rFonts w:ascii="Arial" w:cs="Arial" w:eastAsia="Arial" w:hAnsi="Arial"/>
          <w:sz w:val="16"/>
          <w:szCs w:val="16"/>
          <w:color w:val="00053B"/>
        </w:rPr>
        <w:t>We established our Cybersecurity Oversight Committee dedicated to cybersecurity response plans.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122" w:hanging="122"/>
        <w:spacing w:after="0"/>
        <w:tabs>
          <w:tab w:leader="none" w:pos="122" w:val="left"/>
        </w:tabs>
        <w:numPr>
          <w:ilvl w:val="0"/>
          <w:numId w:val="7"/>
        </w:numPr>
        <w:rPr>
          <w:rFonts w:ascii="Arial" w:cs="Arial" w:eastAsia="Arial" w:hAnsi="Arial"/>
          <w:sz w:val="16"/>
          <w:szCs w:val="16"/>
          <w:color w:val="00053B"/>
        </w:rPr>
      </w:pPr>
      <w:r>
        <w:rPr>
          <w:rFonts w:ascii="Arial" w:cs="Arial" w:eastAsia="Arial" w:hAnsi="Arial"/>
          <w:sz w:val="16"/>
          <w:szCs w:val="16"/>
          <w:color w:val="00053B"/>
        </w:rPr>
        <w:t>We adopted our Principles for Responsible AI guidelines.</w:t>
      </w:r>
    </w:p>
    <w:p>
      <w:pPr>
        <w:spacing w:after="0" w:line="126" w:lineRule="exact"/>
        <w:rPr>
          <w:rFonts w:ascii="Arial" w:cs="Arial" w:eastAsia="Arial" w:hAnsi="Arial"/>
          <w:sz w:val="16"/>
          <w:szCs w:val="16"/>
          <w:color w:val="00053B"/>
        </w:rPr>
      </w:pPr>
    </w:p>
    <w:p>
      <w:pPr>
        <w:ind w:left="122" w:right="340" w:hanging="122"/>
        <w:spacing w:after="0" w:line="266" w:lineRule="auto"/>
        <w:tabs>
          <w:tab w:leader="none" w:pos="116" w:val="left"/>
        </w:tabs>
        <w:numPr>
          <w:ilvl w:val="0"/>
          <w:numId w:val="7"/>
        </w:numPr>
        <w:rPr>
          <w:rFonts w:ascii="Arial" w:cs="Arial" w:eastAsia="Arial" w:hAnsi="Arial"/>
          <w:sz w:val="16"/>
          <w:szCs w:val="16"/>
          <w:color w:val="00053B"/>
        </w:rPr>
      </w:pPr>
      <w:r>
        <w:rPr>
          <w:rFonts w:ascii="Arial" w:cs="Arial" w:eastAsia="Arial" w:hAnsi="Arial"/>
          <w:sz w:val="16"/>
          <w:szCs w:val="16"/>
          <w:color w:val="00053B"/>
        </w:rPr>
        <w:t>We published a refreshed Environmental, Social, and Governance report, including the results of our inaugural Greenhouse Gas (“GHG”) emissions assessment.</w:t>
      </w:r>
    </w:p>
    <w:p>
      <w:pPr>
        <w:spacing w:after="0" w:line="985" w:lineRule="exact"/>
        <w:rPr>
          <w:sz w:val="20"/>
          <w:szCs w:val="20"/>
          <w:color w:val="auto"/>
        </w:rPr>
      </w:pPr>
    </w:p>
    <w:p>
      <w:pPr>
        <w:sectPr>
          <w:pgSz w:w="11900" w:h="16838" w:orient="portrait"/>
          <w:cols w:equalWidth="0" w:num="2">
            <w:col w:w="5360" w:space="158"/>
            <w:col w:w="5722"/>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4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462915</wp:posOffset>
            </wp:positionV>
            <wp:extent cx="7106285"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1"/>
          <w:szCs w:val="11"/>
          <w:color w:val="00053B"/>
        </w:rPr>
        <w:t xml:space="preserve">PROXY SUMMARY | </w:t>
      </w:r>
      <w:r>
        <w:rPr>
          <w:rFonts w:ascii="Arial" w:cs="Arial" w:eastAsia="Arial" w:hAnsi="Arial"/>
          <w:sz w:val="11"/>
          <w:szCs w:val="11"/>
          <w:b w:val="1"/>
          <w:bCs w:val="1"/>
          <w:color w:val="00053B"/>
        </w:rPr>
        <w:t>ELECTION OF DIRECTORS</w:t>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Election of Directors</w:t>
      </w:r>
    </w:p>
    <w:p>
      <w:pPr>
        <w:spacing w:after="0" w:line="61"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00053B"/>
        </w:rPr>
        <w:t>The following table shows information about our director nominees. All of our directors and nominees are independent except Mr. Mirchandani, Commvault’s President and Chief Executive Officer (“CEO”).</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00" w:type="dxa"/>
            <w:vAlign w:val="bottom"/>
          </w:tcPr>
          <w:p>
            <w:pPr>
              <w:ind w:left="20"/>
              <w:spacing w:after="0"/>
              <w:rPr>
                <w:sz w:val="20"/>
                <w:szCs w:val="20"/>
                <w:color w:val="auto"/>
              </w:rPr>
            </w:pPr>
            <w:r>
              <w:rPr>
                <w:rFonts w:ascii="Arial" w:cs="Arial" w:eastAsia="Arial" w:hAnsi="Arial"/>
                <w:sz w:val="11"/>
                <w:szCs w:val="11"/>
                <w:color w:val="00053B"/>
              </w:rPr>
              <w:t>Committees</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960" w:type="dxa"/>
            <w:vAlign w:val="bottom"/>
            <w:tcBorders>
              <w:bottom w:val="single" w:sz="8" w:color="844896"/>
            </w:tcBorders>
          </w:tcPr>
          <w:p>
            <w:pPr>
              <w:spacing w:after="0"/>
              <w:rPr>
                <w:sz w:val="2"/>
                <w:szCs w:val="2"/>
                <w:color w:val="auto"/>
              </w:rPr>
            </w:pPr>
          </w:p>
        </w:tc>
        <w:tc>
          <w:tcPr>
            <w:tcW w:w="860" w:type="dxa"/>
            <w:vAlign w:val="bottom"/>
            <w:tcBorders>
              <w:bottom w:val="single" w:sz="8" w:color="844896"/>
            </w:tcBorders>
          </w:tcPr>
          <w:p>
            <w:pPr>
              <w:spacing w:after="0"/>
              <w:rPr>
                <w:sz w:val="2"/>
                <w:szCs w:val="2"/>
                <w:color w:val="auto"/>
              </w:rPr>
            </w:pPr>
          </w:p>
        </w:tc>
        <w:tc>
          <w:tcPr>
            <w:tcW w:w="1300" w:type="dxa"/>
            <w:vAlign w:val="bottom"/>
            <w:tcBorders>
              <w:bottom w:val="single" w:sz="8" w:color="844896"/>
            </w:tcBorders>
          </w:tcPr>
          <w:p>
            <w:pPr>
              <w:spacing w:after="0"/>
              <w:rPr>
                <w:sz w:val="2"/>
                <w:szCs w:val="2"/>
                <w:color w:val="auto"/>
              </w:rPr>
            </w:pPr>
          </w:p>
        </w:tc>
        <w:tc>
          <w:tcPr>
            <w:tcW w:w="1140" w:type="dxa"/>
            <w:vAlign w:val="bottom"/>
            <w:tcBorders>
              <w:bottom w:val="single" w:sz="8" w:color="844896"/>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160" w:type="dxa"/>
            <w:vAlign w:val="bottom"/>
            <w:gridSpan w:val="2"/>
            <w:vMerge w:val="restart"/>
          </w:tcPr>
          <w:p>
            <w:pPr>
              <w:jc w:val="center"/>
              <w:ind w:right="857"/>
              <w:spacing w:after="0"/>
              <w:rPr>
                <w:sz w:val="20"/>
                <w:szCs w:val="20"/>
                <w:color w:val="auto"/>
              </w:rPr>
            </w:pPr>
            <w:r>
              <w:rPr>
                <w:rFonts w:ascii="Arial" w:cs="Arial" w:eastAsia="Arial" w:hAnsi="Arial"/>
                <w:sz w:val="11"/>
                <w:szCs w:val="11"/>
                <w:color w:val="00053B"/>
                <w:w w:val="98"/>
              </w:rPr>
              <w:t>Nominations</w:t>
            </w:r>
          </w:p>
        </w:tc>
        <w:tc>
          <w:tcPr>
            <w:tcW w:w="1140" w:type="dxa"/>
            <w:vAlign w:val="bottom"/>
          </w:tcPr>
          <w:p>
            <w:pPr>
              <w:jc w:val="center"/>
              <w:spacing w:after="0" w:line="102" w:lineRule="exact"/>
              <w:rPr>
                <w:sz w:val="20"/>
                <w:szCs w:val="20"/>
                <w:color w:val="auto"/>
              </w:rPr>
            </w:pPr>
            <w:r>
              <w:rPr>
                <w:rFonts w:ascii="Arial" w:cs="Arial" w:eastAsia="Arial" w:hAnsi="Arial"/>
                <w:sz w:val="11"/>
                <w:szCs w:val="11"/>
                <w:color w:val="00053B"/>
                <w:w w:val="97"/>
              </w:rPr>
              <w:t>Talent</w:t>
            </w:r>
          </w:p>
        </w:tc>
        <w:tc>
          <w:tcPr>
            <w:tcW w:w="0" w:type="dxa"/>
            <w:vAlign w:val="bottom"/>
          </w:tcPr>
          <w:p>
            <w:pPr>
              <w:spacing w:after="0"/>
              <w:rPr>
                <w:sz w:val="1"/>
                <w:szCs w:val="1"/>
                <w:color w:val="auto"/>
              </w:rPr>
            </w:pPr>
          </w:p>
        </w:tc>
      </w:tr>
      <w:tr>
        <w:trPr>
          <w:trHeight w:val="108"/>
        </w:trPr>
        <w:tc>
          <w:tcPr>
            <w:tcW w:w="1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vMerge w:val="restart"/>
          </w:tcPr>
          <w:p>
            <w:pPr>
              <w:ind w:left="240"/>
              <w:spacing w:after="0"/>
              <w:rPr>
                <w:sz w:val="20"/>
                <w:szCs w:val="20"/>
                <w:color w:val="auto"/>
              </w:rPr>
            </w:pPr>
            <w:r>
              <w:rPr>
                <w:rFonts w:ascii="Arial" w:cs="Arial" w:eastAsia="Arial" w:hAnsi="Arial"/>
                <w:sz w:val="11"/>
                <w:szCs w:val="11"/>
                <w:color w:val="00053B"/>
              </w:rPr>
              <w:t>Director</w:t>
            </w:r>
          </w:p>
        </w:tc>
        <w:tc>
          <w:tcPr>
            <w:tcW w:w="3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1140" w:type="dxa"/>
            <w:vAlign w:val="bottom"/>
          </w:tcPr>
          <w:p>
            <w:pPr>
              <w:jc w:val="center"/>
              <w:spacing w:after="0" w:line="108" w:lineRule="exact"/>
              <w:rPr>
                <w:sz w:val="20"/>
                <w:szCs w:val="20"/>
                <w:color w:val="auto"/>
              </w:rPr>
            </w:pPr>
            <w:r>
              <w:rPr>
                <w:rFonts w:ascii="Arial" w:cs="Arial" w:eastAsia="Arial" w:hAnsi="Arial"/>
                <w:sz w:val="11"/>
                <w:szCs w:val="11"/>
                <w:color w:val="00053B"/>
                <w:w w:val="96"/>
              </w:rPr>
              <w:t>Management</w:t>
            </w:r>
          </w:p>
        </w:tc>
        <w:tc>
          <w:tcPr>
            <w:tcW w:w="0" w:type="dxa"/>
            <w:vAlign w:val="bottom"/>
          </w:tcPr>
          <w:p>
            <w:pPr>
              <w:spacing w:after="0"/>
              <w:rPr>
                <w:sz w:val="1"/>
                <w:szCs w:val="1"/>
                <w:color w:val="auto"/>
              </w:rPr>
            </w:pPr>
          </w:p>
        </w:tc>
      </w:tr>
      <w:tr>
        <w:trPr>
          <w:trHeight w:val="108"/>
        </w:trPr>
        <w:tc>
          <w:tcPr>
            <w:tcW w:w="1860" w:type="dxa"/>
            <w:vAlign w:val="bottom"/>
          </w:tcPr>
          <w:p>
            <w:pPr>
              <w:spacing w:after="0"/>
              <w:rPr>
                <w:sz w:val="9"/>
                <w:szCs w:val="9"/>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color w:val="00053B"/>
              </w:rPr>
              <w:t>Age</w:t>
            </w:r>
          </w:p>
        </w:tc>
        <w:tc>
          <w:tcPr>
            <w:tcW w:w="800" w:type="dxa"/>
            <w:vAlign w:val="bottom"/>
            <w:vMerge w:val="continue"/>
          </w:tcPr>
          <w:p>
            <w:pPr>
              <w:spacing w:after="0"/>
              <w:rPr>
                <w:sz w:val="9"/>
                <w:szCs w:val="9"/>
                <w:color w:val="auto"/>
              </w:rPr>
            </w:pPr>
          </w:p>
        </w:tc>
        <w:tc>
          <w:tcPr>
            <w:tcW w:w="3580" w:type="dxa"/>
            <w:vAlign w:val="bottom"/>
            <w:vMerge w:val="restart"/>
          </w:tcPr>
          <w:p>
            <w:pPr>
              <w:ind w:left="260"/>
              <w:spacing w:after="0"/>
              <w:rPr>
                <w:sz w:val="20"/>
                <w:szCs w:val="20"/>
                <w:color w:val="auto"/>
              </w:rPr>
            </w:pPr>
            <w:r>
              <w:rPr>
                <w:rFonts w:ascii="Arial" w:cs="Arial" w:eastAsia="Arial" w:hAnsi="Arial"/>
                <w:sz w:val="11"/>
                <w:szCs w:val="11"/>
                <w:color w:val="00053B"/>
              </w:rPr>
              <w:t>Occupation and Background</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053B"/>
              </w:rPr>
              <w:t>Audit</w:t>
            </w:r>
          </w:p>
        </w:tc>
        <w:tc>
          <w:tcPr>
            <w:tcW w:w="860" w:type="dxa"/>
            <w:vAlign w:val="bottom"/>
          </w:tcPr>
          <w:p>
            <w:pPr>
              <w:jc w:val="center"/>
              <w:ind w:left="295"/>
              <w:spacing w:after="0" w:line="108" w:lineRule="exact"/>
              <w:rPr>
                <w:sz w:val="20"/>
                <w:szCs w:val="20"/>
                <w:color w:val="auto"/>
              </w:rPr>
            </w:pPr>
            <w:r>
              <w:rPr>
                <w:rFonts w:ascii="Arial" w:cs="Arial" w:eastAsia="Arial" w:hAnsi="Arial"/>
                <w:sz w:val="11"/>
                <w:szCs w:val="11"/>
                <w:color w:val="00053B"/>
                <w:w w:val="97"/>
              </w:rPr>
              <w:t>and</w:t>
            </w:r>
          </w:p>
        </w:tc>
        <w:tc>
          <w:tcPr>
            <w:tcW w:w="1300" w:type="dxa"/>
            <w:vAlign w:val="bottom"/>
            <w:vMerge w:val="restart"/>
          </w:tcPr>
          <w:p>
            <w:pPr>
              <w:jc w:val="center"/>
              <w:ind w:left="237"/>
              <w:spacing w:after="0"/>
              <w:rPr>
                <w:sz w:val="20"/>
                <w:szCs w:val="20"/>
                <w:color w:val="auto"/>
              </w:rPr>
            </w:pPr>
            <w:r>
              <w:rPr>
                <w:rFonts w:ascii="Arial" w:cs="Arial" w:eastAsia="Arial" w:hAnsi="Arial"/>
                <w:sz w:val="11"/>
                <w:szCs w:val="11"/>
                <w:color w:val="00053B"/>
                <w:w w:val="99"/>
              </w:rPr>
              <w:t>Operating</w:t>
            </w:r>
          </w:p>
        </w:tc>
        <w:tc>
          <w:tcPr>
            <w:tcW w:w="1140" w:type="dxa"/>
            <w:vAlign w:val="bottom"/>
          </w:tcPr>
          <w:p>
            <w:pPr>
              <w:jc w:val="center"/>
              <w:spacing w:after="0" w:line="108" w:lineRule="exact"/>
              <w:rPr>
                <w:sz w:val="20"/>
                <w:szCs w:val="20"/>
                <w:color w:val="auto"/>
              </w:rPr>
            </w:pPr>
            <w:r>
              <w:rPr>
                <w:rFonts w:ascii="Arial" w:cs="Arial" w:eastAsia="Arial" w:hAnsi="Arial"/>
                <w:sz w:val="11"/>
                <w:szCs w:val="11"/>
                <w:color w:val="00053B"/>
                <w:w w:val="97"/>
              </w:rPr>
              <w:t>and</w:t>
            </w:r>
          </w:p>
        </w:tc>
        <w:tc>
          <w:tcPr>
            <w:tcW w:w="0" w:type="dxa"/>
            <w:vAlign w:val="bottom"/>
          </w:tcPr>
          <w:p>
            <w:pPr>
              <w:spacing w:after="0"/>
              <w:rPr>
                <w:sz w:val="1"/>
                <w:szCs w:val="1"/>
                <w:color w:val="auto"/>
              </w:rPr>
            </w:pPr>
          </w:p>
        </w:tc>
      </w:tr>
      <w:tr>
        <w:trPr>
          <w:trHeight w:val="155"/>
        </w:trPr>
        <w:tc>
          <w:tcPr>
            <w:tcW w:w="1860" w:type="dxa"/>
            <w:vAlign w:val="bottom"/>
            <w:tcBorders>
              <w:bottom w:val="single" w:sz="8" w:color="844896"/>
            </w:tcBorders>
          </w:tcPr>
          <w:p>
            <w:pPr>
              <w:spacing w:after="0"/>
              <w:rPr>
                <w:sz w:val="13"/>
                <w:szCs w:val="13"/>
                <w:color w:val="auto"/>
              </w:rPr>
            </w:pPr>
          </w:p>
        </w:tc>
        <w:tc>
          <w:tcPr>
            <w:tcW w:w="680" w:type="dxa"/>
            <w:vAlign w:val="bottom"/>
            <w:tcBorders>
              <w:bottom w:val="single" w:sz="8" w:color="844896"/>
            </w:tcBorders>
            <w:vMerge w:val="continue"/>
          </w:tcPr>
          <w:p>
            <w:pPr>
              <w:spacing w:after="0"/>
              <w:rPr>
                <w:sz w:val="13"/>
                <w:szCs w:val="13"/>
                <w:color w:val="auto"/>
              </w:rPr>
            </w:pPr>
          </w:p>
        </w:tc>
        <w:tc>
          <w:tcPr>
            <w:tcW w:w="800" w:type="dxa"/>
            <w:vAlign w:val="bottom"/>
            <w:tcBorders>
              <w:bottom w:val="single" w:sz="8" w:color="844896"/>
            </w:tcBorders>
          </w:tcPr>
          <w:p>
            <w:pPr>
              <w:ind w:left="240"/>
              <w:spacing w:after="0"/>
              <w:rPr>
                <w:sz w:val="20"/>
                <w:szCs w:val="20"/>
                <w:color w:val="auto"/>
              </w:rPr>
            </w:pPr>
            <w:r>
              <w:rPr>
                <w:rFonts w:ascii="Arial" w:cs="Arial" w:eastAsia="Arial" w:hAnsi="Arial"/>
                <w:sz w:val="11"/>
                <w:szCs w:val="11"/>
                <w:color w:val="00053B"/>
              </w:rPr>
              <w:t>Since</w:t>
            </w:r>
          </w:p>
        </w:tc>
        <w:tc>
          <w:tcPr>
            <w:tcW w:w="3580" w:type="dxa"/>
            <w:vAlign w:val="bottom"/>
            <w:tcBorders>
              <w:bottom w:val="single" w:sz="8" w:color="844896"/>
            </w:tcBorders>
            <w:vMerge w:val="continue"/>
          </w:tcPr>
          <w:p>
            <w:pPr>
              <w:spacing w:after="0"/>
              <w:rPr>
                <w:sz w:val="13"/>
                <w:szCs w:val="13"/>
                <w:color w:val="auto"/>
              </w:rPr>
            </w:pPr>
          </w:p>
        </w:tc>
        <w:tc>
          <w:tcPr>
            <w:tcW w:w="960" w:type="dxa"/>
            <w:vAlign w:val="bottom"/>
            <w:tcBorders>
              <w:bottom w:val="single" w:sz="8" w:color="844896"/>
            </w:tcBorders>
            <w:vMerge w:val="continue"/>
          </w:tcPr>
          <w:p>
            <w:pPr>
              <w:spacing w:after="0"/>
              <w:rPr>
                <w:sz w:val="13"/>
                <w:szCs w:val="13"/>
                <w:color w:val="auto"/>
              </w:rPr>
            </w:pPr>
          </w:p>
        </w:tc>
        <w:tc>
          <w:tcPr>
            <w:tcW w:w="860" w:type="dxa"/>
            <w:vAlign w:val="bottom"/>
            <w:tcBorders>
              <w:bottom w:val="single" w:sz="8" w:color="844896"/>
            </w:tcBorders>
          </w:tcPr>
          <w:p>
            <w:pPr>
              <w:ind w:left="260"/>
              <w:spacing w:after="0"/>
              <w:rPr>
                <w:sz w:val="20"/>
                <w:szCs w:val="20"/>
                <w:color w:val="auto"/>
              </w:rPr>
            </w:pPr>
            <w:r>
              <w:rPr>
                <w:rFonts w:ascii="Arial" w:cs="Arial" w:eastAsia="Arial" w:hAnsi="Arial"/>
                <w:sz w:val="11"/>
                <w:szCs w:val="11"/>
                <w:color w:val="00053B"/>
                <w:w w:val="96"/>
              </w:rPr>
              <w:t>Governance</w:t>
            </w:r>
          </w:p>
        </w:tc>
        <w:tc>
          <w:tcPr>
            <w:tcW w:w="1300" w:type="dxa"/>
            <w:vAlign w:val="bottom"/>
            <w:tcBorders>
              <w:bottom w:val="single" w:sz="8" w:color="844896"/>
            </w:tcBorders>
            <w:vMerge w:val="continue"/>
          </w:tcPr>
          <w:p>
            <w:pPr>
              <w:spacing w:after="0"/>
              <w:rPr>
                <w:sz w:val="13"/>
                <w:szCs w:val="13"/>
                <w:color w:val="auto"/>
              </w:rPr>
            </w:pPr>
          </w:p>
        </w:tc>
        <w:tc>
          <w:tcPr>
            <w:tcW w:w="1140" w:type="dxa"/>
            <w:vAlign w:val="bottom"/>
            <w:tcBorders>
              <w:bottom w:val="single" w:sz="8" w:color="844896"/>
            </w:tcBorders>
          </w:tcPr>
          <w:p>
            <w:pPr>
              <w:ind w:left="300"/>
              <w:spacing w:after="0"/>
              <w:rPr>
                <w:sz w:val="20"/>
                <w:szCs w:val="20"/>
                <w:color w:val="auto"/>
              </w:rPr>
            </w:pPr>
            <w:r>
              <w:rPr>
                <w:rFonts w:ascii="Arial" w:cs="Arial" w:eastAsia="Arial" w:hAnsi="Arial"/>
                <w:sz w:val="11"/>
                <w:szCs w:val="11"/>
                <w:color w:val="00053B"/>
              </w:rPr>
              <w:t>Compensation</w:t>
            </w:r>
          </w:p>
        </w:tc>
        <w:tc>
          <w:tcPr>
            <w:tcW w:w="0" w:type="dxa"/>
            <w:vAlign w:val="bottom"/>
          </w:tcPr>
          <w:p>
            <w:pPr>
              <w:spacing w:after="0"/>
              <w:rPr>
                <w:sz w:val="1"/>
                <w:szCs w:val="1"/>
                <w:color w:val="auto"/>
              </w:rPr>
            </w:pPr>
          </w:p>
        </w:tc>
      </w:tr>
      <w:tr>
        <w:trPr>
          <w:trHeight w:val="230"/>
        </w:trPr>
        <w:tc>
          <w:tcPr>
            <w:tcW w:w="1860" w:type="dxa"/>
            <w:vAlign w:val="bottom"/>
          </w:tcPr>
          <w:p>
            <w:pPr>
              <w:ind w:left="100"/>
              <w:spacing w:after="0"/>
              <w:rPr>
                <w:sz w:val="20"/>
                <w:szCs w:val="20"/>
                <w:color w:val="auto"/>
              </w:rPr>
            </w:pPr>
            <w:r>
              <w:rPr>
                <w:rFonts w:ascii="Arial" w:cs="Arial" w:eastAsia="Arial" w:hAnsi="Arial"/>
                <w:sz w:val="18"/>
                <w:szCs w:val="18"/>
                <w:b w:val="1"/>
                <w:bCs w:val="1"/>
                <w:color w:val="844896"/>
              </w:rPr>
              <w:t>NOMINEES</w:t>
            </w: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860" w:type="dxa"/>
            <w:vAlign w:val="bottom"/>
            <w:shd w:val="clear" w:color="auto" w:fill="EAEAEA"/>
          </w:tcPr>
          <w:p>
            <w:pPr>
              <w:ind w:left="100"/>
              <w:spacing w:after="0" w:line="166" w:lineRule="exact"/>
              <w:rPr>
                <w:sz w:val="20"/>
                <w:szCs w:val="20"/>
                <w:color w:val="auto"/>
              </w:rPr>
            </w:pPr>
            <w:r>
              <w:rPr>
                <w:rFonts w:ascii="Arial" w:cs="Arial" w:eastAsia="Arial" w:hAnsi="Arial"/>
                <w:sz w:val="16"/>
                <w:szCs w:val="16"/>
                <w:b w:val="1"/>
                <w:bCs w:val="1"/>
                <w:color w:val="00053B"/>
              </w:rPr>
              <w:t>Nicholas Adamo</w:t>
            </w:r>
            <w:r>
              <w:rPr>
                <w:rFonts w:ascii="Arial" w:cs="Arial" w:eastAsia="Arial" w:hAnsi="Arial"/>
                <w:sz w:val="16"/>
                <w:szCs w:val="16"/>
                <w:color w:val="00053B"/>
              </w:rPr>
              <w:t>,</w:t>
            </w:r>
          </w:p>
        </w:tc>
        <w:tc>
          <w:tcPr>
            <w:tcW w:w="680" w:type="dxa"/>
            <w:vAlign w:val="bottom"/>
            <w:shd w:val="clear" w:color="auto" w:fill="EAEAEA"/>
          </w:tcPr>
          <w:p>
            <w:pPr>
              <w:ind w:left="260"/>
              <w:spacing w:after="0"/>
              <w:rPr>
                <w:sz w:val="20"/>
                <w:szCs w:val="20"/>
                <w:color w:val="auto"/>
              </w:rPr>
            </w:pPr>
            <w:r>
              <w:rPr>
                <w:rFonts w:ascii="Arial" w:cs="Arial" w:eastAsia="Arial" w:hAnsi="Arial"/>
                <w:sz w:val="14"/>
                <w:szCs w:val="14"/>
                <w:color w:val="00053B"/>
              </w:rPr>
              <w:t>60</w:t>
            </w:r>
          </w:p>
        </w:tc>
        <w:tc>
          <w:tcPr>
            <w:tcW w:w="800" w:type="dxa"/>
            <w:vAlign w:val="bottom"/>
            <w:shd w:val="clear" w:color="auto" w:fill="EAEAEA"/>
          </w:tcPr>
          <w:p>
            <w:pPr>
              <w:ind w:left="240"/>
              <w:spacing w:after="0"/>
              <w:rPr>
                <w:sz w:val="20"/>
                <w:szCs w:val="20"/>
                <w:color w:val="auto"/>
              </w:rPr>
            </w:pPr>
            <w:r>
              <w:rPr>
                <w:rFonts w:ascii="Arial" w:cs="Arial" w:eastAsia="Arial" w:hAnsi="Arial"/>
                <w:sz w:val="14"/>
                <w:szCs w:val="14"/>
                <w:color w:val="00053B"/>
              </w:rPr>
              <w:t>2018</w:t>
            </w:r>
          </w:p>
        </w:tc>
        <w:tc>
          <w:tcPr>
            <w:tcW w:w="3580" w:type="dxa"/>
            <w:vAlign w:val="bottom"/>
            <w:shd w:val="clear" w:color="auto" w:fill="EAEAEA"/>
          </w:tcPr>
          <w:p>
            <w:pPr>
              <w:ind w:left="180"/>
              <w:spacing w:after="0"/>
              <w:rPr>
                <w:sz w:val="20"/>
                <w:szCs w:val="20"/>
                <w:color w:val="auto"/>
              </w:rPr>
            </w:pPr>
            <w:r>
              <w:rPr>
                <w:rFonts w:ascii="Arial" w:cs="Arial" w:eastAsia="Arial" w:hAnsi="Arial"/>
                <w:sz w:val="14"/>
                <w:szCs w:val="14"/>
                <w:color w:val="00053B"/>
              </w:rPr>
              <w:t>Founder and President of Making a Mark, Inc.</w:t>
            </w:r>
          </w:p>
        </w:tc>
        <w:tc>
          <w:tcPr>
            <w:tcW w:w="960" w:type="dxa"/>
            <w:vAlign w:val="bottom"/>
            <w:shd w:val="clear" w:color="auto" w:fill="EAEAEA"/>
          </w:tcPr>
          <w:p>
            <w:pPr>
              <w:spacing w:after="0"/>
              <w:rPr>
                <w:sz w:val="14"/>
                <w:szCs w:val="14"/>
                <w:color w:val="auto"/>
              </w:rPr>
            </w:pPr>
          </w:p>
        </w:tc>
        <w:tc>
          <w:tcPr>
            <w:tcW w:w="860" w:type="dxa"/>
            <w:vAlign w:val="bottom"/>
            <w:shd w:val="clear" w:color="auto" w:fill="EAEAEA"/>
          </w:tcPr>
          <w:p>
            <w:pPr>
              <w:spacing w:after="0"/>
              <w:rPr>
                <w:sz w:val="14"/>
                <w:szCs w:val="14"/>
                <w:color w:val="auto"/>
              </w:rPr>
            </w:pPr>
          </w:p>
        </w:tc>
        <w:tc>
          <w:tcPr>
            <w:tcW w:w="1300" w:type="dxa"/>
            <w:vAlign w:val="bottom"/>
            <w:shd w:val="clear" w:color="auto" w:fill="EAEAEA"/>
          </w:tcPr>
          <w:p>
            <w:pPr>
              <w:spacing w:after="0"/>
              <w:rPr>
                <w:sz w:val="14"/>
                <w:szCs w:val="14"/>
                <w:color w:val="auto"/>
              </w:rPr>
            </w:pPr>
          </w:p>
        </w:tc>
        <w:tc>
          <w:tcPr>
            <w:tcW w:w="114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60" w:type="dxa"/>
            <w:vAlign w:val="bottom"/>
            <w:tcBorders>
              <w:bottom w:val="single" w:sz="8" w:color="EAEAEA"/>
            </w:tcBorders>
            <w:shd w:val="clear" w:color="auto" w:fill="EAEAEA"/>
          </w:tcPr>
          <w:p>
            <w:pPr>
              <w:ind w:left="120"/>
              <w:spacing w:after="0"/>
              <w:rPr>
                <w:sz w:val="20"/>
                <w:szCs w:val="20"/>
                <w:color w:val="auto"/>
              </w:rPr>
            </w:pPr>
            <w:r>
              <w:rPr>
                <w:rFonts w:ascii="Arial" w:cs="Arial" w:eastAsia="Arial" w:hAnsi="Arial"/>
                <w:sz w:val="14"/>
                <w:szCs w:val="14"/>
                <w:color w:val="00053B"/>
              </w:rPr>
              <w:t>Chair of the Board</w:t>
            </w:r>
          </w:p>
        </w:tc>
        <w:tc>
          <w:tcPr>
            <w:tcW w:w="680" w:type="dxa"/>
            <w:vAlign w:val="bottom"/>
            <w:tcBorders>
              <w:bottom w:val="single" w:sz="8" w:color="EAEAEA"/>
            </w:tcBorders>
            <w:shd w:val="clear" w:color="auto" w:fill="EAEAEA"/>
          </w:tcPr>
          <w:p>
            <w:pPr>
              <w:spacing w:after="0"/>
              <w:rPr>
                <w:sz w:val="16"/>
                <w:szCs w:val="16"/>
                <w:color w:val="auto"/>
              </w:rPr>
            </w:pPr>
          </w:p>
        </w:tc>
        <w:tc>
          <w:tcPr>
            <w:tcW w:w="800" w:type="dxa"/>
            <w:vAlign w:val="bottom"/>
            <w:tcBorders>
              <w:bottom w:val="single" w:sz="8" w:color="EAEAEA"/>
            </w:tcBorders>
            <w:shd w:val="clear" w:color="auto" w:fill="EAEAEA"/>
          </w:tcPr>
          <w:p>
            <w:pPr>
              <w:spacing w:after="0"/>
              <w:rPr>
                <w:sz w:val="16"/>
                <w:szCs w:val="16"/>
                <w:color w:val="auto"/>
              </w:rPr>
            </w:pPr>
          </w:p>
        </w:tc>
        <w:tc>
          <w:tcPr>
            <w:tcW w:w="3580" w:type="dxa"/>
            <w:vAlign w:val="bottom"/>
            <w:tcBorders>
              <w:bottom w:val="single" w:sz="8" w:color="EAEAEA"/>
            </w:tcBorders>
            <w:shd w:val="clear" w:color="auto" w:fill="EAEAEA"/>
          </w:tcPr>
          <w:p>
            <w:pPr>
              <w:spacing w:after="0"/>
              <w:rPr>
                <w:sz w:val="16"/>
                <w:szCs w:val="16"/>
                <w:color w:val="auto"/>
              </w:rPr>
            </w:pPr>
          </w:p>
        </w:tc>
        <w:tc>
          <w:tcPr>
            <w:tcW w:w="960" w:type="dxa"/>
            <w:vAlign w:val="bottom"/>
            <w:tcBorders>
              <w:bottom w:val="single" w:sz="8" w:color="EAEAEA"/>
            </w:tcBorders>
            <w:shd w:val="clear" w:color="auto" w:fill="EAEAEA"/>
          </w:tcPr>
          <w:p>
            <w:pPr>
              <w:spacing w:after="0"/>
              <w:rPr>
                <w:sz w:val="16"/>
                <w:szCs w:val="16"/>
                <w:color w:val="auto"/>
              </w:rPr>
            </w:pPr>
          </w:p>
        </w:tc>
        <w:tc>
          <w:tcPr>
            <w:tcW w:w="860" w:type="dxa"/>
            <w:vAlign w:val="bottom"/>
            <w:tcBorders>
              <w:bottom w:val="single" w:sz="8" w:color="EAEAEA"/>
            </w:tcBorders>
            <w:shd w:val="clear" w:color="auto" w:fill="EAEAEA"/>
          </w:tcPr>
          <w:p>
            <w:pPr>
              <w:spacing w:after="0"/>
              <w:rPr>
                <w:sz w:val="16"/>
                <w:szCs w:val="16"/>
                <w:color w:val="auto"/>
              </w:rPr>
            </w:pPr>
          </w:p>
        </w:tc>
        <w:tc>
          <w:tcPr>
            <w:tcW w:w="1300" w:type="dxa"/>
            <w:vAlign w:val="bottom"/>
            <w:tcBorders>
              <w:bottom w:val="single" w:sz="8" w:color="EAEAEA"/>
            </w:tcBorders>
            <w:shd w:val="clear" w:color="auto" w:fill="EAEAEA"/>
          </w:tcPr>
          <w:p>
            <w:pPr>
              <w:spacing w:after="0"/>
              <w:rPr>
                <w:sz w:val="16"/>
                <w:szCs w:val="16"/>
                <w:color w:val="auto"/>
              </w:rPr>
            </w:pPr>
          </w:p>
        </w:tc>
        <w:tc>
          <w:tcPr>
            <w:tcW w:w="1140" w:type="dxa"/>
            <w:vAlign w:val="bottom"/>
            <w:tcBorders>
              <w:bottom w:val="single" w:sz="8" w:color="EAEAE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60" w:type="dxa"/>
            <w:vAlign w:val="bottom"/>
          </w:tcPr>
          <w:p>
            <w:pPr>
              <w:ind w:left="100"/>
              <w:spacing w:after="0" w:line="162" w:lineRule="exact"/>
              <w:rPr>
                <w:sz w:val="20"/>
                <w:szCs w:val="20"/>
                <w:color w:val="auto"/>
              </w:rPr>
            </w:pPr>
            <w:r>
              <w:rPr>
                <w:rFonts w:ascii="Arial" w:cs="Arial" w:eastAsia="Arial" w:hAnsi="Arial"/>
                <w:sz w:val="16"/>
                <w:szCs w:val="16"/>
                <w:b w:val="1"/>
                <w:bCs w:val="1"/>
                <w:color w:val="00053B"/>
              </w:rPr>
              <w:t>Martha H. Bejar</w:t>
            </w:r>
          </w:p>
        </w:tc>
        <w:tc>
          <w:tcPr>
            <w:tcW w:w="680" w:type="dxa"/>
            <w:vAlign w:val="bottom"/>
          </w:tcPr>
          <w:p>
            <w:pPr>
              <w:ind w:left="260"/>
              <w:spacing w:after="0"/>
              <w:rPr>
                <w:sz w:val="20"/>
                <w:szCs w:val="20"/>
                <w:color w:val="auto"/>
              </w:rPr>
            </w:pPr>
            <w:r>
              <w:rPr>
                <w:rFonts w:ascii="Arial" w:cs="Arial" w:eastAsia="Arial" w:hAnsi="Arial"/>
                <w:sz w:val="14"/>
                <w:szCs w:val="14"/>
                <w:color w:val="00053B"/>
              </w:rPr>
              <w:t>62</w:t>
            </w:r>
          </w:p>
        </w:tc>
        <w:tc>
          <w:tcPr>
            <w:tcW w:w="800" w:type="dxa"/>
            <w:vAlign w:val="bottom"/>
          </w:tcPr>
          <w:p>
            <w:pPr>
              <w:ind w:left="240"/>
              <w:spacing w:after="0"/>
              <w:rPr>
                <w:sz w:val="20"/>
                <w:szCs w:val="20"/>
                <w:color w:val="auto"/>
              </w:rPr>
            </w:pPr>
            <w:r>
              <w:rPr>
                <w:rFonts w:ascii="Arial" w:cs="Arial" w:eastAsia="Arial" w:hAnsi="Arial"/>
                <w:sz w:val="14"/>
                <w:szCs w:val="14"/>
                <w:color w:val="00053B"/>
              </w:rPr>
              <w:t>2018</w:t>
            </w:r>
          </w:p>
        </w:tc>
        <w:tc>
          <w:tcPr>
            <w:tcW w:w="3580" w:type="dxa"/>
            <w:vAlign w:val="bottom"/>
          </w:tcPr>
          <w:p>
            <w:pPr>
              <w:ind w:left="180"/>
              <w:spacing w:after="0"/>
              <w:rPr>
                <w:sz w:val="20"/>
                <w:szCs w:val="20"/>
                <w:color w:val="auto"/>
              </w:rPr>
            </w:pPr>
            <w:r>
              <w:rPr>
                <w:rFonts w:ascii="Arial" w:cs="Arial" w:eastAsia="Arial" w:hAnsi="Arial"/>
                <w:sz w:val="14"/>
                <w:szCs w:val="14"/>
                <w:color w:val="00053B"/>
              </w:rPr>
              <w:t>Senior Partner, Dagrosa Capital LLC and co-founder</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580" w:type="dxa"/>
            <w:vAlign w:val="bottom"/>
          </w:tcPr>
          <w:p>
            <w:pPr>
              <w:ind w:left="180"/>
              <w:spacing w:after="0" w:line="135" w:lineRule="exact"/>
              <w:rPr>
                <w:sz w:val="20"/>
                <w:szCs w:val="20"/>
                <w:color w:val="auto"/>
              </w:rPr>
            </w:pPr>
            <w:r>
              <w:rPr>
                <w:rFonts w:ascii="Arial" w:cs="Arial" w:eastAsia="Arial" w:hAnsi="Arial"/>
                <w:sz w:val="14"/>
                <w:szCs w:val="14"/>
                <w:color w:val="00053B"/>
              </w:rPr>
              <w:t>and Chief Executive Officer of Red Bison Advisory</w:t>
            </w:r>
          </w:p>
        </w:tc>
        <w:tc>
          <w:tcPr>
            <w:tcW w:w="960" w:type="dxa"/>
            <w:vAlign w:val="bottom"/>
          </w:tcPr>
          <w:p>
            <w:pPr>
              <w:ind w:left="440"/>
              <w:spacing w:after="0" w:line="135" w:lineRule="exact"/>
              <w:rPr>
                <w:sz w:val="20"/>
                <w:szCs w:val="20"/>
                <w:color w:val="auto"/>
              </w:rPr>
            </w:pPr>
            <w:r>
              <w:rPr>
                <w:rFonts w:ascii="Webdings" w:cs="Webdings" w:eastAsia="Webdings" w:hAnsi="Webdings"/>
                <w:sz w:val="16"/>
                <w:szCs w:val="16"/>
                <w:b w:val="1"/>
                <w:bCs w:val="1"/>
                <w:color w:val="00053B"/>
              </w:rPr>
              <w:t>n</w:t>
            </w:r>
          </w:p>
        </w:tc>
        <w:tc>
          <w:tcPr>
            <w:tcW w:w="860" w:type="dxa"/>
            <w:vAlign w:val="bottom"/>
          </w:tcPr>
          <w:p>
            <w:pPr>
              <w:jc w:val="center"/>
              <w:ind w:left="315"/>
              <w:spacing w:after="0" w:line="135" w:lineRule="exact"/>
              <w:rPr>
                <w:sz w:val="20"/>
                <w:szCs w:val="20"/>
                <w:color w:val="auto"/>
              </w:rPr>
            </w:pPr>
            <w:r>
              <w:rPr>
                <w:rFonts w:ascii="Webdings" w:cs="Webdings" w:eastAsia="Webdings" w:hAnsi="Webdings"/>
                <w:sz w:val="16"/>
                <w:szCs w:val="16"/>
                <w:b w:val="1"/>
                <w:bCs w:val="1"/>
                <w:color w:val="844896"/>
                <w:w w:val="99"/>
              </w:rPr>
              <w:t>n</w:t>
            </w:r>
          </w:p>
        </w:tc>
        <w:tc>
          <w:tcPr>
            <w:tcW w:w="1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580" w:type="dxa"/>
            <w:vAlign w:val="bottom"/>
          </w:tcPr>
          <w:p>
            <w:pPr>
              <w:ind w:left="180"/>
              <w:spacing w:after="0"/>
              <w:rPr>
                <w:sz w:val="20"/>
                <w:szCs w:val="20"/>
                <w:color w:val="auto"/>
              </w:rPr>
            </w:pPr>
            <w:r>
              <w:rPr>
                <w:rFonts w:ascii="Arial" w:cs="Arial" w:eastAsia="Arial" w:hAnsi="Arial"/>
                <w:sz w:val="14"/>
                <w:szCs w:val="14"/>
                <w:color w:val="00053B"/>
              </w:rPr>
              <w:t>Group, LLC</w:t>
            </w: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860" w:type="dxa"/>
            <w:vAlign w:val="bottom"/>
            <w:tcBorders>
              <w:bottom w:val="single" w:sz="8" w:color="EAEAEA"/>
            </w:tcBorders>
            <w:shd w:val="clear" w:color="auto" w:fill="EAEAEA"/>
          </w:tcPr>
          <w:p>
            <w:pPr>
              <w:ind w:left="100"/>
              <w:spacing w:after="0"/>
              <w:rPr>
                <w:sz w:val="20"/>
                <w:szCs w:val="20"/>
                <w:color w:val="auto"/>
              </w:rPr>
            </w:pPr>
            <w:r>
              <w:rPr>
                <w:rFonts w:ascii="Arial" w:cs="Arial" w:eastAsia="Arial" w:hAnsi="Arial"/>
                <w:sz w:val="16"/>
                <w:szCs w:val="16"/>
                <w:b w:val="1"/>
                <w:bCs w:val="1"/>
                <w:color w:val="00053B"/>
              </w:rPr>
              <w:t>Keith Geeslin</w:t>
            </w:r>
          </w:p>
        </w:tc>
        <w:tc>
          <w:tcPr>
            <w:tcW w:w="680" w:type="dxa"/>
            <w:vAlign w:val="bottom"/>
            <w:tcBorders>
              <w:bottom w:val="single" w:sz="8" w:color="EAEAEA"/>
            </w:tcBorders>
            <w:shd w:val="clear" w:color="auto" w:fill="EAEAEA"/>
          </w:tcPr>
          <w:p>
            <w:pPr>
              <w:ind w:left="260"/>
              <w:spacing w:after="0"/>
              <w:rPr>
                <w:sz w:val="20"/>
                <w:szCs w:val="20"/>
                <w:color w:val="auto"/>
              </w:rPr>
            </w:pPr>
            <w:r>
              <w:rPr>
                <w:rFonts w:ascii="Arial" w:cs="Arial" w:eastAsia="Arial" w:hAnsi="Arial"/>
                <w:sz w:val="14"/>
                <w:szCs w:val="14"/>
                <w:color w:val="00053B"/>
              </w:rPr>
              <w:t>71</w:t>
            </w:r>
          </w:p>
        </w:tc>
        <w:tc>
          <w:tcPr>
            <w:tcW w:w="800" w:type="dxa"/>
            <w:vAlign w:val="bottom"/>
            <w:tcBorders>
              <w:bottom w:val="single" w:sz="8" w:color="EAEAEA"/>
            </w:tcBorders>
            <w:shd w:val="clear" w:color="auto" w:fill="EAEAEA"/>
          </w:tcPr>
          <w:p>
            <w:pPr>
              <w:ind w:left="240"/>
              <w:spacing w:after="0"/>
              <w:rPr>
                <w:sz w:val="20"/>
                <w:szCs w:val="20"/>
                <w:color w:val="auto"/>
              </w:rPr>
            </w:pPr>
            <w:r>
              <w:rPr>
                <w:rFonts w:ascii="Arial" w:cs="Arial" w:eastAsia="Arial" w:hAnsi="Arial"/>
                <w:sz w:val="14"/>
                <w:szCs w:val="14"/>
                <w:color w:val="00053B"/>
              </w:rPr>
              <w:t>1996</w:t>
            </w:r>
          </w:p>
        </w:tc>
        <w:tc>
          <w:tcPr>
            <w:tcW w:w="3580" w:type="dxa"/>
            <w:vAlign w:val="bottom"/>
            <w:tcBorders>
              <w:bottom w:val="single" w:sz="8" w:color="EAEAEA"/>
            </w:tcBorders>
            <w:shd w:val="clear" w:color="auto" w:fill="EAEAEA"/>
          </w:tcPr>
          <w:p>
            <w:pPr>
              <w:ind w:left="180"/>
              <w:spacing w:after="0"/>
              <w:rPr>
                <w:sz w:val="20"/>
                <w:szCs w:val="20"/>
                <w:color w:val="auto"/>
              </w:rPr>
            </w:pPr>
            <w:r>
              <w:rPr>
                <w:rFonts w:ascii="Arial" w:cs="Arial" w:eastAsia="Arial" w:hAnsi="Arial"/>
                <w:sz w:val="14"/>
                <w:szCs w:val="14"/>
                <w:color w:val="00053B"/>
              </w:rPr>
              <w:t>Partner, Francisco Partners</w:t>
            </w:r>
          </w:p>
        </w:tc>
        <w:tc>
          <w:tcPr>
            <w:tcW w:w="960" w:type="dxa"/>
            <w:vAlign w:val="bottom"/>
            <w:tcBorders>
              <w:bottom w:val="single" w:sz="8" w:color="EAEAEA"/>
            </w:tcBorders>
            <w:shd w:val="clear" w:color="auto" w:fill="EAEAEA"/>
          </w:tcPr>
          <w:p>
            <w:pPr>
              <w:spacing w:after="0"/>
              <w:rPr>
                <w:sz w:val="19"/>
                <w:szCs w:val="19"/>
                <w:color w:val="auto"/>
              </w:rPr>
            </w:pPr>
          </w:p>
        </w:tc>
        <w:tc>
          <w:tcPr>
            <w:tcW w:w="860" w:type="dxa"/>
            <w:vAlign w:val="bottom"/>
            <w:tcBorders>
              <w:bottom w:val="single" w:sz="8" w:color="EAEAEA"/>
            </w:tcBorders>
            <w:shd w:val="clear" w:color="auto" w:fill="EAEAEA"/>
          </w:tcPr>
          <w:p>
            <w:pPr>
              <w:spacing w:after="0"/>
              <w:rPr>
                <w:sz w:val="19"/>
                <w:szCs w:val="19"/>
                <w:color w:val="auto"/>
              </w:rPr>
            </w:pPr>
          </w:p>
        </w:tc>
        <w:tc>
          <w:tcPr>
            <w:tcW w:w="1300" w:type="dxa"/>
            <w:vAlign w:val="bottom"/>
            <w:tcBorders>
              <w:bottom w:val="single" w:sz="8" w:color="EAEAEA"/>
            </w:tcBorders>
            <w:shd w:val="clear" w:color="auto" w:fill="EAEAEA"/>
          </w:tcPr>
          <w:p>
            <w:pPr>
              <w:jc w:val="center"/>
              <w:ind w:left="237"/>
              <w:spacing w:after="0"/>
              <w:rPr>
                <w:sz w:val="20"/>
                <w:szCs w:val="20"/>
                <w:color w:val="auto"/>
              </w:rPr>
            </w:pPr>
            <w:r>
              <w:rPr>
                <w:rFonts w:ascii="Webdings" w:cs="Webdings" w:eastAsia="Webdings" w:hAnsi="Webdings"/>
                <w:sz w:val="16"/>
                <w:szCs w:val="16"/>
                <w:b w:val="1"/>
                <w:bCs w:val="1"/>
                <w:color w:val="00053B"/>
                <w:w w:val="99"/>
              </w:rPr>
              <w:t>n</w:t>
            </w:r>
          </w:p>
        </w:tc>
        <w:tc>
          <w:tcPr>
            <w:tcW w:w="1140" w:type="dxa"/>
            <w:vAlign w:val="bottom"/>
            <w:tcBorders>
              <w:bottom w:val="single" w:sz="8" w:color="EAEAEA"/>
            </w:tcBorders>
            <w:shd w:val="clear" w:color="auto" w:fill="EAEAEA"/>
          </w:tcPr>
          <w:p>
            <w:pPr>
              <w:jc w:val="center"/>
              <w:spacing w:after="0"/>
              <w:rPr>
                <w:sz w:val="20"/>
                <w:szCs w:val="20"/>
                <w:color w:val="auto"/>
              </w:rPr>
            </w:pPr>
            <w:r>
              <w:rPr>
                <w:rFonts w:ascii="Webdings" w:cs="Webdings" w:eastAsia="Webdings" w:hAnsi="Webdings"/>
                <w:sz w:val="16"/>
                <w:szCs w:val="16"/>
                <w:b w:val="1"/>
                <w:bCs w:val="1"/>
                <w:color w:val="00053B"/>
                <w:w w:val="99"/>
              </w:rPr>
              <w:t>n</w:t>
            </w:r>
          </w:p>
        </w:tc>
        <w:tc>
          <w:tcPr>
            <w:tcW w:w="0" w:type="dxa"/>
            <w:vAlign w:val="bottom"/>
          </w:tcPr>
          <w:p>
            <w:pPr>
              <w:spacing w:after="0"/>
              <w:rPr>
                <w:sz w:val="1"/>
                <w:szCs w:val="1"/>
                <w:color w:val="auto"/>
              </w:rPr>
            </w:pPr>
          </w:p>
        </w:tc>
      </w:tr>
      <w:tr>
        <w:trPr>
          <w:trHeight w:val="162"/>
        </w:trPr>
        <w:tc>
          <w:tcPr>
            <w:tcW w:w="1860" w:type="dxa"/>
            <w:vAlign w:val="bottom"/>
          </w:tcPr>
          <w:p>
            <w:pPr>
              <w:ind w:left="100"/>
              <w:spacing w:after="0" w:line="162" w:lineRule="exact"/>
              <w:rPr>
                <w:sz w:val="20"/>
                <w:szCs w:val="20"/>
                <w:color w:val="auto"/>
              </w:rPr>
            </w:pPr>
            <w:r>
              <w:rPr>
                <w:rFonts w:ascii="Arial" w:cs="Arial" w:eastAsia="Arial" w:hAnsi="Arial"/>
                <w:sz w:val="16"/>
                <w:szCs w:val="16"/>
                <w:b w:val="1"/>
                <w:bCs w:val="1"/>
                <w:color w:val="00053B"/>
              </w:rPr>
              <w:t>Vivie “YY” Lee</w:t>
            </w:r>
          </w:p>
        </w:tc>
        <w:tc>
          <w:tcPr>
            <w:tcW w:w="680" w:type="dxa"/>
            <w:vAlign w:val="bottom"/>
          </w:tcPr>
          <w:p>
            <w:pPr>
              <w:ind w:left="260"/>
              <w:spacing w:after="0"/>
              <w:rPr>
                <w:sz w:val="20"/>
                <w:szCs w:val="20"/>
                <w:color w:val="auto"/>
              </w:rPr>
            </w:pPr>
            <w:r>
              <w:rPr>
                <w:rFonts w:ascii="Arial" w:cs="Arial" w:eastAsia="Arial" w:hAnsi="Arial"/>
                <w:sz w:val="14"/>
                <w:szCs w:val="14"/>
                <w:color w:val="00053B"/>
              </w:rPr>
              <w:t>57</w:t>
            </w:r>
          </w:p>
        </w:tc>
        <w:tc>
          <w:tcPr>
            <w:tcW w:w="800" w:type="dxa"/>
            <w:vAlign w:val="bottom"/>
          </w:tcPr>
          <w:p>
            <w:pPr>
              <w:ind w:left="240"/>
              <w:spacing w:after="0"/>
              <w:rPr>
                <w:sz w:val="20"/>
                <w:szCs w:val="20"/>
                <w:color w:val="auto"/>
              </w:rPr>
            </w:pPr>
            <w:r>
              <w:rPr>
                <w:rFonts w:ascii="Arial" w:cs="Arial" w:eastAsia="Arial" w:hAnsi="Arial"/>
                <w:sz w:val="14"/>
                <w:szCs w:val="14"/>
                <w:color w:val="00053B"/>
              </w:rPr>
              <w:t>2018</w:t>
            </w:r>
          </w:p>
        </w:tc>
        <w:tc>
          <w:tcPr>
            <w:tcW w:w="3580" w:type="dxa"/>
            <w:vAlign w:val="bottom"/>
          </w:tcPr>
          <w:p>
            <w:pPr>
              <w:ind w:left="180"/>
              <w:spacing w:after="0"/>
              <w:rPr>
                <w:sz w:val="20"/>
                <w:szCs w:val="20"/>
                <w:color w:val="auto"/>
              </w:rPr>
            </w:pPr>
            <w:r>
              <w:rPr>
                <w:rFonts w:ascii="Arial" w:cs="Arial" w:eastAsia="Arial" w:hAnsi="Arial"/>
                <w:sz w:val="14"/>
                <w:szCs w:val="14"/>
                <w:color w:val="00053B"/>
              </w:rPr>
              <w:t>Former Senior Vice President and Chief Strategy</w:t>
            </w:r>
          </w:p>
        </w:tc>
        <w:tc>
          <w:tcPr>
            <w:tcW w:w="960" w:type="dxa"/>
            <w:vAlign w:val="bottom"/>
          </w:tcPr>
          <w:p>
            <w:pPr>
              <w:spacing w:after="0"/>
              <w:rPr>
                <w:sz w:val="14"/>
                <w:szCs w:val="14"/>
                <w:color w:val="auto"/>
              </w:rPr>
            </w:pPr>
          </w:p>
        </w:tc>
        <w:tc>
          <w:tcPr>
            <w:tcW w:w="860" w:type="dxa"/>
            <w:vAlign w:val="bottom"/>
          </w:tcPr>
          <w:p>
            <w:pPr>
              <w:jc w:val="center"/>
              <w:ind w:left="315"/>
              <w:spacing w:after="0"/>
              <w:rPr>
                <w:sz w:val="20"/>
                <w:szCs w:val="20"/>
                <w:color w:val="auto"/>
              </w:rPr>
            </w:pPr>
            <w:r>
              <w:rPr>
                <w:rFonts w:ascii="Webdings" w:cs="Webdings" w:eastAsia="Webdings" w:hAnsi="Webdings"/>
                <w:sz w:val="16"/>
                <w:szCs w:val="16"/>
                <w:b w:val="1"/>
                <w:bCs w:val="1"/>
                <w:color w:val="00053B"/>
                <w:w w:val="99"/>
              </w:rPr>
              <w:t>n</w:t>
            </w:r>
          </w:p>
        </w:tc>
        <w:tc>
          <w:tcPr>
            <w:tcW w:w="13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Webdings" w:cs="Webdings" w:eastAsia="Webdings" w:hAnsi="Webdings"/>
                <w:sz w:val="16"/>
                <w:szCs w:val="16"/>
                <w:b w:val="1"/>
                <w:bCs w:val="1"/>
                <w:color w:val="844896"/>
                <w:w w:val="99"/>
              </w:rPr>
              <w:t>n</w:t>
            </w:r>
          </w:p>
        </w:tc>
        <w:tc>
          <w:tcPr>
            <w:tcW w:w="0" w:type="dxa"/>
            <w:vAlign w:val="bottom"/>
          </w:tcPr>
          <w:p>
            <w:pPr>
              <w:spacing w:after="0"/>
              <w:rPr>
                <w:sz w:val="1"/>
                <w:szCs w:val="1"/>
                <w:color w:val="auto"/>
              </w:rPr>
            </w:pPr>
          </w:p>
        </w:tc>
      </w:tr>
      <w:tr>
        <w:trPr>
          <w:trHeight w:val="175"/>
        </w:trPr>
        <w:tc>
          <w:tcPr>
            <w:tcW w:w="1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580" w:type="dxa"/>
            <w:vAlign w:val="bottom"/>
          </w:tcPr>
          <w:p>
            <w:pPr>
              <w:ind w:left="180"/>
              <w:spacing w:after="0"/>
              <w:rPr>
                <w:sz w:val="20"/>
                <w:szCs w:val="20"/>
                <w:color w:val="auto"/>
              </w:rPr>
            </w:pPr>
            <w:r>
              <w:rPr>
                <w:rFonts w:ascii="Arial" w:cs="Arial" w:eastAsia="Arial" w:hAnsi="Arial"/>
                <w:sz w:val="14"/>
                <w:szCs w:val="14"/>
                <w:color w:val="00053B"/>
              </w:rPr>
              <w:t>Officer, Anaplan</w:t>
            </w: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EAEAEA"/>
          </w:tcPr>
          <w:p>
            <w:pPr>
              <w:ind w:left="100"/>
              <w:spacing w:after="0" w:line="162" w:lineRule="exact"/>
              <w:rPr>
                <w:sz w:val="20"/>
                <w:szCs w:val="20"/>
                <w:color w:val="auto"/>
              </w:rPr>
            </w:pPr>
            <w:r>
              <w:rPr>
                <w:rFonts w:ascii="Arial" w:cs="Arial" w:eastAsia="Arial" w:hAnsi="Arial"/>
                <w:sz w:val="16"/>
                <w:szCs w:val="16"/>
                <w:b w:val="1"/>
                <w:bCs w:val="1"/>
                <w:color w:val="00053B"/>
              </w:rPr>
              <w:t>Sanjay Mirchandani</w:t>
            </w:r>
          </w:p>
        </w:tc>
        <w:tc>
          <w:tcPr>
            <w:tcW w:w="680" w:type="dxa"/>
            <w:vAlign w:val="bottom"/>
            <w:shd w:val="clear" w:color="auto" w:fill="EAEAEA"/>
          </w:tcPr>
          <w:p>
            <w:pPr>
              <w:ind w:left="260"/>
              <w:spacing w:after="0"/>
              <w:rPr>
                <w:sz w:val="20"/>
                <w:szCs w:val="20"/>
                <w:color w:val="auto"/>
              </w:rPr>
            </w:pPr>
            <w:r>
              <w:rPr>
                <w:rFonts w:ascii="Arial" w:cs="Arial" w:eastAsia="Arial" w:hAnsi="Arial"/>
                <w:sz w:val="14"/>
                <w:szCs w:val="14"/>
                <w:color w:val="00053B"/>
              </w:rPr>
              <w:t>60</w:t>
            </w:r>
          </w:p>
        </w:tc>
        <w:tc>
          <w:tcPr>
            <w:tcW w:w="800" w:type="dxa"/>
            <w:vAlign w:val="bottom"/>
            <w:shd w:val="clear" w:color="auto" w:fill="EAEAEA"/>
          </w:tcPr>
          <w:p>
            <w:pPr>
              <w:ind w:left="240"/>
              <w:spacing w:after="0"/>
              <w:rPr>
                <w:sz w:val="20"/>
                <w:szCs w:val="20"/>
                <w:color w:val="auto"/>
              </w:rPr>
            </w:pPr>
            <w:r>
              <w:rPr>
                <w:rFonts w:ascii="Arial" w:cs="Arial" w:eastAsia="Arial" w:hAnsi="Arial"/>
                <w:sz w:val="14"/>
                <w:szCs w:val="14"/>
                <w:color w:val="00053B"/>
              </w:rPr>
              <w:t>2019</w:t>
            </w:r>
          </w:p>
        </w:tc>
        <w:tc>
          <w:tcPr>
            <w:tcW w:w="3580" w:type="dxa"/>
            <w:vAlign w:val="bottom"/>
            <w:shd w:val="clear" w:color="auto" w:fill="EAEAEA"/>
          </w:tcPr>
          <w:p>
            <w:pPr>
              <w:ind w:left="180"/>
              <w:spacing w:after="0"/>
              <w:rPr>
                <w:sz w:val="20"/>
                <w:szCs w:val="20"/>
                <w:color w:val="auto"/>
              </w:rPr>
            </w:pPr>
            <w:r>
              <w:rPr>
                <w:rFonts w:ascii="Arial" w:cs="Arial" w:eastAsia="Arial" w:hAnsi="Arial"/>
                <w:sz w:val="14"/>
                <w:szCs w:val="14"/>
                <w:color w:val="00053B"/>
              </w:rPr>
              <w:t>President and Chief Executive Officer, Commvault</w:t>
            </w:r>
          </w:p>
        </w:tc>
        <w:tc>
          <w:tcPr>
            <w:tcW w:w="960" w:type="dxa"/>
            <w:vAlign w:val="bottom"/>
            <w:shd w:val="clear" w:color="auto" w:fill="EAEAEA"/>
          </w:tcPr>
          <w:p>
            <w:pPr>
              <w:spacing w:after="0"/>
              <w:rPr>
                <w:sz w:val="14"/>
                <w:szCs w:val="14"/>
                <w:color w:val="auto"/>
              </w:rPr>
            </w:pPr>
          </w:p>
        </w:tc>
        <w:tc>
          <w:tcPr>
            <w:tcW w:w="860" w:type="dxa"/>
            <w:vAlign w:val="bottom"/>
            <w:shd w:val="clear" w:color="auto" w:fill="EAEAEA"/>
          </w:tcPr>
          <w:p>
            <w:pPr>
              <w:spacing w:after="0"/>
              <w:rPr>
                <w:sz w:val="14"/>
                <w:szCs w:val="14"/>
                <w:color w:val="auto"/>
              </w:rPr>
            </w:pPr>
          </w:p>
        </w:tc>
        <w:tc>
          <w:tcPr>
            <w:tcW w:w="1300" w:type="dxa"/>
            <w:vAlign w:val="bottom"/>
            <w:shd w:val="clear" w:color="auto" w:fill="EAEAEA"/>
          </w:tcPr>
          <w:p>
            <w:pPr>
              <w:spacing w:after="0"/>
              <w:rPr>
                <w:sz w:val="14"/>
                <w:szCs w:val="14"/>
                <w:color w:val="auto"/>
              </w:rPr>
            </w:pPr>
          </w:p>
        </w:tc>
        <w:tc>
          <w:tcPr>
            <w:tcW w:w="114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860" w:type="dxa"/>
            <w:vAlign w:val="bottom"/>
            <w:shd w:val="clear" w:color="auto" w:fill="EAEAEA"/>
          </w:tcPr>
          <w:p>
            <w:pPr>
              <w:spacing w:after="0"/>
              <w:rPr>
                <w:sz w:val="15"/>
                <w:szCs w:val="15"/>
                <w:color w:val="auto"/>
              </w:rPr>
            </w:pPr>
          </w:p>
        </w:tc>
        <w:tc>
          <w:tcPr>
            <w:tcW w:w="680" w:type="dxa"/>
            <w:vAlign w:val="bottom"/>
            <w:shd w:val="clear" w:color="auto" w:fill="EAEAEA"/>
          </w:tcPr>
          <w:p>
            <w:pPr>
              <w:spacing w:after="0"/>
              <w:rPr>
                <w:sz w:val="15"/>
                <w:szCs w:val="15"/>
                <w:color w:val="auto"/>
              </w:rPr>
            </w:pPr>
          </w:p>
        </w:tc>
        <w:tc>
          <w:tcPr>
            <w:tcW w:w="800" w:type="dxa"/>
            <w:vAlign w:val="bottom"/>
            <w:shd w:val="clear" w:color="auto" w:fill="EAEAEA"/>
          </w:tcPr>
          <w:p>
            <w:pPr>
              <w:spacing w:after="0"/>
              <w:rPr>
                <w:sz w:val="15"/>
                <w:szCs w:val="15"/>
                <w:color w:val="auto"/>
              </w:rPr>
            </w:pPr>
          </w:p>
        </w:tc>
        <w:tc>
          <w:tcPr>
            <w:tcW w:w="3580" w:type="dxa"/>
            <w:vAlign w:val="bottom"/>
            <w:shd w:val="clear" w:color="auto" w:fill="EAEAEA"/>
          </w:tcPr>
          <w:p>
            <w:pPr>
              <w:ind w:left="180"/>
              <w:spacing w:after="0"/>
              <w:rPr>
                <w:sz w:val="20"/>
                <w:szCs w:val="20"/>
                <w:color w:val="auto"/>
              </w:rPr>
            </w:pPr>
            <w:r>
              <w:rPr>
                <w:rFonts w:ascii="Arial" w:cs="Arial" w:eastAsia="Arial" w:hAnsi="Arial"/>
                <w:sz w:val="14"/>
                <w:szCs w:val="14"/>
                <w:color w:val="00053B"/>
              </w:rPr>
              <w:t>Systems</w:t>
            </w:r>
          </w:p>
        </w:tc>
        <w:tc>
          <w:tcPr>
            <w:tcW w:w="960" w:type="dxa"/>
            <w:vAlign w:val="bottom"/>
            <w:shd w:val="clear" w:color="auto" w:fill="EAEAEA"/>
          </w:tcPr>
          <w:p>
            <w:pPr>
              <w:spacing w:after="0"/>
              <w:rPr>
                <w:sz w:val="15"/>
                <w:szCs w:val="15"/>
                <w:color w:val="auto"/>
              </w:rPr>
            </w:pPr>
          </w:p>
        </w:tc>
        <w:tc>
          <w:tcPr>
            <w:tcW w:w="860" w:type="dxa"/>
            <w:vAlign w:val="bottom"/>
            <w:shd w:val="clear" w:color="auto" w:fill="EAEAEA"/>
          </w:tcPr>
          <w:p>
            <w:pPr>
              <w:spacing w:after="0"/>
              <w:rPr>
                <w:sz w:val="15"/>
                <w:szCs w:val="15"/>
                <w:color w:val="auto"/>
              </w:rPr>
            </w:pPr>
          </w:p>
        </w:tc>
        <w:tc>
          <w:tcPr>
            <w:tcW w:w="1300" w:type="dxa"/>
            <w:vAlign w:val="bottom"/>
            <w:shd w:val="clear" w:color="auto" w:fill="EAEAEA"/>
          </w:tcPr>
          <w:p>
            <w:pPr>
              <w:spacing w:after="0"/>
              <w:rPr>
                <w:sz w:val="15"/>
                <w:szCs w:val="15"/>
                <w:color w:val="auto"/>
              </w:rPr>
            </w:pPr>
          </w:p>
        </w:tc>
        <w:tc>
          <w:tcPr>
            <w:tcW w:w="1140" w:type="dxa"/>
            <w:vAlign w:val="bottom"/>
            <w:shd w:val="clear" w:color="auto" w:fill="EAEAEA"/>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21" w:right="359" w:bottom="1440" w:gutter="0" w:footer="0" w:header="0"/>
        </w:sectPr>
      </w:pPr>
    </w:p>
    <w:tbl>
      <w:tblPr>
        <w:tblLayout w:type="fixed"/>
        <w:tblInd w:w="140" w:type="dxa"/>
        <w:tblCellMar>
          <w:top w:w="0" w:type="dxa"/>
          <w:left w:w="0" w:type="dxa"/>
          <w:bottom w:w="0" w:type="dxa"/>
          <w:right w:w="0" w:type="dxa"/>
        </w:tblCellMar>
      </w:tblPr>
      <w:tr>
        <w:trPr>
          <w:trHeight w:val="162"/>
        </w:trPr>
        <w:tc>
          <w:tcPr>
            <w:tcW w:w="1600" w:type="dxa"/>
            <w:vAlign w:val="bottom"/>
          </w:tcPr>
          <w:p>
            <w:pPr>
              <w:spacing w:after="0" w:line="162" w:lineRule="exact"/>
              <w:rPr>
                <w:sz w:val="20"/>
                <w:szCs w:val="20"/>
                <w:color w:val="auto"/>
              </w:rPr>
            </w:pPr>
            <w:r>
              <w:rPr>
                <w:rFonts w:ascii="Arial" w:cs="Arial" w:eastAsia="Arial" w:hAnsi="Arial"/>
                <w:sz w:val="16"/>
                <w:szCs w:val="16"/>
                <w:b w:val="1"/>
                <w:bCs w:val="1"/>
                <w:color w:val="00053B"/>
              </w:rPr>
              <w:t>Charles Moran</w:t>
            </w:r>
          </w:p>
        </w:tc>
        <w:tc>
          <w:tcPr>
            <w:tcW w:w="840" w:type="dxa"/>
            <w:vAlign w:val="bottom"/>
          </w:tcPr>
          <w:p>
            <w:pPr>
              <w:jc w:val="right"/>
              <w:ind w:right="188"/>
              <w:spacing w:after="0"/>
              <w:rPr>
                <w:sz w:val="20"/>
                <w:szCs w:val="20"/>
                <w:color w:val="auto"/>
              </w:rPr>
            </w:pPr>
            <w:r>
              <w:rPr>
                <w:rFonts w:ascii="Arial" w:cs="Arial" w:eastAsia="Arial" w:hAnsi="Arial"/>
                <w:sz w:val="14"/>
                <w:szCs w:val="14"/>
                <w:color w:val="00053B"/>
              </w:rPr>
              <w:t>69</w:t>
            </w:r>
          </w:p>
        </w:tc>
        <w:tc>
          <w:tcPr>
            <w:tcW w:w="780" w:type="dxa"/>
            <w:vAlign w:val="bottom"/>
          </w:tcPr>
          <w:p>
            <w:pPr>
              <w:jc w:val="right"/>
              <w:ind w:right="148"/>
              <w:spacing w:after="0"/>
              <w:rPr>
                <w:sz w:val="20"/>
                <w:szCs w:val="20"/>
                <w:color w:val="auto"/>
              </w:rPr>
            </w:pPr>
            <w:r>
              <w:rPr>
                <w:rFonts w:ascii="Arial" w:cs="Arial" w:eastAsia="Arial" w:hAnsi="Arial"/>
                <w:sz w:val="14"/>
                <w:szCs w:val="14"/>
                <w:color w:val="00053B"/>
              </w:rPr>
              <w:t>2018</w:t>
            </w:r>
          </w:p>
        </w:tc>
        <w:tc>
          <w:tcPr>
            <w:tcW w:w="3300" w:type="dxa"/>
            <w:vAlign w:val="bottom"/>
          </w:tcPr>
          <w:p>
            <w:pPr>
              <w:ind w:left="200"/>
              <w:spacing w:after="0"/>
              <w:rPr>
                <w:sz w:val="20"/>
                <w:szCs w:val="20"/>
                <w:color w:val="auto"/>
              </w:rPr>
            </w:pPr>
            <w:r>
              <w:rPr>
                <w:rFonts w:ascii="Arial" w:cs="Arial" w:eastAsia="Arial" w:hAnsi="Arial"/>
                <w:sz w:val="14"/>
                <w:szCs w:val="14"/>
                <w:color w:val="00053B"/>
              </w:rPr>
              <w:t>Founder and former Chief Executive Officer and</w:t>
            </w:r>
          </w:p>
        </w:tc>
      </w:tr>
      <w:tr>
        <w:trPr>
          <w:trHeight w:val="175"/>
        </w:trPr>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300" w:type="dxa"/>
            <w:vAlign w:val="bottom"/>
          </w:tcPr>
          <w:p>
            <w:pPr>
              <w:ind w:left="200"/>
              <w:spacing w:after="0"/>
              <w:rPr>
                <w:sz w:val="20"/>
                <w:szCs w:val="20"/>
                <w:color w:val="auto"/>
              </w:rPr>
            </w:pPr>
            <w:r>
              <w:rPr>
                <w:rFonts w:ascii="Arial" w:cs="Arial" w:eastAsia="Arial" w:hAnsi="Arial"/>
                <w:sz w:val="14"/>
                <w:szCs w:val="14"/>
                <w:color w:val="00053B"/>
              </w:rPr>
              <w:t>President, Skillsoft Plc.</w:t>
            </w:r>
          </w:p>
        </w:tc>
      </w:tr>
      <w:tr>
        <w:trPr>
          <w:trHeight w:val="163"/>
        </w:trPr>
        <w:tc>
          <w:tcPr>
            <w:tcW w:w="1600" w:type="dxa"/>
            <w:vAlign w:val="bottom"/>
          </w:tcPr>
          <w:p>
            <w:pPr>
              <w:spacing w:after="0" w:line="163" w:lineRule="exact"/>
              <w:rPr>
                <w:sz w:val="20"/>
                <w:szCs w:val="20"/>
                <w:color w:val="auto"/>
              </w:rPr>
            </w:pPr>
            <w:r>
              <w:rPr>
                <w:rFonts w:ascii="Arial" w:cs="Arial" w:eastAsia="Arial" w:hAnsi="Arial"/>
                <w:sz w:val="16"/>
                <w:szCs w:val="16"/>
                <w:b w:val="1"/>
                <w:bCs w:val="1"/>
                <w:color w:val="00053B"/>
              </w:rPr>
              <w:t>Allison Pickens</w:t>
            </w:r>
          </w:p>
        </w:tc>
        <w:tc>
          <w:tcPr>
            <w:tcW w:w="840" w:type="dxa"/>
            <w:vAlign w:val="bottom"/>
          </w:tcPr>
          <w:p>
            <w:pPr>
              <w:jc w:val="right"/>
              <w:ind w:right="188"/>
              <w:spacing w:after="0"/>
              <w:rPr>
                <w:sz w:val="20"/>
                <w:szCs w:val="20"/>
                <w:color w:val="auto"/>
              </w:rPr>
            </w:pPr>
            <w:r>
              <w:rPr>
                <w:rFonts w:ascii="Arial" w:cs="Arial" w:eastAsia="Arial" w:hAnsi="Arial"/>
                <w:sz w:val="14"/>
                <w:szCs w:val="14"/>
                <w:color w:val="00053B"/>
              </w:rPr>
              <w:t>39</w:t>
            </w:r>
          </w:p>
        </w:tc>
        <w:tc>
          <w:tcPr>
            <w:tcW w:w="780" w:type="dxa"/>
            <w:vAlign w:val="bottom"/>
          </w:tcPr>
          <w:p>
            <w:pPr>
              <w:jc w:val="right"/>
              <w:ind w:right="148"/>
              <w:spacing w:after="0"/>
              <w:rPr>
                <w:sz w:val="20"/>
                <w:szCs w:val="20"/>
                <w:color w:val="auto"/>
              </w:rPr>
            </w:pPr>
            <w:r>
              <w:rPr>
                <w:rFonts w:ascii="Arial" w:cs="Arial" w:eastAsia="Arial" w:hAnsi="Arial"/>
                <w:sz w:val="14"/>
                <w:szCs w:val="14"/>
                <w:color w:val="00053B"/>
              </w:rPr>
              <w:t>2020</w:t>
            </w:r>
          </w:p>
        </w:tc>
        <w:tc>
          <w:tcPr>
            <w:tcW w:w="3300" w:type="dxa"/>
            <w:vAlign w:val="bottom"/>
          </w:tcPr>
          <w:p>
            <w:pPr>
              <w:ind w:left="200"/>
              <w:spacing w:after="0"/>
              <w:rPr>
                <w:sz w:val="20"/>
                <w:szCs w:val="20"/>
                <w:color w:val="auto"/>
              </w:rPr>
            </w:pPr>
            <w:r>
              <w:rPr>
                <w:rFonts w:ascii="Arial" w:cs="Arial" w:eastAsia="Arial" w:hAnsi="Arial"/>
                <w:sz w:val="14"/>
                <w:szCs w:val="14"/>
                <w:color w:val="00053B"/>
              </w:rPr>
              <w:t>Founder and General Partner of the New Normal</w:t>
            </w:r>
          </w:p>
        </w:tc>
      </w:tr>
      <w:tr>
        <w:trPr>
          <w:trHeight w:val="175"/>
        </w:trPr>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300" w:type="dxa"/>
            <w:vAlign w:val="bottom"/>
          </w:tcPr>
          <w:p>
            <w:pPr>
              <w:ind w:left="200"/>
              <w:spacing w:after="0"/>
              <w:rPr>
                <w:sz w:val="20"/>
                <w:szCs w:val="20"/>
                <w:color w:val="auto"/>
              </w:rPr>
            </w:pPr>
            <w:r>
              <w:rPr>
                <w:rFonts w:ascii="Arial" w:cs="Arial" w:eastAsia="Arial" w:hAnsi="Arial"/>
                <w:sz w:val="14"/>
                <w:szCs w:val="14"/>
                <w:color w:val="00053B"/>
              </w:rPr>
              <w:t>Fund</w:t>
            </w:r>
          </w:p>
        </w:tc>
      </w:tr>
      <w:tr>
        <w:trPr>
          <w:trHeight w:val="163"/>
        </w:trPr>
        <w:tc>
          <w:tcPr>
            <w:tcW w:w="1600" w:type="dxa"/>
            <w:vAlign w:val="bottom"/>
          </w:tcPr>
          <w:p>
            <w:pPr>
              <w:spacing w:after="0" w:line="163" w:lineRule="exact"/>
              <w:rPr>
                <w:sz w:val="20"/>
                <w:szCs w:val="20"/>
                <w:color w:val="auto"/>
              </w:rPr>
            </w:pPr>
            <w:r>
              <w:rPr>
                <w:rFonts w:ascii="Arial" w:cs="Arial" w:eastAsia="Arial" w:hAnsi="Arial"/>
                <w:sz w:val="16"/>
                <w:szCs w:val="16"/>
                <w:b w:val="1"/>
                <w:bCs w:val="1"/>
                <w:color w:val="00053B"/>
              </w:rPr>
              <w:t>Shane Sanders</w:t>
            </w:r>
          </w:p>
        </w:tc>
        <w:tc>
          <w:tcPr>
            <w:tcW w:w="840" w:type="dxa"/>
            <w:vAlign w:val="bottom"/>
          </w:tcPr>
          <w:p>
            <w:pPr>
              <w:jc w:val="right"/>
              <w:ind w:right="188"/>
              <w:spacing w:after="0"/>
              <w:rPr>
                <w:sz w:val="20"/>
                <w:szCs w:val="20"/>
                <w:color w:val="auto"/>
              </w:rPr>
            </w:pPr>
            <w:r>
              <w:rPr>
                <w:rFonts w:ascii="Arial" w:cs="Arial" w:eastAsia="Arial" w:hAnsi="Arial"/>
                <w:sz w:val="14"/>
                <w:szCs w:val="14"/>
                <w:color w:val="00053B"/>
              </w:rPr>
              <w:t>61</w:t>
            </w:r>
          </w:p>
        </w:tc>
        <w:tc>
          <w:tcPr>
            <w:tcW w:w="780" w:type="dxa"/>
            <w:vAlign w:val="bottom"/>
          </w:tcPr>
          <w:p>
            <w:pPr>
              <w:jc w:val="right"/>
              <w:ind w:right="148"/>
              <w:spacing w:after="0"/>
              <w:rPr>
                <w:sz w:val="20"/>
                <w:szCs w:val="20"/>
                <w:color w:val="auto"/>
              </w:rPr>
            </w:pPr>
            <w:r>
              <w:rPr>
                <w:rFonts w:ascii="Arial" w:cs="Arial" w:eastAsia="Arial" w:hAnsi="Arial"/>
                <w:sz w:val="14"/>
                <w:szCs w:val="14"/>
                <w:color w:val="00053B"/>
              </w:rPr>
              <w:t>2022</w:t>
            </w:r>
          </w:p>
        </w:tc>
        <w:tc>
          <w:tcPr>
            <w:tcW w:w="3300" w:type="dxa"/>
            <w:vAlign w:val="bottom"/>
          </w:tcPr>
          <w:p>
            <w:pPr>
              <w:ind w:left="200"/>
              <w:spacing w:after="0"/>
              <w:rPr>
                <w:sz w:val="20"/>
                <w:szCs w:val="20"/>
                <w:color w:val="auto"/>
              </w:rPr>
            </w:pPr>
            <w:r>
              <w:rPr>
                <w:rFonts w:ascii="Arial" w:cs="Arial" w:eastAsia="Arial" w:hAnsi="Arial"/>
                <w:sz w:val="14"/>
                <w:szCs w:val="14"/>
                <w:color w:val="00053B"/>
              </w:rPr>
              <w:t>Former Senior Vice President, Verizon</w:t>
            </w:r>
          </w:p>
        </w:tc>
      </w:tr>
      <w:tr>
        <w:trPr>
          <w:trHeight w:val="174"/>
        </w:trPr>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300" w:type="dxa"/>
            <w:vAlign w:val="bottom"/>
          </w:tcPr>
          <w:p>
            <w:pPr>
              <w:ind w:left="200"/>
              <w:spacing w:after="0"/>
              <w:rPr>
                <w:sz w:val="20"/>
                <w:szCs w:val="20"/>
                <w:color w:val="auto"/>
              </w:rPr>
            </w:pPr>
            <w:r>
              <w:rPr>
                <w:rFonts w:ascii="Arial" w:cs="Arial" w:eastAsia="Arial" w:hAnsi="Arial"/>
                <w:sz w:val="14"/>
                <w:szCs w:val="14"/>
                <w:color w:val="00053B"/>
              </w:rPr>
              <w:t>Communications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-426720</wp:posOffset>
            </wp:positionV>
            <wp:extent cx="7106285"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tabs>
          <w:tab w:leader="none" w:pos="2080" w:val="left"/>
        </w:tabs>
        <w:rPr>
          <w:sz w:val="20"/>
          <w:szCs w:val="20"/>
          <w:color w:val="auto"/>
        </w:rPr>
      </w:pPr>
      <w:r>
        <w:rPr>
          <w:rFonts w:ascii="Webdings" w:cs="Webdings" w:eastAsia="Webdings" w:hAnsi="Webdings"/>
          <w:sz w:val="16"/>
          <w:szCs w:val="16"/>
          <w:b w:val="1"/>
          <w:bCs w:val="1"/>
          <w:color w:val="00053B"/>
        </w:rPr>
        <w:t>n</w:t>
      </w:r>
      <w:r>
        <w:rPr>
          <w:sz w:val="20"/>
          <w:szCs w:val="20"/>
          <w:color w:val="auto"/>
        </w:rPr>
        <w:tab/>
      </w:r>
      <w:r>
        <w:rPr>
          <w:rFonts w:ascii="Webdings" w:cs="Webdings" w:eastAsia="Webdings" w:hAnsi="Webdings"/>
          <w:sz w:val="16"/>
          <w:szCs w:val="16"/>
          <w:b w:val="1"/>
          <w:bCs w:val="1"/>
          <w:color w:val="00053B"/>
        </w:rPr>
        <w:t>n</w:t>
      </w:r>
    </w:p>
    <w:p>
      <w:pPr>
        <w:spacing w:after="0" w:line="178" w:lineRule="exact"/>
        <w:rPr>
          <w:sz w:val="20"/>
          <w:szCs w:val="20"/>
          <w:color w:val="auto"/>
        </w:rPr>
      </w:pPr>
    </w:p>
    <w:p>
      <w:pPr>
        <w:spacing w:after="0"/>
        <w:tabs>
          <w:tab w:leader="none" w:pos="1040" w:val="left"/>
        </w:tabs>
        <w:rPr>
          <w:sz w:val="20"/>
          <w:szCs w:val="20"/>
          <w:color w:val="auto"/>
        </w:rPr>
      </w:pPr>
      <w:r>
        <w:rPr>
          <w:rFonts w:ascii="Webdings" w:cs="Webdings" w:eastAsia="Webdings" w:hAnsi="Webdings"/>
          <w:sz w:val="16"/>
          <w:szCs w:val="16"/>
          <w:b w:val="1"/>
          <w:bCs w:val="1"/>
          <w:color w:val="00053B"/>
        </w:rPr>
        <w:t>n</w:t>
      </w:r>
      <w:r>
        <w:rPr>
          <w:sz w:val="20"/>
          <w:szCs w:val="20"/>
          <w:color w:val="auto"/>
        </w:rPr>
        <w:tab/>
      </w:r>
      <w:r>
        <w:rPr>
          <w:rFonts w:ascii="Webdings" w:cs="Webdings" w:eastAsia="Webdings" w:hAnsi="Webdings"/>
          <w:sz w:val="16"/>
          <w:szCs w:val="16"/>
          <w:b w:val="1"/>
          <w:bCs w:val="1"/>
          <w:color w:val="00053B"/>
        </w:rPr>
        <w:t>n</w:t>
      </w:r>
    </w:p>
    <w:p>
      <w:pPr>
        <w:spacing w:after="0" w:line="178" w:lineRule="exact"/>
        <w:rPr>
          <w:sz w:val="20"/>
          <w:szCs w:val="20"/>
          <w:color w:val="auto"/>
        </w:rPr>
      </w:pPr>
    </w:p>
    <w:p>
      <w:pPr>
        <w:spacing w:after="0"/>
        <w:tabs>
          <w:tab w:leader="none" w:pos="1040" w:val="left"/>
          <w:tab w:leader="none" w:pos="3160" w:val="left"/>
        </w:tabs>
        <w:rPr>
          <w:sz w:val="20"/>
          <w:szCs w:val="20"/>
          <w:color w:val="auto"/>
        </w:rPr>
      </w:pPr>
      <w:r>
        <w:rPr>
          <w:rFonts w:ascii="Webdings" w:cs="Webdings" w:eastAsia="Webdings" w:hAnsi="Webdings"/>
          <w:sz w:val="16"/>
          <w:szCs w:val="16"/>
          <w:b w:val="1"/>
          <w:bCs w:val="1"/>
          <w:color w:val="844896"/>
        </w:rPr>
        <w:t>n</w:t>
      </w:r>
      <w:r>
        <w:rPr>
          <w:sz w:val="20"/>
          <w:szCs w:val="20"/>
          <w:color w:val="auto"/>
        </w:rPr>
        <w:tab/>
      </w:r>
      <w:r>
        <w:rPr>
          <w:rFonts w:ascii="Webdings" w:cs="Webdings" w:eastAsia="Webdings" w:hAnsi="Webdings"/>
          <w:sz w:val="16"/>
          <w:szCs w:val="16"/>
          <w:b w:val="1"/>
          <w:bCs w:val="1"/>
          <w:color w:val="00053B"/>
        </w:rPr>
        <w:t>n</w:t>
      </w:r>
      <w:r>
        <w:rPr>
          <w:sz w:val="20"/>
          <w:szCs w:val="20"/>
          <w:color w:val="auto"/>
        </w:rPr>
        <w:tab/>
      </w:r>
      <w:r>
        <w:rPr>
          <w:rFonts w:ascii="Webdings" w:cs="Webdings" w:eastAsia="Webdings" w:hAnsi="Webdings"/>
          <w:sz w:val="16"/>
          <w:szCs w:val="16"/>
          <w:b w:val="1"/>
          <w:bCs w:val="1"/>
          <w:color w:val="00053B"/>
        </w:rPr>
        <w:t>n</w:t>
      </w:r>
    </w:p>
    <w:p>
      <w:pPr>
        <w:spacing w:after="0" w:line="109" w:lineRule="exact"/>
        <w:rPr>
          <w:sz w:val="20"/>
          <w:szCs w:val="20"/>
          <w:color w:val="auto"/>
        </w:rPr>
      </w:pPr>
    </w:p>
    <w:p>
      <w:pPr>
        <w:sectPr>
          <w:pgSz w:w="11900" w:h="16838" w:orient="portrait"/>
          <w:cols w:equalWidth="0" w:num="2">
            <w:col w:w="6680" w:space="720"/>
            <w:col w:w="3820"/>
          </w:cols>
          <w:pgMar w:left="320" w:top="121" w:right="359" w:bottom="1440" w:gutter="0" w:footer="0" w:header="0"/>
          <w:type w:val="continuous"/>
        </w:sectPr>
      </w:pPr>
    </w:p>
    <w:tbl>
      <w:tblPr>
        <w:tblLayout w:type="fixed"/>
        <w:tblInd w:w="40" w:type="dxa"/>
        <w:tblCellMar>
          <w:top w:w="0" w:type="dxa"/>
          <w:left w:w="0" w:type="dxa"/>
          <w:bottom w:w="0" w:type="dxa"/>
          <w:right w:w="0" w:type="dxa"/>
        </w:tblCellMar>
      </w:tblPr>
      <w:tr>
        <w:trPr>
          <w:trHeight w:val="225"/>
        </w:trPr>
        <w:tc>
          <w:tcPr>
            <w:tcW w:w="1780" w:type="dxa"/>
            <w:vAlign w:val="bottom"/>
            <w:shd w:val="clear" w:color="auto" w:fill="EAEAEA"/>
          </w:tcPr>
          <w:p>
            <w:pPr>
              <w:jc w:val="center"/>
              <w:ind w:right="224"/>
              <w:spacing w:after="0"/>
              <w:rPr>
                <w:sz w:val="20"/>
                <w:szCs w:val="20"/>
                <w:color w:val="auto"/>
              </w:rPr>
            </w:pPr>
            <w:r>
              <w:rPr>
                <w:rFonts w:ascii="Arial" w:cs="Arial" w:eastAsia="Arial" w:hAnsi="Arial"/>
                <w:sz w:val="16"/>
                <w:szCs w:val="16"/>
                <w:b w:val="1"/>
                <w:bCs w:val="1"/>
                <w:color w:val="00053B"/>
              </w:rPr>
              <w:t>Arlen Shenkman</w:t>
            </w:r>
          </w:p>
        </w:tc>
        <w:tc>
          <w:tcPr>
            <w:tcW w:w="760" w:type="dxa"/>
            <w:vAlign w:val="bottom"/>
            <w:shd w:val="clear" w:color="auto" w:fill="EAEAEA"/>
          </w:tcPr>
          <w:p>
            <w:pPr>
              <w:jc w:val="right"/>
              <w:ind w:right="188"/>
              <w:spacing w:after="0"/>
              <w:rPr>
                <w:sz w:val="20"/>
                <w:szCs w:val="20"/>
                <w:color w:val="auto"/>
              </w:rPr>
            </w:pPr>
            <w:r>
              <w:rPr>
                <w:rFonts w:ascii="Arial" w:cs="Arial" w:eastAsia="Arial" w:hAnsi="Arial"/>
                <w:sz w:val="14"/>
                <w:szCs w:val="14"/>
                <w:color w:val="00053B"/>
              </w:rPr>
              <w:t>53</w:t>
            </w:r>
          </w:p>
        </w:tc>
        <w:tc>
          <w:tcPr>
            <w:tcW w:w="780" w:type="dxa"/>
            <w:vAlign w:val="bottom"/>
            <w:shd w:val="clear" w:color="auto" w:fill="EAEAEA"/>
          </w:tcPr>
          <w:p>
            <w:pPr>
              <w:jc w:val="right"/>
              <w:ind w:right="148"/>
              <w:spacing w:after="0"/>
              <w:rPr>
                <w:sz w:val="20"/>
                <w:szCs w:val="20"/>
                <w:color w:val="auto"/>
              </w:rPr>
            </w:pPr>
            <w:r>
              <w:rPr>
                <w:rFonts w:ascii="Arial" w:cs="Arial" w:eastAsia="Arial" w:hAnsi="Arial"/>
                <w:sz w:val="14"/>
                <w:szCs w:val="14"/>
                <w:color w:val="00053B"/>
              </w:rPr>
              <w:t>2020</w:t>
            </w:r>
          </w:p>
        </w:tc>
        <w:tc>
          <w:tcPr>
            <w:tcW w:w="5100" w:type="dxa"/>
            <w:vAlign w:val="bottom"/>
            <w:shd w:val="clear" w:color="auto" w:fill="EAEAEA"/>
          </w:tcPr>
          <w:p>
            <w:pPr>
              <w:jc w:val="right"/>
              <w:ind w:right="3308"/>
              <w:spacing w:after="0"/>
              <w:rPr>
                <w:sz w:val="20"/>
                <w:szCs w:val="20"/>
                <w:color w:val="auto"/>
              </w:rPr>
            </w:pPr>
            <w:r>
              <w:rPr>
                <w:rFonts w:ascii="Arial" w:cs="Arial" w:eastAsia="Arial" w:hAnsi="Arial"/>
                <w:sz w:val="14"/>
                <w:szCs w:val="14"/>
                <w:color w:val="00053B"/>
              </w:rPr>
              <w:t>President of Boomi, Inc.</w:t>
            </w:r>
          </w:p>
        </w:tc>
        <w:tc>
          <w:tcPr>
            <w:tcW w:w="420" w:type="dxa"/>
            <w:vAlign w:val="bottom"/>
            <w:shd w:val="clear" w:color="auto" w:fill="EAEAEA"/>
          </w:tcPr>
          <w:p>
            <w:pPr>
              <w:spacing w:after="0"/>
              <w:rPr>
                <w:sz w:val="19"/>
                <w:szCs w:val="19"/>
                <w:color w:val="auto"/>
              </w:rPr>
            </w:pPr>
          </w:p>
        </w:tc>
        <w:tc>
          <w:tcPr>
            <w:tcW w:w="1240" w:type="dxa"/>
            <w:vAlign w:val="bottom"/>
            <w:shd w:val="clear" w:color="auto" w:fill="EAEAEA"/>
          </w:tcPr>
          <w:p>
            <w:pPr>
              <w:jc w:val="center"/>
              <w:ind w:left="85"/>
              <w:spacing w:after="0"/>
              <w:rPr>
                <w:sz w:val="20"/>
                <w:szCs w:val="20"/>
                <w:color w:val="auto"/>
              </w:rPr>
            </w:pPr>
            <w:r>
              <w:rPr>
                <w:rFonts w:ascii="Webdings" w:cs="Webdings" w:eastAsia="Webdings" w:hAnsi="Webdings"/>
                <w:sz w:val="16"/>
                <w:szCs w:val="16"/>
                <w:b w:val="1"/>
                <w:bCs w:val="1"/>
                <w:color w:val="844896"/>
                <w:w w:val="99"/>
              </w:rPr>
              <w:t>n</w:t>
            </w:r>
          </w:p>
        </w:tc>
        <w:tc>
          <w:tcPr>
            <w:tcW w:w="1100" w:type="dxa"/>
            <w:vAlign w:val="bottom"/>
            <w:shd w:val="clear" w:color="auto" w:fill="EAEAEA"/>
          </w:tcPr>
          <w:p>
            <w:pPr>
              <w:jc w:val="center"/>
              <w:spacing w:after="0"/>
              <w:rPr>
                <w:sz w:val="20"/>
                <w:szCs w:val="20"/>
                <w:color w:val="auto"/>
              </w:rPr>
            </w:pPr>
            <w:r>
              <w:rPr>
                <w:rFonts w:ascii="Webdings" w:cs="Webdings" w:eastAsia="Webdings" w:hAnsi="Webdings"/>
                <w:sz w:val="16"/>
                <w:szCs w:val="16"/>
                <w:b w:val="1"/>
                <w:bCs w:val="1"/>
                <w:color w:val="00053B"/>
                <w:w w:val="99"/>
              </w:rPr>
              <w:t>n</w:t>
            </w:r>
          </w:p>
        </w:tc>
      </w:tr>
      <w:tr>
        <w:trPr>
          <w:trHeight w:val="203"/>
        </w:trPr>
        <w:tc>
          <w:tcPr>
            <w:tcW w:w="1780" w:type="dxa"/>
            <w:vAlign w:val="bottom"/>
            <w:shd w:val="clear" w:color="auto" w:fill="00053B"/>
          </w:tcPr>
          <w:p>
            <w:pPr>
              <w:jc w:val="center"/>
              <w:ind w:right="184"/>
              <w:spacing w:after="0"/>
              <w:rPr>
                <w:sz w:val="20"/>
                <w:szCs w:val="20"/>
                <w:color w:val="auto"/>
              </w:rPr>
            </w:pPr>
            <w:r>
              <w:rPr>
                <w:rFonts w:ascii="Arial" w:cs="Arial" w:eastAsia="Arial" w:hAnsi="Arial"/>
                <w:sz w:val="14"/>
                <w:szCs w:val="14"/>
                <w:b w:val="1"/>
                <w:bCs w:val="1"/>
                <w:color w:val="FFFFFF"/>
              </w:rPr>
              <w:t>Number of Directors</w:t>
            </w:r>
          </w:p>
        </w:tc>
        <w:tc>
          <w:tcPr>
            <w:tcW w:w="760" w:type="dxa"/>
            <w:vAlign w:val="bottom"/>
            <w:shd w:val="clear" w:color="auto" w:fill="00053B"/>
          </w:tcPr>
          <w:p>
            <w:pPr>
              <w:spacing w:after="0"/>
              <w:rPr>
                <w:sz w:val="17"/>
                <w:szCs w:val="17"/>
                <w:color w:val="auto"/>
              </w:rPr>
            </w:pPr>
          </w:p>
        </w:tc>
        <w:tc>
          <w:tcPr>
            <w:tcW w:w="780" w:type="dxa"/>
            <w:vAlign w:val="bottom"/>
            <w:shd w:val="clear" w:color="auto" w:fill="00053B"/>
          </w:tcPr>
          <w:p>
            <w:pPr>
              <w:spacing w:after="0"/>
              <w:rPr>
                <w:sz w:val="17"/>
                <w:szCs w:val="17"/>
                <w:color w:val="auto"/>
              </w:rPr>
            </w:pPr>
          </w:p>
        </w:tc>
        <w:tc>
          <w:tcPr>
            <w:tcW w:w="5100" w:type="dxa"/>
            <w:vAlign w:val="bottom"/>
            <w:shd w:val="clear" w:color="auto" w:fill="00053B"/>
          </w:tcPr>
          <w:p>
            <w:pPr>
              <w:jc w:val="right"/>
              <w:ind w:right="868"/>
              <w:spacing w:after="0"/>
              <w:rPr>
                <w:sz w:val="20"/>
                <w:szCs w:val="20"/>
                <w:color w:val="auto"/>
              </w:rPr>
            </w:pPr>
            <w:r>
              <w:rPr>
                <w:rFonts w:ascii="Arial" w:cs="Arial" w:eastAsia="Arial" w:hAnsi="Arial"/>
                <w:sz w:val="14"/>
                <w:szCs w:val="14"/>
                <w:color w:val="FFFFFF"/>
              </w:rPr>
              <w:t>4</w:t>
            </w:r>
          </w:p>
        </w:tc>
        <w:tc>
          <w:tcPr>
            <w:tcW w:w="420" w:type="dxa"/>
            <w:vAlign w:val="bottom"/>
            <w:shd w:val="clear" w:color="auto" w:fill="00053B"/>
          </w:tcPr>
          <w:p>
            <w:pPr>
              <w:jc w:val="right"/>
              <w:ind w:right="228"/>
              <w:spacing w:after="0"/>
              <w:rPr>
                <w:sz w:val="20"/>
                <w:szCs w:val="20"/>
                <w:color w:val="auto"/>
              </w:rPr>
            </w:pPr>
            <w:r>
              <w:rPr>
                <w:rFonts w:ascii="Arial" w:cs="Arial" w:eastAsia="Arial" w:hAnsi="Arial"/>
                <w:sz w:val="14"/>
                <w:szCs w:val="14"/>
                <w:color w:val="FFFFFF"/>
              </w:rPr>
              <w:t>4</w:t>
            </w:r>
          </w:p>
        </w:tc>
        <w:tc>
          <w:tcPr>
            <w:tcW w:w="1240" w:type="dxa"/>
            <w:vAlign w:val="bottom"/>
            <w:shd w:val="clear" w:color="auto" w:fill="00053B"/>
          </w:tcPr>
          <w:p>
            <w:pPr>
              <w:jc w:val="right"/>
              <w:ind w:right="425"/>
              <w:spacing w:after="0"/>
              <w:rPr>
                <w:sz w:val="20"/>
                <w:szCs w:val="20"/>
                <w:color w:val="auto"/>
              </w:rPr>
            </w:pPr>
            <w:r>
              <w:rPr>
                <w:rFonts w:ascii="Arial" w:cs="Arial" w:eastAsia="Arial" w:hAnsi="Arial"/>
                <w:sz w:val="14"/>
                <w:szCs w:val="14"/>
                <w:color w:val="FFFFFF"/>
              </w:rPr>
              <w:t>3</w:t>
            </w:r>
          </w:p>
        </w:tc>
        <w:tc>
          <w:tcPr>
            <w:tcW w:w="1100" w:type="dxa"/>
            <w:vAlign w:val="bottom"/>
            <w:shd w:val="clear" w:color="auto" w:fill="00053B"/>
          </w:tcPr>
          <w:p>
            <w:pPr>
              <w:jc w:val="right"/>
              <w:ind w:right="444"/>
              <w:spacing w:after="0"/>
              <w:rPr>
                <w:sz w:val="20"/>
                <w:szCs w:val="20"/>
                <w:color w:val="auto"/>
              </w:rPr>
            </w:pPr>
            <w:r>
              <w:rPr>
                <w:rFonts w:ascii="Arial" w:cs="Arial" w:eastAsia="Arial" w:hAnsi="Arial"/>
                <w:sz w:val="14"/>
                <w:szCs w:val="14"/>
                <w:color w:val="FFFFFF"/>
              </w:rPr>
              <w:t>4</w:t>
            </w:r>
          </w:p>
        </w:tc>
      </w:tr>
      <w:tr>
        <w:trPr>
          <w:trHeight w:val="322"/>
        </w:trPr>
        <w:tc>
          <w:tcPr>
            <w:tcW w:w="1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100" w:type="dxa"/>
            <w:vAlign w:val="bottom"/>
          </w:tcPr>
          <w:p>
            <w:pPr>
              <w:jc w:val="right"/>
              <w:spacing w:after="0"/>
              <w:rPr>
                <w:sz w:val="20"/>
                <w:szCs w:val="20"/>
                <w:color w:val="auto"/>
              </w:rPr>
            </w:pPr>
            <w:r>
              <w:rPr>
                <w:rFonts w:ascii="Webdings" w:cs="Webdings" w:eastAsia="Webdings" w:hAnsi="Webdings"/>
                <w:sz w:val="14"/>
                <w:szCs w:val="14"/>
                <w:b w:val="1"/>
                <w:bCs w:val="1"/>
                <w:color w:val="844896"/>
              </w:rPr>
              <w:t xml:space="preserve">n </w:t>
            </w:r>
            <w:r>
              <w:rPr>
                <w:rFonts w:ascii="Arial" w:cs="Arial" w:eastAsia="Arial" w:hAnsi="Arial"/>
                <w:sz w:val="16"/>
                <w:szCs w:val="16"/>
                <w:color w:val="092E44"/>
              </w:rPr>
              <w:t>Committee Chair</w:t>
            </w:r>
          </w:p>
        </w:tc>
        <w:tc>
          <w:tcPr>
            <w:tcW w:w="420" w:type="dxa"/>
            <w:vAlign w:val="bottom"/>
          </w:tcPr>
          <w:p>
            <w:pPr>
              <w:spacing w:after="0"/>
              <w:rPr>
                <w:sz w:val="24"/>
                <w:szCs w:val="24"/>
                <w:color w:val="auto"/>
              </w:rPr>
            </w:pPr>
          </w:p>
        </w:tc>
        <w:tc>
          <w:tcPr>
            <w:tcW w:w="2340" w:type="dxa"/>
            <w:vAlign w:val="bottom"/>
            <w:gridSpan w:val="2"/>
          </w:tcPr>
          <w:p>
            <w:pPr>
              <w:ind w:left="300"/>
              <w:spacing w:after="0"/>
              <w:rPr>
                <w:sz w:val="20"/>
                <w:szCs w:val="20"/>
                <w:color w:val="auto"/>
              </w:rPr>
            </w:pPr>
            <w:r>
              <w:rPr>
                <w:rFonts w:ascii="Webdings" w:cs="Webdings" w:eastAsia="Webdings" w:hAnsi="Webdings"/>
                <w:sz w:val="14"/>
                <w:szCs w:val="14"/>
                <w:b w:val="1"/>
                <w:bCs w:val="1"/>
                <w:color w:val="00053B"/>
              </w:rPr>
              <w:t xml:space="preserve">n </w:t>
            </w:r>
            <w:r>
              <w:rPr>
                <w:rFonts w:ascii="Arial" w:cs="Arial" w:eastAsia="Arial" w:hAnsi="Arial"/>
                <w:sz w:val="16"/>
                <w:szCs w:val="16"/>
                <w:color w:val="092E44"/>
              </w:rPr>
              <w:t>Committee Member</w:t>
            </w:r>
          </w:p>
        </w:tc>
      </w:tr>
    </w:tbl>
    <w:p>
      <w:pPr>
        <w:spacing w:after="0" w:line="383"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Diversity and Tenure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167640</wp:posOffset>
            </wp:positionV>
            <wp:extent cx="6172200" cy="1097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2200"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5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462915</wp:posOffset>
            </wp:positionV>
            <wp:extent cx="7115175"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1"/>
          <w:szCs w:val="11"/>
          <w:color w:val="00053B"/>
        </w:rPr>
        <w:t xml:space="preserve">PROXY SUMMARY | </w:t>
      </w:r>
      <w:r>
        <w:rPr>
          <w:rFonts w:ascii="Arial" w:cs="Arial" w:eastAsia="Arial" w:hAnsi="Arial"/>
          <w:sz w:val="11"/>
          <w:szCs w:val="11"/>
          <w:b w:val="1"/>
          <w:bCs w:val="1"/>
          <w:color w:val="00053B"/>
        </w:rPr>
        <w:t>FISCAL 2024 FINANCIAL HIGHLIGHTS</w:t>
      </w:r>
    </w:p>
    <w:p>
      <w:pPr>
        <w:spacing w:after="0" w:line="375"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Fiscal 2024 Financial Highlights</w:t>
      </w:r>
    </w:p>
    <w:p>
      <w:pPr>
        <w:spacing w:after="0" w:line="104" w:lineRule="exact"/>
        <w:rPr>
          <w:sz w:val="20"/>
          <w:szCs w:val="20"/>
          <w:color w:val="auto"/>
        </w:rPr>
      </w:pPr>
    </w:p>
    <w:p>
      <w:pPr>
        <w:jc w:val="both"/>
        <w:ind w:right="280"/>
        <w:spacing w:after="0" w:line="216" w:lineRule="auto"/>
        <w:rPr>
          <w:sz w:val="20"/>
          <w:szCs w:val="20"/>
          <w:color w:val="auto"/>
        </w:rPr>
      </w:pPr>
      <w:r>
        <w:rPr>
          <w:rFonts w:ascii="Arial" w:cs="Arial" w:eastAsia="Arial" w:hAnsi="Arial"/>
          <w:sz w:val="16"/>
          <w:szCs w:val="16"/>
          <w:color w:val="00053B"/>
        </w:rPr>
        <w:t>Fiscal 2024 was a breakout year for Commvault, highlighted by notable increases in revenues, annual recurring revenue (“ARR”)</w:t>
      </w:r>
      <w:r>
        <w:rPr>
          <w:rFonts w:ascii="Arial" w:cs="Arial" w:eastAsia="Arial" w:hAnsi="Arial"/>
          <w:sz w:val="21"/>
          <w:szCs w:val="21"/>
          <w:color w:val="00053B"/>
          <w:vertAlign w:val="superscript"/>
        </w:rPr>
        <w:t>(1)</w:t>
      </w:r>
      <w:r>
        <w:rPr>
          <w:rFonts w:ascii="Arial" w:cs="Arial" w:eastAsia="Arial" w:hAnsi="Arial"/>
          <w:sz w:val="16"/>
          <w:szCs w:val="16"/>
          <w:color w:val="00053B"/>
        </w:rPr>
        <w:t>, subscription ARR</w:t>
      </w:r>
      <w:r>
        <w:rPr>
          <w:rFonts w:ascii="Arial" w:cs="Arial" w:eastAsia="Arial" w:hAnsi="Arial"/>
          <w:sz w:val="21"/>
          <w:szCs w:val="21"/>
          <w:color w:val="00053B"/>
          <w:vertAlign w:val="superscript"/>
        </w:rPr>
        <w:t>(1)</w:t>
      </w:r>
      <w:r>
        <w:rPr>
          <w:rFonts w:ascii="Arial" w:cs="Arial" w:eastAsia="Arial" w:hAnsi="Arial"/>
          <w:sz w:val="16"/>
          <w:szCs w:val="16"/>
          <w:color w:val="00053B"/>
        </w:rPr>
        <w:t>, income from operations (EBIT), and free cash flow (“FCF”)</w:t>
      </w:r>
      <w:r>
        <w:rPr>
          <w:rFonts w:ascii="Arial" w:cs="Arial" w:eastAsia="Arial" w:hAnsi="Arial"/>
          <w:sz w:val="21"/>
          <w:szCs w:val="21"/>
          <w:color w:val="00053B"/>
          <w:vertAlign w:val="superscript"/>
        </w:rPr>
        <w:t>(2)</w:t>
      </w:r>
      <w:r>
        <w:rPr>
          <w:rFonts w:ascii="Arial" w:cs="Arial" w:eastAsia="Arial" w:hAnsi="Arial"/>
          <w:sz w:val="16"/>
          <w:szCs w:val="16"/>
          <w:color w:val="00053B"/>
        </w:rPr>
        <w:t>. Our stock price rose by 79% from fiscal 2023, complemented by consistent capital returns through strategic share repurchases. The following amounts are shown in millions, except stock price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140335</wp:posOffset>
            </wp:positionV>
            <wp:extent cx="5520690" cy="4337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20690" cy="433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hanging="332"/>
        <w:spacing w:after="0" w:line="282" w:lineRule="auto"/>
        <w:tabs>
          <w:tab w:leader="none" w:pos="248" w:val="left"/>
        </w:tabs>
        <w:numPr>
          <w:ilvl w:val="0"/>
          <w:numId w:val="8"/>
        </w:numPr>
        <w:rPr>
          <w:rFonts w:ascii="Arial" w:cs="Arial" w:eastAsia="Arial" w:hAnsi="Arial"/>
          <w:sz w:val="12"/>
          <w:szCs w:val="12"/>
          <w:color w:val="00053B"/>
        </w:rPr>
      </w:pPr>
      <w:r>
        <w:rPr>
          <w:rFonts w:ascii="Arial" w:cs="Arial" w:eastAsia="Arial" w:hAnsi="Arial"/>
          <w:sz w:val="12"/>
          <w:szCs w:val="12"/>
          <w:color w:val="00053B"/>
        </w:rPr>
        <w:t>Annualized recurring revenue (“ARR”) is defined as the annualized recurring value of all active contracts at the end of a reporting period. It includes the following contract types: subscription (including term licenses, software-as-a-service (“SaaS”) and utility software), maintenance contracts related to perpetual licenses, other extended maintenance contracts (enterprise support), and managed services. It excludes any element of the arrangement that is not expected to recur, primarily perpetual licenses and most professional services. Subscription ARR includes only term licenses, SaaS and utility software arrangements. Contracts are annualized by dividing the total contract value by the number of days in the contract term, then multiplying by 365.</w:t>
      </w:r>
    </w:p>
    <w:p>
      <w:pPr>
        <w:spacing w:after="0" w:line="13" w:lineRule="exact"/>
        <w:rPr>
          <w:sz w:val="20"/>
          <w:szCs w:val="20"/>
          <w:color w:val="auto"/>
        </w:rPr>
      </w:pPr>
    </w:p>
    <w:p>
      <w:pPr>
        <w:ind w:left="340" w:right="40"/>
        <w:spacing w:after="0" w:line="244" w:lineRule="auto"/>
        <w:rPr>
          <w:sz w:val="20"/>
          <w:szCs w:val="20"/>
          <w:color w:val="auto"/>
        </w:rPr>
      </w:pPr>
      <w:r>
        <w:rPr>
          <w:rFonts w:ascii="Arial" w:cs="Arial" w:eastAsia="Arial" w:hAnsi="Arial"/>
          <w:sz w:val="13"/>
          <w:szCs w:val="13"/>
          <w:color w:val="00053B"/>
        </w:rPr>
        <w:t>ARR should be viewed independently of GAAP revenue, deferred revenue and unbilled revenue and is not intended to be combined with or to replace those items. ARR is not a forecast of future revenue. Management believes that reviewing this metric, in addition to GAAP results, helps investors and financial analysts understand the value of Commvault's recurring revenue streams presented on an annualized basis.</w:t>
      </w:r>
    </w:p>
    <w:p>
      <w:pPr>
        <w:spacing w:after="0" w:line="2" w:lineRule="exact"/>
        <w:rPr>
          <w:sz w:val="20"/>
          <w:szCs w:val="20"/>
          <w:color w:val="auto"/>
        </w:rPr>
      </w:pPr>
    </w:p>
    <w:p>
      <w:pPr>
        <w:ind w:left="340" w:right="180" w:hanging="332"/>
        <w:spacing w:after="0" w:line="252" w:lineRule="auto"/>
        <w:tabs>
          <w:tab w:leader="none" w:pos="255" w:val="left"/>
        </w:tabs>
        <w:numPr>
          <w:ilvl w:val="0"/>
          <w:numId w:val="9"/>
        </w:numPr>
        <w:rPr>
          <w:rFonts w:ascii="Arial" w:cs="Arial" w:eastAsia="Arial" w:hAnsi="Arial"/>
          <w:sz w:val="13"/>
          <w:szCs w:val="13"/>
          <w:color w:val="00053B"/>
        </w:rPr>
      </w:pPr>
      <w:r>
        <w:rPr>
          <w:rFonts w:ascii="Arial" w:cs="Arial" w:eastAsia="Arial" w:hAnsi="Arial"/>
          <w:sz w:val="13"/>
          <w:szCs w:val="13"/>
          <w:color w:val="00053B"/>
        </w:rPr>
        <w:t>Please see “Reconciliation of GAAP to Non-GAAP Financial Measures” in Annex A for additional information about our non-GAAP financial measures. Our GAAP income/(loss) from operations (EBIT) was $75 million and $(16) million in fiscal years 2024 and 2023, respectively. Our GAAP cash provided by operating activities was $204 million and $170 million in fiscal years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6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462915</wp:posOffset>
            </wp:positionV>
            <wp:extent cx="7115175"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1"/>
          <w:szCs w:val="11"/>
          <w:color w:val="00053B"/>
        </w:rPr>
        <w:t xml:space="preserve">PROXY SUMMARY | </w:t>
      </w:r>
      <w:r>
        <w:rPr>
          <w:rFonts w:ascii="Arial" w:cs="Arial" w:eastAsia="Arial" w:hAnsi="Arial"/>
          <w:sz w:val="11"/>
          <w:szCs w:val="11"/>
          <w:b w:val="1"/>
          <w:bCs w:val="1"/>
          <w:color w:val="00053B"/>
        </w:rPr>
        <w:t>GOVERNANCE HIGHLIGHTS</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Governance Highlights</w:t>
      </w:r>
    </w:p>
    <w:p>
      <w:pPr>
        <w:spacing w:after="0" w:line="74"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00053B"/>
        </w:rPr>
        <w:t>Commvault is committed to excellence in corporate governance. We have recently strengthened several of our policies and practices to demonstrate this commitment, including those summarized below.</w:t>
      </w:r>
    </w:p>
    <w:p>
      <w:pPr>
        <w:spacing w:after="0" w:line="183"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b w:val="1"/>
          <w:bCs w:val="1"/>
          <w:color w:val="00053B"/>
        </w:rPr>
        <w:t xml:space="preserve">Enterprise Risk. </w:t>
      </w:r>
      <w:r>
        <w:rPr>
          <w:rFonts w:ascii="Arial" w:cs="Arial" w:eastAsia="Arial" w:hAnsi="Arial"/>
          <w:sz w:val="16"/>
          <w:szCs w:val="16"/>
          <w:color w:val="00053B"/>
        </w:rPr>
        <w:t>We established our Enterprise Risk Management Committee (the “ERMC”) comprised of senior management. The ERMC is</w:t>
      </w:r>
      <w:r>
        <w:rPr>
          <w:rFonts w:ascii="Arial" w:cs="Arial" w:eastAsia="Arial" w:hAnsi="Arial"/>
          <w:sz w:val="16"/>
          <w:szCs w:val="16"/>
          <w:b w:val="1"/>
          <w:bCs w:val="1"/>
          <w:color w:val="00053B"/>
        </w:rPr>
        <w:t xml:space="preserve"> </w:t>
      </w:r>
      <w:r>
        <w:rPr>
          <w:rFonts w:ascii="Arial" w:cs="Arial" w:eastAsia="Arial" w:hAnsi="Arial"/>
          <w:sz w:val="16"/>
          <w:szCs w:val="16"/>
          <w:color w:val="000000"/>
        </w:rPr>
        <w:t>responsible</w:t>
      </w:r>
      <w:r>
        <w:rPr>
          <w:rFonts w:ascii="Arial" w:cs="Arial" w:eastAsia="Arial" w:hAnsi="Arial"/>
          <w:sz w:val="16"/>
          <w:szCs w:val="16"/>
          <w:b w:val="1"/>
          <w:bCs w:val="1"/>
          <w:color w:val="00053B"/>
        </w:rPr>
        <w:t xml:space="preserve"> </w:t>
      </w:r>
      <w:r>
        <w:rPr>
          <w:rFonts w:ascii="Arial" w:cs="Arial" w:eastAsia="Arial" w:hAnsi="Arial"/>
          <w:sz w:val="16"/>
          <w:szCs w:val="16"/>
          <w:color w:val="000000"/>
        </w:rPr>
        <w:t>for the implementation, maintenance, and execution of our enterprise risk management program</w:t>
      </w:r>
      <w:r>
        <w:rPr>
          <w:rFonts w:ascii="Arial" w:cs="Arial" w:eastAsia="Arial" w:hAnsi="Arial"/>
          <w:sz w:val="16"/>
          <w:szCs w:val="16"/>
          <w:color w:val="00053B"/>
        </w:rPr>
        <w:t>. The ERMC updates the Audit Committee and Board of</w:t>
      </w:r>
      <w:r>
        <w:rPr>
          <w:rFonts w:ascii="Arial" w:cs="Arial" w:eastAsia="Arial" w:hAnsi="Arial"/>
          <w:sz w:val="16"/>
          <w:szCs w:val="16"/>
          <w:color w:val="000000"/>
        </w:rPr>
        <w:t xml:space="preserve"> </w:t>
      </w:r>
      <w:r>
        <w:rPr>
          <w:rFonts w:ascii="Arial" w:cs="Arial" w:eastAsia="Arial" w:hAnsi="Arial"/>
          <w:sz w:val="16"/>
          <w:szCs w:val="16"/>
          <w:color w:val="00053B"/>
        </w:rPr>
        <w:t>Directors on a quarterly basis and as needed.</w:t>
      </w:r>
    </w:p>
    <w:p>
      <w:pPr>
        <w:spacing w:after="0" w:line="70"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b w:val="1"/>
          <w:bCs w:val="1"/>
          <w:color w:val="00053B"/>
        </w:rPr>
        <w:t xml:space="preserve">Cybersecurity. </w:t>
      </w:r>
      <w:r>
        <w:rPr>
          <w:rFonts w:ascii="Arial" w:cs="Arial" w:eastAsia="Arial" w:hAnsi="Arial"/>
          <w:sz w:val="16"/>
          <w:szCs w:val="16"/>
          <w:color w:val="00053B"/>
        </w:rPr>
        <w:t>We established our Cybersecurity Oversight Team (the “CSOT”) dedicated to overseeing the significant operational decisions in the event of</w:t>
      </w:r>
      <w:r>
        <w:rPr>
          <w:rFonts w:ascii="Arial" w:cs="Arial" w:eastAsia="Arial" w:hAnsi="Arial"/>
          <w:sz w:val="16"/>
          <w:szCs w:val="16"/>
          <w:b w:val="1"/>
          <w:bCs w:val="1"/>
          <w:color w:val="00053B"/>
        </w:rPr>
        <w:t xml:space="preserve"> </w:t>
      </w:r>
      <w:r>
        <w:rPr>
          <w:rFonts w:ascii="Arial" w:cs="Arial" w:eastAsia="Arial" w:hAnsi="Arial"/>
          <w:sz w:val="16"/>
          <w:szCs w:val="16"/>
          <w:color w:val="00053B"/>
        </w:rPr>
        <w:t>an active cybersecurity incident. The CSOT is comprised of senior management and our Audit Committee Chair is invited to the CSOT’s regular meetings to provide counsel and foster productive communication to the Board of Directors.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 xml:space="preserve">Responsible AI. </w:t>
      </w:r>
      <w:r>
        <w:rPr>
          <w:rFonts w:ascii="Arial" w:cs="Arial" w:eastAsia="Arial" w:hAnsi="Arial"/>
          <w:sz w:val="16"/>
          <w:szCs w:val="16"/>
          <w:color w:val="00053B"/>
        </w:rPr>
        <w:t>We adopted our Principles for Responsible Artificial Intelligence guidelines which outline our ethical and transparent AI practices.</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16"/>
          <w:szCs w:val="16"/>
          <w:b w:val="1"/>
          <w:bCs w:val="1"/>
          <w:color w:val="00053B"/>
        </w:rPr>
        <w:t>ESG</w:t>
      </w:r>
      <w:r>
        <w:rPr>
          <w:rFonts w:ascii="Arial" w:cs="Arial" w:eastAsia="Arial" w:hAnsi="Arial"/>
          <w:sz w:val="16"/>
          <w:szCs w:val="16"/>
          <w:color w:val="00053B"/>
        </w:rPr>
        <w:t>. We refreshed our ESG program to encompass our position on climate resiliency and environmental management, including the results of our inaugural</w:t>
      </w:r>
      <w:r>
        <w:rPr>
          <w:rFonts w:ascii="Arial" w:cs="Arial" w:eastAsia="Arial" w:hAnsi="Arial"/>
          <w:sz w:val="16"/>
          <w:szCs w:val="16"/>
          <w:b w:val="1"/>
          <w:bCs w:val="1"/>
          <w:color w:val="00053B"/>
        </w:rPr>
        <w:t xml:space="preserve"> </w:t>
      </w:r>
      <w:r>
        <w:rPr>
          <w:rFonts w:ascii="Arial" w:cs="Arial" w:eastAsia="Arial" w:hAnsi="Arial"/>
          <w:sz w:val="16"/>
          <w:szCs w:val="16"/>
          <w:color w:val="00053B"/>
        </w:rPr>
        <w:t>GHG emissions assessment. More details on our ESG program can be found in section “</w:t>
      </w:r>
      <w:r>
        <w:rPr>
          <w:rFonts w:ascii="Arial" w:cs="Arial" w:eastAsia="Arial" w:hAnsi="Arial"/>
          <w:sz w:val="16"/>
          <w:szCs w:val="16"/>
          <w:u w:val="single" w:color="auto"/>
          <w:color w:val="844896"/>
        </w:rPr>
        <w:t>Environmental, Social, and Governance Developments</w:t>
      </w:r>
      <w:r>
        <w:rPr>
          <w:rFonts w:ascii="Arial" w:cs="Arial" w:eastAsia="Arial" w:hAnsi="Arial"/>
          <w:sz w:val="16"/>
          <w:szCs w:val="16"/>
          <w:color w:val="00053B"/>
        </w:rPr>
        <w:t>.”</w:t>
      </w:r>
    </w:p>
    <w:p>
      <w:pPr>
        <w:spacing w:after="0" w:line="75" w:lineRule="exact"/>
        <w:rPr>
          <w:sz w:val="20"/>
          <w:szCs w:val="20"/>
          <w:color w:val="auto"/>
        </w:rPr>
      </w:pPr>
    </w:p>
    <w:p>
      <w:pPr>
        <w:ind w:right="60"/>
        <w:spacing w:after="0" w:line="304" w:lineRule="auto"/>
        <w:rPr>
          <w:rFonts w:ascii="Arial" w:cs="Arial" w:eastAsia="Arial" w:hAnsi="Arial"/>
          <w:sz w:val="16"/>
          <w:szCs w:val="16"/>
          <w:b w:val="1"/>
          <w:bCs w:val="1"/>
          <w:color w:val="00053B"/>
        </w:rPr>
      </w:pPr>
      <w:r>
        <w:rPr>
          <w:rFonts w:ascii="Arial" w:cs="Arial" w:eastAsia="Arial" w:hAnsi="Arial"/>
          <w:sz w:val="16"/>
          <w:szCs w:val="16"/>
          <w:b w:val="1"/>
          <w:bCs w:val="1"/>
          <w:color w:val="00053B"/>
        </w:rPr>
        <w:t>Clawback Policy</w:t>
      </w:r>
      <w:r>
        <w:rPr>
          <w:rFonts w:ascii="Arial" w:cs="Arial" w:eastAsia="Arial" w:hAnsi="Arial"/>
          <w:sz w:val="16"/>
          <w:szCs w:val="16"/>
          <w:color w:val="00053B"/>
        </w:rPr>
        <w:t>. We adopted a new</w:t>
      </w:r>
      <w:r>
        <w:rPr>
          <w:rFonts w:ascii="Arial" w:cs="Arial" w:eastAsia="Arial" w:hAnsi="Arial"/>
          <w:sz w:val="16"/>
          <w:szCs w:val="16"/>
          <w:b w:val="1"/>
          <w:bCs w:val="1"/>
          <w:color w:val="00053B"/>
        </w:rPr>
        <w:t xml:space="preserve"> </w:t>
      </w:r>
      <w:hyperlink r:id="rId37">
        <w:r>
          <w:rPr>
            <w:rFonts w:ascii="Arial" w:cs="Arial" w:eastAsia="Arial" w:hAnsi="Arial"/>
            <w:sz w:val="16"/>
            <w:szCs w:val="16"/>
            <w:u w:val="single" w:color="auto"/>
            <w:color w:val="844896"/>
          </w:rPr>
          <w:t>Clawback Policy</w:t>
        </w:r>
        <w:r>
          <w:rPr>
            <w:rFonts w:ascii="Arial" w:cs="Arial" w:eastAsia="Arial" w:hAnsi="Arial"/>
            <w:sz w:val="16"/>
            <w:szCs w:val="16"/>
            <w:b w:val="1"/>
            <w:bCs w:val="1"/>
            <w:u w:val="single" w:color="auto"/>
            <w:color w:val="00053B"/>
          </w:rPr>
          <w:t xml:space="preserve"> </w:t>
        </w:r>
      </w:hyperlink>
      <w:r>
        <w:rPr>
          <w:rFonts w:ascii="Arial" w:cs="Arial" w:eastAsia="Arial" w:hAnsi="Arial"/>
          <w:sz w:val="16"/>
          <w:szCs w:val="16"/>
          <w:color w:val="00053B"/>
        </w:rPr>
        <w:t>for</w:t>
      </w:r>
      <w:r>
        <w:rPr>
          <w:rFonts w:ascii="Arial" w:cs="Arial" w:eastAsia="Arial" w:hAnsi="Arial"/>
          <w:sz w:val="16"/>
          <w:szCs w:val="16"/>
          <w:b w:val="1"/>
          <w:bCs w:val="1"/>
          <w:color w:val="00053B"/>
        </w:rPr>
        <w:t xml:space="preserve"> </w:t>
      </w:r>
      <w:r>
        <w:rPr>
          <w:rFonts w:ascii="Arial" w:cs="Arial" w:eastAsia="Arial" w:hAnsi="Arial"/>
          <w:sz w:val="16"/>
          <w:szCs w:val="16"/>
          <w:color w:val="00053B"/>
        </w:rPr>
        <w:t>executive officers in order to comply with the Securities and Exchange Commission (“SEC”) rules</w:t>
      </w:r>
      <w:r>
        <w:rPr>
          <w:rFonts w:ascii="Arial" w:cs="Arial" w:eastAsia="Arial" w:hAnsi="Arial"/>
          <w:sz w:val="16"/>
          <w:szCs w:val="16"/>
          <w:b w:val="1"/>
          <w:bCs w:val="1"/>
          <w:color w:val="00053B"/>
        </w:rPr>
        <w:t xml:space="preserve"> </w:t>
      </w:r>
      <w:r>
        <w:rPr>
          <w:rFonts w:ascii="Arial" w:cs="Arial" w:eastAsia="Arial" w:hAnsi="Arial"/>
          <w:sz w:val="16"/>
          <w:szCs w:val="16"/>
          <w:color w:val="00053B"/>
        </w:rPr>
        <w:t>promulgated under the Dodd-Frank Act and the Nasdaq Stock Market (“Nasdaq”) listing standards. To date, this Clawback Policy has not been triggered.</w:t>
      </w:r>
    </w:p>
    <w:p>
      <w:pPr>
        <w:spacing w:after="0" w:line="3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00053B"/>
        </w:rPr>
        <w:t xml:space="preserve">Related Party Transactions. </w:t>
      </w:r>
      <w:r>
        <w:rPr>
          <w:rFonts w:ascii="Arial" w:cs="Arial" w:eastAsia="Arial" w:hAnsi="Arial"/>
          <w:sz w:val="16"/>
          <w:szCs w:val="16"/>
          <w:color w:val="00053B"/>
        </w:rPr>
        <w:t>We further documented our robust Related Party Transactions policy which is compliant with Nasdaq listing rules and requires</w:t>
      </w:r>
      <w:r>
        <w:rPr>
          <w:rFonts w:ascii="Arial" w:cs="Arial" w:eastAsia="Arial" w:hAnsi="Arial"/>
          <w:sz w:val="16"/>
          <w:szCs w:val="16"/>
          <w:b w:val="1"/>
          <w:bCs w:val="1"/>
          <w:color w:val="00053B"/>
        </w:rPr>
        <w:t xml:space="preserve"> </w:t>
      </w:r>
      <w:r>
        <w:rPr>
          <w:rFonts w:ascii="Arial" w:cs="Arial" w:eastAsia="Arial" w:hAnsi="Arial"/>
          <w:sz w:val="16"/>
          <w:szCs w:val="16"/>
          <w:color w:val="00053B"/>
        </w:rPr>
        <w:t>disclosure of any such transactions pursuant to SEC rules.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00053B"/>
        </w:rPr>
        <w:t>We believe these updates and practices represent strong corporate governance measures that are in the best interests of our company and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7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462915</wp:posOffset>
            </wp:positionV>
            <wp:extent cx="7115175"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1"/>
          <w:szCs w:val="11"/>
          <w:color w:val="00053B"/>
        </w:rPr>
        <w:t xml:space="preserve">PROXY SUMMARY | </w:t>
      </w:r>
      <w:r>
        <w:rPr>
          <w:rFonts w:ascii="Arial" w:cs="Arial" w:eastAsia="Arial" w:hAnsi="Arial"/>
          <w:sz w:val="11"/>
          <w:szCs w:val="11"/>
          <w:b w:val="1"/>
          <w:bCs w:val="1"/>
          <w:color w:val="00053B"/>
        </w:rPr>
        <w:t>EXECUTIVE COMPENSATION HIGHLIGHTS</w:t>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Executive Compensation Highlights</w:t>
      </w:r>
    </w:p>
    <w:p>
      <w:pPr>
        <w:spacing w:after="0" w:line="61" w:lineRule="exact"/>
        <w:rPr>
          <w:sz w:val="20"/>
          <w:szCs w:val="20"/>
          <w:color w:val="auto"/>
        </w:rPr>
      </w:pPr>
    </w:p>
    <w:p>
      <w:pPr>
        <w:spacing w:after="0" w:line="286" w:lineRule="auto"/>
        <w:rPr>
          <w:sz w:val="20"/>
          <w:szCs w:val="20"/>
          <w:color w:val="auto"/>
        </w:rPr>
      </w:pPr>
      <w:r>
        <w:rPr>
          <w:rFonts w:ascii="Arial" w:cs="Arial" w:eastAsia="Arial" w:hAnsi="Arial"/>
          <w:sz w:val="16"/>
          <w:szCs w:val="16"/>
          <w:color w:val="00053B"/>
        </w:rPr>
        <w:t>Commvault’s executive compensation program is designed to support our long-term strategic vision and to align with our pay-for-performance philosophy. As shown below, a significant amount of our executives’ direct compensation is long-term and varies based on company performance.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CEO COMPENSATION PAY MIX</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260" w:type="dxa"/>
            <w:vAlign w:val="bottom"/>
            <w:tcBorders>
              <w:bottom w:val="single" w:sz="8" w:color="00053B"/>
            </w:tcBorders>
            <w:shd w:val="clear" w:color="auto" w:fill="00053B"/>
          </w:tcPr>
          <w:p>
            <w:pPr>
              <w:ind w:left="20"/>
              <w:spacing w:after="0"/>
              <w:rPr>
                <w:sz w:val="20"/>
                <w:szCs w:val="20"/>
                <w:color w:val="auto"/>
              </w:rPr>
            </w:pPr>
            <w:r>
              <w:rPr>
                <w:rFonts w:ascii="Arial" w:cs="Arial" w:eastAsia="Arial" w:hAnsi="Arial"/>
                <w:sz w:val="20"/>
                <w:szCs w:val="20"/>
                <w:b w:val="1"/>
                <w:bCs w:val="1"/>
                <w:color w:val="FFFFFF"/>
              </w:rPr>
              <w:t>6%</w:t>
            </w:r>
          </w:p>
        </w:tc>
        <w:tc>
          <w:tcPr>
            <w:tcW w:w="3320" w:type="dxa"/>
            <w:vAlign w:val="bottom"/>
            <w:tcBorders>
              <w:bottom w:val="single" w:sz="8" w:color="844896"/>
            </w:tcBorders>
            <w:shd w:val="clear" w:color="auto" w:fill="EAEAEA"/>
          </w:tcPr>
          <w:p>
            <w:pPr>
              <w:spacing w:after="0"/>
              <w:rPr>
                <w:sz w:val="20"/>
                <w:szCs w:val="20"/>
                <w:color w:val="auto"/>
              </w:rPr>
            </w:pPr>
            <w:r>
              <w:rPr>
                <w:rFonts w:ascii="Arial" w:cs="Arial" w:eastAsia="Arial" w:hAnsi="Arial"/>
                <w:sz w:val="20"/>
                <w:szCs w:val="20"/>
                <w:b w:val="1"/>
                <w:bCs w:val="1"/>
                <w:color w:val="00053B"/>
              </w:rPr>
              <w:t>88%</w:t>
            </w:r>
          </w:p>
        </w:tc>
        <w:tc>
          <w:tcPr>
            <w:tcW w:w="2920" w:type="dxa"/>
            <w:vAlign w:val="bottom"/>
            <w:tcBorders>
              <w:bottom w:val="single" w:sz="8" w:color="844896"/>
            </w:tcBorders>
            <w:shd w:val="clear" w:color="auto" w:fill="EAEAEA"/>
          </w:tcPr>
          <w:p>
            <w:pPr>
              <w:spacing w:after="0"/>
              <w:rPr>
                <w:sz w:val="22"/>
                <w:szCs w:val="22"/>
                <w:color w:val="auto"/>
              </w:rPr>
            </w:pPr>
          </w:p>
        </w:tc>
        <w:tc>
          <w:tcPr>
            <w:tcW w:w="2240" w:type="dxa"/>
            <w:vAlign w:val="bottom"/>
            <w:tcBorders>
              <w:bottom w:val="single" w:sz="8" w:color="844896"/>
              <w:right w:val="single" w:sz="8" w:color="D9DAE2"/>
            </w:tcBorders>
            <w:shd w:val="clear" w:color="auto" w:fill="EAEAEA"/>
          </w:tcPr>
          <w:p>
            <w:pPr>
              <w:spacing w:after="0"/>
              <w:rPr>
                <w:sz w:val="22"/>
                <w:szCs w:val="22"/>
                <w:color w:val="auto"/>
              </w:rPr>
            </w:pPr>
          </w:p>
        </w:tc>
        <w:tc>
          <w:tcPr>
            <w:tcW w:w="620" w:type="dxa"/>
            <w:vAlign w:val="bottom"/>
            <w:tcBorders>
              <w:bottom w:val="single" w:sz="8" w:color="844896"/>
            </w:tcBorders>
            <w:shd w:val="clear" w:color="auto" w:fill="EAEAEA"/>
          </w:tcPr>
          <w:p>
            <w:pPr>
              <w:ind w:left="20"/>
              <w:spacing w:after="0"/>
              <w:rPr>
                <w:sz w:val="20"/>
                <w:szCs w:val="20"/>
                <w:color w:val="auto"/>
              </w:rPr>
            </w:pPr>
            <w:r>
              <w:rPr>
                <w:rFonts w:ascii="Arial" w:cs="Arial" w:eastAsia="Arial" w:hAnsi="Arial"/>
                <w:sz w:val="20"/>
                <w:szCs w:val="20"/>
                <w:b w:val="1"/>
                <w:bCs w:val="1"/>
                <w:color w:val="00053B"/>
              </w:rPr>
              <w:t>6%</w:t>
            </w:r>
          </w:p>
        </w:tc>
        <w:tc>
          <w:tcPr>
            <w:tcW w:w="820" w:type="dxa"/>
            <w:vAlign w:val="bottom"/>
            <w:tcBorders>
              <w:bottom w:val="single" w:sz="8" w:color="844896"/>
            </w:tcBorders>
            <w:shd w:val="clear" w:color="auto" w:fill="EAEAEA"/>
          </w:tcPr>
          <w:p>
            <w:pPr>
              <w:spacing w:after="0"/>
              <w:rPr>
                <w:sz w:val="22"/>
                <w:szCs w:val="22"/>
                <w:color w:val="auto"/>
              </w:rPr>
            </w:pPr>
          </w:p>
        </w:tc>
      </w:tr>
      <w:tr>
        <w:trPr>
          <w:trHeight w:val="123"/>
        </w:trPr>
        <w:tc>
          <w:tcPr>
            <w:tcW w:w="1260" w:type="dxa"/>
            <w:vAlign w:val="bottom"/>
            <w:shd w:val="clear" w:color="auto" w:fill="00053B"/>
          </w:tcPr>
          <w:p>
            <w:pPr>
              <w:ind w:left="20"/>
              <w:spacing w:after="0" w:line="123" w:lineRule="exact"/>
              <w:rPr>
                <w:sz w:val="20"/>
                <w:szCs w:val="20"/>
                <w:color w:val="auto"/>
              </w:rPr>
            </w:pPr>
            <w:r>
              <w:rPr>
                <w:rFonts w:ascii="Arial" w:cs="Arial" w:eastAsia="Arial" w:hAnsi="Arial"/>
                <w:sz w:val="14"/>
                <w:szCs w:val="14"/>
                <w:color w:val="FFFFFF"/>
              </w:rPr>
              <w:t>Base Salary</w:t>
            </w:r>
          </w:p>
        </w:tc>
        <w:tc>
          <w:tcPr>
            <w:tcW w:w="3320" w:type="dxa"/>
            <w:vAlign w:val="bottom"/>
          </w:tcPr>
          <w:p>
            <w:pPr>
              <w:spacing w:after="0" w:line="123" w:lineRule="exact"/>
              <w:rPr>
                <w:sz w:val="20"/>
                <w:szCs w:val="20"/>
                <w:color w:val="auto"/>
              </w:rPr>
            </w:pPr>
            <w:r>
              <w:rPr>
                <w:rFonts w:ascii="Arial" w:cs="Arial" w:eastAsia="Arial" w:hAnsi="Arial"/>
                <w:sz w:val="13"/>
                <w:szCs w:val="13"/>
                <w:color w:val="00053B"/>
              </w:rPr>
              <w:t>Equity Performance Awards(1)</w:t>
            </w:r>
          </w:p>
        </w:tc>
        <w:tc>
          <w:tcPr>
            <w:tcW w:w="2920" w:type="dxa"/>
            <w:vAlign w:val="bottom"/>
          </w:tcPr>
          <w:p>
            <w:pPr>
              <w:spacing w:after="0"/>
              <w:rPr>
                <w:sz w:val="10"/>
                <w:szCs w:val="10"/>
                <w:color w:val="auto"/>
              </w:rPr>
            </w:pPr>
          </w:p>
        </w:tc>
        <w:tc>
          <w:tcPr>
            <w:tcW w:w="2240" w:type="dxa"/>
            <w:vAlign w:val="bottom"/>
            <w:tcBorders>
              <w:right w:val="single" w:sz="8" w:color="D9DAE2"/>
            </w:tcBorders>
          </w:tcPr>
          <w:p>
            <w:pPr>
              <w:spacing w:after="0"/>
              <w:rPr>
                <w:sz w:val="10"/>
                <w:szCs w:val="10"/>
                <w:color w:val="auto"/>
              </w:rPr>
            </w:pPr>
          </w:p>
        </w:tc>
        <w:tc>
          <w:tcPr>
            <w:tcW w:w="1440" w:type="dxa"/>
            <w:vAlign w:val="bottom"/>
            <w:gridSpan w:val="2"/>
          </w:tcPr>
          <w:p>
            <w:pPr>
              <w:ind w:left="20"/>
              <w:spacing w:after="0" w:line="123" w:lineRule="exact"/>
              <w:rPr>
                <w:sz w:val="20"/>
                <w:szCs w:val="20"/>
                <w:color w:val="auto"/>
              </w:rPr>
            </w:pPr>
            <w:r>
              <w:rPr>
                <w:rFonts w:ascii="Arial" w:cs="Arial" w:eastAsia="Arial" w:hAnsi="Arial"/>
                <w:sz w:val="13"/>
                <w:szCs w:val="13"/>
                <w:color w:val="00053B"/>
              </w:rPr>
              <w:t>Cash Performance</w:t>
            </w:r>
          </w:p>
        </w:tc>
      </w:tr>
      <w:tr>
        <w:trPr>
          <w:trHeight w:val="166"/>
        </w:trPr>
        <w:tc>
          <w:tcPr>
            <w:tcW w:w="1260" w:type="dxa"/>
            <w:vAlign w:val="bottom"/>
            <w:shd w:val="clear" w:color="auto" w:fill="00053B"/>
          </w:tcPr>
          <w:p>
            <w:pPr>
              <w:spacing w:after="0"/>
              <w:rPr>
                <w:sz w:val="14"/>
                <w:szCs w:val="14"/>
                <w:color w:val="auto"/>
              </w:rPr>
            </w:pPr>
          </w:p>
        </w:tc>
        <w:tc>
          <w:tcPr>
            <w:tcW w:w="33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240" w:type="dxa"/>
            <w:vAlign w:val="bottom"/>
            <w:tcBorders>
              <w:right w:val="single" w:sz="8" w:color="D9DAE2"/>
            </w:tcBorders>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00053B"/>
              </w:rPr>
              <w:t>Bonus</w:t>
            </w:r>
          </w:p>
        </w:tc>
        <w:tc>
          <w:tcPr>
            <w:tcW w:w="820" w:type="dxa"/>
            <w:vAlign w:val="bottom"/>
          </w:tcPr>
          <w:p>
            <w:pPr>
              <w:spacing w:after="0"/>
              <w:rPr>
                <w:sz w:val="14"/>
                <w:szCs w:val="14"/>
                <w:color w:val="auto"/>
              </w:rPr>
            </w:pPr>
          </w:p>
        </w:tc>
      </w:tr>
      <w:tr>
        <w:trPr>
          <w:trHeight w:val="123"/>
        </w:trPr>
        <w:tc>
          <w:tcPr>
            <w:tcW w:w="1260" w:type="dxa"/>
            <w:vAlign w:val="bottom"/>
            <w:shd w:val="clear" w:color="auto" w:fill="00053B"/>
          </w:tcPr>
          <w:p>
            <w:pPr>
              <w:spacing w:after="0"/>
              <w:rPr>
                <w:sz w:val="10"/>
                <w:szCs w:val="10"/>
                <w:color w:val="auto"/>
              </w:rPr>
            </w:pPr>
          </w:p>
        </w:tc>
        <w:tc>
          <w:tcPr>
            <w:tcW w:w="33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240" w:type="dxa"/>
            <w:vAlign w:val="bottom"/>
            <w:tcBorders>
              <w:right w:val="single" w:sz="8" w:color="D9DAE2"/>
            </w:tcBorders>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270"/>
        </w:trPr>
        <w:tc>
          <w:tcPr>
            <w:tcW w:w="1260" w:type="dxa"/>
            <w:vAlign w:val="bottom"/>
            <w:tcBorders>
              <w:bottom w:val="single" w:sz="8" w:color="00053B"/>
            </w:tcBorders>
            <w:shd w:val="clear" w:color="auto" w:fill="00053B"/>
          </w:tcPr>
          <w:p>
            <w:pPr>
              <w:spacing w:after="0"/>
              <w:rPr>
                <w:sz w:val="23"/>
                <w:szCs w:val="23"/>
                <w:color w:val="auto"/>
              </w:rPr>
            </w:pPr>
          </w:p>
        </w:tc>
        <w:tc>
          <w:tcPr>
            <w:tcW w:w="3320" w:type="dxa"/>
            <w:vAlign w:val="bottom"/>
            <w:tcBorders>
              <w:bottom w:val="single" w:sz="8" w:color="844896"/>
            </w:tcBorders>
            <w:shd w:val="clear" w:color="auto" w:fill="EAEAEA"/>
          </w:tcPr>
          <w:p>
            <w:pPr>
              <w:spacing w:after="0"/>
              <w:rPr>
                <w:sz w:val="20"/>
                <w:szCs w:val="20"/>
                <w:color w:val="auto"/>
              </w:rPr>
            </w:pPr>
            <w:r>
              <w:rPr>
                <w:rFonts w:ascii="Arial" w:cs="Arial" w:eastAsia="Arial" w:hAnsi="Arial"/>
                <w:sz w:val="20"/>
                <w:szCs w:val="20"/>
                <w:b w:val="1"/>
                <w:bCs w:val="1"/>
                <w:color w:val="00053B"/>
              </w:rPr>
              <w:t>50%</w:t>
            </w:r>
          </w:p>
        </w:tc>
        <w:tc>
          <w:tcPr>
            <w:tcW w:w="2920" w:type="dxa"/>
            <w:vAlign w:val="bottom"/>
            <w:tcBorders>
              <w:bottom w:val="single" w:sz="8" w:color="844896"/>
            </w:tcBorders>
            <w:shd w:val="clear" w:color="auto" w:fill="EAEAEA"/>
          </w:tcPr>
          <w:p>
            <w:pPr>
              <w:ind w:left="920"/>
              <w:spacing w:after="0"/>
              <w:rPr>
                <w:sz w:val="20"/>
                <w:szCs w:val="20"/>
                <w:color w:val="auto"/>
              </w:rPr>
            </w:pPr>
            <w:r>
              <w:rPr>
                <w:rFonts w:ascii="Arial" w:cs="Arial" w:eastAsia="Arial" w:hAnsi="Arial"/>
                <w:sz w:val="20"/>
                <w:szCs w:val="20"/>
                <w:b w:val="1"/>
                <w:bCs w:val="1"/>
                <w:color w:val="00053B"/>
              </w:rPr>
              <w:t>25%</w:t>
            </w:r>
          </w:p>
        </w:tc>
        <w:tc>
          <w:tcPr>
            <w:tcW w:w="2240" w:type="dxa"/>
            <w:vAlign w:val="bottom"/>
            <w:tcBorders>
              <w:bottom w:val="single" w:sz="8" w:color="844896"/>
              <w:right w:val="single" w:sz="8" w:color="D9DAE2"/>
            </w:tcBorders>
            <w:shd w:val="clear" w:color="auto" w:fill="EAEAEA"/>
          </w:tcPr>
          <w:p>
            <w:pPr>
              <w:ind w:left="120"/>
              <w:spacing w:after="0"/>
              <w:rPr>
                <w:sz w:val="20"/>
                <w:szCs w:val="20"/>
                <w:color w:val="auto"/>
              </w:rPr>
            </w:pPr>
            <w:r>
              <w:rPr>
                <w:rFonts w:ascii="Arial" w:cs="Arial" w:eastAsia="Arial" w:hAnsi="Arial"/>
                <w:sz w:val="20"/>
                <w:szCs w:val="20"/>
                <w:b w:val="1"/>
                <w:bCs w:val="1"/>
                <w:color w:val="00053B"/>
              </w:rPr>
              <w:t>25%</w:t>
            </w:r>
          </w:p>
        </w:tc>
        <w:tc>
          <w:tcPr>
            <w:tcW w:w="620" w:type="dxa"/>
            <w:vAlign w:val="bottom"/>
            <w:tcBorders>
              <w:bottom w:val="single" w:sz="8" w:color="844896"/>
            </w:tcBorders>
            <w:shd w:val="clear" w:color="auto" w:fill="EAEAEA"/>
          </w:tcPr>
          <w:p>
            <w:pPr>
              <w:ind w:left="20"/>
              <w:spacing w:after="0"/>
              <w:rPr>
                <w:sz w:val="20"/>
                <w:szCs w:val="20"/>
                <w:color w:val="auto"/>
              </w:rPr>
            </w:pPr>
            <w:r>
              <w:rPr>
                <w:rFonts w:ascii="Arial" w:cs="Arial" w:eastAsia="Arial" w:hAnsi="Arial"/>
                <w:sz w:val="20"/>
                <w:szCs w:val="20"/>
                <w:b w:val="1"/>
                <w:bCs w:val="1"/>
                <w:color w:val="00053B"/>
              </w:rPr>
              <w:t>60%</w:t>
            </w:r>
          </w:p>
        </w:tc>
        <w:tc>
          <w:tcPr>
            <w:tcW w:w="820" w:type="dxa"/>
            <w:vAlign w:val="bottom"/>
            <w:tcBorders>
              <w:bottom w:val="single" w:sz="8" w:color="844896"/>
            </w:tcBorders>
            <w:shd w:val="clear" w:color="auto" w:fill="EAEAEA"/>
          </w:tcPr>
          <w:p>
            <w:pPr>
              <w:ind w:left="80"/>
              <w:spacing w:after="0"/>
              <w:rPr>
                <w:sz w:val="20"/>
                <w:szCs w:val="20"/>
                <w:color w:val="auto"/>
              </w:rPr>
            </w:pPr>
            <w:r>
              <w:rPr>
                <w:rFonts w:ascii="Arial" w:cs="Arial" w:eastAsia="Arial" w:hAnsi="Arial"/>
                <w:sz w:val="20"/>
                <w:szCs w:val="20"/>
                <w:b w:val="1"/>
                <w:bCs w:val="1"/>
                <w:color w:val="00053B"/>
              </w:rPr>
              <w:t>40%</w:t>
            </w:r>
          </w:p>
        </w:tc>
      </w:tr>
      <w:tr>
        <w:trPr>
          <w:trHeight w:val="115"/>
        </w:trPr>
        <w:tc>
          <w:tcPr>
            <w:tcW w:w="1260" w:type="dxa"/>
            <w:vAlign w:val="bottom"/>
            <w:shd w:val="clear" w:color="auto" w:fill="00053B"/>
          </w:tcPr>
          <w:p>
            <w:pPr>
              <w:spacing w:after="0"/>
              <w:rPr>
                <w:sz w:val="10"/>
                <w:szCs w:val="10"/>
                <w:color w:val="auto"/>
              </w:rPr>
            </w:pPr>
          </w:p>
        </w:tc>
        <w:tc>
          <w:tcPr>
            <w:tcW w:w="3320" w:type="dxa"/>
            <w:vAlign w:val="bottom"/>
          </w:tcPr>
          <w:p>
            <w:pPr>
              <w:spacing w:after="0" w:line="115" w:lineRule="exact"/>
              <w:rPr>
                <w:sz w:val="20"/>
                <w:szCs w:val="20"/>
                <w:color w:val="auto"/>
              </w:rPr>
            </w:pPr>
            <w:r>
              <w:rPr>
                <w:rFonts w:ascii="Arial" w:cs="Arial" w:eastAsia="Arial" w:hAnsi="Arial"/>
                <w:sz w:val="13"/>
                <w:szCs w:val="13"/>
                <w:color w:val="00053B"/>
              </w:rPr>
              <w:t>Time-based restricted stock units (“RSUs”)</w:t>
            </w:r>
          </w:p>
        </w:tc>
        <w:tc>
          <w:tcPr>
            <w:tcW w:w="2920" w:type="dxa"/>
            <w:vAlign w:val="bottom"/>
          </w:tcPr>
          <w:p>
            <w:pPr>
              <w:ind w:left="920"/>
              <w:spacing w:after="0" w:line="115" w:lineRule="exact"/>
              <w:rPr>
                <w:sz w:val="20"/>
                <w:szCs w:val="20"/>
                <w:color w:val="auto"/>
              </w:rPr>
            </w:pPr>
            <w:r>
              <w:rPr>
                <w:rFonts w:ascii="Arial" w:cs="Arial" w:eastAsia="Arial" w:hAnsi="Arial"/>
                <w:sz w:val="13"/>
                <w:szCs w:val="13"/>
                <w:color w:val="00053B"/>
              </w:rPr>
              <w:t>Financial performance stock units</w:t>
            </w:r>
          </w:p>
        </w:tc>
        <w:tc>
          <w:tcPr>
            <w:tcW w:w="2240" w:type="dxa"/>
            <w:vAlign w:val="bottom"/>
            <w:tcBorders>
              <w:right w:val="single" w:sz="8" w:color="D9DAE2"/>
            </w:tcBorders>
          </w:tcPr>
          <w:p>
            <w:pPr>
              <w:ind w:left="120"/>
              <w:spacing w:after="0" w:line="115" w:lineRule="exact"/>
              <w:rPr>
                <w:sz w:val="20"/>
                <w:szCs w:val="20"/>
                <w:color w:val="auto"/>
              </w:rPr>
            </w:pPr>
            <w:r>
              <w:rPr>
                <w:rFonts w:ascii="Arial" w:cs="Arial" w:eastAsia="Arial" w:hAnsi="Arial"/>
                <w:sz w:val="13"/>
                <w:szCs w:val="13"/>
                <w:color w:val="00053B"/>
              </w:rPr>
              <w:t>Relative Total Shareholder Return</w:t>
            </w:r>
          </w:p>
        </w:tc>
        <w:tc>
          <w:tcPr>
            <w:tcW w:w="620" w:type="dxa"/>
            <w:vAlign w:val="bottom"/>
          </w:tcPr>
          <w:p>
            <w:pPr>
              <w:ind w:left="20"/>
              <w:spacing w:after="0" w:line="115" w:lineRule="exact"/>
              <w:rPr>
                <w:sz w:val="20"/>
                <w:szCs w:val="20"/>
                <w:color w:val="auto"/>
              </w:rPr>
            </w:pPr>
            <w:r>
              <w:rPr>
                <w:rFonts w:ascii="Arial" w:cs="Arial" w:eastAsia="Arial" w:hAnsi="Arial"/>
                <w:sz w:val="13"/>
                <w:szCs w:val="13"/>
                <w:color w:val="00053B"/>
              </w:rPr>
              <w:t>Revenue</w:t>
            </w:r>
          </w:p>
        </w:tc>
        <w:tc>
          <w:tcPr>
            <w:tcW w:w="820" w:type="dxa"/>
            <w:vAlign w:val="bottom"/>
          </w:tcPr>
          <w:p>
            <w:pPr>
              <w:ind w:left="80"/>
              <w:spacing w:after="0" w:line="115" w:lineRule="exact"/>
              <w:rPr>
                <w:sz w:val="20"/>
                <w:szCs w:val="20"/>
                <w:color w:val="auto"/>
              </w:rPr>
            </w:pPr>
            <w:r>
              <w:rPr>
                <w:rFonts w:ascii="Arial" w:cs="Arial" w:eastAsia="Arial" w:hAnsi="Arial"/>
                <w:sz w:val="13"/>
                <w:szCs w:val="13"/>
                <w:color w:val="00053B"/>
              </w:rPr>
              <w:t>Non-GAAP</w:t>
            </w:r>
          </w:p>
        </w:tc>
      </w:tr>
      <w:tr>
        <w:trPr>
          <w:trHeight w:val="166"/>
        </w:trPr>
        <w:tc>
          <w:tcPr>
            <w:tcW w:w="1260" w:type="dxa"/>
            <w:vAlign w:val="bottom"/>
            <w:shd w:val="clear" w:color="auto" w:fill="00053B"/>
          </w:tcPr>
          <w:p>
            <w:pPr>
              <w:spacing w:after="0"/>
              <w:rPr>
                <w:sz w:val="14"/>
                <w:szCs w:val="14"/>
                <w:color w:val="auto"/>
              </w:rPr>
            </w:pPr>
          </w:p>
        </w:tc>
        <w:tc>
          <w:tcPr>
            <w:tcW w:w="3320" w:type="dxa"/>
            <w:vAlign w:val="bottom"/>
          </w:tcPr>
          <w:p>
            <w:pPr>
              <w:spacing w:after="0"/>
              <w:rPr>
                <w:sz w:val="14"/>
                <w:szCs w:val="14"/>
                <w:color w:val="auto"/>
              </w:rPr>
            </w:pPr>
          </w:p>
        </w:tc>
        <w:tc>
          <w:tcPr>
            <w:tcW w:w="2920" w:type="dxa"/>
            <w:vAlign w:val="bottom"/>
          </w:tcPr>
          <w:p>
            <w:pPr>
              <w:ind w:left="920"/>
              <w:spacing w:after="0"/>
              <w:rPr>
                <w:sz w:val="20"/>
                <w:szCs w:val="20"/>
                <w:color w:val="auto"/>
              </w:rPr>
            </w:pPr>
            <w:r>
              <w:rPr>
                <w:rFonts w:ascii="Arial" w:cs="Arial" w:eastAsia="Arial" w:hAnsi="Arial"/>
                <w:sz w:val="13"/>
                <w:szCs w:val="13"/>
                <w:color w:val="00053B"/>
              </w:rPr>
              <w:t>(“PSUs”)</w:t>
            </w:r>
          </w:p>
        </w:tc>
        <w:tc>
          <w:tcPr>
            <w:tcW w:w="2240" w:type="dxa"/>
            <w:vAlign w:val="bottom"/>
            <w:tcBorders>
              <w:right w:val="single" w:sz="8" w:color="D9DAE2"/>
            </w:tcBorders>
          </w:tcPr>
          <w:p>
            <w:pPr>
              <w:ind w:left="120"/>
              <w:spacing w:after="0"/>
              <w:rPr>
                <w:sz w:val="20"/>
                <w:szCs w:val="20"/>
                <w:color w:val="auto"/>
              </w:rPr>
            </w:pPr>
            <w:r>
              <w:rPr>
                <w:rFonts w:ascii="Arial" w:cs="Arial" w:eastAsia="Arial" w:hAnsi="Arial"/>
                <w:sz w:val="13"/>
                <w:szCs w:val="13"/>
                <w:color w:val="00053B"/>
              </w:rPr>
              <w:t>(“TSR”) PSUs</w:t>
            </w:r>
          </w:p>
        </w:tc>
        <w:tc>
          <w:tcPr>
            <w:tcW w:w="6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00053B"/>
              </w:rPr>
              <w:t>EBIT</w:t>
            </w:r>
          </w:p>
        </w:tc>
      </w:tr>
      <w:tr>
        <w:trPr>
          <w:trHeight w:val="131"/>
        </w:trPr>
        <w:tc>
          <w:tcPr>
            <w:tcW w:w="1260" w:type="dxa"/>
            <w:vAlign w:val="bottom"/>
            <w:shd w:val="clear" w:color="auto" w:fill="00053B"/>
          </w:tcPr>
          <w:p>
            <w:pPr>
              <w:spacing w:after="0"/>
              <w:rPr>
                <w:sz w:val="11"/>
                <w:szCs w:val="11"/>
                <w:color w:val="auto"/>
              </w:rPr>
            </w:pPr>
          </w:p>
        </w:tc>
        <w:tc>
          <w:tcPr>
            <w:tcW w:w="33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240" w:type="dxa"/>
            <w:vAlign w:val="bottom"/>
            <w:tcBorders>
              <w:right w:val="single" w:sz="8" w:color="D9DAE2"/>
            </w:tcBorders>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-273685</wp:posOffset>
            </wp:positionV>
            <wp:extent cx="3608705" cy="437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608705" cy="43751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-719455</wp:posOffset>
            </wp:positionV>
            <wp:extent cx="7969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ind w:left="7640"/>
        <w:spacing w:after="0"/>
        <w:rPr>
          <w:sz w:val="20"/>
          <w:szCs w:val="20"/>
          <w:color w:val="auto"/>
        </w:rPr>
      </w:pPr>
      <w:r>
        <w:rPr>
          <w:rFonts w:ascii="Arial" w:cs="Arial" w:eastAsia="Arial" w:hAnsi="Arial"/>
          <w:sz w:val="20"/>
          <w:szCs w:val="20"/>
          <w:b w:val="1"/>
          <w:bCs w:val="1"/>
          <w:color w:val="844896"/>
        </w:rPr>
        <w:t xml:space="preserve">50% </w:t>
      </w:r>
      <w:r>
        <w:rPr>
          <w:rFonts w:ascii="Arial" w:cs="Arial" w:eastAsia="Arial" w:hAnsi="Arial"/>
          <w:sz w:val="20"/>
          <w:szCs w:val="20"/>
          <w:color w:val="00053B"/>
        </w:rPr>
        <w:t>At Risk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17145</wp:posOffset>
            </wp:positionV>
            <wp:extent cx="36087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259" w:lineRule="exact"/>
        <w:rPr>
          <w:sz w:val="20"/>
          <w:szCs w:val="20"/>
          <w:color w:val="auto"/>
        </w:rPr>
      </w:pPr>
    </w:p>
    <w:p>
      <w:pPr>
        <w:ind w:left="900" w:hanging="244"/>
        <w:spacing w:after="0"/>
        <w:tabs>
          <w:tab w:leader="none" w:pos="900" w:val="left"/>
        </w:tabs>
        <w:numPr>
          <w:ilvl w:val="0"/>
          <w:numId w:val="10"/>
        </w:numPr>
        <w:rPr>
          <w:rFonts w:ascii="Arial" w:cs="Arial" w:eastAsia="Arial" w:hAnsi="Arial"/>
          <w:sz w:val="13"/>
          <w:szCs w:val="13"/>
          <w:color w:val="00053B"/>
        </w:rPr>
      </w:pPr>
      <w:r>
        <w:rPr>
          <w:rFonts w:ascii="Arial" w:cs="Arial" w:eastAsia="Arial" w:hAnsi="Arial"/>
          <w:sz w:val="13"/>
          <w:szCs w:val="13"/>
          <w:color w:val="00053B"/>
        </w:rPr>
        <w:t>See “Long-Term Equity Incentive Awards” in section “Fiscal 2024 Compensation Decisions” for more information.</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NEO COMPENSATION PAY MIX(1)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740" w:type="dxa"/>
            <w:vAlign w:val="bottom"/>
            <w:tcBorders>
              <w:bottom w:val="single" w:sz="8" w:color="00053B"/>
            </w:tcBorders>
            <w:shd w:val="clear" w:color="auto" w:fill="00053B"/>
          </w:tcPr>
          <w:p>
            <w:pPr>
              <w:spacing w:after="0"/>
              <w:rPr>
                <w:sz w:val="20"/>
                <w:szCs w:val="20"/>
                <w:color w:val="auto"/>
              </w:rPr>
            </w:pPr>
            <w:r>
              <w:rPr>
                <w:rFonts w:ascii="Arial" w:cs="Arial" w:eastAsia="Arial" w:hAnsi="Arial"/>
                <w:sz w:val="20"/>
                <w:szCs w:val="20"/>
                <w:b w:val="1"/>
                <w:bCs w:val="1"/>
                <w:color w:val="FFFFFF"/>
              </w:rPr>
              <w:t>12%</w:t>
            </w:r>
          </w:p>
        </w:tc>
        <w:tc>
          <w:tcPr>
            <w:tcW w:w="4000" w:type="dxa"/>
            <w:vAlign w:val="bottom"/>
            <w:tcBorders>
              <w:bottom w:val="single" w:sz="8" w:color="844896"/>
            </w:tcBorders>
            <w:shd w:val="clear" w:color="auto" w:fill="EAEAEA"/>
          </w:tcPr>
          <w:p>
            <w:pPr>
              <w:ind w:left="20"/>
              <w:spacing w:after="0"/>
              <w:rPr>
                <w:sz w:val="20"/>
                <w:szCs w:val="20"/>
                <w:color w:val="auto"/>
              </w:rPr>
            </w:pPr>
            <w:r>
              <w:rPr>
                <w:rFonts w:ascii="Arial" w:cs="Arial" w:eastAsia="Arial" w:hAnsi="Arial"/>
                <w:sz w:val="20"/>
                <w:szCs w:val="20"/>
                <w:b w:val="1"/>
                <w:bCs w:val="1"/>
                <w:color w:val="00053B"/>
              </w:rPr>
              <w:t>80%</w:t>
            </w:r>
          </w:p>
        </w:tc>
        <w:tc>
          <w:tcPr>
            <w:tcW w:w="1420" w:type="dxa"/>
            <w:vAlign w:val="bottom"/>
            <w:tcBorders>
              <w:bottom w:val="single" w:sz="8" w:color="844896"/>
            </w:tcBorders>
            <w:shd w:val="clear" w:color="auto" w:fill="EAEAEA"/>
          </w:tcPr>
          <w:p>
            <w:pPr>
              <w:spacing w:after="0"/>
              <w:rPr>
                <w:sz w:val="22"/>
                <w:szCs w:val="22"/>
                <w:color w:val="auto"/>
              </w:rPr>
            </w:pPr>
          </w:p>
        </w:tc>
        <w:tc>
          <w:tcPr>
            <w:tcW w:w="2560" w:type="dxa"/>
            <w:vAlign w:val="bottom"/>
            <w:tcBorders>
              <w:bottom w:val="single" w:sz="8" w:color="844896"/>
            </w:tcBorders>
            <w:shd w:val="clear" w:color="auto" w:fill="EAEAEA"/>
          </w:tcPr>
          <w:p>
            <w:pPr>
              <w:spacing w:after="0"/>
              <w:rPr>
                <w:sz w:val="22"/>
                <w:szCs w:val="22"/>
                <w:color w:val="auto"/>
              </w:rPr>
            </w:pPr>
          </w:p>
        </w:tc>
        <w:tc>
          <w:tcPr>
            <w:tcW w:w="640" w:type="dxa"/>
            <w:vAlign w:val="bottom"/>
            <w:tcBorders>
              <w:left w:val="single" w:sz="8" w:color="D9DAE2"/>
              <w:bottom w:val="single" w:sz="8" w:color="844896"/>
            </w:tcBorders>
            <w:shd w:val="clear" w:color="auto" w:fill="EAEAEA"/>
          </w:tcPr>
          <w:p>
            <w:pPr>
              <w:ind w:left="40"/>
              <w:spacing w:after="0"/>
              <w:rPr>
                <w:sz w:val="20"/>
                <w:szCs w:val="20"/>
                <w:color w:val="auto"/>
              </w:rPr>
            </w:pPr>
            <w:r>
              <w:rPr>
                <w:rFonts w:ascii="Arial" w:cs="Arial" w:eastAsia="Arial" w:hAnsi="Arial"/>
                <w:sz w:val="20"/>
                <w:szCs w:val="20"/>
                <w:b w:val="1"/>
                <w:bCs w:val="1"/>
                <w:color w:val="00053B"/>
              </w:rPr>
              <w:t>8%</w:t>
            </w:r>
          </w:p>
        </w:tc>
        <w:tc>
          <w:tcPr>
            <w:tcW w:w="820" w:type="dxa"/>
            <w:vAlign w:val="bottom"/>
            <w:tcBorders>
              <w:bottom w:val="single" w:sz="8" w:color="844896"/>
            </w:tcBorders>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123"/>
        </w:trPr>
        <w:tc>
          <w:tcPr>
            <w:tcW w:w="1740" w:type="dxa"/>
            <w:vAlign w:val="bottom"/>
            <w:shd w:val="clear" w:color="auto" w:fill="00053B"/>
          </w:tcPr>
          <w:p>
            <w:pPr>
              <w:spacing w:after="0" w:line="123" w:lineRule="exact"/>
              <w:rPr>
                <w:sz w:val="20"/>
                <w:szCs w:val="20"/>
                <w:color w:val="auto"/>
              </w:rPr>
            </w:pPr>
            <w:r>
              <w:rPr>
                <w:rFonts w:ascii="Arial" w:cs="Arial" w:eastAsia="Arial" w:hAnsi="Arial"/>
                <w:sz w:val="14"/>
                <w:szCs w:val="14"/>
                <w:color w:val="FFFFFF"/>
              </w:rPr>
              <w:t>Base Salary</w:t>
            </w:r>
          </w:p>
        </w:tc>
        <w:tc>
          <w:tcPr>
            <w:tcW w:w="4000" w:type="dxa"/>
            <w:vAlign w:val="bottom"/>
          </w:tcPr>
          <w:p>
            <w:pPr>
              <w:ind w:left="20"/>
              <w:spacing w:after="0" w:line="123" w:lineRule="exact"/>
              <w:rPr>
                <w:sz w:val="20"/>
                <w:szCs w:val="20"/>
                <w:color w:val="auto"/>
              </w:rPr>
            </w:pPr>
            <w:r>
              <w:rPr>
                <w:rFonts w:ascii="Arial" w:cs="Arial" w:eastAsia="Arial" w:hAnsi="Arial"/>
                <w:sz w:val="13"/>
                <w:szCs w:val="13"/>
                <w:color w:val="00053B"/>
              </w:rPr>
              <w:t>Equity Performance Awards</w:t>
            </w:r>
          </w:p>
        </w:tc>
        <w:tc>
          <w:tcPr>
            <w:tcW w:w="14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460" w:type="dxa"/>
            <w:vAlign w:val="bottom"/>
            <w:tcBorders>
              <w:left w:val="single" w:sz="8" w:color="D9DAE2"/>
            </w:tcBorders>
            <w:gridSpan w:val="2"/>
          </w:tcPr>
          <w:p>
            <w:pPr>
              <w:ind w:left="40"/>
              <w:spacing w:after="0" w:line="123" w:lineRule="exact"/>
              <w:rPr>
                <w:sz w:val="20"/>
                <w:szCs w:val="20"/>
                <w:color w:val="auto"/>
              </w:rPr>
            </w:pPr>
            <w:r>
              <w:rPr>
                <w:rFonts w:ascii="Arial" w:cs="Arial" w:eastAsia="Arial" w:hAnsi="Arial"/>
                <w:sz w:val="13"/>
                <w:szCs w:val="13"/>
                <w:color w:val="00053B"/>
              </w:rPr>
              <w:t>Cash Performance</w:t>
            </w:r>
          </w:p>
        </w:tc>
        <w:tc>
          <w:tcPr>
            <w:tcW w:w="0" w:type="dxa"/>
            <w:vAlign w:val="bottom"/>
          </w:tcPr>
          <w:p>
            <w:pPr>
              <w:spacing w:after="0"/>
              <w:rPr>
                <w:sz w:val="1"/>
                <w:szCs w:val="1"/>
                <w:color w:val="auto"/>
              </w:rPr>
            </w:pPr>
          </w:p>
        </w:tc>
      </w:tr>
      <w:tr>
        <w:trPr>
          <w:trHeight w:val="166"/>
        </w:trPr>
        <w:tc>
          <w:tcPr>
            <w:tcW w:w="1740" w:type="dxa"/>
            <w:vAlign w:val="bottom"/>
            <w:shd w:val="clear" w:color="auto" w:fill="00053B"/>
          </w:tcPr>
          <w:p>
            <w:pPr>
              <w:spacing w:after="0"/>
              <w:rPr>
                <w:sz w:val="14"/>
                <w:szCs w:val="14"/>
                <w:color w:val="auto"/>
              </w:rPr>
            </w:pPr>
          </w:p>
        </w:tc>
        <w:tc>
          <w:tcPr>
            <w:tcW w:w="4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40" w:type="dxa"/>
            <w:vAlign w:val="bottom"/>
            <w:tcBorders>
              <w:left w:val="single" w:sz="8" w:color="D9DAE2"/>
            </w:tcBorders>
          </w:tcPr>
          <w:p>
            <w:pPr>
              <w:ind w:left="40"/>
              <w:spacing w:after="0"/>
              <w:rPr>
                <w:sz w:val="20"/>
                <w:szCs w:val="20"/>
                <w:color w:val="auto"/>
              </w:rPr>
            </w:pPr>
            <w:r>
              <w:rPr>
                <w:rFonts w:ascii="Arial" w:cs="Arial" w:eastAsia="Arial" w:hAnsi="Arial"/>
                <w:sz w:val="13"/>
                <w:szCs w:val="13"/>
                <w:color w:val="00053B"/>
              </w:rPr>
              <w:t>Bonus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6"/>
        </w:trPr>
        <w:tc>
          <w:tcPr>
            <w:tcW w:w="1740" w:type="dxa"/>
            <w:vAlign w:val="bottom"/>
            <w:shd w:val="clear" w:color="auto" w:fill="00053B"/>
          </w:tcPr>
          <w:p>
            <w:pPr>
              <w:spacing w:after="0"/>
              <w:rPr>
                <w:sz w:val="4"/>
                <w:szCs w:val="4"/>
                <w:color w:val="auto"/>
              </w:rPr>
            </w:pPr>
          </w:p>
        </w:tc>
        <w:tc>
          <w:tcPr>
            <w:tcW w:w="40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640" w:type="dxa"/>
            <w:vAlign w:val="bottom"/>
            <w:tcBorders>
              <w:left w:val="single" w:sz="8" w:color="D9DAE2"/>
            </w:tcBorders>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740" w:type="dxa"/>
            <w:vAlign w:val="bottom"/>
            <w:tcBorders>
              <w:bottom w:val="single" w:sz="8" w:color="00053B"/>
            </w:tcBorders>
            <w:shd w:val="clear" w:color="auto" w:fill="00053B"/>
          </w:tcPr>
          <w:p>
            <w:pPr>
              <w:spacing w:after="0"/>
              <w:rPr>
                <w:sz w:val="24"/>
                <w:szCs w:val="24"/>
                <w:color w:val="auto"/>
              </w:rPr>
            </w:pPr>
          </w:p>
        </w:tc>
        <w:tc>
          <w:tcPr>
            <w:tcW w:w="4000" w:type="dxa"/>
            <w:vAlign w:val="bottom"/>
            <w:tcBorders>
              <w:bottom w:val="single" w:sz="8" w:color="844896"/>
            </w:tcBorders>
            <w:shd w:val="clear" w:color="auto" w:fill="EAEAEA"/>
          </w:tcPr>
          <w:p>
            <w:pPr>
              <w:ind w:left="20"/>
              <w:spacing w:after="0"/>
              <w:rPr>
                <w:sz w:val="20"/>
                <w:szCs w:val="20"/>
                <w:color w:val="auto"/>
              </w:rPr>
            </w:pPr>
            <w:r>
              <w:rPr>
                <w:rFonts w:ascii="Arial" w:cs="Arial" w:eastAsia="Arial" w:hAnsi="Arial"/>
                <w:sz w:val="20"/>
                <w:szCs w:val="20"/>
                <w:b w:val="1"/>
                <w:bCs w:val="1"/>
                <w:color w:val="00053B"/>
              </w:rPr>
              <w:t>50%</w:t>
            </w:r>
          </w:p>
        </w:tc>
        <w:tc>
          <w:tcPr>
            <w:tcW w:w="1420" w:type="dxa"/>
            <w:vAlign w:val="bottom"/>
            <w:tcBorders>
              <w:bottom w:val="single" w:sz="8" w:color="844896"/>
            </w:tcBorders>
            <w:shd w:val="clear" w:color="auto" w:fill="EAEAEA"/>
          </w:tcPr>
          <w:p>
            <w:pPr>
              <w:spacing w:after="0"/>
              <w:rPr>
                <w:sz w:val="20"/>
                <w:szCs w:val="20"/>
                <w:color w:val="auto"/>
              </w:rPr>
            </w:pPr>
            <w:r>
              <w:rPr>
                <w:rFonts w:ascii="Arial" w:cs="Arial" w:eastAsia="Arial" w:hAnsi="Arial"/>
                <w:sz w:val="20"/>
                <w:szCs w:val="20"/>
                <w:b w:val="1"/>
                <w:bCs w:val="1"/>
                <w:color w:val="00053B"/>
              </w:rPr>
              <w:t>25%</w:t>
            </w:r>
          </w:p>
        </w:tc>
        <w:tc>
          <w:tcPr>
            <w:tcW w:w="2560" w:type="dxa"/>
            <w:vAlign w:val="bottom"/>
            <w:tcBorders>
              <w:bottom w:val="single" w:sz="8" w:color="844896"/>
            </w:tcBorders>
            <w:shd w:val="clear" w:color="auto" w:fill="EAEAEA"/>
          </w:tcPr>
          <w:p>
            <w:pPr>
              <w:ind w:left="580"/>
              <w:spacing w:after="0"/>
              <w:rPr>
                <w:sz w:val="20"/>
                <w:szCs w:val="20"/>
                <w:color w:val="auto"/>
              </w:rPr>
            </w:pPr>
            <w:r>
              <w:rPr>
                <w:rFonts w:ascii="Arial" w:cs="Arial" w:eastAsia="Arial" w:hAnsi="Arial"/>
                <w:sz w:val="20"/>
                <w:szCs w:val="20"/>
                <w:b w:val="1"/>
                <w:bCs w:val="1"/>
                <w:color w:val="00053B"/>
              </w:rPr>
              <w:t>25%</w:t>
            </w:r>
          </w:p>
        </w:tc>
        <w:tc>
          <w:tcPr>
            <w:tcW w:w="640" w:type="dxa"/>
            <w:vAlign w:val="bottom"/>
            <w:tcBorders>
              <w:left w:val="single" w:sz="8" w:color="D9DAE2"/>
              <w:bottom w:val="single" w:sz="8" w:color="844896"/>
            </w:tcBorders>
            <w:shd w:val="clear" w:color="auto" w:fill="EAEAEA"/>
          </w:tcPr>
          <w:p>
            <w:pPr>
              <w:ind w:left="40"/>
              <w:spacing w:after="0"/>
              <w:rPr>
                <w:sz w:val="20"/>
                <w:szCs w:val="20"/>
                <w:color w:val="auto"/>
              </w:rPr>
            </w:pPr>
            <w:r>
              <w:rPr>
                <w:rFonts w:ascii="Arial" w:cs="Arial" w:eastAsia="Arial" w:hAnsi="Arial"/>
                <w:sz w:val="20"/>
                <w:szCs w:val="20"/>
                <w:b w:val="1"/>
                <w:bCs w:val="1"/>
                <w:color w:val="00053B"/>
              </w:rPr>
              <w:t>60%</w:t>
            </w:r>
          </w:p>
        </w:tc>
        <w:tc>
          <w:tcPr>
            <w:tcW w:w="820" w:type="dxa"/>
            <w:vAlign w:val="bottom"/>
            <w:tcBorders>
              <w:bottom w:val="single" w:sz="8" w:color="844896"/>
            </w:tcBorders>
            <w:shd w:val="clear" w:color="auto" w:fill="EAEAEA"/>
          </w:tcPr>
          <w:p>
            <w:pPr>
              <w:ind w:left="100"/>
              <w:spacing w:after="0"/>
              <w:rPr>
                <w:sz w:val="20"/>
                <w:szCs w:val="20"/>
                <w:color w:val="auto"/>
              </w:rPr>
            </w:pPr>
            <w:r>
              <w:rPr>
                <w:rFonts w:ascii="Arial" w:cs="Arial" w:eastAsia="Arial" w:hAnsi="Arial"/>
                <w:sz w:val="20"/>
                <w:szCs w:val="20"/>
                <w:b w:val="1"/>
                <w:bCs w:val="1"/>
                <w:color w:val="00053B"/>
              </w:rPr>
              <w:t>40%</w:t>
            </w:r>
          </w:p>
        </w:tc>
        <w:tc>
          <w:tcPr>
            <w:tcW w:w="0" w:type="dxa"/>
            <w:vAlign w:val="bottom"/>
          </w:tcPr>
          <w:p>
            <w:pPr>
              <w:spacing w:after="0"/>
              <w:rPr>
                <w:sz w:val="1"/>
                <w:szCs w:val="1"/>
                <w:color w:val="auto"/>
              </w:rPr>
            </w:pPr>
          </w:p>
        </w:tc>
      </w:tr>
      <w:tr>
        <w:trPr>
          <w:trHeight w:val="115"/>
        </w:trPr>
        <w:tc>
          <w:tcPr>
            <w:tcW w:w="1740" w:type="dxa"/>
            <w:vAlign w:val="bottom"/>
            <w:shd w:val="clear" w:color="auto" w:fill="00053B"/>
          </w:tcPr>
          <w:p>
            <w:pPr>
              <w:spacing w:after="0"/>
              <w:rPr>
                <w:sz w:val="10"/>
                <w:szCs w:val="10"/>
                <w:color w:val="auto"/>
              </w:rPr>
            </w:pPr>
          </w:p>
        </w:tc>
        <w:tc>
          <w:tcPr>
            <w:tcW w:w="4000" w:type="dxa"/>
            <w:vAlign w:val="bottom"/>
          </w:tcPr>
          <w:p>
            <w:pPr>
              <w:ind w:left="20"/>
              <w:spacing w:after="0" w:line="115" w:lineRule="exact"/>
              <w:rPr>
                <w:sz w:val="20"/>
                <w:szCs w:val="20"/>
                <w:color w:val="auto"/>
              </w:rPr>
            </w:pPr>
            <w:r>
              <w:rPr>
                <w:rFonts w:ascii="Arial" w:cs="Arial" w:eastAsia="Arial" w:hAnsi="Arial"/>
                <w:sz w:val="13"/>
                <w:szCs w:val="13"/>
                <w:color w:val="00053B"/>
              </w:rPr>
              <w:t>Time-based RSUs</w:t>
            </w:r>
          </w:p>
        </w:tc>
        <w:tc>
          <w:tcPr>
            <w:tcW w:w="1420" w:type="dxa"/>
            <w:vAlign w:val="bottom"/>
            <w:shd w:val="clear" w:color="auto" w:fill="F9F6FA"/>
          </w:tcPr>
          <w:p>
            <w:pPr>
              <w:spacing w:after="0" w:line="115" w:lineRule="exact"/>
              <w:rPr>
                <w:sz w:val="20"/>
                <w:szCs w:val="20"/>
                <w:color w:val="auto"/>
              </w:rPr>
            </w:pPr>
            <w:r>
              <w:rPr>
                <w:rFonts w:ascii="Arial" w:cs="Arial" w:eastAsia="Arial" w:hAnsi="Arial"/>
                <w:sz w:val="13"/>
                <w:szCs w:val="13"/>
                <w:color w:val="00053B"/>
              </w:rPr>
              <w:t>Financial PSUs</w:t>
            </w:r>
          </w:p>
        </w:tc>
        <w:tc>
          <w:tcPr>
            <w:tcW w:w="2560" w:type="dxa"/>
            <w:vAlign w:val="bottom"/>
            <w:shd w:val="clear" w:color="auto" w:fill="F9F6FA"/>
          </w:tcPr>
          <w:p>
            <w:pPr>
              <w:ind w:left="580"/>
              <w:spacing w:after="0" w:line="115" w:lineRule="exact"/>
              <w:rPr>
                <w:sz w:val="20"/>
                <w:szCs w:val="20"/>
                <w:color w:val="auto"/>
              </w:rPr>
            </w:pPr>
            <w:r>
              <w:rPr>
                <w:rFonts w:ascii="Arial" w:cs="Arial" w:eastAsia="Arial" w:hAnsi="Arial"/>
                <w:sz w:val="13"/>
                <w:szCs w:val="13"/>
                <w:color w:val="00053B"/>
              </w:rPr>
              <w:t>Relative TSR PSUs</w:t>
            </w:r>
          </w:p>
        </w:tc>
        <w:tc>
          <w:tcPr>
            <w:tcW w:w="640" w:type="dxa"/>
            <w:vAlign w:val="bottom"/>
            <w:tcBorders>
              <w:left w:val="single" w:sz="8" w:color="D9DAE2"/>
            </w:tcBorders>
            <w:shd w:val="clear" w:color="auto" w:fill="F9F6FA"/>
          </w:tcPr>
          <w:p>
            <w:pPr>
              <w:ind w:left="40"/>
              <w:spacing w:after="0" w:line="115" w:lineRule="exact"/>
              <w:rPr>
                <w:sz w:val="20"/>
                <w:szCs w:val="20"/>
                <w:color w:val="auto"/>
              </w:rPr>
            </w:pPr>
            <w:r>
              <w:rPr>
                <w:rFonts w:ascii="Arial" w:cs="Arial" w:eastAsia="Arial" w:hAnsi="Arial"/>
                <w:sz w:val="13"/>
                <w:szCs w:val="13"/>
                <w:color w:val="00053B"/>
              </w:rPr>
              <w:t>Revenue</w:t>
            </w:r>
          </w:p>
        </w:tc>
        <w:tc>
          <w:tcPr>
            <w:tcW w:w="820" w:type="dxa"/>
            <w:vAlign w:val="bottom"/>
            <w:shd w:val="clear" w:color="auto" w:fill="F9F6FA"/>
          </w:tcPr>
          <w:p>
            <w:pPr>
              <w:ind w:left="100"/>
              <w:spacing w:after="0" w:line="115" w:lineRule="exact"/>
              <w:rPr>
                <w:sz w:val="20"/>
                <w:szCs w:val="20"/>
                <w:color w:val="auto"/>
              </w:rPr>
            </w:pPr>
            <w:r>
              <w:rPr>
                <w:rFonts w:ascii="Arial" w:cs="Arial" w:eastAsia="Arial" w:hAnsi="Arial"/>
                <w:sz w:val="13"/>
                <w:szCs w:val="13"/>
                <w:color w:val="00053B"/>
              </w:rPr>
              <w:t>Non-GAAP</w:t>
            </w:r>
          </w:p>
        </w:tc>
        <w:tc>
          <w:tcPr>
            <w:tcW w:w="0" w:type="dxa"/>
            <w:vAlign w:val="bottom"/>
          </w:tcPr>
          <w:p>
            <w:pPr>
              <w:spacing w:after="0"/>
              <w:rPr>
                <w:sz w:val="1"/>
                <w:szCs w:val="1"/>
                <w:color w:val="auto"/>
              </w:rPr>
            </w:pPr>
          </w:p>
        </w:tc>
      </w:tr>
      <w:tr>
        <w:trPr>
          <w:trHeight w:val="166"/>
        </w:trPr>
        <w:tc>
          <w:tcPr>
            <w:tcW w:w="1740" w:type="dxa"/>
            <w:vAlign w:val="bottom"/>
            <w:shd w:val="clear" w:color="auto" w:fill="00053B"/>
          </w:tcPr>
          <w:p>
            <w:pPr>
              <w:spacing w:after="0"/>
              <w:rPr>
                <w:sz w:val="14"/>
                <w:szCs w:val="14"/>
                <w:color w:val="auto"/>
              </w:rPr>
            </w:pPr>
          </w:p>
        </w:tc>
        <w:tc>
          <w:tcPr>
            <w:tcW w:w="4000" w:type="dxa"/>
            <w:vAlign w:val="bottom"/>
          </w:tcPr>
          <w:p>
            <w:pPr>
              <w:spacing w:after="0"/>
              <w:rPr>
                <w:sz w:val="14"/>
                <w:szCs w:val="14"/>
                <w:color w:val="auto"/>
              </w:rPr>
            </w:pPr>
          </w:p>
        </w:tc>
        <w:tc>
          <w:tcPr>
            <w:tcW w:w="1420" w:type="dxa"/>
            <w:vAlign w:val="bottom"/>
            <w:shd w:val="clear" w:color="auto" w:fill="F9F6FA"/>
          </w:tcPr>
          <w:p>
            <w:pPr>
              <w:spacing w:after="0"/>
              <w:rPr>
                <w:sz w:val="14"/>
                <w:szCs w:val="14"/>
                <w:color w:val="auto"/>
              </w:rPr>
            </w:pPr>
          </w:p>
        </w:tc>
        <w:tc>
          <w:tcPr>
            <w:tcW w:w="2560" w:type="dxa"/>
            <w:vAlign w:val="bottom"/>
            <w:shd w:val="clear" w:color="auto" w:fill="F9F6FA"/>
          </w:tcPr>
          <w:p>
            <w:pPr>
              <w:spacing w:after="0"/>
              <w:rPr>
                <w:sz w:val="14"/>
                <w:szCs w:val="14"/>
                <w:color w:val="auto"/>
              </w:rPr>
            </w:pPr>
          </w:p>
        </w:tc>
        <w:tc>
          <w:tcPr>
            <w:tcW w:w="640" w:type="dxa"/>
            <w:vAlign w:val="bottom"/>
            <w:tcBorders>
              <w:left w:val="single" w:sz="8" w:color="D9DAE2"/>
            </w:tcBorders>
            <w:shd w:val="clear" w:color="auto" w:fill="F9F6FA"/>
          </w:tcPr>
          <w:p>
            <w:pPr>
              <w:spacing w:after="0"/>
              <w:rPr>
                <w:sz w:val="14"/>
                <w:szCs w:val="14"/>
                <w:color w:val="auto"/>
              </w:rPr>
            </w:pPr>
          </w:p>
        </w:tc>
        <w:tc>
          <w:tcPr>
            <w:tcW w:w="820" w:type="dxa"/>
            <w:vAlign w:val="bottom"/>
            <w:shd w:val="clear" w:color="auto" w:fill="F9F6FA"/>
          </w:tcPr>
          <w:p>
            <w:pPr>
              <w:ind w:left="100"/>
              <w:spacing w:after="0"/>
              <w:rPr>
                <w:sz w:val="20"/>
                <w:szCs w:val="20"/>
                <w:color w:val="auto"/>
              </w:rPr>
            </w:pPr>
            <w:r>
              <w:rPr>
                <w:rFonts w:ascii="Arial" w:cs="Arial" w:eastAsia="Arial" w:hAnsi="Arial"/>
                <w:sz w:val="13"/>
                <w:szCs w:val="13"/>
                <w:color w:val="00053B"/>
              </w:rPr>
              <w:t>EBIT</w:t>
            </w:r>
          </w:p>
        </w:tc>
        <w:tc>
          <w:tcPr>
            <w:tcW w:w="0" w:type="dxa"/>
            <w:vAlign w:val="bottom"/>
          </w:tcPr>
          <w:p>
            <w:pPr>
              <w:spacing w:after="0"/>
              <w:rPr>
                <w:sz w:val="1"/>
                <w:szCs w:val="1"/>
                <w:color w:val="auto"/>
              </w:rPr>
            </w:pPr>
          </w:p>
        </w:tc>
      </w:tr>
      <w:tr>
        <w:trPr>
          <w:trHeight w:val="131"/>
        </w:trPr>
        <w:tc>
          <w:tcPr>
            <w:tcW w:w="1740" w:type="dxa"/>
            <w:vAlign w:val="bottom"/>
            <w:shd w:val="clear" w:color="auto" w:fill="00053B"/>
          </w:tcPr>
          <w:p>
            <w:pPr>
              <w:spacing w:after="0"/>
              <w:rPr>
                <w:sz w:val="11"/>
                <w:szCs w:val="11"/>
                <w:color w:val="auto"/>
              </w:rPr>
            </w:pPr>
          </w:p>
        </w:tc>
        <w:tc>
          <w:tcPr>
            <w:tcW w:w="4000" w:type="dxa"/>
            <w:vAlign w:val="bottom"/>
          </w:tcPr>
          <w:p>
            <w:pPr>
              <w:spacing w:after="0"/>
              <w:rPr>
                <w:sz w:val="11"/>
                <w:szCs w:val="11"/>
                <w:color w:val="auto"/>
              </w:rPr>
            </w:pPr>
          </w:p>
        </w:tc>
        <w:tc>
          <w:tcPr>
            <w:tcW w:w="1420" w:type="dxa"/>
            <w:vAlign w:val="bottom"/>
            <w:shd w:val="clear" w:color="auto" w:fill="F9F6FA"/>
          </w:tcPr>
          <w:p>
            <w:pPr>
              <w:spacing w:after="0"/>
              <w:rPr>
                <w:sz w:val="11"/>
                <w:szCs w:val="11"/>
                <w:color w:val="auto"/>
              </w:rPr>
            </w:pPr>
          </w:p>
        </w:tc>
        <w:tc>
          <w:tcPr>
            <w:tcW w:w="2560" w:type="dxa"/>
            <w:vAlign w:val="bottom"/>
            <w:vMerge w:val="restart"/>
            <w:shd w:val="clear" w:color="auto" w:fill="F9F6FA"/>
          </w:tcPr>
          <w:p>
            <w:pPr>
              <w:ind w:left="560"/>
              <w:spacing w:after="0"/>
              <w:rPr>
                <w:sz w:val="20"/>
                <w:szCs w:val="20"/>
                <w:color w:val="auto"/>
              </w:rPr>
            </w:pPr>
            <w:r>
              <w:rPr>
                <w:rFonts w:ascii="Arial" w:cs="Arial" w:eastAsia="Arial" w:hAnsi="Arial"/>
                <w:sz w:val="20"/>
                <w:szCs w:val="20"/>
                <w:b w:val="1"/>
                <w:bCs w:val="1"/>
                <w:color w:val="844896"/>
              </w:rPr>
              <w:t>48</w:t>
            </w:r>
            <w:r>
              <w:rPr>
                <w:rFonts w:ascii="Arial" w:cs="Arial" w:eastAsia="Arial" w:hAnsi="Arial"/>
                <w:sz w:val="20"/>
                <w:szCs w:val="20"/>
                <w:color w:val="844896"/>
              </w:rPr>
              <w:t>%</w:t>
            </w:r>
            <w:r>
              <w:rPr>
                <w:rFonts w:ascii="Arial" w:cs="Arial" w:eastAsia="Arial" w:hAnsi="Arial"/>
                <w:sz w:val="20"/>
                <w:szCs w:val="20"/>
                <w:b w:val="1"/>
                <w:bCs w:val="1"/>
                <w:color w:val="844896"/>
              </w:rPr>
              <w:t xml:space="preserve"> </w:t>
            </w:r>
            <w:r>
              <w:rPr>
                <w:rFonts w:ascii="Arial" w:cs="Arial" w:eastAsia="Arial" w:hAnsi="Arial"/>
                <w:sz w:val="20"/>
                <w:szCs w:val="20"/>
                <w:color w:val="00053B"/>
              </w:rPr>
              <w:t>At Risk Pay</w:t>
            </w:r>
          </w:p>
        </w:tc>
        <w:tc>
          <w:tcPr>
            <w:tcW w:w="640" w:type="dxa"/>
            <w:vAlign w:val="bottom"/>
            <w:tcBorders>
              <w:left w:val="single" w:sz="8" w:color="D9DAE2"/>
            </w:tcBorders>
            <w:shd w:val="clear" w:color="auto" w:fill="F9F6FA"/>
          </w:tcPr>
          <w:p>
            <w:pPr>
              <w:spacing w:after="0"/>
              <w:rPr>
                <w:sz w:val="11"/>
                <w:szCs w:val="11"/>
                <w:color w:val="auto"/>
              </w:rPr>
            </w:pPr>
          </w:p>
        </w:tc>
        <w:tc>
          <w:tcPr>
            <w:tcW w:w="820" w:type="dxa"/>
            <w:vAlign w:val="bottom"/>
            <w:shd w:val="clear" w:color="auto" w:fill="F9F6FA"/>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1420" w:type="dxa"/>
            <w:vAlign w:val="bottom"/>
            <w:tcBorders>
              <w:bottom w:val="single" w:sz="8" w:color="844896"/>
            </w:tcBorders>
            <w:shd w:val="clear" w:color="auto" w:fill="F9F6FA"/>
          </w:tcPr>
          <w:p>
            <w:pPr>
              <w:spacing w:after="0"/>
              <w:rPr>
                <w:sz w:val="22"/>
                <w:szCs w:val="22"/>
                <w:color w:val="auto"/>
              </w:rPr>
            </w:pPr>
          </w:p>
        </w:tc>
        <w:tc>
          <w:tcPr>
            <w:tcW w:w="2560" w:type="dxa"/>
            <w:vAlign w:val="bottom"/>
            <w:tcBorders>
              <w:bottom w:val="single" w:sz="8" w:color="844896"/>
            </w:tcBorders>
            <w:vMerge w:val="continue"/>
            <w:shd w:val="clear" w:color="auto" w:fill="F9F6FA"/>
          </w:tcPr>
          <w:p>
            <w:pPr>
              <w:spacing w:after="0"/>
              <w:rPr>
                <w:sz w:val="22"/>
                <w:szCs w:val="22"/>
                <w:color w:val="auto"/>
              </w:rPr>
            </w:pPr>
          </w:p>
        </w:tc>
        <w:tc>
          <w:tcPr>
            <w:tcW w:w="640" w:type="dxa"/>
            <w:vAlign w:val="bottom"/>
            <w:tcBorders>
              <w:left w:val="single" w:sz="8" w:color="F9F6FA"/>
              <w:bottom w:val="single" w:sz="8" w:color="844896"/>
            </w:tcBorders>
            <w:shd w:val="clear" w:color="auto" w:fill="F9F6FA"/>
          </w:tcPr>
          <w:p>
            <w:pPr>
              <w:spacing w:after="0"/>
              <w:rPr>
                <w:sz w:val="22"/>
                <w:szCs w:val="22"/>
                <w:color w:val="auto"/>
              </w:rPr>
            </w:pPr>
          </w:p>
        </w:tc>
        <w:tc>
          <w:tcPr>
            <w:tcW w:w="820" w:type="dxa"/>
            <w:vAlign w:val="bottom"/>
            <w:tcBorders>
              <w:bottom w:val="single" w:sz="8" w:color="844896"/>
            </w:tcBorders>
            <w:shd w:val="clear" w:color="auto" w:fill="F9F6FA"/>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-882015</wp:posOffset>
            </wp:positionV>
            <wp:extent cx="11144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32" w:lineRule="exact"/>
        <w:rPr>
          <w:sz w:val="20"/>
          <w:szCs w:val="20"/>
          <w:color w:val="auto"/>
        </w:rPr>
      </w:pPr>
    </w:p>
    <w:p>
      <w:pPr>
        <w:ind w:left="900" w:hanging="244"/>
        <w:spacing w:after="0"/>
        <w:tabs>
          <w:tab w:leader="none" w:pos="900" w:val="left"/>
        </w:tabs>
        <w:numPr>
          <w:ilvl w:val="0"/>
          <w:numId w:val="11"/>
        </w:numPr>
        <w:rPr>
          <w:rFonts w:ascii="Arial" w:cs="Arial" w:eastAsia="Arial" w:hAnsi="Arial"/>
          <w:sz w:val="13"/>
          <w:szCs w:val="13"/>
          <w:color w:val="00053B"/>
        </w:rPr>
      </w:pPr>
      <w:r>
        <w:rPr>
          <w:rFonts w:ascii="Arial" w:cs="Arial" w:eastAsia="Arial" w:hAnsi="Arial"/>
          <w:sz w:val="13"/>
          <w:szCs w:val="13"/>
          <w:color w:val="00053B"/>
        </w:rPr>
        <w:t>Named executive officer (“NEO”) compensation pay mix represents our Chief Financial Officer (“CFO”), Mr. Gary Merrill.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8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462915</wp:posOffset>
            </wp:positionV>
            <wp:extent cx="7115175" cy="1028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1"/>
          <w:szCs w:val="11"/>
          <w:color w:val="00053B"/>
        </w:rPr>
        <w:t xml:space="preserve">PROXY SUMMARY | </w:t>
      </w:r>
      <w:r>
        <w:rPr>
          <w:rFonts w:ascii="Arial" w:cs="Arial" w:eastAsia="Arial" w:hAnsi="Arial"/>
          <w:sz w:val="11"/>
          <w:szCs w:val="11"/>
          <w:b w:val="1"/>
          <w:bCs w:val="1"/>
          <w:color w:val="00053B"/>
        </w:rPr>
        <w:t>ENVIRONMENTAL, SOCIAL, AND GOVERNANCE DEVELOPMENTS</w:t>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Environmental, Social, and Governance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184785</wp:posOffset>
            </wp:positionV>
            <wp:extent cx="7106285" cy="1697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06285" cy="16973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844896"/>
        </w:rPr>
        <w:t>CLIMATE ACTION AND RESILIENCY</w:t>
      </w:r>
    </w:p>
    <w:p>
      <w:pPr>
        <w:spacing w:after="0" w:line="68" w:lineRule="exact"/>
        <w:rPr>
          <w:sz w:val="20"/>
          <w:szCs w:val="20"/>
          <w:color w:val="auto"/>
        </w:rPr>
      </w:pPr>
    </w:p>
    <w:p>
      <w:pPr>
        <w:ind w:left="160" w:right="240"/>
        <w:spacing w:after="0" w:line="265" w:lineRule="auto"/>
        <w:rPr>
          <w:sz w:val="20"/>
          <w:szCs w:val="20"/>
          <w:color w:val="auto"/>
        </w:rPr>
      </w:pPr>
      <w:r>
        <w:rPr>
          <w:rFonts w:ascii="Arial" w:cs="Arial" w:eastAsia="Arial" w:hAnsi="Arial"/>
          <w:sz w:val="16"/>
          <w:szCs w:val="16"/>
          <w:color w:val="00053B"/>
        </w:rPr>
        <w:t>At Commvault, we are committed to understanding the impact of our operations on the environment to mitigate our exposure to climate induced events. We strive to be a partner in resilience to our employees, partners, suppliers, and shareholders to create a more sustainable world for all. This past year, Commvault’s ESG team adopted a dynamic materiality assessment process to better align with the pace of change in environmental realities and completed an inaugural GHG emissions assessment.</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844896"/>
        </w:rPr>
        <w:t>HUMAN CAPITAL MANAGEMENT</w:t>
      </w:r>
    </w:p>
    <w:p>
      <w:pPr>
        <w:spacing w:after="0" w:line="68" w:lineRule="exact"/>
        <w:rPr>
          <w:sz w:val="20"/>
          <w:szCs w:val="20"/>
          <w:color w:val="auto"/>
        </w:rPr>
      </w:pPr>
    </w:p>
    <w:p>
      <w:pPr>
        <w:ind w:left="160" w:right="180"/>
        <w:spacing w:after="0" w:line="265" w:lineRule="auto"/>
        <w:rPr>
          <w:sz w:val="20"/>
          <w:szCs w:val="20"/>
          <w:color w:val="auto"/>
        </w:rPr>
      </w:pPr>
      <w:r>
        <w:rPr>
          <w:rFonts w:ascii="Arial" w:cs="Arial" w:eastAsia="Arial" w:hAnsi="Arial"/>
          <w:sz w:val="16"/>
          <w:szCs w:val="16"/>
          <w:color w:val="00053B"/>
        </w:rPr>
        <w:t>We recognize our people as the cornerstone of our enduring success. We invest in their well-being through a comprehensive approach to human capital management, centered around attracting and retaining top talent, engagement and belonging, continuous development, and competitive benefits and compensation. The Talent Management and Compensation Committee (“TMCC”) of the Board of Directors oversees Commvault’s human capital management strategy and regularly reviews key program metrics.</w:t>
      </w:r>
    </w:p>
    <w:p>
      <w:pPr>
        <w:spacing w:after="0" w:line="200" w:lineRule="exact"/>
        <w:rPr>
          <w:sz w:val="20"/>
          <w:szCs w:val="20"/>
          <w:color w:val="auto"/>
        </w:rPr>
      </w:pPr>
    </w:p>
    <w:p>
      <w:pPr>
        <w:spacing w:after="0" w:line="399" w:lineRule="exact"/>
        <w:rPr>
          <w:sz w:val="20"/>
          <w:szCs w:val="20"/>
          <w:color w:val="auto"/>
        </w:rPr>
      </w:pPr>
    </w:p>
    <w:tbl>
      <w:tblPr>
        <w:tblLayout w:type="fixed"/>
        <w:tblInd w:w="50" w:type="dxa"/>
        <w:tblCellMar>
          <w:top w:w="0" w:type="dxa"/>
          <w:left w:w="0" w:type="dxa"/>
          <w:bottom w:w="0" w:type="dxa"/>
          <w:right w:w="0" w:type="dxa"/>
        </w:tblCellMar>
      </w:tblPr>
      <w:tr>
        <w:trPr>
          <w:trHeight w:val="81"/>
        </w:trPr>
        <w:tc>
          <w:tcPr>
            <w:tcW w:w="3600" w:type="dxa"/>
            <w:vAlign w:val="bottom"/>
            <w:tcBorders>
              <w:top w:val="single" w:sz="8" w:color="DDE9F2"/>
              <w:left w:val="single" w:sz="8" w:color="DDE9F2"/>
            </w:tcBorders>
            <w:vMerge w:val="restart"/>
            <w:shd w:val="clear" w:color="auto" w:fill="EAEAEA"/>
          </w:tcPr>
          <w:p>
            <w:pPr>
              <w:ind w:left="120"/>
              <w:spacing w:after="0"/>
              <w:rPr>
                <w:sz w:val="20"/>
                <w:szCs w:val="20"/>
                <w:color w:val="auto"/>
              </w:rPr>
            </w:pPr>
            <w:r>
              <w:rPr>
                <w:rFonts w:ascii="Arial" w:cs="Arial" w:eastAsia="Arial" w:hAnsi="Arial"/>
                <w:sz w:val="18"/>
                <w:szCs w:val="18"/>
                <w:b w:val="1"/>
                <w:bCs w:val="1"/>
                <w:color w:val="844896"/>
              </w:rPr>
              <w:t>ESG REPORT</w:t>
            </w:r>
          </w:p>
        </w:tc>
        <w:tc>
          <w:tcPr>
            <w:tcW w:w="180" w:type="dxa"/>
            <w:vAlign w:val="bottom"/>
            <w:tcBorders>
              <w:right w:val="single" w:sz="8" w:color="DDE9F2"/>
            </w:tcBorders>
          </w:tcPr>
          <w:p>
            <w:pPr>
              <w:spacing w:after="0"/>
              <w:rPr>
                <w:sz w:val="7"/>
                <w:szCs w:val="7"/>
                <w:color w:val="auto"/>
              </w:rPr>
            </w:pPr>
          </w:p>
        </w:tc>
        <w:tc>
          <w:tcPr>
            <w:tcW w:w="3620" w:type="dxa"/>
            <w:vAlign w:val="bottom"/>
            <w:tcBorders>
              <w:top w:val="single" w:sz="8" w:color="DDE9F2"/>
              <w:right w:val="single" w:sz="8" w:color="DDE9F2"/>
            </w:tcBorders>
            <w:vMerge w:val="restart"/>
            <w:shd w:val="clear" w:color="auto" w:fill="EAEAEA"/>
          </w:tcPr>
          <w:p>
            <w:pPr>
              <w:ind w:left="60"/>
              <w:spacing w:after="0"/>
              <w:rPr>
                <w:sz w:val="20"/>
                <w:szCs w:val="20"/>
                <w:color w:val="auto"/>
              </w:rPr>
            </w:pPr>
            <w:r>
              <w:rPr>
                <w:rFonts w:ascii="Arial" w:cs="Arial" w:eastAsia="Arial" w:hAnsi="Arial"/>
                <w:sz w:val="18"/>
                <w:szCs w:val="18"/>
                <w:b w:val="1"/>
                <w:bCs w:val="1"/>
                <w:color w:val="844896"/>
              </w:rPr>
              <w:t>GOVERNANCE</w:t>
            </w:r>
          </w:p>
        </w:tc>
        <w:tc>
          <w:tcPr>
            <w:tcW w:w="140" w:type="dxa"/>
            <w:vAlign w:val="bottom"/>
          </w:tcPr>
          <w:p>
            <w:pPr>
              <w:spacing w:after="0"/>
              <w:rPr>
                <w:sz w:val="7"/>
                <w:szCs w:val="7"/>
                <w:color w:val="auto"/>
              </w:rPr>
            </w:pPr>
          </w:p>
        </w:tc>
        <w:tc>
          <w:tcPr>
            <w:tcW w:w="3640" w:type="dxa"/>
            <w:vAlign w:val="bottom"/>
            <w:tcBorders>
              <w:top w:val="single" w:sz="8" w:color="EAEAEA"/>
            </w:tcBorders>
            <w:vMerge w:val="restart"/>
            <w:shd w:val="clear" w:color="auto" w:fill="EAEAEA"/>
          </w:tcPr>
          <w:p>
            <w:pPr>
              <w:ind w:left="120"/>
              <w:spacing w:after="0"/>
              <w:rPr>
                <w:sz w:val="20"/>
                <w:szCs w:val="20"/>
                <w:color w:val="auto"/>
              </w:rPr>
            </w:pPr>
            <w:r>
              <w:rPr>
                <w:rFonts w:ascii="Arial" w:cs="Arial" w:eastAsia="Arial" w:hAnsi="Arial"/>
                <w:sz w:val="18"/>
                <w:szCs w:val="18"/>
                <w:b w:val="1"/>
                <w:bCs w:val="1"/>
                <w:color w:val="844896"/>
              </w:rPr>
              <w:t>SUPPLY CHAIN</w:t>
            </w:r>
          </w:p>
        </w:tc>
        <w:tc>
          <w:tcPr>
            <w:tcW w:w="0" w:type="dxa"/>
            <w:vAlign w:val="bottom"/>
          </w:tcPr>
          <w:p>
            <w:pPr>
              <w:spacing w:after="0"/>
              <w:rPr>
                <w:sz w:val="1"/>
                <w:szCs w:val="1"/>
                <w:color w:val="auto"/>
              </w:rPr>
            </w:pPr>
          </w:p>
        </w:tc>
      </w:tr>
      <w:tr>
        <w:trPr>
          <w:trHeight w:val="242"/>
        </w:trPr>
        <w:tc>
          <w:tcPr>
            <w:tcW w:w="3600" w:type="dxa"/>
            <w:vAlign w:val="bottom"/>
            <w:tcBorders>
              <w:left w:val="single" w:sz="8" w:color="DDE9F2"/>
            </w:tcBorders>
            <w:vMerge w:val="continue"/>
            <w:shd w:val="clear" w:color="auto" w:fill="EAEAEA"/>
          </w:tcPr>
          <w:p>
            <w:pPr>
              <w:spacing w:after="0"/>
              <w:rPr>
                <w:sz w:val="21"/>
                <w:szCs w:val="21"/>
                <w:color w:val="auto"/>
              </w:rPr>
            </w:pPr>
          </w:p>
        </w:tc>
        <w:tc>
          <w:tcPr>
            <w:tcW w:w="180" w:type="dxa"/>
            <w:vAlign w:val="bottom"/>
            <w:tcBorders>
              <w:right w:val="single" w:sz="8" w:color="EAEAEA"/>
            </w:tcBorders>
          </w:tcPr>
          <w:p>
            <w:pPr>
              <w:spacing w:after="0"/>
              <w:rPr>
                <w:sz w:val="21"/>
                <w:szCs w:val="21"/>
                <w:color w:val="auto"/>
              </w:rPr>
            </w:pPr>
          </w:p>
        </w:tc>
        <w:tc>
          <w:tcPr>
            <w:tcW w:w="3620" w:type="dxa"/>
            <w:vAlign w:val="bottom"/>
            <w:tcBorders>
              <w:right w:val="single" w:sz="8" w:color="DDE9F2"/>
            </w:tcBorders>
            <w:vMerge w:val="continue"/>
            <w:shd w:val="clear" w:color="auto" w:fill="EAEAEA"/>
          </w:tcPr>
          <w:p>
            <w:pPr>
              <w:spacing w:after="0"/>
              <w:rPr>
                <w:sz w:val="21"/>
                <w:szCs w:val="21"/>
                <w:color w:val="auto"/>
              </w:rPr>
            </w:pPr>
          </w:p>
        </w:tc>
        <w:tc>
          <w:tcPr>
            <w:tcW w:w="140" w:type="dxa"/>
            <w:vAlign w:val="bottom"/>
          </w:tcPr>
          <w:p>
            <w:pPr>
              <w:spacing w:after="0"/>
              <w:rPr>
                <w:sz w:val="21"/>
                <w:szCs w:val="21"/>
                <w:color w:val="auto"/>
              </w:rPr>
            </w:pPr>
          </w:p>
        </w:tc>
        <w:tc>
          <w:tcPr>
            <w:tcW w:w="3640" w:type="dxa"/>
            <w:vAlign w:val="bottom"/>
            <w:vMerge w:val="continue"/>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600" w:type="dxa"/>
            <w:vAlign w:val="bottom"/>
            <w:tcBorders>
              <w:left w:val="single" w:sz="8" w:color="DDE9F2"/>
            </w:tcBorders>
            <w:shd w:val="clear" w:color="auto" w:fill="EAEAEA"/>
          </w:tcPr>
          <w:p>
            <w:pPr>
              <w:ind w:left="120"/>
              <w:spacing w:after="0"/>
              <w:rPr>
                <w:sz w:val="20"/>
                <w:szCs w:val="20"/>
                <w:color w:val="auto"/>
              </w:rPr>
            </w:pPr>
            <w:r>
              <w:rPr>
                <w:rFonts w:ascii="Arial" w:cs="Arial" w:eastAsia="Arial" w:hAnsi="Arial"/>
                <w:sz w:val="16"/>
                <w:szCs w:val="16"/>
                <w:color w:val="00053B"/>
              </w:rPr>
              <w:t>We evaluated our fiscal 2024 performance in</w:t>
            </w:r>
          </w:p>
        </w:tc>
        <w:tc>
          <w:tcPr>
            <w:tcW w:w="180" w:type="dxa"/>
            <w:vAlign w:val="bottom"/>
            <w:tcBorders>
              <w:right w:val="single" w:sz="8" w:color="EAEAEA"/>
            </w:tcBorders>
          </w:tcPr>
          <w:p>
            <w:pPr>
              <w:spacing w:after="0"/>
              <w:rPr>
                <w:sz w:val="21"/>
                <w:szCs w:val="21"/>
                <w:color w:val="auto"/>
              </w:rPr>
            </w:pPr>
          </w:p>
        </w:tc>
        <w:tc>
          <w:tcPr>
            <w:tcW w:w="3620" w:type="dxa"/>
            <w:vAlign w:val="bottom"/>
            <w:tcBorders>
              <w:right w:val="single" w:sz="8" w:color="DDE9F2"/>
            </w:tcBorders>
            <w:shd w:val="clear" w:color="auto" w:fill="EAEAEA"/>
          </w:tcPr>
          <w:p>
            <w:pPr>
              <w:ind w:left="60"/>
              <w:spacing w:after="0"/>
              <w:rPr>
                <w:sz w:val="20"/>
                <w:szCs w:val="20"/>
                <w:color w:val="auto"/>
              </w:rPr>
            </w:pPr>
            <w:r>
              <w:rPr>
                <w:rFonts w:ascii="Arial" w:cs="Arial" w:eastAsia="Arial" w:hAnsi="Arial"/>
                <w:sz w:val="16"/>
                <w:szCs w:val="16"/>
                <w:color w:val="00053B"/>
              </w:rPr>
              <w:t>All directors of the Board are elected annually,</w:t>
            </w:r>
          </w:p>
        </w:tc>
        <w:tc>
          <w:tcPr>
            <w:tcW w:w="140" w:type="dxa"/>
            <w:vAlign w:val="bottom"/>
          </w:tcPr>
          <w:p>
            <w:pPr>
              <w:spacing w:after="0"/>
              <w:rPr>
                <w:sz w:val="21"/>
                <w:szCs w:val="21"/>
                <w:color w:val="auto"/>
              </w:rPr>
            </w:pPr>
          </w:p>
        </w:tc>
        <w:tc>
          <w:tcPr>
            <w:tcW w:w="364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We enhanced our Supplier Code of Ethics to</w:t>
            </w:r>
          </w:p>
        </w:tc>
        <w:tc>
          <w:tcPr>
            <w:tcW w:w="0" w:type="dxa"/>
            <w:vAlign w:val="bottom"/>
          </w:tcPr>
          <w:p>
            <w:pPr>
              <w:spacing w:after="0"/>
              <w:rPr>
                <w:sz w:val="1"/>
                <w:szCs w:val="1"/>
                <w:color w:val="auto"/>
              </w:rPr>
            </w:pPr>
          </w:p>
        </w:tc>
      </w:tr>
      <w:tr>
        <w:trPr>
          <w:trHeight w:val="203"/>
        </w:trPr>
        <w:tc>
          <w:tcPr>
            <w:tcW w:w="3600" w:type="dxa"/>
            <w:vAlign w:val="bottom"/>
            <w:tcBorders>
              <w:left w:val="single" w:sz="8" w:color="DDE9F2"/>
            </w:tcBorders>
            <w:shd w:val="clear" w:color="auto" w:fill="EAEAEA"/>
          </w:tcPr>
          <w:p>
            <w:pPr>
              <w:ind w:left="120"/>
              <w:spacing w:after="0"/>
              <w:rPr>
                <w:sz w:val="20"/>
                <w:szCs w:val="20"/>
                <w:color w:val="auto"/>
              </w:rPr>
            </w:pPr>
            <w:r>
              <w:rPr>
                <w:rFonts w:ascii="Arial" w:cs="Arial" w:eastAsia="Arial" w:hAnsi="Arial"/>
                <w:sz w:val="16"/>
                <w:szCs w:val="16"/>
                <w:color w:val="00053B"/>
              </w:rPr>
              <w:t>our fifth annual ESG Report (formerly the CSR</w:t>
            </w:r>
          </w:p>
        </w:tc>
        <w:tc>
          <w:tcPr>
            <w:tcW w:w="180" w:type="dxa"/>
            <w:vAlign w:val="bottom"/>
            <w:tcBorders>
              <w:right w:val="single" w:sz="8" w:color="EAEAEA"/>
            </w:tcBorders>
          </w:tcPr>
          <w:p>
            <w:pPr>
              <w:spacing w:after="0"/>
              <w:rPr>
                <w:sz w:val="17"/>
                <w:szCs w:val="17"/>
                <w:color w:val="auto"/>
              </w:rPr>
            </w:pPr>
          </w:p>
        </w:tc>
        <w:tc>
          <w:tcPr>
            <w:tcW w:w="3620" w:type="dxa"/>
            <w:vAlign w:val="bottom"/>
            <w:tcBorders>
              <w:right w:val="single" w:sz="8" w:color="DDE9F2"/>
            </w:tcBorders>
            <w:shd w:val="clear" w:color="auto" w:fill="EAEAEA"/>
          </w:tcPr>
          <w:p>
            <w:pPr>
              <w:ind w:left="60"/>
              <w:spacing w:after="0"/>
              <w:rPr>
                <w:sz w:val="20"/>
                <w:szCs w:val="20"/>
                <w:color w:val="auto"/>
              </w:rPr>
            </w:pPr>
            <w:r>
              <w:rPr>
                <w:rFonts w:ascii="Arial" w:cs="Arial" w:eastAsia="Arial" w:hAnsi="Arial"/>
                <w:sz w:val="16"/>
                <w:szCs w:val="16"/>
                <w:color w:val="00053B"/>
              </w:rPr>
              <w:t>and all of the directors, except the CEO, and all</w:t>
            </w:r>
          </w:p>
        </w:tc>
        <w:tc>
          <w:tcPr>
            <w:tcW w:w="140" w:type="dxa"/>
            <w:vAlign w:val="bottom"/>
          </w:tcPr>
          <w:p>
            <w:pPr>
              <w:spacing w:after="0"/>
              <w:rPr>
                <w:sz w:val="17"/>
                <w:szCs w:val="17"/>
                <w:color w:val="auto"/>
              </w:rPr>
            </w:pPr>
          </w:p>
        </w:tc>
        <w:tc>
          <w:tcPr>
            <w:tcW w:w="364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address energy consumption, GHG emissions,</w:t>
            </w:r>
          </w:p>
        </w:tc>
        <w:tc>
          <w:tcPr>
            <w:tcW w:w="0" w:type="dxa"/>
            <w:vAlign w:val="bottom"/>
          </w:tcPr>
          <w:p>
            <w:pPr>
              <w:spacing w:after="0"/>
              <w:rPr>
                <w:sz w:val="1"/>
                <w:szCs w:val="1"/>
                <w:color w:val="auto"/>
              </w:rPr>
            </w:pPr>
          </w:p>
        </w:tc>
      </w:tr>
      <w:tr>
        <w:trPr>
          <w:trHeight w:val="189"/>
        </w:trPr>
        <w:tc>
          <w:tcPr>
            <w:tcW w:w="3600" w:type="dxa"/>
            <w:vAlign w:val="bottom"/>
            <w:tcBorders>
              <w:left w:val="single" w:sz="8" w:color="DDE9F2"/>
            </w:tcBorders>
            <w:shd w:val="clear" w:color="auto" w:fill="EAEAEA"/>
          </w:tcPr>
          <w:p>
            <w:pPr>
              <w:ind w:left="120"/>
              <w:spacing w:after="0"/>
              <w:rPr>
                <w:sz w:val="20"/>
                <w:szCs w:val="20"/>
                <w:color w:val="auto"/>
              </w:rPr>
            </w:pPr>
            <w:r>
              <w:rPr>
                <w:rFonts w:ascii="Arial" w:cs="Arial" w:eastAsia="Arial" w:hAnsi="Arial"/>
                <w:sz w:val="16"/>
                <w:szCs w:val="16"/>
                <w:color w:val="00053B"/>
              </w:rPr>
              <w:t>Report) published in June 2024.</w:t>
            </w:r>
          </w:p>
        </w:tc>
        <w:tc>
          <w:tcPr>
            <w:tcW w:w="180" w:type="dxa"/>
            <w:vAlign w:val="bottom"/>
            <w:tcBorders>
              <w:right w:val="single" w:sz="8" w:color="EAEAEA"/>
            </w:tcBorders>
          </w:tcPr>
          <w:p>
            <w:pPr>
              <w:spacing w:after="0"/>
              <w:rPr>
                <w:sz w:val="16"/>
                <w:szCs w:val="16"/>
                <w:color w:val="auto"/>
              </w:rPr>
            </w:pPr>
          </w:p>
        </w:tc>
        <w:tc>
          <w:tcPr>
            <w:tcW w:w="3620" w:type="dxa"/>
            <w:vAlign w:val="bottom"/>
            <w:tcBorders>
              <w:right w:val="single" w:sz="8" w:color="DDE9F2"/>
            </w:tcBorders>
            <w:shd w:val="clear" w:color="auto" w:fill="EAEAEA"/>
          </w:tcPr>
          <w:p>
            <w:pPr>
              <w:ind w:left="60"/>
              <w:spacing w:after="0"/>
              <w:rPr>
                <w:sz w:val="20"/>
                <w:szCs w:val="20"/>
                <w:color w:val="auto"/>
              </w:rPr>
            </w:pPr>
            <w:r>
              <w:rPr>
                <w:rFonts w:ascii="Arial" w:cs="Arial" w:eastAsia="Arial" w:hAnsi="Arial"/>
                <w:sz w:val="16"/>
                <w:szCs w:val="16"/>
                <w:color w:val="00053B"/>
              </w:rPr>
              <w:t>Committee Chairs are independent.</w:t>
            </w:r>
          </w:p>
        </w:tc>
        <w:tc>
          <w:tcPr>
            <w:tcW w:w="140" w:type="dxa"/>
            <w:vAlign w:val="bottom"/>
          </w:tcPr>
          <w:p>
            <w:pPr>
              <w:spacing w:after="0"/>
              <w:rPr>
                <w:sz w:val="16"/>
                <w:szCs w:val="16"/>
                <w:color w:val="auto"/>
              </w:rPr>
            </w:pPr>
          </w:p>
        </w:tc>
        <w:tc>
          <w:tcPr>
            <w:tcW w:w="364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waste volume, water usage, impacts on</w:t>
            </w:r>
          </w:p>
        </w:tc>
        <w:tc>
          <w:tcPr>
            <w:tcW w:w="0" w:type="dxa"/>
            <w:vAlign w:val="bottom"/>
          </w:tcPr>
          <w:p>
            <w:pPr>
              <w:spacing w:after="0"/>
              <w:rPr>
                <w:sz w:val="1"/>
                <w:szCs w:val="1"/>
                <w:color w:val="auto"/>
              </w:rPr>
            </w:pPr>
          </w:p>
        </w:tc>
      </w:tr>
      <w:tr>
        <w:trPr>
          <w:trHeight w:val="189"/>
        </w:trPr>
        <w:tc>
          <w:tcPr>
            <w:tcW w:w="3600" w:type="dxa"/>
            <w:vAlign w:val="bottom"/>
            <w:tcBorders>
              <w:left w:val="single" w:sz="8" w:color="DDE9F2"/>
            </w:tcBorders>
            <w:shd w:val="clear" w:color="auto" w:fill="EAEAEA"/>
          </w:tcPr>
          <w:p>
            <w:pPr>
              <w:spacing w:after="0"/>
              <w:rPr>
                <w:sz w:val="16"/>
                <w:szCs w:val="16"/>
                <w:color w:val="auto"/>
              </w:rPr>
            </w:pPr>
          </w:p>
        </w:tc>
        <w:tc>
          <w:tcPr>
            <w:tcW w:w="180" w:type="dxa"/>
            <w:vAlign w:val="bottom"/>
            <w:tcBorders>
              <w:right w:val="single" w:sz="8" w:color="EAEAEA"/>
            </w:tcBorders>
          </w:tcPr>
          <w:p>
            <w:pPr>
              <w:spacing w:after="0"/>
              <w:rPr>
                <w:sz w:val="16"/>
                <w:szCs w:val="16"/>
                <w:color w:val="auto"/>
              </w:rPr>
            </w:pPr>
          </w:p>
        </w:tc>
        <w:tc>
          <w:tcPr>
            <w:tcW w:w="3620" w:type="dxa"/>
            <w:vAlign w:val="bottom"/>
            <w:tcBorders>
              <w:right w:val="single" w:sz="8" w:color="DDE9F2"/>
            </w:tcBorders>
            <w:shd w:val="clear" w:color="auto" w:fill="EAEAEA"/>
          </w:tcPr>
          <w:p>
            <w:pPr>
              <w:spacing w:after="0"/>
              <w:rPr>
                <w:sz w:val="16"/>
                <w:szCs w:val="16"/>
                <w:color w:val="auto"/>
              </w:rPr>
            </w:pPr>
          </w:p>
        </w:tc>
        <w:tc>
          <w:tcPr>
            <w:tcW w:w="140" w:type="dxa"/>
            <w:vAlign w:val="bottom"/>
          </w:tcPr>
          <w:p>
            <w:pPr>
              <w:spacing w:after="0"/>
              <w:rPr>
                <w:sz w:val="16"/>
                <w:szCs w:val="16"/>
                <w:color w:val="auto"/>
              </w:rPr>
            </w:pPr>
          </w:p>
        </w:tc>
        <w:tc>
          <w:tcPr>
            <w:tcW w:w="364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biodiversity, and responsible resource</w:t>
            </w:r>
          </w:p>
        </w:tc>
        <w:tc>
          <w:tcPr>
            <w:tcW w:w="0" w:type="dxa"/>
            <w:vAlign w:val="bottom"/>
          </w:tcPr>
          <w:p>
            <w:pPr>
              <w:spacing w:after="0"/>
              <w:rPr>
                <w:sz w:val="1"/>
                <w:szCs w:val="1"/>
                <w:color w:val="auto"/>
              </w:rPr>
            </w:pPr>
          </w:p>
        </w:tc>
      </w:tr>
      <w:tr>
        <w:trPr>
          <w:trHeight w:val="215"/>
        </w:trPr>
        <w:tc>
          <w:tcPr>
            <w:tcW w:w="3600" w:type="dxa"/>
            <w:vAlign w:val="bottom"/>
            <w:tcBorders>
              <w:left w:val="single" w:sz="8" w:color="DDE9F2"/>
            </w:tcBorders>
            <w:shd w:val="clear" w:color="auto" w:fill="EAEAEA"/>
          </w:tcPr>
          <w:p>
            <w:pPr>
              <w:spacing w:after="0"/>
              <w:rPr>
                <w:sz w:val="18"/>
                <w:szCs w:val="18"/>
                <w:color w:val="auto"/>
              </w:rPr>
            </w:pPr>
          </w:p>
        </w:tc>
        <w:tc>
          <w:tcPr>
            <w:tcW w:w="180" w:type="dxa"/>
            <w:vAlign w:val="bottom"/>
            <w:tcBorders>
              <w:right w:val="single" w:sz="8" w:color="EAEAEA"/>
            </w:tcBorders>
          </w:tcPr>
          <w:p>
            <w:pPr>
              <w:spacing w:after="0"/>
              <w:rPr>
                <w:sz w:val="18"/>
                <w:szCs w:val="18"/>
                <w:color w:val="auto"/>
              </w:rPr>
            </w:pPr>
          </w:p>
        </w:tc>
        <w:tc>
          <w:tcPr>
            <w:tcW w:w="3620" w:type="dxa"/>
            <w:vAlign w:val="bottom"/>
            <w:tcBorders>
              <w:right w:val="single" w:sz="8" w:color="DDE9F2"/>
            </w:tcBorders>
            <w:shd w:val="clear" w:color="auto" w:fill="EAEAEA"/>
          </w:tcPr>
          <w:p>
            <w:pPr>
              <w:spacing w:after="0"/>
              <w:rPr>
                <w:sz w:val="18"/>
                <w:szCs w:val="18"/>
                <w:color w:val="auto"/>
              </w:rPr>
            </w:pPr>
          </w:p>
        </w:tc>
        <w:tc>
          <w:tcPr>
            <w:tcW w:w="140" w:type="dxa"/>
            <w:vAlign w:val="bottom"/>
          </w:tcPr>
          <w:p>
            <w:pPr>
              <w:spacing w:after="0"/>
              <w:rPr>
                <w:sz w:val="18"/>
                <w:szCs w:val="18"/>
                <w:color w:val="auto"/>
              </w:rPr>
            </w:pPr>
          </w:p>
        </w:tc>
        <w:tc>
          <w:tcPr>
            <w:tcW w:w="364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development.</w:t>
            </w:r>
          </w:p>
        </w:tc>
        <w:tc>
          <w:tcPr>
            <w:tcW w:w="0" w:type="dxa"/>
            <w:vAlign w:val="bottom"/>
          </w:tcPr>
          <w:p>
            <w:pPr>
              <w:spacing w:after="0"/>
              <w:rPr>
                <w:sz w:val="1"/>
                <w:szCs w:val="1"/>
                <w:color w:val="auto"/>
              </w:rPr>
            </w:pPr>
          </w:p>
        </w:tc>
      </w:tr>
      <w:tr>
        <w:trPr>
          <w:trHeight w:val="178"/>
        </w:trPr>
        <w:tc>
          <w:tcPr>
            <w:tcW w:w="3600" w:type="dxa"/>
            <w:vAlign w:val="bottom"/>
            <w:tcBorders>
              <w:left w:val="single" w:sz="8" w:color="DDE9F2"/>
            </w:tcBorders>
            <w:shd w:val="clear" w:color="auto" w:fill="EAEAEA"/>
          </w:tcPr>
          <w:p>
            <w:pPr>
              <w:spacing w:after="0"/>
              <w:rPr>
                <w:sz w:val="15"/>
                <w:szCs w:val="15"/>
                <w:color w:val="auto"/>
              </w:rPr>
            </w:pPr>
          </w:p>
        </w:tc>
        <w:tc>
          <w:tcPr>
            <w:tcW w:w="180" w:type="dxa"/>
            <w:vAlign w:val="bottom"/>
            <w:tcBorders>
              <w:right w:val="single" w:sz="8" w:color="EAEAEA"/>
            </w:tcBorders>
          </w:tcPr>
          <w:p>
            <w:pPr>
              <w:spacing w:after="0"/>
              <w:rPr>
                <w:sz w:val="15"/>
                <w:szCs w:val="15"/>
                <w:color w:val="auto"/>
              </w:rPr>
            </w:pPr>
          </w:p>
        </w:tc>
        <w:tc>
          <w:tcPr>
            <w:tcW w:w="3620" w:type="dxa"/>
            <w:vAlign w:val="bottom"/>
            <w:tcBorders>
              <w:bottom w:val="single" w:sz="8" w:color="DDE9F2"/>
              <w:right w:val="single" w:sz="8" w:color="DDE9F2"/>
            </w:tcBorders>
            <w:shd w:val="clear" w:color="auto" w:fill="EAEAEA"/>
          </w:tcPr>
          <w:p>
            <w:pPr>
              <w:spacing w:after="0"/>
              <w:rPr>
                <w:sz w:val="15"/>
                <w:szCs w:val="15"/>
                <w:color w:val="auto"/>
              </w:rPr>
            </w:pPr>
          </w:p>
        </w:tc>
        <w:tc>
          <w:tcPr>
            <w:tcW w:w="140" w:type="dxa"/>
            <w:vAlign w:val="bottom"/>
          </w:tcPr>
          <w:p>
            <w:pPr>
              <w:spacing w:after="0"/>
              <w:rPr>
                <w:sz w:val="15"/>
                <w:szCs w:val="15"/>
                <w:color w:val="auto"/>
              </w:rPr>
            </w:pPr>
          </w:p>
        </w:tc>
        <w:tc>
          <w:tcPr>
            <w:tcW w:w="3640" w:type="dxa"/>
            <w:vAlign w:val="bottom"/>
            <w:shd w:val="clear" w:color="auto" w:fill="EAEAEA"/>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9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445770</wp:posOffset>
            </wp:positionV>
            <wp:extent cx="6995160" cy="17405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995160" cy="174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540"/>
        </w:trPr>
        <w:tc>
          <w:tcPr>
            <w:tcW w:w="7800" w:type="dxa"/>
            <w:vAlign w:val="bottom"/>
            <w:shd w:val="clear" w:color="auto" w:fill="00053B"/>
          </w:tcPr>
          <w:p>
            <w:pPr>
              <w:ind w:left="160"/>
              <w:spacing w:after="0"/>
              <w:rPr>
                <w:sz w:val="20"/>
                <w:szCs w:val="20"/>
                <w:color w:val="auto"/>
              </w:rPr>
            </w:pPr>
            <w:r>
              <w:rPr>
                <w:rFonts w:ascii="Arial" w:cs="Arial" w:eastAsia="Arial" w:hAnsi="Arial"/>
                <w:sz w:val="18"/>
                <w:szCs w:val="18"/>
                <w:b w:val="1"/>
                <w:bCs w:val="1"/>
                <w:color w:val="FFFFFF"/>
              </w:rPr>
              <w:t>What am I voting on?</w:t>
            </w:r>
          </w:p>
        </w:tc>
        <w:tc>
          <w:tcPr>
            <w:tcW w:w="100" w:type="dxa"/>
            <w:vAlign w:val="bottom"/>
          </w:tcPr>
          <w:p>
            <w:pPr>
              <w:spacing w:after="0"/>
              <w:rPr>
                <w:sz w:val="24"/>
                <w:szCs w:val="24"/>
                <w:color w:val="auto"/>
              </w:rPr>
            </w:pPr>
          </w:p>
        </w:tc>
        <w:tc>
          <w:tcPr>
            <w:tcW w:w="3300" w:type="dxa"/>
            <w:vAlign w:val="bottom"/>
            <w:shd w:val="clear" w:color="auto" w:fill="00053B"/>
          </w:tcPr>
          <w:p>
            <w:pPr>
              <w:ind w:left="160"/>
              <w:spacing w:after="0"/>
              <w:rPr>
                <w:sz w:val="20"/>
                <w:szCs w:val="20"/>
                <w:color w:val="auto"/>
              </w:rPr>
            </w:pPr>
            <w:r>
              <w:rPr>
                <w:rFonts w:ascii="Arial" w:cs="Arial" w:eastAsia="Arial" w:hAnsi="Arial"/>
                <w:sz w:val="18"/>
                <w:szCs w:val="18"/>
                <w:b w:val="1"/>
                <w:bCs w:val="1"/>
                <w:color w:val="FFFFFF"/>
              </w:rPr>
              <w:t>Vote Recommendation</w:t>
            </w:r>
          </w:p>
        </w:tc>
      </w:tr>
      <w:tr>
        <w:trPr>
          <w:trHeight w:val="223"/>
        </w:trPr>
        <w:tc>
          <w:tcPr>
            <w:tcW w:w="7800" w:type="dxa"/>
            <w:vAlign w:val="bottom"/>
            <w:shd w:val="clear" w:color="auto" w:fill="00053B"/>
          </w:tcPr>
          <w:p>
            <w:pPr>
              <w:ind w:left="160"/>
              <w:spacing w:after="0"/>
              <w:rPr>
                <w:sz w:val="20"/>
                <w:szCs w:val="20"/>
                <w:color w:val="auto"/>
              </w:rPr>
            </w:pPr>
            <w:r>
              <w:rPr>
                <w:rFonts w:ascii="Arial" w:cs="Arial" w:eastAsia="Arial" w:hAnsi="Arial"/>
                <w:sz w:val="16"/>
                <w:szCs w:val="16"/>
                <w:color w:val="FFFFFF"/>
              </w:rPr>
              <w:t>The Board has nominated nine people to serve as directors until the 2025 Annual Meeting.</w:t>
            </w:r>
          </w:p>
        </w:tc>
        <w:tc>
          <w:tcPr>
            <w:tcW w:w="100" w:type="dxa"/>
            <w:vAlign w:val="bottom"/>
          </w:tcPr>
          <w:p>
            <w:pPr>
              <w:spacing w:after="0"/>
              <w:rPr>
                <w:sz w:val="19"/>
                <w:szCs w:val="19"/>
                <w:color w:val="auto"/>
              </w:rPr>
            </w:pPr>
          </w:p>
        </w:tc>
        <w:tc>
          <w:tcPr>
            <w:tcW w:w="3300" w:type="dxa"/>
            <w:vAlign w:val="bottom"/>
            <w:shd w:val="clear" w:color="auto" w:fill="00053B"/>
          </w:tcPr>
          <w:p>
            <w:pPr>
              <w:ind w:left="160"/>
              <w:spacing w:after="0"/>
              <w:rPr>
                <w:sz w:val="20"/>
                <w:szCs w:val="20"/>
                <w:color w:val="auto"/>
              </w:rPr>
            </w:pPr>
            <w:r>
              <w:rPr>
                <w:rFonts w:ascii="Arial" w:cs="Arial" w:eastAsia="Arial" w:hAnsi="Arial"/>
                <w:sz w:val="16"/>
                <w:szCs w:val="16"/>
                <w:b w:val="1"/>
                <w:bCs w:val="1"/>
                <w:color w:val="FFFFFF"/>
              </w:rPr>
              <w:t xml:space="preserve">FOR </w:t>
            </w:r>
            <w:r>
              <w:rPr>
                <w:rFonts w:ascii="Arial" w:cs="Arial" w:eastAsia="Arial" w:hAnsi="Arial"/>
                <w:sz w:val="16"/>
                <w:szCs w:val="16"/>
                <w:color w:val="FFFFFF"/>
              </w:rPr>
              <w:t>all nine nominees.</w:t>
            </w:r>
          </w:p>
        </w:tc>
      </w:tr>
      <w:tr>
        <w:trPr>
          <w:trHeight w:val="304"/>
        </w:trPr>
        <w:tc>
          <w:tcPr>
            <w:tcW w:w="7800" w:type="dxa"/>
            <w:vAlign w:val="bottom"/>
            <w:shd w:val="clear" w:color="auto" w:fill="00053B"/>
          </w:tcPr>
          <w:p>
            <w:pPr>
              <w:spacing w:after="0"/>
              <w:rPr>
                <w:sz w:val="24"/>
                <w:szCs w:val="24"/>
                <w:color w:val="auto"/>
              </w:rPr>
            </w:pPr>
          </w:p>
        </w:tc>
        <w:tc>
          <w:tcPr>
            <w:tcW w:w="100" w:type="dxa"/>
            <w:vAlign w:val="bottom"/>
          </w:tcPr>
          <w:p>
            <w:pPr>
              <w:spacing w:after="0"/>
              <w:rPr>
                <w:sz w:val="24"/>
                <w:szCs w:val="24"/>
                <w:color w:val="auto"/>
              </w:rPr>
            </w:pPr>
          </w:p>
        </w:tc>
        <w:tc>
          <w:tcPr>
            <w:tcW w:w="3300" w:type="dxa"/>
            <w:vAlign w:val="bottom"/>
            <w:shd w:val="clear" w:color="auto" w:fill="00053B"/>
          </w:tcPr>
          <w:p>
            <w:pPr>
              <w:spacing w:after="0"/>
              <w:rPr>
                <w:sz w:val="24"/>
                <w:szCs w:val="24"/>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00053B"/>
        </w:rPr>
        <w:t>Election of Directors</w:t>
      </w:r>
    </w:p>
    <w:p>
      <w:pPr>
        <w:spacing w:after="0" w:line="97"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00053B"/>
        </w:rPr>
        <w:t>If you sign, date and return your proxy card, the individuals named as proxy voters on the proxy card for our 2024 Annual Meeting, or their substitutes, will vote your proxy for all the nominees, unless you provide contrary instructions. Commvault has no reason to believe that any nominee will be unavailable to serve as a director. However, if any nominee for director withdraws or for any reason is not able to serve as a director, we will vote your proxy for any replacement nominee designated by the B</w:t>
      </w:r>
      <w:r>
        <w:rPr>
          <w:rFonts w:ascii="Arial" w:cs="Arial" w:eastAsia="Arial" w:hAnsi="Arial"/>
          <w:sz w:val="16"/>
          <w:szCs w:val="16"/>
          <w:color w:val="0B2E44"/>
        </w:rPr>
        <w:t>oard.</w:t>
      </w:r>
    </w:p>
    <w:p>
      <w:pPr>
        <w:spacing w:after="0" w:line="298"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Director Independence</w:t>
      </w:r>
    </w:p>
    <w:p>
      <w:pPr>
        <w:spacing w:after="0" w:line="87" w:lineRule="exact"/>
        <w:rPr>
          <w:sz w:val="20"/>
          <w:szCs w:val="20"/>
          <w:color w:val="auto"/>
        </w:rPr>
      </w:pPr>
    </w:p>
    <w:p>
      <w:pPr>
        <w:spacing w:after="0" w:line="259" w:lineRule="auto"/>
        <w:rPr>
          <w:sz w:val="20"/>
          <w:szCs w:val="20"/>
          <w:color w:val="auto"/>
        </w:rPr>
      </w:pPr>
      <w:r>
        <w:rPr>
          <w:rFonts w:ascii="Arial" w:cs="Arial" w:eastAsia="Arial" w:hAnsi="Arial"/>
          <w:sz w:val="16"/>
          <w:szCs w:val="16"/>
          <w:color w:val="00053B"/>
        </w:rPr>
        <w:t>Our Corporate Governance Guidelines provide that the Board must have a majority of members who meet the independence standards set forth in the listing rules of the Nasdaq. The Board annually assesses the independence of each director and has determined that all the current directors except our CEO, Mr. Mirchandani, are independent under these standards. The Board also determined that Mr. David Walker and Mr. Todd Bradley, each of whom retired from the Board of Directors and subcommittees on which he served effective August 28, 2023, were independent under these standards. In making this determination, the Nominations and Governance Committee, acting on behalf of our Board, considered all relevant facts and circumstances to ascertain whether there was any relationship between a director and Commvault that, in the opinion of the committee, would interfere with the director’s exercise of independent judgment in carrying out the responsibilities of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10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15175"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PROPOSAL NO. 1: ELECTION OF DIRECTORS | </w:t>
      </w:r>
      <w:r>
        <w:rPr>
          <w:rFonts w:ascii="Arial" w:cs="Arial" w:eastAsia="Arial" w:hAnsi="Arial"/>
          <w:sz w:val="11"/>
          <w:szCs w:val="11"/>
          <w:b w:val="1"/>
          <w:bCs w:val="1"/>
          <w:color w:val="00053B"/>
        </w:rPr>
        <w:t>BOARD DIVERSITY</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Board Diversity</w:t>
      </w:r>
    </w:p>
    <w:p>
      <w:pPr>
        <w:spacing w:after="0" w:line="7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00053B"/>
        </w:rPr>
        <w:t>The Board of Directors has adopted a policy on Board diversity that is implemented by the Nominations and Governance Committee. This policy requires the Nominations and Governance Committee to consider gender, race, and ethnicity when recommending director nominees with the objective of achieving a Board with diverse business, personal, and educational backgrounds.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00053B"/>
        </w:rPr>
        <w:t>The diverse personal characteristics of our directors are shown in the graphic below.</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440" w:type="dxa"/>
            <w:vAlign w:val="bottom"/>
          </w:tcPr>
          <w:p>
            <w:pPr>
              <w:spacing w:after="0"/>
              <w:rPr>
                <w:sz w:val="20"/>
                <w:szCs w:val="20"/>
                <w:color w:val="auto"/>
              </w:rPr>
            </w:pPr>
            <w:r>
              <w:rPr>
                <w:rFonts w:ascii="Arial" w:cs="Arial" w:eastAsia="Arial" w:hAnsi="Arial"/>
                <w:sz w:val="18"/>
                <w:szCs w:val="18"/>
                <w:b w:val="1"/>
                <w:bCs w:val="1"/>
                <w:color w:val="844896"/>
              </w:rPr>
              <w:t xml:space="preserve">DIVERSITY MATRIX </w:t>
            </w:r>
            <w:r>
              <w:rPr>
                <w:rFonts w:ascii="Arial" w:cs="Arial" w:eastAsia="Arial" w:hAnsi="Arial"/>
                <w:sz w:val="16"/>
                <w:szCs w:val="16"/>
                <w:color w:val="00053B"/>
              </w:rPr>
              <w:t>(As of June 25, 2024)</w:t>
            </w:r>
          </w:p>
        </w:tc>
        <w:tc>
          <w:tcPr>
            <w:tcW w:w="2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44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EAEAEA"/>
          </w:tcPr>
          <w:p>
            <w:pPr>
              <w:ind w:left="120"/>
              <w:spacing w:after="0"/>
              <w:rPr>
                <w:sz w:val="20"/>
                <w:szCs w:val="20"/>
                <w:color w:val="auto"/>
              </w:rPr>
            </w:pPr>
            <w:r>
              <w:rPr>
                <w:rFonts w:ascii="Arial" w:cs="Arial" w:eastAsia="Arial" w:hAnsi="Arial"/>
                <w:sz w:val="16"/>
                <w:szCs w:val="16"/>
                <w:b w:val="1"/>
                <w:bCs w:val="1"/>
                <w:color w:val="00053B"/>
              </w:rPr>
              <w:t>Total Number of Directors</w:t>
            </w:r>
          </w:p>
        </w:tc>
        <w:tc>
          <w:tcPr>
            <w:tcW w:w="2140" w:type="dxa"/>
            <w:vAlign w:val="bottom"/>
            <w:shd w:val="clear" w:color="auto" w:fill="EAEAEA"/>
          </w:tcPr>
          <w:p>
            <w:pPr>
              <w:spacing w:after="0"/>
              <w:rPr>
                <w:sz w:val="18"/>
                <w:szCs w:val="18"/>
                <w:color w:val="auto"/>
              </w:rPr>
            </w:pPr>
          </w:p>
        </w:tc>
        <w:tc>
          <w:tcPr>
            <w:tcW w:w="1180" w:type="dxa"/>
            <w:vAlign w:val="bottom"/>
            <w:shd w:val="clear" w:color="auto" w:fill="EAEAEA"/>
          </w:tcPr>
          <w:p>
            <w:pPr>
              <w:spacing w:after="0"/>
              <w:rPr>
                <w:sz w:val="18"/>
                <w:szCs w:val="18"/>
                <w:color w:val="auto"/>
              </w:rPr>
            </w:pPr>
          </w:p>
        </w:tc>
        <w:tc>
          <w:tcPr>
            <w:tcW w:w="1680" w:type="dxa"/>
            <w:vAlign w:val="bottom"/>
            <w:shd w:val="clear" w:color="auto" w:fill="EAEAEA"/>
          </w:tcPr>
          <w:p>
            <w:pPr>
              <w:jc w:val="right"/>
              <w:ind w:right="1120"/>
              <w:spacing w:after="0"/>
              <w:rPr>
                <w:sz w:val="20"/>
                <w:szCs w:val="20"/>
                <w:color w:val="auto"/>
              </w:rPr>
            </w:pPr>
            <w:r>
              <w:rPr>
                <w:rFonts w:ascii="Arial" w:cs="Arial" w:eastAsia="Arial" w:hAnsi="Arial"/>
                <w:sz w:val="16"/>
                <w:szCs w:val="16"/>
                <w:b w:val="1"/>
                <w:bCs w:val="1"/>
                <w:color w:val="00053B"/>
              </w:rPr>
              <w:t>9</w:t>
            </w:r>
          </w:p>
        </w:tc>
        <w:tc>
          <w:tcPr>
            <w:tcW w:w="1800" w:type="dxa"/>
            <w:vAlign w:val="bottom"/>
            <w:shd w:val="clear" w:color="auto" w:fill="EAEAEA"/>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2140" w:type="dxa"/>
            <w:vAlign w:val="bottom"/>
            <w:vMerge w:val="restart"/>
          </w:tcPr>
          <w:p>
            <w:pPr>
              <w:ind w:left="1160"/>
              <w:spacing w:after="0"/>
              <w:rPr>
                <w:sz w:val="20"/>
                <w:szCs w:val="20"/>
                <w:color w:val="auto"/>
              </w:rPr>
            </w:pPr>
            <w:r>
              <w:rPr>
                <w:rFonts w:ascii="Arial" w:cs="Arial" w:eastAsia="Arial" w:hAnsi="Arial"/>
                <w:sz w:val="14"/>
                <w:szCs w:val="14"/>
                <w:color w:val="00053B"/>
              </w:rPr>
              <w:t>Female</w:t>
            </w:r>
          </w:p>
        </w:tc>
        <w:tc>
          <w:tcPr>
            <w:tcW w:w="1180" w:type="dxa"/>
            <w:vAlign w:val="bottom"/>
            <w:vMerge w:val="restart"/>
          </w:tcPr>
          <w:p>
            <w:pPr>
              <w:ind w:left="500"/>
              <w:spacing w:after="0"/>
              <w:rPr>
                <w:sz w:val="20"/>
                <w:szCs w:val="20"/>
                <w:color w:val="auto"/>
              </w:rPr>
            </w:pPr>
            <w:r>
              <w:rPr>
                <w:rFonts w:ascii="Arial" w:cs="Arial" w:eastAsia="Arial" w:hAnsi="Arial"/>
                <w:sz w:val="14"/>
                <w:szCs w:val="14"/>
                <w:color w:val="00053B"/>
              </w:rPr>
              <w:t>Male</w:t>
            </w:r>
          </w:p>
        </w:tc>
        <w:tc>
          <w:tcPr>
            <w:tcW w:w="1680" w:type="dxa"/>
            <w:vAlign w:val="bottom"/>
            <w:vMerge w:val="restart"/>
          </w:tcPr>
          <w:p>
            <w:pPr>
              <w:jc w:val="center"/>
              <w:ind w:left="80"/>
              <w:spacing w:after="0"/>
              <w:rPr>
                <w:sz w:val="20"/>
                <w:szCs w:val="20"/>
                <w:color w:val="auto"/>
              </w:rPr>
            </w:pPr>
            <w:r>
              <w:rPr>
                <w:rFonts w:ascii="Arial" w:cs="Arial" w:eastAsia="Arial" w:hAnsi="Arial"/>
                <w:sz w:val="14"/>
                <w:szCs w:val="14"/>
                <w:color w:val="00053B"/>
              </w:rPr>
              <w:t>Non-Binary</w:t>
            </w: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00053B"/>
              </w:rPr>
              <w:t>Did not disclose</w:t>
            </w:r>
          </w:p>
        </w:tc>
        <w:tc>
          <w:tcPr>
            <w:tcW w:w="0" w:type="dxa"/>
            <w:vAlign w:val="bottom"/>
          </w:tcPr>
          <w:p>
            <w:pPr>
              <w:spacing w:after="0"/>
              <w:rPr>
                <w:sz w:val="1"/>
                <w:szCs w:val="1"/>
                <w:color w:val="auto"/>
              </w:rPr>
            </w:pPr>
          </w:p>
        </w:tc>
      </w:tr>
      <w:tr>
        <w:trPr>
          <w:trHeight w:val="189"/>
        </w:trPr>
        <w:tc>
          <w:tcPr>
            <w:tcW w:w="4440" w:type="dxa"/>
            <w:vAlign w:val="bottom"/>
            <w:tcBorders>
              <w:bottom w:val="single" w:sz="8" w:color="844896"/>
            </w:tcBorders>
          </w:tcPr>
          <w:p>
            <w:pPr>
              <w:spacing w:after="0"/>
              <w:rPr>
                <w:sz w:val="16"/>
                <w:szCs w:val="16"/>
                <w:color w:val="auto"/>
              </w:rPr>
            </w:pPr>
          </w:p>
        </w:tc>
        <w:tc>
          <w:tcPr>
            <w:tcW w:w="2140" w:type="dxa"/>
            <w:vAlign w:val="bottom"/>
            <w:tcBorders>
              <w:bottom w:val="single" w:sz="8" w:color="844896"/>
            </w:tcBorders>
            <w:vMerge w:val="continue"/>
          </w:tcPr>
          <w:p>
            <w:pPr>
              <w:spacing w:after="0"/>
              <w:rPr>
                <w:sz w:val="16"/>
                <w:szCs w:val="16"/>
                <w:color w:val="auto"/>
              </w:rPr>
            </w:pPr>
          </w:p>
        </w:tc>
        <w:tc>
          <w:tcPr>
            <w:tcW w:w="1180" w:type="dxa"/>
            <w:vAlign w:val="bottom"/>
            <w:tcBorders>
              <w:bottom w:val="single" w:sz="8" w:color="844896"/>
            </w:tcBorders>
            <w:vMerge w:val="continue"/>
          </w:tcPr>
          <w:p>
            <w:pPr>
              <w:spacing w:after="0"/>
              <w:rPr>
                <w:sz w:val="16"/>
                <w:szCs w:val="16"/>
                <w:color w:val="auto"/>
              </w:rPr>
            </w:pPr>
          </w:p>
        </w:tc>
        <w:tc>
          <w:tcPr>
            <w:tcW w:w="1680" w:type="dxa"/>
            <w:vAlign w:val="bottom"/>
            <w:tcBorders>
              <w:bottom w:val="single" w:sz="8" w:color="844896"/>
            </w:tcBorders>
            <w:vMerge w:val="continue"/>
          </w:tcPr>
          <w:p>
            <w:pPr>
              <w:spacing w:after="0"/>
              <w:rPr>
                <w:sz w:val="16"/>
                <w:szCs w:val="16"/>
                <w:color w:val="auto"/>
              </w:rPr>
            </w:pPr>
          </w:p>
        </w:tc>
        <w:tc>
          <w:tcPr>
            <w:tcW w:w="1800" w:type="dxa"/>
            <w:vAlign w:val="bottom"/>
            <w:tcBorders>
              <w:bottom w:val="single" w:sz="8" w:color="844896"/>
            </w:tcBorders>
          </w:tcPr>
          <w:p>
            <w:pPr>
              <w:jc w:val="center"/>
              <w:spacing w:after="0"/>
              <w:rPr>
                <w:sz w:val="20"/>
                <w:szCs w:val="20"/>
                <w:color w:val="auto"/>
              </w:rPr>
            </w:pPr>
            <w:r>
              <w:rPr>
                <w:rFonts w:ascii="Arial" w:cs="Arial" w:eastAsia="Arial" w:hAnsi="Arial"/>
                <w:sz w:val="14"/>
                <w:szCs w:val="14"/>
                <w:color w:val="00053B"/>
              </w:rPr>
              <w:t>Gender</w:t>
            </w:r>
          </w:p>
        </w:tc>
        <w:tc>
          <w:tcPr>
            <w:tcW w:w="0" w:type="dxa"/>
            <w:vAlign w:val="bottom"/>
          </w:tcPr>
          <w:p>
            <w:pPr>
              <w:spacing w:after="0"/>
              <w:rPr>
                <w:sz w:val="1"/>
                <w:szCs w:val="1"/>
                <w:color w:val="auto"/>
              </w:rPr>
            </w:pPr>
          </w:p>
        </w:tc>
      </w:tr>
      <w:tr>
        <w:trPr>
          <w:trHeight w:val="209"/>
        </w:trPr>
        <w:tc>
          <w:tcPr>
            <w:tcW w:w="4440" w:type="dxa"/>
            <w:vAlign w:val="bottom"/>
            <w:shd w:val="clear" w:color="auto" w:fill="EAEAEA"/>
          </w:tcPr>
          <w:p>
            <w:pPr>
              <w:ind w:left="120"/>
              <w:spacing w:after="0"/>
              <w:rPr>
                <w:sz w:val="20"/>
                <w:szCs w:val="20"/>
                <w:color w:val="auto"/>
              </w:rPr>
            </w:pPr>
            <w:r>
              <w:rPr>
                <w:rFonts w:ascii="Arial" w:cs="Arial" w:eastAsia="Arial" w:hAnsi="Arial"/>
                <w:sz w:val="16"/>
                <w:szCs w:val="16"/>
                <w:b w:val="1"/>
                <w:bCs w:val="1"/>
                <w:color w:val="00053B"/>
              </w:rPr>
              <w:t>Directors</w:t>
            </w:r>
          </w:p>
        </w:tc>
        <w:tc>
          <w:tcPr>
            <w:tcW w:w="2140" w:type="dxa"/>
            <w:vAlign w:val="bottom"/>
            <w:shd w:val="clear" w:color="auto" w:fill="EAEAEA"/>
          </w:tcPr>
          <w:p>
            <w:pPr>
              <w:jc w:val="center"/>
              <w:ind w:left="600"/>
              <w:spacing w:after="0"/>
              <w:rPr>
                <w:sz w:val="20"/>
                <w:szCs w:val="20"/>
                <w:color w:val="auto"/>
              </w:rPr>
            </w:pPr>
            <w:r>
              <w:rPr>
                <w:rFonts w:ascii="Arial" w:cs="Arial" w:eastAsia="Arial" w:hAnsi="Arial"/>
                <w:sz w:val="16"/>
                <w:szCs w:val="16"/>
                <w:color w:val="00053B"/>
              </w:rPr>
              <w:t>3</w:t>
            </w:r>
          </w:p>
        </w:tc>
        <w:tc>
          <w:tcPr>
            <w:tcW w:w="1180" w:type="dxa"/>
            <w:vAlign w:val="bottom"/>
            <w:shd w:val="clear" w:color="auto" w:fill="EAEAEA"/>
          </w:tcPr>
          <w:p>
            <w:pPr>
              <w:jc w:val="center"/>
              <w:ind w:left="40"/>
              <w:spacing w:after="0"/>
              <w:rPr>
                <w:sz w:val="20"/>
                <w:szCs w:val="20"/>
                <w:color w:val="auto"/>
              </w:rPr>
            </w:pPr>
            <w:r>
              <w:rPr>
                <w:rFonts w:ascii="Arial" w:cs="Arial" w:eastAsia="Arial" w:hAnsi="Arial"/>
                <w:sz w:val="16"/>
                <w:szCs w:val="16"/>
                <w:color w:val="00053B"/>
              </w:rPr>
              <w:t>6</w:t>
            </w:r>
          </w:p>
        </w:tc>
        <w:tc>
          <w:tcPr>
            <w:tcW w:w="1680" w:type="dxa"/>
            <w:vAlign w:val="bottom"/>
            <w:shd w:val="clear" w:color="auto" w:fill="EAEAEA"/>
          </w:tcPr>
          <w:p>
            <w:pPr>
              <w:jc w:val="center"/>
              <w:ind w:left="80"/>
              <w:spacing w:after="0"/>
              <w:rPr>
                <w:sz w:val="20"/>
                <w:szCs w:val="20"/>
                <w:color w:val="auto"/>
              </w:rPr>
            </w:pPr>
            <w:r>
              <w:rPr>
                <w:rFonts w:ascii="Arial" w:cs="Arial" w:eastAsia="Arial" w:hAnsi="Arial"/>
                <w:sz w:val="16"/>
                <w:szCs w:val="16"/>
                <w:color w:val="00053B"/>
                <w:w w:val="99"/>
              </w:rPr>
              <w:t>—</w:t>
            </w:r>
          </w:p>
        </w:tc>
        <w:tc>
          <w:tcPr>
            <w:tcW w:w="1800" w:type="dxa"/>
            <w:vAlign w:val="bottom"/>
            <w:shd w:val="clear" w:color="auto" w:fill="EAEAEA"/>
          </w:tcPr>
          <w:p>
            <w:pPr>
              <w:jc w:val="center"/>
              <w:spacing w:after="0"/>
              <w:rPr>
                <w:sz w:val="20"/>
                <w:szCs w:val="20"/>
                <w:color w:val="auto"/>
              </w:rPr>
            </w:pPr>
            <w:r>
              <w:rPr>
                <w:rFonts w:ascii="Arial" w:cs="Arial" w:eastAsia="Arial" w:hAnsi="Arial"/>
                <w:sz w:val="16"/>
                <w:szCs w:val="16"/>
                <w:color w:val="00053B"/>
              </w:rPr>
              <w:t>_</w:t>
            </w:r>
          </w:p>
        </w:tc>
        <w:tc>
          <w:tcPr>
            <w:tcW w:w="0" w:type="dxa"/>
            <w:vAlign w:val="bottom"/>
          </w:tcPr>
          <w:p>
            <w:pPr>
              <w:spacing w:after="0"/>
              <w:rPr>
                <w:sz w:val="1"/>
                <w:szCs w:val="1"/>
                <w:color w:val="auto"/>
              </w:rPr>
            </w:pPr>
          </w:p>
        </w:tc>
      </w:tr>
      <w:tr>
        <w:trPr>
          <w:trHeight w:val="202"/>
        </w:trPr>
        <w:tc>
          <w:tcPr>
            <w:tcW w:w="6580" w:type="dxa"/>
            <w:vAlign w:val="bottom"/>
            <w:gridSpan w:val="2"/>
          </w:tcPr>
          <w:p>
            <w:pPr>
              <w:ind w:left="140"/>
              <w:spacing w:after="0"/>
              <w:rPr>
                <w:sz w:val="20"/>
                <w:szCs w:val="20"/>
                <w:color w:val="auto"/>
              </w:rPr>
            </w:pPr>
            <w:r>
              <w:rPr>
                <w:rFonts w:ascii="Arial" w:cs="Arial" w:eastAsia="Arial" w:hAnsi="Arial"/>
                <w:sz w:val="14"/>
                <w:szCs w:val="14"/>
                <w:b w:val="1"/>
                <w:bCs w:val="1"/>
                <w:color w:val="00053B"/>
              </w:rPr>
              <w:t>NUMBER OF DIRECTORS WHO IDENTIFY IN ANY OF THE CATEGORIES BELOW:</w:t>
            </w:r>
          </w:p>
        </w:tc>
        <w:tc>
          <w:tcPr>
            <w:tcW w:w="1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EAEAEA"/>
          </w:tcPr>
          <w:p>
            <w:pPr>
              <w:ind w:left="140"/>
              <w:spacing w:after="0"/>
              <w:rPr>
                <w:sz w:val="20"/>
                <w:szCs w:val="20"/>
                <w:color w:val="auto"/>
              </w:rPr>
            </w:pPr>
            <w:r>
              <w:rPr>
                <w:rFonts w:ascii="Arial" w:cs="Arial" w:eastAsia="Arial" w:hAnsi="Arial"/>
                <w:sz w:val="14"/>
                <w:szCs w:val="14"/>
                <w:b w:val="1"/>
                <w:bCs w:val="1"/>
                <w:color w:val="00053B"/>
              </w:rPr>
              <w:t>African American or Black</w:t>
            </w:r>
          </w:p>
        </w:tc>
        <w:tc>
          <w:tcPr>
            <w:tcW w:w="2140" w:type="dxa"/>
            <w:vAlign w:val="bottom"/>
            <w:shd w:val="clear" w:color="auto" w:fill="EAEAEA"/>
          </w:tcPr>
          <w:p>
            <w:pPr>
              <w:jc w:val="center"/>
              <w:ind w:left="580"/>
              <w:spacing w:after="0"/>
              <w:rPr>
                <w:sz w:val="20"/>
                <w:szCs w:val="20"/>
                <w:color w:val="auto"/>
              </w:rPr>
            </w:pPr>
            <w:r>
              <w:rPr>
                <w:rFonts w:ascii="Arial" w:cs="Arial" w:eastAsia="Arial" w:hAnsi="Arial"/>
                <w:sz w:val="16"/>
                <w:szCs w:val="16"/>
                <w:color w:val="00053B"/>
                <w:w w:val="99"/>
              </w:rPr>
              <w:t>—</w:t>
            </w:r>
          </w:p>
        </w:tc>
        <w:tc>
          <w:tcPr>
            <w:tcW w:w="1180" w:type="dxa"/>
            <w:vAlign w:val="bottom"/>
            <w:shd w:val="clear" w:color="auto" w:fill="EAEAEA"/>
          </w:tcPr>
          <w:p>
            <w:pPr>
              <w:jc w:val="center"/>
              <w:ind w:left="40"/>
              <w:spacing w:after="0"/>
              <w:rPr>
                <w:sz w:val="20"/>
                <w:szCs w:val="20"/>
                <w:color w:val="auto"/>
              </w:rPr>
            </w:pPr>
            <w:r>
              <w:rPr>
                <w:rFonts w:ascii="Arial" w:cs="Arial" w:eastAsia="Arial" w:hAnsi="Arial"/>
                <w:sz w:val="16"/>
                <w:szCs w:val="16"/>
                <w:color w:val="00053B"/>
              </w:rPr>
              <w:t>1</w:t>
            </w:r>
          </w:p>
        </w:tc>
        <w:tc>
          <w:tcPr>
            <w:tcW w:w="1680" w:type="dxa"/>
            <w:vAlign w:val="bottom"/>
            <w:shd w:val="clear" w:color="auto" w:fill="EAEAEA"/>
          </w:tcPr>
          <w:p>
            <w:pPr>
              <w:jc w:val="center"/>
              <w:ind w:left="80"/>
              <w:spacing w:after="0"/>
              <w:rPr>
                <w:sz w:val="20"/>
                <w:szCs w:val="20"/>
                <w:color w:val="auto"/>
              </w:rPr>
            </w:pPr>
            <w:r>
              <w:rPr>
                <w:rFonts w:ascii="Arial" w:cs="Arial" w:eastAsia="Arial" w:hAnsi="Arial"/>
                <w:sz w:val="16"/>
                <w:szCs w:val="16"/>
                <w:color w:val="00053B"/>
                <w:w w:val="99"/>
              </w:rPr>
              <w:t>—</w:t>
            </w:r>
          </w:p>
        </w:tc>
        <w:tc>
          <w:tcPr>
            <w:tcW w:w="1800" w:type="dxa"/>
            <w:vAlign w:val="bottom"/>
            <w:shd w:val="clear" w:color="auto" w:fill="EAEAEA"/>
          </w:tcPr>
          <w:p>
            <w:pPr>
              <w:jc w:val="center"/>
              <w:spacing w:after="0"/>
              <w:rPr>
                <w:sz w:val="20"/>
                <w:szCs w:val="20"/>
                <w:color w:val="auto"/>
              </w:rPr>
            </w:pPr>
            <w:r>
              <w:rPr>
                <w:rFonts w:ascii="Arial" w:cs="Arial" w:eastAsia="Arial" w:hAnsi="Arial"/>
                <w:sz w:val="16"/>
                <w:szCs w:val="16"/>
                <w:color w:val="00053B"/>
              </w:rPr>
              <w:t>—</w:t>
            </w:r>
          </w:p>
        </w:tc>
        <w:tc>
          <w:tcPr>
            <w:tcW w:w="0" w:type="dxa"/>
            <w:vAlign w:val="bottom"/>
          </w:tcPr>
          <w:p>
            <w:pPr>
              <w:spacing w:after="0"/>
              <w:rPr>
                <w:sz w:val="1"/>
                <w:szCs w:val="1"/>
                <w:color w:val="auto"/>
              </w:rPr>
            </w:pPr>
          </w:p>
        </w:tc>
      </w:tr>
      <w:tr>
        <w:trPr>
          <w:trHeight w:val="215"/>
        </w:trPr>
        <w:tc>
          <w:tcPr>
            <w:tcW w:w="4440" w:type="dxa"/>
            <w:vAlign w:val="bottom"/>
          </w:tcPr>
          <w:p>
            <w:pPr>
              <w:ind w:left="140"/>
              <w:spacing w:after="0"/>
              <w:rPr>
                <w:sz w:val="20"/>
                <w:szCs w:val="20"/>
                <w:color w:val="auto"/>
              </w:rPr>
            </w:pPr>
            <w:r>
              <w:rPr>
                <w:rFonts w:ascii="Arial" w:cs="Arial" w:eastAsia="Arial" w:hAnsi="Arial"/>
                <w:sz w:val="14"/>
                <w:szCs w:val="14"/>
                <w:b w:val="1"/>
                <w:bCs w:val="1"/>
                <w:color w:val="00053B"/>
              </w:rPr>
              <w:t>Asian</w:t>
            </w:r>
          </w:p>
        </w:tc>
        <w:tc>
          <w:tcPr>
            <w:tcW w:w="2140" w:type="dxa"/>
            <w:vAlign w:val="bottom"/>
          </w:tcPr>
          <w:p>
            <w:pPr>
              <w:jc w:val="center"/>
              <w:ind w:left="600"/>
              <w:spacing w:after="0"/>
              <w:rPr>
                <w:sz w:val="20"/>
                <w:szCs w:val="20"/>
                <w:color w:val="auto"/>
              </w:rPr>
            </w:pPr>
            <w:r>
              <w:rPr>
                <w:rFonts w:ascii="Arial" w:cs="Arial" w:eastAsia="Arial" w:hAnsi="Arial"/>
                <w:sz w:val="16"/>
                <w:szCs w:val="16"/>
                <w:color w:val="00053B"/>
              </w:rPr>
              <w:t>1</w:t>
            </w:r>
          </w:p>
        </w:tc>
        <w:tc>
          <w:tcPr>
            <w:tcW w:w="1180" w:type="dxa"/>
            <w:vAlign w:val="bottom"/>
          </w:tcPr>
          <w:p>
            <w:pPr>
              <w:jc w:val="center"/>
              <w:ind w:left="40"/>
              <w:spacing w:after="0"/>
              <w:rPr>
                <w:sz w:val="20"/>
                <w:szCs w:val="20"/>
                <w:color w:val="auto"/>
              </w:rPr>
            </w:pPr>
            <w:r>
              <w:rPr>
                <w:rFonts w:ascii="Arial" w:cs="Arial" w:eastAsia="Arial" w:hAnsi="Arial"/>
                <w:sz w:val="16"/>
                <w:szCs w:val="16"/>
                <w:color w:val="00053B"/>
              </w:rPr>
              <w:t>1</w:t>
            </w:r>
          </w:p>
        </w:tc>
        <w:tc>
          <w:tcPr>
            <w:tcW w:w="1680" w:type="dxa"/>
            <w:vAlign w:val="bottom"/>
          </w:tcPr>
          <w:p>
            <w:pPr>
              <w:jc w:val="center"/>
              <w:ind w:left="80"/>
              <w:spacing w:after="0"/>
              <w:rPr>
                <w:sz w:val="20"/>
                <w:szCs w:val="20"/>
                <w:color w:val="auto"/>
              </w:rPr>
            </w:pPr>
            <w:r>
              <w:rPr>
                <w:rFonts w:ascii="Arial" w:cs="Arial" w:eastAsia="Arial" w:hAnsi="Arial"/>
                <w:sz w:val="16"/>
                <w:szCs w:val="16"/>
                <w:color w:val="00053B"/>
                <w:w w:val="99"/>
              </w:rPr>
              <w:t>—</w:t>
            </w:r>
          </w:p>
        </w:tc>
        <w:tc>
          <w:tcPr>
            <w:tcW w:w="1800" w:type="dxa"/>
            <w:vAlign w:val="bottom"/>
          </w:tcPr>
          <w:p>
            <w:pPr>
              <w:jc w:val="center"/>
              <w:spacing w:after="0"/>
              <w:rPr>
                <w:sz w:val="20"/>
                <w:szCs w:val="20"/>
                <w:color w:val="auto"/>
              </w:rPr>
            </w:pPr>
            <w:r>
              <w:rPr>
                <w:rFonts w:ascii="Arial" w:cs="Arial" w:eastAsia="Arial" w:hAnsi="Arial"/>
                <w:sz w:val="16"/>
                <w:szCs w:val="16"/>
                <w:color w:val="00053B"/>
              </w:rPr>
              <w:t>—</w:t>
            </w:r>
          </w:p>
        </w:tc>
        <w:tc>
          <w:tcPr>
            <w:tcW w:w="0" w:type="dxa"/>
            <w:vAlign w:val="bottom"/>
          </w:tcPr>
          <w:p>
            <w:pPr>
              <w:spacing w:after="0"/>
              <w:rPr>
                <w:sz w:val="1"/>
                <w:szCs w:val="1"/>
                <w:color w:val="auto"/>
              </w:rPr>
            </w:pPr>
          </w:p>
        </w:tc>
      </w:tr>
      <w:tr>
        <w:trPr>
          <w:trHeight w:val="217"/>
        </w:trPr>
        <w:tc>
          <w:tcPr>
            <w:tcW w:w="4440" w:type="dxa"/>
            <w:vAlign w:val="bottom"/>
            <w:shd w:val="clear" w:color="auto" w:fill="EAEAEA"/>
          </w:tcPr>
          <w:p>
            <w:pPr>
              <w:ind w:left="140"/>
              <w:spacing w:after="0"/>
              <w:rPr>
                <w:sz w:val="20"/>
                <w:szCs w:val="20"/>
                <w:color w:val="auto"/>
              </w:rPr>
            </w:pPr>
            <w:r>
              <w:rPr>
                <w:rFonts w:ascii="Arial" w:cs="Arial" w:eastAsia="Arial" w:hAnsi="Arial"/>
                <w:sz w:val="14"/>
                <w:szCs w:val="14"/>
                <w:b w:val="1"/>
                <w:bCs w:val="1"/>
                <w:color w:val="00053B"/>
              </w:rPr>
              <w:t>Hispanic or Latinx</w:t>
            </w:r>
          </w:p>
        </w:tc>
        <w:tc>
          <w:tcPr>
            <w:tcW w:w="2140" w:type="dxa"/>
            <w:vAlign w:val="bottom"/>
            <w:shd w:val="clear" w:color="auto" w:fill="EAEAEA"/>
          </w:tcPr>
          <w:p>
            <w:pPr>
              <w:jc w:val="center"/>
              <w:ind w:left="600"/>
              <w:spacing w:after="0"/>
              <w:rPr>
                <w:sz w:val="20"/>
                <w:szCs w:val="20"/>
                <w:color w:val="auto"/>
              </w:rPr>
            </w:pPr>
            <w:r>
              <w:rPr>
                <w:rFonts w:ascii="Arial" w:cs="Arial" w:eastAsia="Arial" w:hAnsi="Arial"/>
                <w:sz w:val="16"/>
                <w:szCs w:val="16"/>
                <w:color w:val="00053B"/>
              </w:rPr>
              <w:t>1</w:t>
            </w:r>
          </w:p>
        </w:tc>
        <w:tc>
          <w:tcPr>
            <w:tcW w:w="1180" w:type="dxa"/>
            <w:vAlign w:val="bottom"/>
            <w:shd w:val="clear" w:color="auto" w:fill="EAEAEA"/>
          </w:tcPr>
          <w:p>
            <w:pPr>
              <w:jc w:val="center"/>
              <w:ind w:left="40"/>
              <w:spacing w:after="0"/>
              <w:rPr>
                <w:sz w:val="20"/>
                <w:szCs w:val="20"/>
                <w:color w:val="auto"/>
              </w:rPr>
            </w:pPr>
            <w:r>
              <w:rPr>
                <w:rFonts w:ascii="Arial" w:cs="Arial" w:eastAsia="Arial" w:hAnsi="Arial"/>
                <w:sz w:val="16"/>
                <w:szCs w:val="16"/>
                <w:color w:val="00053B"/>
              </w:rPr>
              <w:t>—</w:t>
            </w:r>
          </w:p>
        </w:tc>
        <w:tc>
          <w:tcPr>
            <w:tcW w:w="1680" w:type="dxa"/>
            <w:vAlign w:val="bottom"/>
            <w:shd w:val="clear" w:color="auto" w:fill="EAEAEA"/>
          </w:tcPr>
          <w:p>
            <w:pPr>
              <w:jc w:val="center"/>
              <w:ind w:left="80"/>
              <w:spacing w:after="0"/>
              <w:rPr>
                <w:sz w:val="20"/>
                <w:szCs w:val="20"/>
                <w:color w:val="auto"/>
              </w:rPr>
            </w:pPr>
            <w:r>
              <w:rPr>
                <w:rFonts w:ascii="Arial" w:cs="Arial" w:eastAsia="Arial" w:hAnsi="Arial"/>
                <w:sz w:val="16"/>
                <w:szCs w:val="16"/>
                <w:color w:val="00053B"/>
                <w:w w:val="99"/>
              </w:rPr>
              <w:t>—</w:t>
            </w:r>
          </w:p>
        </w:tc>
        <w:tc>
          <w:tcPr>
            <w:tcW w:w="1800" w:type="dxa"/>
            <w:vAlign w:val="bottom"/>
            <w:shd w:val="clear" w:color="auto" w:fill="EAEAEA"/>
          </w:tcPr>
          <w:p>
            <w:pPr>
              <w:jc w:val="center"/>
              <w:spacing w:after="0"/>
              <w:rPr>
                <w:sz w:val="20"/>
                <w:szCs w:val="20"/>
                <w:color w:val="auto"/>
              </w:rPr>
            </w:pPr>
            <w:r>
              <w:rPr>
                <w:rFonts w:ascii="Arial" w:cs="Arial" w:eastAsia="Arial" w:hAnsi="Arial"/>
                <w:sz w:val="16"/>
                <w:szCs w:val="16"/>
                <w:color w:val="00053B"/>
              </w:rPr>
              <w:t>—</w:t>
            </w:r>
          </w:p>
        </w:tc>
        <w:tc>
          <w:tcPr>
            <w:tcW w:w="0" w:type="dxa"/>
            <w:vAlign w:val="bottom"/>
          </w:tcPr>
          <w:p>
            <w:pPr>
              <w:spacing w:after="0"/>
              <w:rPr>
                <w:sz w:val="1"/>
                <w:szCs w:val="1"/>
                <w:color w:val="auto"/>
              </w:rPr>
            </w:pPr>
          </w:p>
        </w:tc>
      </w:tr>
      <w:tr>
        <w:trPr>
          <w:trHeight w:val="215"/>
        </w:trPr>
        <w:tc>
          <w:tcPr>
            <w:tcW w:w="4440" w:type="dxa"/>
            <w:vAlign w:val="bottom"/>
          </w:tcPr>
          <w:p>
            <w:pPr>
              <w:ind w:left="140"/>
              <w:spacing w:after="0"/>
              <w:rPr>
                <w:sz w:val="20"/>
                <w:szCs w:val="20"/>
                <w:color w:val="auto"/>
              </w:rPr>
            </w:pPr>
            <w:r>
              <w:rPr>
                <w:rFonts w:ascii="Arial" w:cs="Arial" w:eastAsia="Arial" w:hAnsi="Arial"/>
                <w:sz w:val="14"/>
                <w:szCs w:val="14"/>
                <w:b w:val="1"/>
                <w:bCs w:val="1"/>
                <w:color w:val="00053B"/>
              </w:rPr>
              <w:t>White</w:t>
            </w:r>
          </w:p>
        </w:tc>
        <w:tc>
          <w:tcPr>
            <w:tcW w:w="2140" w:type="dxa"/>
            <w:vAlign w:val="bottom"/>
          </w:tcPr>
          <w:p>
            <w:pPr>
              <w:jc w:val="center"/>
              <w:ind w:left="600"/>
              <w:spacing w:after="0"/>
              <w:rPr>
                <w:sz w:val="20"/>
                <w:szCs w:val="20"/>
                <w:color w:val="auto"/>
              </w:rPr>
            </w:pPr>
            <w:r>
              <w:rPr>
                <w:rFonts w:ascii="Arial" w:cs="Arial" w:eastAsia="Arial" w:hAnsi="Arial"/>
                <w:sz w:val="16"/>
                <w:szCs w:val="16"/>
                <w:color w:val="00053B"/>
              </w:rPr>
              <w:t>1</w:t>
            </w:r>
          </w:p>
        </w:tc>
        <w:tc>
          <w:tcPr>
            <w:tcW w:w="1180" w:type="dxa"/>
            <w:vAlign w:val="bottom"/>
          </w:tcPr>
          <w:p>
            <w:pPr>
              <w:jc w:val="center"/>
              <w:ind w:left="40"/>
              <w:spacing w:after="0"/>
              <w:rPr>
                <w:sz w:val="20"/>
                <w:szCs w:val="20"/>
                <w:color w:val="auto"/>
              </w:rPr>
            </w:pPr>
            <w:r>
              <w:rPr>
                <w:rFonts w:ascii="Arial" w:cs="Arial" w:eastAsia="Arial" w:hAnsi="Arial"/>
                <w:sz w:val="16"/>
                <w:szCs w:val="16"/>
                <w:color w:val="00053B"/>
              </w:rPr>
              <w:t>4</w:t>
            </w:r>
          </w:p>
        </w:tc>
        <w:tc>
          <w:tcPr>
            <w:tcW w:w="1680" w:type="dxa"/>
            <w:vAlign w:val="bottom"/>
          </w:tcPr>
          <w:p>
            <w:pPr>
              <w:jc w:val="center"/>
              <w:ind w:left="80"/>
              <w:spacing w:after="0"/>
              <w:rPr>
                <w:sz w:val="20"/>
                <w:szCs w:val="20"/>
                <w:color w:val="auto"/>
              </w:rPr>
            </w:pPr>
            <w:r>
              <w:rPr>
                <w:rFonts w:ascii="Arial" w:cs="Arial" w:eastAsia="Arial" w:hAnsi="Arial"/>
                <w:sz w:val="16"/>
                <w:szCs w:val="16"/>
                <w:color w:val="00053B"/>
                <w:w w:val="99"/>
              </w:rPr>
              <w:t>—</w:t>
            </w:r>
          </w:p>
        </w:tc>
        <w:tc>
          <w:tcPr>
            <w:tcW w:w="1800" w:type="dxa"/>
            <w:vAlign w:val="bottom"/>
          </w:tcPr>
          <w:p>
            <w:pPr>
              <w:jc w:val="center"/>
              <w:spacing w:after="0"/>
              <w:rPr>
                <w:sz w:val="20"/>
                <w:szCs w:val="20"/>
                <w:color w:val="auto"/>
              </w:rPr>
            </w:pPr>
            <w:r>
              <w:rPr>
                <w:rFonts w:ascii="Arial" w:cs="Arial" w:eastAsia="Arial" w:hAnsi="Arial"/>
                <w:sz w:val="16"/>
                <w:szCs w:val="16"/>
                <w:color w:val="00053B"/>
              </w:rPr>
              <w:t>—</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A376B0"/>
            </w:tcBorders>
            <w:shd w:val="clear" w:color="auto" w:fill="EAEAEA"/>
          </w:tcPr>
          <w:p>
            <w:pPr>
              <w:ind w:left="140"/>
              <w:spacing w:after="0"/>
              <w:rPr>
                <w:sz w:val="20"/>
                <w:szCs w:val="20"/>
                <w:color w:val="auto"/>
              </w:rPr>
            </w:pPr>
            <w:r>
              <w:rPr>
                <w:rFonts w:ascii="Arial" w:cs="Arial" w:eastAsia="Arial" w:hAnsi="Arial"/>
                <w:sz w:val="14"/>
                <w:szCs w:val="14"/>
                <w:b w:val="1"/>
                <w:bCs w:val="1"/>
                <w:color w:val="00053B"/>
              </w:rPr>
              <w:t>Two or More Races or Ethnicities</w:t>
            </w:r>
          </w:p>
        </w:tc>
        <w:tc>
          <w:tcPr>
            <w:tcW w:w="2140" w:type="dxa"/>
            <w:vAlign w:val="bottom"/>
            <w:tcBorders>
              <w:bottom w:val="single" w:sz="8" w:color="A376B0"/>
            </w:tcBorders>
            <w:shd w:val="clear" w:color="auto" w:fill="EAEAEA"/>
          </w:tcPr>
          <w:p>
            <w:pPr>
              <w:jc w:val="center"/>
              <w:ind w:left="600"/>
              <w:spacing w:after="0"/>
              <w:rPr>
                <w:sz w:val="20"/>
                <w:szCs w:val="20"/>
                <w:color w:val="auto"/>
              </w:rPr>
            </w:pPr>
            <w:r>
              <w:rPr>
                <w:rFonts w:ascii="Arial" w:cs="Arial" w:eastAsia="Arial" w:hAnsi="Arial"/>
                <w:sz w:val="16"/>
                <w:szCs w:val="16"/>
                <w:color w:val="00053B"/>
              </w:rPr>
              <w:t>1</w:t>
            </w:r>
          </w:p>
        </w:tc>
        <w:tc>
          <w:tcPr>
            <w:tcW w:w="1180" w:type="dxa"/>
            <w:vAlign w:val="bottom"/>
            <w:tcBorders>
              <w:bottom w:val="single" w:sz="8" w:color="A376B0"/>
            </w:tcBorders>
            <w:shd w:val="clear" w:color="auto" w:fill="EAEAEA"/>
          </w:tcPr>
          <w:p>
            <w:pPr>
              <w:jc w:val="center"/>
              <w:ind w:left="40"/>
              <w:spacing w:after="0"/>
              <w:rPr>
                <w:sz w:val="20"/>
                <w:szCs w:val="20"/>
                <w:color w:val="auto"/>
              </w:rPr>
            </w:pPr>
            <w:r>
              <w:rPr>
                <w:rFonts w:ascii="Arial" w:cs="Arial" w:eastAsia="Arial" w:hAnsi="Arial"/>
                <w:sz w:val="16"/>
                <w:szCs w:val="16"/>
                <w:color w:val="00053B"/>
              </w:rPr>
              <w:t>—</w:t>
            </w:r>
          </w:p>
        </w:tc>
        <w:tc>
          <w:tcPr>
            <w:tcW w:w="1680" w:type="dxa"/>
            <w:vAlign w:val="bottom"/>
            <w:tcBorders>
              <w:bottom w:val="single" w:sz="8" w:color="A376B0"/>
            </w:tcBorders>
            <w:shd w:val="clear" w:color="auto" w:fill="EAEAEA"/>
          </w:tcPr>
          <w:p>
            <w:pPr>
              <w:jc w:val="center"/>
              <w:ind w:left="80"/>
              <w:spacing w:after="0"/>
              <w:rPr>
                <w:sz w:val="20"/>
                <w:szCs w:val="20"/>
                <w:color w:val="auto"/>
              </w:rPr>
            </w:pPr>
            <w:r>
              <w:rPr>
                <w:rFonts w:ascii="Arial" w:cs="Arial" w:eastAsia="Arial" w:hAnsi="Arial"/>
                <w:sz w:val="16"/>
                <w:szCs w:val="16"/>
                <w:color w:val="00053B"/>
                <w:w w:val="99"/>
              </w:rPr>
              <w:t>—</w:t>
            </w:r>
          </w:p>
        </w:tc>
        <w:tc>
          <w:tcPr>
            <w:tcW w:w="1800" w:type="dxa"/>
            <w:vAlign w:val="bottom"/>
            <w:tcBorders>
              <w:bottom w:val="single" w:sz="8" w:color="A376B0"/>
            </w:tcBorders>
            <w:shd w:val="clear" w:color="auto" w:fill="EAEAEA"/>
          </w:tcPr>
          <w:p>
            <w:pPr>
              <w:jc w:val="center"/>
              <w:spacing w:after="0"/>
              <w:rPr>
                <w:sz w:val="20"/>
                <w:szCs w:val="20"/>
                <w:color w:val="auto"/>
              </w:rPr>
            </w:pPr>
            <w:r>
              <w:rPr>
                <w:rFonts w:ascii="Arial" w:cs="Arial" w:eastAsia="Arial" w:hAnsi="Arial"/>
                <w:sz w:val="16"/>
                <w:szCs w:val="16"/>
                <w:color w:val="00053B"/>
              </w:rPr>
              <w:t>—</w:t>
            </w:r>
          </w:p>
        </w:tc>
        <w:tc>
          <w:tcPr>
            <w:tcW w:w="0" w:type="dxa"/>
            <w:vAlign w:val="bottom"/>
          </w:tcPr>
          <w:p>
            <w:pPr>
              <w:spacing w:after="0"/>
              <w:rPr>
                <w:sz w:val="1"/>
                <w:szCs w:val="1"/>
                <w:color w:val="auto"/>
              </w:rPr>
            </w:pPr>
          </w:p>
        </w:tc>
      </w:tr>
      <w:tr>
        <w:trPr>
          <w:trHeight w:val="217"/>
        </w:trPr>
        <w:tc>
          <w:tcPr>
            <w:tcW w:w="4440" w:type="dxa"/>
            <w:vAlign w:val="bottom"/>
          </w:tcPr>
          <w:p>
            <w:pPr>
              <w:ind w:left="140"/>
              <w:spacing w:after="0"/>
              <w:rPr>
                <w:sz w:val="20"/>
                <w:szCs w:val="20"/>
                <w:color w:val="auto"/>
              </w:rPr>
            </w:pPr>
            <w:r>
              <w:rPr>
                <w:rFonts w:ascii="Arial" w:cs="Arial" w:eastAsia="Arial" w:hAnsi="Arial"/>
                <w:sz w:val="14"/>
                <w:szCs w:val="14"/>
                <w:b w:val="1"/>
                <w:bCs w:val="1"/>
                <w:color w:val="00053B"/>
              </w:rPr>
              <w:t>LGBTQ+</w:t>
            </w:r>
          </w:p>
        </w:tc>
        <w:tc>
          <w:tcPr>
            <w:tcW w:w="2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80" w:type="dxa"/>
            <w:vAlign w:val="bottom"/>
          </w:tcPr>
          <w:p>
            <w:pPr>
              <w:jc w:val="right"/>
              <w:ind w:right="1120"/>
              <w:spacing w:after="0"/>
              <w:rPr>
                <w:sz w:val="20"/>
                <w:szCs w:val="20"/>
                <w:color w:val="auto"/>
              </w:rPr>
            </w:pPr>
            <w:r>
              <w:rPr>
                <w:rFonts w:ascii="Arial" w:cs="Arial" w:eastAsia="Arial" w:hAnsi="Arial"/>
                <w:sz w:val="16"/>
                <w:szCs w:val="16"/>
                <w:b w:val="1"/>
                <w:bCs w:val="1"/>
                <w:color w:val="00053B"/>
              </w:rPr>
              <w:t>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11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15175" cy="102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0"/>
          <w:szCs w:val="10"/>
          <w:color w:val="00053B"/>
        </w:rPr>
        <w:t xml:space="preserve">PROPOSAL NO. 1: ELECTION OF DIRECTORS | </w:t>
      </w:r>
      <w:r>
        <w:rPr>
          <w:rFonts w:ascii="Arial" w:cs="Arial" w:eastAsia="Arial" w:hAnsi="Arial"/>
          <w:sz w:val="10"/>
          <w:szCs w:val="10"/>
          <w:b w:val="1"/>
          <w:bCs w:val="1"/>
          <w:color w:val="00053B"/>
        </w:rPr>
        <w:t>NOMINEES FOR ELECTION</w:t>
      </w:r>
    </w:p>
    <w:p>
      <w:pPr>
        <w:sectPr>
          <w:pgSz w:w="11900" w:h="16838" w:orient="portrait"/>
          <w:cols w:equalWidth="0" w:num="1">
            <w:col w:w="11180"/>
          </w:cols>
          <w:pgMar w:left="320" w:top="122" w:right="399" w:bottom="1440" w:gutter="0" w:footer="0" w:header="0"/>
        </w:sectPr>
      </w:pPr>
    </w:p>
    <w:p>
      <w:pPr>
        <w:spacing w:after="0" w:line="333"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Nominees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184785</wp:posOffset>
            </wp:positionV>
            <wp:extent cx="1345565" cy="13455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345565"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44896"/>
        </w:rPr>
        <w:t>Independent</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00053B"/>
        </w:rPr>
        <w:t xml:space="preserve">Age: </w:t>
      </w:r>
      <w:r>
        <w:rPr>
          <w:rFonts w:ascii="Arial" w:cs="Arial" w:eastAsia="Arial" w:hAnsi="Arial"/>
          <w:sz w:val="14"/>
          <w:szCs w:val="14"/>
          <w:b w:val="1"/>
          <w:bCs w:val="1"/>
          <w:color w:val="00053B"/>
        </w:rPr>
        <w:t>60</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00053B"/>
        </w:rPr>
        <w:t xml:space="preserve">Director since </w:t>
      </w:r>
      <w:r>
        <w:rPr>
          <w:rFonts w:ascii="Arial" w:cs="Arial" w:eastAsia="Arial" w:hAnsi="Arial"/>
          <w:sz w:val="14"/>
          <w:szCs w:val="14"/>
          <w:b w:val="1"/>
          <w:bCs w:val="1"/>
          <w:color w:val="00053B"/>
        </w:rPr>
        <w:t>2018</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00053B"/>
        </w:rPr>
        <w:t>Chair of the Board</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4"/>
          <w:szCs w:val="14"/>
          <w:color w:val="00053B"/>
        </w:rPr>
        <w:t xml:space="preserve">since </w:t>
      </w:r>
      <w:r>
        <w:rPr>
          <w:rFonts w:ascii="Arial" w:cs="Arial" w:eastAsia="Arial" w:hAnsi="Arial"/>
          <w:sz w:val="14"/>
          <w:szCs w:val="14"/>
          <w:b w:val="1"/>
          <w:bCs w:val="1"/>
          <w:color w:val="00053B"/>
        </w:rPr>
        <w:t>2019</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4"/>
          <w:szCs w:val="14"/>
          <w:color w:val="00053B"/>
        </w:rPr>
        <w:t xml:space="preserve">Committees: </w:t>
      </w:r>
      <w:r>
        <w:rPr>
          <w:rFonts w:ascii="Arial" w:cs="Arial" w:eastAsia="Arial" w:hAnsi="Arial"/>
          <w:sz w:val="14"/>
          <w:szCs w:val="14"/>
          <w:b w:val="1"/>
          <w:bCs w:val="1"/>
          <w:color w:val="00053B"/>
        </w:rPr>
        <w:t>Attends 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Nicholas Adamo</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Professional Background</w:t>
      </w:r>
    </w:p>
    <w:p>
      <w:pPr>
        <w:spacing w:after="0" w:line="69" w:lineRule="exact"/>
        <w:rPr>
          <w:sz w:val="20"/>
          <w:szCs w:val="20"/>
          <w:color w:val="auto"/>
        </w:rPr>
      </w:pPr>
    </w:p>
    <w:p>
      <w:pPr>
        <w:spacing w:after="0" w:line="263" w:lineRule="auto"/>
        <w:rPr>
          <w:sz w:val="20"/>
          <w:szCs w:val="20"/>
          <w:color w:val="auto"/>
        </w:rPr>
      </w:pPr>
      <w:r>
        <w:rPr>
          <w:rFonts w:ascii="Arial" w:cs="Arial" w:eastAsia="Arial" w:hAnsi="Arial"/>
          <w:sz w:val="15"/>
          <w:szCs w:val="15"/>
          <w:color w:val="00053B"/>
        </w:rPr>
        <w:t>Mr. Adamo is a former senior executive of Cisco Systems, where he served in a variety of sales and leadership roles over a 22-year career before his retirement in 2016. In particular, Mr. Adamo was Senior Vice President of the Americas, where he managed Cisco’s largest geographic region, with annual IT and communications sales of more than $ 26 billion, and was responsible for 6,500 employees working across 60 countries. Mr. Adamo also served as Senior Vice President of Cisco’s $12 billion Global Service Provider organization, leading sales, service delivery, and development for the company’s top service provider customers, among various other roles. Prior to his tenure at Cisco, Mr. Adamo spent more than a decade at IBM in various sales and management assignments.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Qualifications</w:t>
      </w:r>
    </w:p>
    <w:p>
      <w:pPr>
        <w:spacing w:after="0" w:line="69" w:lineRule="exact"/>
        <w:rPr>
          <w:sz w:val="20"/>
          <w:szCs w:val="20"/>
          <w:color w:val="auto"/>
        </w:rPr>
      </w:pPr>
    </w:p>
    <w:p>
      <w:pPr>
        <w:ind w:right="60"/>
        <w:spacing w:after="0" w:line="268" w:lineRule="auto"/>
        <w:rPr>
          <w:sz w:val="20"/>
          <w:szCs w:val="20"/>
          <w:color w:val="auto"/>
        </w:rPr>
      </w:pPr>
      <w:r>
        <w:rPr>
          <w:rFonts w:ascii="Arial" w:cs="Arial" w:eastAsia="Arial" w:hAnsi="Arial"/>
          <w:sz w:val="15"/>
          <w:szCs w:val="15"/>
          <w:color w:val="00053B"/>
        </w:rPr>
        <w:t>Mr. Adamo is an experienced information technology executive, with a deep working knowledge of the industry. He leverages his background with both enterprise and service provider segments to provide valuable insight and perspectives to our Board and management. He also has demonstrated an extensive ability to balance strategy and operational execution, foster long-standing strategic relationships, and guide business and technology discussions and decisions for shared success.</w:t>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053B"/>
        </w:rPr>
        <w:t>Other Affiliations</w:t>
      </w:r>
    </w:p>
    <w:p>
      <w:pPr>
        <w:spacing w:after="0" w:line="42" w:lineRule="exact"/>
        <w:rPr>
          <w:sz w:val="20"/>
          <w:szCs w:val="20"/>
          <w:color w:val="auto"/>
        </w:rPr>
      </w:pPr>
    </w:p>
    <w:p>
      <w:pPr>
        <w:ind w:left="220" w:right="1160" w:hanging="165"/>
        <w:spacing w:after="0" w:line="262" w:lineRule="auto"/>
        <w:tabs>
          <w:tab w:leader="none" w:pos="217" w:val="left"/>
        </w:tabs>
        <w:numPr>
          <w:ilvl w:val="0"/>
          <w:numId w:val="12"/>
        </w:numPr>
        <w:rPr>
          <w:rFonts w:ascii="Arial" w:cs="Arial" w:eastAsia="Arial" w:hAnsi="Arial"/>
          <w:sz w:val="11"/>
          <w:szCs w:val="11"/>
          <w:color w:val="00053B"/>
        </w:rPr>
      </w:pPr>
      <w:r>
        <w:rPr>
          <w:rFonts w:ascii="Arial" w:cs="Arial" w:eastAsia="Arial" w:hAnsi="Arial"/>
          <w:sz w:val="15"/>
          <w:szCs w:val="15"/>
          <w:color w:val="00053B"/>
        </w:rPr>
        <w:t>Founder and president of Making A Mark, Inc., a New Jersey-based charitable foundation targeting the environment and education</w:t>
      </w:r>
    </w:p>
    <w:p>
      <w:pPr>
        <w:spacing w:after="0" w:line="1" w:lineRule="exact"/>
        <w:rPr>
          <w:rFonts w:ascii="Arial" w:cs="Arial" w:eastAsia="Arial" w:hAnsi="Arial"/>
          <w:sz w:val="11"/>
          <w:szCs w:val="11"/>
          <w:color w:val="00053B"/>
        </w:rPr>
      </w:pPr>
    </w:p>
    <w:p>
      <w:pPr>
        <w:ind w:left="220" w:hanging="165"/>
        <w:spacing w:after="0"/>
        <w:tabs>
          <w:tab w:leader="none" w:pos="220" w:val="left"/>
        </w:tabs>
        <w:numPr>
          <w:ilvl w:val="0"/>
          <w:numId w:val="12"/>
        </w:numPr>
        <w:rPr>
          <w:rFonts w:ascii="Arial" w:cs="Arial" w:eastAsia="Arial" w:hAnsi="Arial"/>
          <w:sz w:val="11"/>
          <w:szCs w:val="11"/>
          <w:color w:val="00053B"/>
        </w:rPr>
      </w:pPr>
      <w:r>
        <w:rPr>
          <w:rFonts w:ascii="Arial" w:cs="Arial" w:eastAsia="Arial" w:hAnsi="Arial"/>
          <w:sz w:val="15"/>
          <w:szCs w:val="15"/>
          <w:color w:val="00053B"/>
        </w:rPr>
        <w:t>Lookout, Inc.</w:t>
      </w:r>
    </w:p>
    <w:p>
      <w:pPr>
        <w:spacing w:after="0" w:line="200" w:lineRule="exact"/>
        <w:rPr>
          <w:sz w:val="20"/>
          <w:szCs w:val="20"/>
          <w:color w:val="auto"/>
        </w:rPr>
      </w:pPr>
    </w:p>
    <w:p>
      <w:pPr>
        <w:sectPr>
          <w:pgSz w:w="11900" w:h="16838" w:orient="portrait"/>
          <w:cols w:equalWidth="0" w:num="2">
            <w:col w:w="2660" w:space="200"/>
            <w:col w:w="8320"/>
          </w:cols>
          <w:pgMar w:left="320" w:top="122"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44896"/>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-1587500</wp:posOffset>
            </wp:positionV>
            <wp:extent cx="1345565" cy="13455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345565" cy="1345565"/>
                    </a:xfrm>
                    <a:prstGeom prst="rect">
                      <a:avLst/>
                    </a:prstGeom>
                    <a:noFill/>
                  </pic:spPr>
                </pic:pic>
              </a:graphicData>
            </a:graphic>
          </wp:anchor>
        </w:drawing>
      </w:r>
    </w:p>
    <w:p>
      <w:pPr>
        <w:spacing w:after="0" w:line="15" w:lineRule="exact"/>
        <w:rPr>
          <w:sz w:val="20"/>
          <w:szCs w:val="20"/>
          <w:color w:val="auto"/>
        </w:rPr>
      </w:pPr>
    </w:p>
    <w:p>
      <w:pPr>
        <w:ind w:left="40"/>
        <w:spacing w:after="0"/>
        <w:rPr>
          <w:sz w:val="20"/>
          <w:szCs w:val="20"/>
          <w:color w:val="auto"/>
        </w:rPr>
      </w:pPr>
      <w:r>
        <w:rPr>
          <w:rFonts w:ascii="Arial" w:cs="Arial" w:eastAsia="Arial" w:hAnsi="Arial"/>
          <w:sz w:val="14"/>
          <w:szCs w:val="14"/>
          <w:color w:val="00053B"/>
        </w:rPr>
        <w:t xml:space="preserve">Age: </w:t>
      </w:r>
      <w:r>
        <w:rPr>
          <w:rFonts w:ascii="Arial" w:cs="Arial" w:eastAsia="Arial" w:hAnsi="Arial"/>
          <w:sz w:val="14"/>
          <w:szCs w:val="14"/>
          <w:b w:val="1"/>
          <w:bCs w:val="1"/>
          <w:color w:val="00053B"/>
        </w:rPr>
        <w:t>62</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4"/>
          <w:szCs w:val="14"/>
          <w:color w:val="00053B"/>
        </w:rPr>
        <w:t xml:space="preserve">Director since </w:t>
      </w:r>
      <w:r>
        <w:rPr>
          <w:rFonts w:ascii="Arial" w:cs="Arial" w:eastAsia="Arial" w:hAnsi="Arial"/>
          <w:sz w:val="14"/>
          <w:szCs w:val="14"/>
          <w:b w:val="1"/>
          <w:bCs w:val="1"/>
          <w:color w:val="00053B"/>
        </w:rPr>
        <w:t>2018</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00053B"/>
        </w:rPr>
        <w:t>Committees:</w:t>
      </w:r>
    </w:p>
    <w:p>
      <w:pPr>
        <w:spacing w:after="0" w:line="29" w:lineRule="exact"/>
        <w:rPr>
          <w:sz w:val="20"/>
          <w:szCs w:val="20"/>
          <w:color w:val="auto"/>
        </w:rPr>
      </w:pPr>
    </w:p>
    <w:p>
      <w:pPr>
        <w:ind w:left="40" w:right="320"/>
        <w:spacing w:after="0" w:line="293" w:lineRule="auto"/>
        <w:rPr>
          <w:sz w:val="20"/>
          <w:szCs w:val="20"/>
          <w:color w:val="auto"/>
        </w:rPr>
      </w:pPr>
      <w:r>
        <w:rPr>
          <w:rFonts w:ascii="Arial" w:cs="Arial" w:eastAsia="Arial" w:hAnsi="Arial"/>
          <w:sz w:val="14"/>
          <w:szCs w:val="14"/>
          <w:b w:val="1"/>
          <w:bCs w:val="1"/>
          <w:color w:val="00053B"/>
        </w:rPr>
        <w:t>Nominations and Governance (Chair),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Martha Bejar</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Professional Background</w:t>
      </w:r>
    </w:p>
    <w:p>
      <w:pPr>
        <w:spacing w:after="0" w:line="69" w:lineRule="exact"/>
        <w:rPr>
          <w:sz w:val="20"/>
          <w:szCs w:val="20"/>
          <w:color w:val="auto"/>
        </w:rPr>
      </w:pPr>
    </w:p>
    <w:p>
      <w:pPr>
        <w:ind w:right="200"/>
        <w:spacing w:after="0" w:line="263" w:lineRule="auto"/>
        <w:rPr>
          <w:sz w:val="20"/>
          <w:szCs w:val="20"/>
          <w:color w:val="auto"/>
        </w:rPr>
      </w:pPr>
      <w:r>
        <w:rPr>
          <w:rFonts w:ascii="Arial" w:cs="Arial" w:eastAsia="Arial" w:hAnsi="Arial"/>
          <w:sz w:val="15"/>
          <w:szCs w:val="15"/>
          <w:color w:val="00053B"/>
        </w:rPr>
        <w:t>Ms. Bejar has been a senior partner at Dagrosa Capital LLC since 2021. She is also the co-founder and Chief Executive Officer of Red Bison Advisory Group, LLC. Ms. Bejar has served as Chief Executive Officer of several private telecommunications and technology companies, including Unium Inc., Flow Mobile Inc., and Wipro Infocrossing Inc. She has also held executive positions at Microsoft Corporation, Nortel Networks Corporation, and Bell Communications Research.</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Qualifications</w:t>
      </w:r>
    </w:p>
    <w:p>
      <w:pPr>
        <w:spacing w:after="0" w:line="69"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00053B"/>
        </w:rPr>
        <w:t>Ms. Bejar has a strong track record of leadership and a proven ability to drive and support innovation in the technology and software space. She provides the Board with a wealth of executive, strategic, and governance experience in the industry and valuable insights regarding Commvault’s operations and strategic development. She obtained a Certificate of Sustainability, Capitalism and ESG from UC Berkeley School of Law’s Executive Education program. Ms. Bejar has a passion for ESG, sustainability, and cybersecurity and provides oversight and active participation in driving initiatives in those areas. The Board has determined that she is an audit committee financial expert.</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20"/>
                <w:szCs w:val="20"/>
                <w:color w:val="auto"/>
              </w:rPr>
            </w:pPr>
            <w:r>
              <w:rPr>
                <w:rFonts w:ascii="Arial" w:cs="Arial" w:eastAsia="Arial" w:hAnsi="Arial"/>
                <w:sz w:val="16"/>
                <w:szCs w:val="16"/>
                <w:b w:val="1"/>
                <w:bCs w:val="1"/>
                <w:color w:val="00053B"/>
              </w:rPr>
              <w:t>Other Public Company Boards</w:t>
            </w:r>
          </w:p>
        </w:tc>
        <w:tc>
          <w:tcPr>
            <w:tcW w:w="2220" w:type="dxa"/>
            <w:vAlign w:val="bottom"/>
          </w:tcPr>
          <w:p>
            <w:pPr>
              <w:ind w:left="900"/>
              <w:spacing w:after="0"/>
              <w:rPr>
                <w:sz w:val="20"/>
                <w:szCs w:val="20"/>
                <w:color w:val="auto"/>
              </w:rPr>
            </w:pPr>
            <w:r>
              <w:rPr>
                <w:rFonts w:ascii="Arial" w:cs="Arial" w:eastAsia="Arial" w:hAnsi="Arial"/>
                <w:sz w:val="16"/>
                <w:szCs w:val="16"/>
                <w:b w:val="1"/>
                <w:bCs w:val="1"/>
                <w:color w:val="00053B"/>
              </w:rPr>
              <w:t>Other Affiliations</w:t>
            </w:r>
          </w:p>
        </w:tc>
      </w:tr>
      <w:tr>
        <w:trPr>
          <w:trHeight w:val="214"/>
        </w:trPr>
        <w:tc>
          <w:tcPr>
            <w:tcW w:w="3400" w:type="dxa"/>
            <w:vAlign w:val="bottom"/>
          </w:tcPr>
          <w:p>
            <w:pPr>
              <w:ind w:left="60"/>
              <w:spacing w:after="0"/>
              <w:rPr>
                <w:sz w:val="20"/>
                <w:szCs w:val="20"/>
                <w:color w:val="auto"/>
              </w:rPr>
            </w:pPr>
            <w:r>
              <w:rPr>
                <w:rFonts w:ascii="Arial" w:cs="Arial" w:eastAsia="Arial" w:hAnsi="Arial"/>
                <w:sz w:val="11"/>
                <w:szCs w:val="11"/>
                <w:color w:val="00053B"/>
              </w:rPr>
              <w:t xml:space="preserve">•  </w:t>
            </w:r>
            <w:r>
              <w:rPr>
                <w:rFonts w:ascii="Arial" w:cs="Arial" w:eastAsia="Arial" w:hAnsi="Arial"/>
                <w:sz w:val="15"/>
                <w:szCs w:val="15"/>
                <w:color w:val="00053B"/>
              </w:rPr>
              <w:t>Lumen Technologies (since 2016)</w:t>
            </w:r>
          </w:p>
        </w:tc>
        <w:tc>
          <w:tcPr>
            <w:tcW w:w="2220" w:type="dxa"/>
            <w:vAlign w:val="bottom"/>
          </w:tcPr>
          <w:p>
            <w:pPr>
              <w:ind w:left="980"/>
              <w:spacing w:after="0"/>
              <w:rPr>
                <w:sz w:val="20"/>
                <w:szCs w:val="20"/>
                <w:color w:val="auto"/>
              </w:rPr>
            </w:pPr>
            <w:r>
              <w:rPr>
                <w:rFonts w:ascii="Arial" w:cs="Arial" w:eastAsia="Arial" w:hAnsi="Arial"/>
                <w:sz w:val="11"/>
                <w:szCs w:val="11"/>
                <w:color w:val="00053B"/>
              </w:rPr>
              <w:t xml:space="preserve">•  </w:t>
            </w:r>
            <w:r>
              <w:rPr>
                <w:rFonts w:ascii="Arial" w:cs="Arial" w:eastAsia="Arial" w:hAnsi="Arial"/>
                <w:sz w:val="15"/>
                <w:szCs w:val="15"/>
                <w:color w:val="00053B"/>
              </w:rPr>
              <w:t>Afiniti</w:t>
            </w:r>
          </w:p>
        </w:tc>
      </w:tr>
    </w:tbl>
    <w:p>
      <w:pPr>
        <w:ind w:left="220" w:hanging="158"/>
        <w:spacing w:after="0"/>
        <w:tabs>
          <w:tab w:leader="none" w:pos="220" w:val="left"/>
        </w:tabs>
        <w:numPr>
          <w:ilvl w:val="0"/>
          <w:numId w:val="13"/>
        </w:numPr>
        <w:rPr>
          <w:rFonts w:ascii="Arial" w:cs="Arial" w:eastAsia="Arial" w:hAnsi="Arial"/>
          <w:sz w:val="11"/>
          <w:szCs w:val="11"/>
          <w:color w:val="00053B"/>
        </w:rPr>
      </w:pPr>
      <w:r>
        <w:rPr>
          <w:rFonts w:ascii="Arial" w:cs="Arial" w:eastAsia="Arial" w:hAnsi="Arial"/>
          <w:sz w:val="15"/>
          <w:szCs w:val="15"/>
          <w:color w:val="00053B"/>
        </w:rPr>
        <w:t>Quadient S.A. (since 2019)</w:t>
      </w:r>
    </w:p>
    <w:p>
      <w:pPr>
        <w:spacing w:after="0" w:line="5" w:lineRule="exact"/>
        <w:rPr>
          <w:rFonts w:ascii="Arial" w:cs="Arial" w:eastAsia="Arial" w:hAnsi="Arial"/>
          <w:sz w:val="11"/>
          <w:szCs w:val="11"/>
          <w:color w:val="00053B"/>
        </w:rPr>
      </w:pPr>
    </w:p>
    <w:p>
      <w:pPr>
        <w:ind w:left="220" w:hanging="158"/>
        <w:spacing w:after="0"/>
        <w:tabs>
          <w:tab w:leader="none" w:pos="220" w:val="left"/>
        </w:tabs>
        <w:numPr>
          <w:ilvl w:val="0"/>
          <w:numId w:val="13"/>
        </w:numPr>
        <w:rPr>
          <w:rFonts w:ascii="Arial" w:cs="Arial" w:eastAsia="Arial" w:hAnsi="Arial"/>
          <w:sz w:val="11"/>
          <w:szCs w:val="11"/>
          <w:color w:val="00053B"/>
        </w:rPr>
      </w:pPr>
      <w:r>
        <w:rPr>
          <w:rFonts w:ascii="Arial" w:cs="Arial" w:eastAsia="Arial" w:hAnsi="Arial"/>
          <w:sz w:val="15"/>
          <w:szCs w:val="15"/>
          <w:color w:val="00053B"/>
        </w:rPr>
        <w:t>Sportsman’s Warehouse (since 2019)</w:t>
      </w:r>
    </w:p>
    <w:p>
      <w:pPr>
        <w:spacing w:after="0" w:line="200" w:lineRule="exact"/>
        <w:rPr>
          <w:sz w:val="20"/>
          <w:szCs w:val="20"/>
          <w:color w:val="auto"/>
        </w:rPr>
      </w:pPr>
    </w:p>
    <w:p>
      <w:pPr>
        <w:sectPr>
          <w:pgSz w:w="11900" w:h="16838" w:orient="portrait"/>
          <w:cols w:equalWidth="0" w:num="2">
            <w:col w:w="2140" w:space="720"/>
            <w:col w:w="8320"/>
          </w:cols>
          <w:pgMar w:left="320" w:top="122"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12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15175" cy="102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0"/>
          <w:szCs w:val="10"/>
          <w:color w:val="00053B"/>
        </w:rPr>
        <w:t xml:space="preserve">PROPOSAL NO. 1: ELECTION OF DIRECTORS | </w:t>
      </w:r>
      <w:r>
        <w:rPr>
          <w:rFonts w:ascii="Arial" w:cs="Arial" w:eastAsia="Arial" w:hAnsi="Arial"/>
          <w:sz w:val="10"/>
          <w:szCs w:val="10"/>
          <w:b w:val="1"/>
          <w:bCs w:val="1"/>
          <w:color w:val="00053B"/>
        </w:rPr>
        <w:t>NOMINEES FOR ELECTION</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844896"/>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-1587500</wp:posOffset>
            </wp:positionV>
            <wp:extent cx="1345565" cy="13455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345565" cy="1345565"/>
                    </a:xfrm>
                    <a:prstGeom prst="rect">
                      <a:avLst/>
                    </a:prstGeom>
                    <a:noFill/>
                  </pic:spPr>
                </pic:pic>
              </a:graphicData>
            </a:graphic>
          </wp:anchor>
        </w:drawing>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4"/>
          <w:szCs w:val="14"/>
          <w:color w:val="00053B"/>
        </w:rPr>
        <w:t xml:space="preserve">Age: </w:t>
      </w:r>
      <w:r>
        <w:rPr>
          <w:rFonts w:ascii="Arial" w:cs="Arial" w:eastAsia="Arial" w:hAnsi="Arial"/>
          <w:sz w:val="14"/>
          <w:szCs w:val="14"/>
          <w:b w:val="1"/>
          <w:bCs w:val="1"/>
          <w:color w:val="00053B"/>
        </w:rPr>
        <w:t>71</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00053B"/>
        </w:rPr>
        <w:t xml:space="preserve">Director since </w:t>
      </w:r>
      <w:r>
        <w:rPr>
          <w:rFonts w:ascii="Arial" w:cs="Arial" w:eastAsia="Arial" w:hAnsi="Arial"/>
          <w:sz w:val="14"/>
          <w:szCs w:val="14"/>
          <w:b w:val="1"/>
          <w:bCs w:val="1"/>
          <w:color w:val="00053B"/>
        </w:rPr>
        <w:t>1996</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00053B"/>
        </w:rPr>
        <w:t>Committees:</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053B"/>
        </w:rPr>
        <w:t>Operating, TMCC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134620</wp:posOffset>
            </wp:positionV>
            <wp:extent cx="1345565" cy="13462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345565"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844896"/>
        </w:rPr>
        <w:t>Independent</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00053B"/>
        </w:rPr>
        <w:t xml:space="preserve">Age: </w:t>
      </w:r>
      <w:r>
        <w:rPr>
          <w:rFonts w:ascii="Arial" w:cs="Arial" w:eastAsia="Arial" w:hAnsi="Arial"/>
          <w:sz w:val="14"/>
          <w:szCs w:val="14"/>
          <w:b w:val="1"/>
          <w:bCs w:val="1"/>
          <w:color w:val="00053B"/>
        </w:rPr>
        <w:t>57</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00053B"/>
        </w:rPr>
        <w:t xml:space="preserve">Director since </w:t>
      </w:r>
      <w:r>
        <w:rPr>
          <w:rFonts w:ascii="Arial" w:cs="Arial" w:eastAsia="Arial" w:hAnsi="Arial"/>
          <w:sz w:val="14"/>
          <w:szCs w:val="14"/>
          <w:b w:val="1"/>
          <w:bCs w:val="1"/>
          <w:color w:val="00053B"/>
        </w:rPr>
        <w:t>2018</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00053B"/>
        </w:rPr>
        <w:t>Committees:</w:t>
      </w:r>
    </w:p>
    <w:p>
      <w:pPr>
        <w:spacing w:after="0" w:line="29" w:lineRule="exact"/>
        <w:rPr>
          <w:sz w:val="20"/>
          <w:szCs w:val="20"/>
          <w:color w:val="auto"/>
        </w:rPr>
      </w:pPr>
    </w:p>
    <w:p>
      <w:pPr>
        <w:ind w:left="100"/>
        <w:spacing w:after="0" w:line="293" w:lineRule="auto"/>
        <w:rPr>
          <w:sz w:val="20"/>
          <w:szCs w:val="20"/>
          <w:color w:val="auto"/>
        </w:rPr>
      </w:pPr>
      <w:r>
        <w:rPr>
          <w:rFonts w:ascii="Arial" w:cs="Arial" w:eastAsia="Arial" w:hAnsi="Arial"/>
          <w:sz w:val="14"/>
          <w:szCs w:val="14"/>
          <w:b w:val="1"/>
          <w:bCs w:val="1"/>
          <w:color w:val="00053B"/>
        </w:rPr>
        <w:t>TMCC (Chair), Nominations and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Keith Geeslin</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Professional Background</w:t>
      </w:r>
    </w:p>
    <w:p>
      <w:pPr>
        <w:spacing w:after="0" w:line="69"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00053B"/>
        </w:rPr>
        <w:t>Mr. Geeslin has been a partner at Francisco Partners, a global private equity firm, since 2004. Before joining Francisco Partners, Mr. Geeslin spent 19 years with the Sprout Group, the venture capital arm of Credit Suisse’s asset management business. Prior to joining the Sprout Group, Mr. Geeslin was the general manager of a division of Tymshare, Inc., a provider of public computer and network services, and held various positions at its Tymnet subsidiary, from 1980 to 1984. He was also previously a staff member of the U.S. Senate Commerce Committee.</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Qualifications</w:t>
      </w:r>
    </w:p>
    <w:p>
      <w:pPr>
        <w:spacing w:after="0" w:line="69" w:lineRule="exact"/>
        <w:rPr>
          <w:sz w:val="20"/>
          <w:szCs w:val="20"/>
          <w:color w:val="auto"/>
        </w:rPr>
      </w:pPr>
    </w:p>
    <w:p>
      <w:pPr>
        <w:ind w:right="60"/>
        <w:spacing w:after="0" w:line="268" w:lineRule="auto"/>
        <w:rPr>
          <w:sz w:val="20"/>
          <w:szCs w:val="20"/>
          <w:color w:val="auto"/>
        </w:rPr>
      </w:pPr>
      <w:r>
        <w:rPr>
          <w:rFonts w:ascii="Arial" w:cs="Arial" w:eastAsia="Arial" w:hAnsi="Arial"/>
          <w:sz w:val="15"/>
          <w:szCs w:val="15"/>
          <w:color w:val="00053B"/>
        </w:rPr>
        <w:t>Mr. Geeslin’s private equity and venture capital experience, with a focus on technology sector companies, has given him an understanding of finance and of growth strategies, as well as experience in evaluating businesses in our company’s industry. Originally representing one of our company’s initial investors, Mr. Geeslin has a long history with Commvault and its management, providing continuity to Board deliberations. Mr. Geeslin’s experience on other public company boards is also valuable to the Board.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Other Public Company Boards</w:t>
      </w:r>
    </w:p>
    <w:p>
      <w:pPr>
        <w:spacing w:after="0" w:line="69" w:lineRule="exact"/>
        <w:rPr>
          <w:sz w:val="20"/>
          <w:szCs w:val="20"/>
          <w:color w:val="auto"/>
        </w:rPr>
      </w:pPr>
    </w:p>
    <w:p>
      <w:pPr>
        <w:ind w:left="140" w:hanging="97"/>
        <w:spacing w:after="0"/>
        <w:tabs>
          <w:tab w:leader="none" w:pos="140" w:val="left"/>
        </w:tabs>
        <w:numPr>
          <w:ilvl w:val="0"/>
          <w:numId w:val="14"/>
        </w:numPr>
        <w:rPr>
          <w:rFonts w:ascii="Times New Roman" w:cs="Times New Roman" w:eastAsia="Times New Roman" w:hAnsi="Times New Roman"/>
          <w:sz w:val="15"/>
          <w:szCs w:val="15"/>
          <w:color w:val="00053B"/>
        </w:rPr>
      </w:pPr>
      <w:r>
        <w:rPr>
          <w:rFonts w:ascii="Arial" w:cs="Arial" w:eastAsia="Arial" w:hAnsi="Arial"/>
          <w:sz w:val="15"/>
          <w:szCs w:val="15"/>
          <w:color w:val="00053B"/>
        </w:rPr>
        <w:t>Synaptics, Inc. (since 1986)</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Vivie “YY” Lee</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Professional Background</w:t>
      </w:r>
    </w:p>
    <w:p>
      <w:pPr>
        <w:spacing w:after="0" w:line="69" w:lineRule="exact"/>
        <w:rPr>
          <w:sz w:val="20"/>
          <w:szCs w:val="20"/>
          <w:color w:val="auto"/>
        </w:rPr>
      </w:pPr>
    </w:p>
    <w:p>
      <w:pPr>
        <w:spacing w:after="0" w:line="258" w:lineRule="auto"/>
        <w:rPr>
          <w:sz w:val="20"/>
          <w:szCs w:val="20"/>
          <w:color w:val="auto"/>
        </w:rPr>
      </w:pPr>
      <w:r>
        <w:rPr>
          <w:rFonts w:ascii="Arial" w:cs="Arial" w:eastAsia="Arial" w:hAnsi="Arial"/>
          <w:sz w:val="15"/>
          <w:szCs w:val="15"/>
          <w:color w:val="00053B"/>
        </w:rPr>
        <w:t>Ms. Lee served as Senior Vice President and Chief Strategy Officer of Anaplan, a SaaS software company, from September 2018 until October 2021. Prior to joining Anaplan, Ms. Lee served as Chief Executive Officer for FirstRain, a business analytics platform company, from 2015 until 2018, and as Chief Operating Officer for ten years before that. Earlier in her career, Ms. Lee served as General Manager of Worldwide Services at Cadence Design Systems. In that position, she merged several services divisions into an industry-leading advanced technology operation. She held P&amp;L responsibility for the business, spanning research and development, go-to-market, sales, and support across global regions including the US, UK/EU, India, China, and Japan. Before Ms. Lee’s tenure at Cadence, she co-founded Aqueduct Software, an enterprise-class software development solution for automating application data collection, profiling, and analysis during iterative development, testing, and deployment. Bootstrapping the company from the ground-up, she secured top-tier VC financing, and ultimately led the company through acquisition by NetManage in 2000. Ms. Lee began her career at Bell Labs and has also worked at Synopsys and 8x8 (formerly Integrated Information Technology, Inc.) in various product management roles.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Qualifications</w:t>
      </w:r>
    </w:p>
    <w:p>
      <w:pPr>
        <w:spacing w:after="0" w:line="83"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00053B"/>
        </w:rPr>
        <w:t>Through her tenures at numerous start-up and mature technology companies, Ms. Lee brings significant entrepreneurial and executive-level experience in the technology and software industry to the Board. Her expertise in the IT space is broad; and provides the Board with tech-focused insight and perspective in the critical areas of digital security risks, operations, marketing, and strategic development.</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Other Public Company Boards</w:t>
      </w:r>
    </w:p>
    <w:p>
      <w:pPr>
        <w:spacing w:after="0" w:line="69" w:lineRule="exact"/>
        <w:rPr>
          <w:sz w:val="20"/>
          <w:szCs w:val="20"/>
          <w:color w:val="auto"/>
        </w:rPr>
      </w:pPr>
    </w:p>
    <w:p>
      <w:pPr>
        <w:ind w:left="140" w:hanging="97"/>
        <w:spacing w:after="0"/>
        <w:tabs>
          <w:tab w:leader="none" w:pos="140" w:val="left"/>
        </w:tabs>
        <w:numPr>
          <w:ilvl w:val="0"/>
          <w:numId w:val="15"/>
        </w:numPr>
        <w:rPr>
          <w:rFonts w:ascii="Times New Roman" w:cs="Times New Roman" w:eastAsia="Times New Roman" w:hAnsi="Times New Roman"/>
          <w:sz w:val="15"/>
          <w:szCs w:val="15"/>
          <w:color w:val="00053B"/>
        </w:rPr>
      </w:pPr>
      <w:r>
        <w:rPr>
          <w:rFonts w:ascii="Arial" w:cs="Arial" w:eastAsia="Arial" w:hAnsi="Arial"/>
          <w:sz w:val="15"/>
          <w:szCs w:val="15"/>
          <w:color w:val="00053B"/>
        </w:rPr>
        <w:t>Synaptics, Inc. (since 2022)</w:t>
      </w:r>
    </w:p>
    <w:p>
      <w:pPr>
        <w:spacing w:after="0" w:line="29" w:lineRule="exact"/>
        <w:rPr>
          <w:rFonts w:ascii="Times New Roman" w:cs="Times New Roman" w:eastAsia="Times New Roman" w:hAnsi="Times New Roman"/>
          <w:sz w:val="15"/>
          <w:szCs w:val="15"/>
          <w:color w:val="00053B"/>
        </w:rPr>
      </w:pPr>
    </w:p>
    <w:p>
      <w:pPr>
        <w:ind w:left="140" w:hanging="97"/>
        <w:spacing w:after="0"/>
        <w:tabs>
          <w:tab w:leader="none" w:pos="140" w:val="left"/>
        </w:tabs>
        <w:numPr>
          <w:ilvl w:val="0"/>
          <w:numId w:val="15"/>
        </w:numPr>
        <w:rPr>
          <w:rFonts w:ascii="Times New Roman" w:cs="Times New Roman" w:eastAsia="Times New Roman" w:hAnsi="Times New Roman"/>
          <w:sz w:val="15"/>
          <w:szCs w:val="15"/>
          <w:color w:val="00053B"/>
        </w:rPr>
      </w:pPr>
      <w:r>
        <w:rPr>
          <w:rFonts w:ascii="Arial" w:cs="Arial" w:eastAsia="Arial" w:hAnsi="Arial"/>
          <w:sz w:val="15"/>
          <w:szCs w:val="15"/>
          <w:color w:val="00053B"/>
        </w:rPr>
        <w:t>Belden, Inc. (since 2023)</w:t>
      </w:r>
    </w:p>
    <w:p>
      <w:pPr>
        <w:spacing w:after="0" w:line="200" w:lineRule="exact"/>
        <w:rPr>
          <w:sz w:val="20"/>
          <w:szCs w:val="20"/>
          <w:color w:val="auto"/>
        </w:rPr>
      </w:pPr>
    </w:p>
    <w:p>
      <w:pPr>
        <w:sectPr>
          <w:pgSz w:w="11900" w:h="16838" w:orient="portrait"/>
          <w:cols w:equalWidth="0" w:num="2">
            <w:col w:w="2280" w:space="560"/>
            <w:col w:w="838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13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15175" cy="102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0"/>
          <w:szCs w:val="10"/>
          <w:color w:val="00053B"/>
        </w:rPr>
        <w:t xml:space="preserve">PROPOSAL NO. 1: ELECTION OF DIRECTORS | </w:t>
      </w:r>
      <w:r>
        <w:rPr>
          <w:rFonts w:ascii="Arial" w:cs="Arial" w:eastAsia="Arial" w:hAnsi="Arial"/>
          <w:sz w:val="10"/>
          <w:szCs w:val="10"/>
          <w:b w:val="1"/>
          <w:bCs w:val="1"/>
          <w:color w:val="00053B"/>
        </w:rPr>
        <w:t>NOMINEES FOR ELECTION</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4"/>
          <w:szCs w:val="14"/>
          <w:color w:val="00053B"/>
        </w:rPr>
        <w:t xml:space="preserve">Age: </w:t>
      </w:r>
      <w:r>
        <w:rPr>
          <w:rFonts w:ascii="Arial" w:cs="Arial" w:eastAsia="Arial" w:hAnsi="Arial"/>
          <w:sz w:val="14"/>
          <w:szCs w:val="14"/>
          <w:b w:val="1"/>
          <w:bCs w:val="1"/>
          <w:color w:val="00053B"/>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-1587500</wp:posOffset>
            </wp:positionV>
            <wp:extent cx="1345565" cy="13455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345565" cy="1345565"/>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4"/>
          <w:szCs w:val="14"/>
          <w:color w:val="00053B"/>
        </w:rPr>
        <w:t xml:space="preserve">Director since </w:t>
      </w:r>
      <w:r>
        <w:rPr>
          <w:rFonts w:ascii="Arial" w:cs="Arial" w:eastAsia="Arial" w:hAnsi="Arial"/>
          <w:sz w:val="14"/>
          <w:szCs w:val="14"/>
          <w:b w:val="1"/>
          <w:bCs w:val="1"/>
          <w:color w:val="00053B"/>
        </w:rPr>
        <w:t>2019</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00053B"/>
        </w:rPr>
        <w:t>Committees:</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053B"/>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760730</wp:posOffset>
            </wp:positionV>
            <wp:extent cx="1345565" cy="13455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345565"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844896"/>
        </w:rPr>
        <w:t>Independent</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00053B"/>
        </w:rPr>
        <w:t xml:space="preserve">Age: </w:t>
      </w:r>
      <w:r>
        <w:rPr>
          <w:rFonts w:ascii="Arial" w:cs="Arial" w:eastAsia="Arial" w:hAnsi="Arial"/>
          <w:sz w:val="14"/>
          <w:szCs w:val="14"/>
          <w:b w:val="1"/>
          <w:bCs w:val="1"/>
          <w:color w:val="00053B"/>
        </w:rPr>
        <w:t>69</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00053B"/>
        </w:rPr>
        <w:t xml:space="preserve">Director since </w:t>
      </w:r>
      <w:r>
        <w:rPr>
          <w:rFonts w:ascii="Arial" w:cs="Arial" w:eastAsia="Arial" w:hAnsi="Arial"/>
          <w:sz w:val="14"/>
          <w:szCs w:val="14"/>
          <w:b w:val="1"/>
          <w:bCs w:val="1"/>
          <w:color w:val="00053B"/>
        </w:rPr>
        <w:t>2018</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00053B"/>
        </w:rPr>
        <w:t>Committees:</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053B"/>
        </w:rPr>
        <w:t>Audit, Operating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844896"/>
        </w:rPr>
        <w:t>Sanjay Mirchandani</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053B"/>
        </w:rPr>
        <w:t>Professional Background</w:t>
      </w:r>
    </w:p>
    <w:p>
      <w:pPr>
        <w:spacing w:after="0" w:line="69" w:lineRule="exact"/>
        <w:rPr>
          <w:sz w:val="20"/>
          <w:szCs w:val="20"/>
          <w:color w:val="auto"/>
        </w:rPr>
      </w:pPr>
    </w:p>
    <w:p>
      <w:pPr>
        <w:ind w:left="20" w:right="20"/>
        <w:spacing w:after="0" w:line="263" w:lineRule="auto"/>
        <w:rPr>
          <w:sz w:val="20"/>
          <w:szCs w:val="20"/>
          <w:color w:val="auto"/>
        </w:rPr>
      </w:pPr>
      <w:r>
        <w:rPr>
          <w:rFonts w:ascii="Arial" w:cs="Arial" w:eastAsia="Arial" w:hAnsi="Arial"/>
          <w:sz w:val="15"/>
          <w:szCs w:val="15"/>
          <w:color w:val="00053B"/>
        </w:rPr>
        <w:t>Mr. Mirchandani has been the President and Chief Executive Officer of Commvault since February 2019. Previously, he served as the Chief Executive Officer of Puppet, Inc., an Oregon-based IT automation company from 2016 to 2019. Before joining Puppet, he was Corporate Senior Vice President and General Manager of Asia Pacific and Japan at VMware, Inc. from 2013 to 2016. During his seven years at EMC Corporation, Mr. Mirchandani served as the company’s Chief Information Officer and led its Global Centers of Excellence. Prior to that, he held various positions at Microsoft Corporation and Arthur Andersen LLP.</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053B"/>
        </w:rPr>
        <w:t>Qualifications</w:t>
      </w:r>
    </w:p>
    <w:p>
      <w:pPr>
        <w:spacing w:after="0" w:line="83" w:lineRule="exact"/>
        <w:rPr>
          <w:sz w:val="20"/>
          <w:szCs w:val="20"/>
          <w:color w:val="auto"/>
        </w:rPr>
      </w:pPr>
    </w:p>
    <w:p>
      <w:pPr>
        <w:ind w:left="20" w:right="120"/>
        <w:spacing w:after="0" w:line="263" w:lineRule="auto"/>
        <w:rPr>
          <w:sz w:val="20"/>
          <w:szCs w:val="20"/>
          <w:color w:val="auto"/>
        </w:rPr>
      </w:pPr>
      <w:r>
        <w:rPr>
          <w:rFonts w:ascii="Arial" w:cs="Arial" w:eastAsia="Arial" w:hAnsi="Arial"/>
          <w:sz w:val="15"/>
          <w:szCs w:val="15"/>
          <w:color w:val="00053B"/>
        </w:rPr>
        <w:t>Mr. Mirchandani brings a wealth of international cybersecurity, business, software and SaaS experience from a rich background in technology and IT leadership. As a former CIO, he has unique experience helping CIOs, CISOs, and IT leaders manage the complexity and collision occurring between IT and Security. As our Chief Executive Officer, he brings his knowledge and perspective about critical company business strategies, financial position, and operational matters into Board deliberations. His insight regarding the Company’s operations and future are critical to the successful functioning of the Board.</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053B"/>
        </w:rPr>
        <w:t>Other Public Company Boards</w:t>
      </w:r>
    </w:p>
    <w:p>
      <w:pPr>
        <w:spacing w:after="0" w:line="39" w:lineRule="exact"/>
        <w:rPr>
          <w:sz w:val="20"/>
          <w:szCs w:val="20"/>
          <w:color w:val="auto"/>
        </w:rPr>
      </w:pPr>
    </w:p>
    <w:p>
      <w:pPr>
        <w:ind w:left="400" w:hanging="325"/>
        <w:spacing w:after="0"/>
        <w:tabs>
          <w:tab w:leader="none" w:pos="400" w:val="left"/>
        </w:tabs>
        <w:numPr>
          <w:ilvl w:val="0"/>
          <w:numId w:val="16"/>
        </w:numPr>
        <w:rPr>
          <w:rFonts w:ascii="Arial" w:cs="Arial" w:eastAsia="Arial" w:hAnsi="Arial"/>
          <w:sz w:val="15"/>
          <w:szCs w:val="15"/>
          <w:color w:val="00053B"/>
        </w:rPr>
      </w:pPr>
      <w:r>
        <w:rPr>
          <w:rFonts w:ascii="Arial" w:cs="Arial" w:eastAsia="Arial" w:hAnsi="Arial"/>
          <w:sz w:val="15"/>
          <w:szCs w:val="15"/>
          <w:color w:val="00053B"/>
        </w:rPr>
        <w:t>Itron, Inc. (since 2023)</w:t>
      </w:r>
    </w:p>
    <w:p>
      <w:pPr>
        <w:spacing w:after="0" w:line="378"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Charles “Chuck” Moran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Professional Background</w:t>
      </w:r>
    </w:p>
    <w:p>
      <w:pPr>
        <w:spacing w:after="0" w:line="69" w:lineRule="exact"/>
        <w:rPr>
          <w:sz w:val="20"/>
          <w:szCs w:val="20"/>
          <w:color w:val="auto"/>
        </w:rPr>
      </w:pPr>
    </w:p>
    <w:p>
      <w:pPr>
        <w:ind w:right="120"/>
        <w:spacing w:after="0" w:line="260" w:lineRule="auto"/>
        <w:rPr>
          <w:sz w:val="20"/>
          <w:szCs w:val="20"/>
          <w:color w:val="auto"/>
        </w:rPr>
      </w:pPr>
      <w:r>
        <w:rPr>
          <w:rFonts w:ascii="Arial" w:cs="Arial" w:eastAsia="Arial" w:hAnsi="Arial"/>
          <w:sz w:val="15"/>
          <w:szCs w:val="15"/>
          <w:color w:val="00053B"/>
        </w:rPr>
        <w:t>Mr. Moran is the founder of Skillsoft Plc. and served as its Chief Executive Officer and President from 1998 until his retirement in 2015. He served as Chairman of the Board for Skillsoft from 1998 to 2002, as a director from 2002 to 2006, and resumed his service as Chairman from 2006 to 2010. Upon Skillsoft’s privatization in 2010, Mr. Moran served as a director until 2015, and as Chairman from 2015 to 2016. He now serves as a director and advisor to various private companies and private equity firms. Before forming Skillsoft, Mr. Moran was the President and Chief Executive Officer of NETg National Education Training Group, a computer-based information technology training company, from 1995 to 1997. Prior to NETg, Mr. Moran was the Chief Financial Officer and Chief Operations Officer of Softdesk, Inc., where he helped lead the company’s successful initial public offering. Earlier in his career, Mr. Moran held senior-level sales and marketing positions at Insite Peripherals, Inc. and Archive Corporation.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Qualifications</w:t>
      </w:r>
    </w:p>
    <w:p>
      <w:pPr>
        <w:spacing w:after="0" w:line="83" w:lineRule="exact"/>
        <w:rPr>
          <w:sz w:val="20"/>
          <w:szCs w:val="20"/>
          <w:color w:val="auto"/>
        </w:rPr>
      </w:pPr>
    </w:p>
    <w:p>
      <w:pPr>
        <w:spacing w:after="0" w:line="263" w:lineRule="auto"/>
        <w:rPr>
          <w:sz w:val="20"/>
          <w:szCs w:val="20"/>
          <w:color w:val="auto"/>
        </w:rPr>
      </w:pPr>
      <w:r>
        <w:rPr>
          <w:rFonts w:ascii="Arial" w:cs="Arial" w:eastAsia="Arial" w:hAnsi="Arial"/>
          <w:sz w:val="15"/>
          <w:szCs w:val="15"/>
          <w:color w:val="00053B"/>
        </w:rPr>
        <w:t>With more than two decades of experience working with technology companies and in the cybersecurity space, Mr. Moran has an in-depth understanding of the industry and expertise in critical areas, including operations, finance, sales, marketing, and cloud/SaaS software. Mr. Moran’s various board memberships also give him financial expertise that he deploys to great benefit as a member of our Audit and Operating Committees. The Board has determined that he is an audit committee financial expert.</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Other Public Company Boards</w:t>
      </w:r>
    </w:p>
    <w:p>
      <w:pPr>
        <w:spacing w:after="0" w:line="69" w:lineRule="exact"/>
        <w:rPr>
          <w:sz w:val="20"/>
          <w:szCs w:val="20"/>
          <w:color w:val="auto"/>
        </w:rPr>
      </w:pPr>
    </w:p>
    <w:p>
      <w:pPr>
        <w:ind w:left="140" w:hanging="97"/>
        <w:spacing w:after="0"/>
        <w:tabs>
          <w:tab w:leader="none" w:pos="140" w:val="left"/>
        </w:tabs>
        <w:numPr>
          <w:ilvl w:val="0"/>
          <w:numId w:val="17"/>
        </w:numPr>
        <w:rPr>
          <w:rFonts w:ascii="Times New Roman" w:cs="Times New Roman" w:eastAsia="Times New Roman" w:hAnsi="Times New Roman"/>
          <w:sz w:val="15"/>
          <w:szCs w:val="15"/>
          <w:color w:val="00053B"/>
        </w:rPr>
      </w:pPr>
      <w:r>
        <w:rPr>
          <w:rFonts w:ascii="Arial" w:cs="Arial" w:eastAsia="Arial" w:hAnsi="Arial"/>
          <w:sz w:val="15"/>
          <w:szCs w:val="15"/>
          <w:color w:val="00053B"/>
        </w:rPr>
        <w:t>Manhattan Associates, Inc. (since 2017)</w:t>
      </w:r>
    </w:p>
    <w:p>
      <w:pPr>
        <w:spacing w:after="0" w:line="27" w:lineRule="exact"/>
        <w:rPr>
          <w:rFonts w:ascii="Times New Roman" w:cs="Times New Roman" w:eastAsia="Times New Roman" w:hAnsi="Times New Roman"/>
          <w:sz w:val="15"/>
          <w:szCs w:val="15"/>
          <w:color w:val="00053B"/>
        </w:rPr>
      </w:pPr>
    </w:p>
    <w:p>
      <w:pPr>
        <w:ind w:left="140" w:hanging="97"/>
        <w:spacing w:after="0"/>
        <w:tabs>
          <w:tab w:leader="none" w:pos="140" w:val="left"/>
        </w:tabs>
        <w:numPr>
          <w:ilvl w:val="0"/>
          <w:numId w:val="17"/>
        </w:numPr>
        <w:rPr>
          <w:rFonts w:ascii="Times New Roman" w:cs="Times New Roman" w:eastAsia="Times New Roman" w:hAnsi="Times New Roman"/>
          <w:sz w:val="15"/>
          <w:szCs w:val="15"/>
          <w:color w:val="00053B"/>
        </w:rPr>
      </w:pPr>
      <w:r>
        <w:rPr>
          <w:rFonts w:ascii="Arial" w:cs="Arial" w:eastAsia="Arial" w:hAnsi="Arial"/>
          <w:sz w:val="15"/>
          <w:szCs w:val="15"/>
          <w:color w:val="00053B"/>
        </w:rPr>
        <w:t>Intapp Inc. (since 2019)</w:t>
      </w:r>
    </w:p>
    <w:p>
      <w:pPr>
        <w:spacing w:after="0" w:line="4" w:lineRule="exact"/>
        <w:rPr>
          <w:rFonts w:ascii="Times New Roman" w:cs="Times New Roman" w:eastAsia="Times New Roman" w:hAnsi="Times New Roman"/>
          <w:sz w:val="15"/>
          <w:szCs w:val="15"/>
          <w:color w:val="00053B"/>
        </w:rPr>
      </w:pPr>
    </w:p>
    <w:p>
      <w:pPr>
        <w:ind w:left="140" w:hanging="97"/>
        <w:spacing w:after="0"/>
        <w:tabs>
          <w:tab w:leader="none" w:pos="140" w:val="left"/>
        </w:tabs>
        <w:numPr>
          <w:ilvl w:val="0"/>
          <w:numId w:val="17"/>
        </w:numPr>
        <w:rPr>
          <w:rFonts w:ascii="Times New Roman" w:cs="Times New Roman" w:eastAsia="Times New Roman" w:hAnsi="Times New Roman"/>
          <w:sz w:val="15"/>
          <w:szCs w:val="15"/>
          <w:color w:val="00053B"/>
        </w:rPr>
      </w:pPr>
      <w:r>
        <w:rPr>
          <w:rFonts w:ascii="Arial" w:cs="Arial" w:eastAsia="Arial" w:hAnsi="Arial"/>
          <w:sz w:val="15"/>
          <w:szCs w:val="15"/>
          <w:color w:val="00053B"/>
        </w:rPr>
        <w:t>Clarivate Analytics (2016-2020)</w:t>
      </w:r>
    </w:p>
    <w:p>
      <w:pPr>
        <w:spacing w:after="0" w:line="15" w:lineRule="exact"/>
        <w:rPr>
          <w:rFonts w:ascii="Times New Roman" w:cs="Times New Roman" w:eastAsia="Times New Roman" w:hAnsi="Times New Roman"/>
          <w:sz w:val="15"/>
          <w:szCs w:val="15"/>
          <w:color w:val="00053B"/>
        </w:rPr>
      </w:pPr>
    </w:p>
    <w:p>
      <w:pPr>
        <w:ind w:left="140" w:hanging="97"/>
        <w:spacing w:after="0"/>
        <w:tabs>
          <w:tab w:leader="none" w:pos="140" w:val="left"/>
        </w:tabs>
        <w:numPr>
          <w:ilvl w:val="0"/>
          <w:numId w:val="17"/>
        </w:numPr>
        <w:rPr>
          <w:rFonts w:ascii="Times New Roman" w:cs="Times New Roman" w:eastAsia="Times New Roman" w:hAnsi="Times New Roman"/>
          <w:sz w:val="15"/>
          <w:szCs w:val="15"/>
          <w:color w:val="00053B"/>
        </w:rPr>
      </w:pPr>
      <w:r>
        <w:rPr>
          <w:rFonts w:ascii="Arial" w:cs="Arial" w:eastAsia="Arial" w:hAnsi="Arial"/>
          <w:sz w:val="15"/>
          <w:szCs w:val="15"/>
          <w:color w:val="00053B"/>
        </w:rPr>
        <w:t>Duck Creek Technologies (2016-2022)</w:t>
      </w:r>
    </w:p>
    <w:p>
      <w:pPr>
        <w:spacing w:after="0" w:line="200" w:lineRule="exact"/>
        <w:rPr>
          <w:sz w:val="20"/>
          <w:szCs w:val="20"/>
          <w:color w:val="auto"/>
        </w:rPr>
      </w:pPr>
    </w:p>
    <w:p>
      <w:pPr>
        <w:sectPr>
          <w:pgSz w:w="11900" w:h="16838" w:orient="portrait"/>
          <w:cols w:equalWidth="0" w:num="2">
            <w:col w:w="2120" w:space="720"/>
            <w:col w:w="8360"/>
          </w:cols>
          <w:pgMar w:left="320" w:top="122"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14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15175" cy="1028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0"/>
          <w:szCs w:val="10"/>
          <w:color w:val="00053B"/>
        </w:rPr>
        <w:t xml:space="preserve">PROPOSAL NO. 1: ELECTION OF DIRECTORS | </w:t>
      </w:r>
      <w:r>
        <w:rPr>
          <w:rFonts w:ascii="Arial" w:cs="Arial" w:eastAsia="Arial" w:hAnsi="Arial"/>
          <w:sz w:val="10"/>
          <w:szCs w:val="10"/>
          <w:b w:val="1"/>
          <w:bCs w:val="1"/>
          <w:color w:val="00053B"/>
        </w:rPr>
        <w:t>NOMINEES FOR ELECTION</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844896"/>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-1587500</wp:posOffset>
            </wp:positionV>
            <wp:extent cx="1345565" cy="13455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345565" cy="1345565"/>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4"/>
          <w:szCs w:val="14"/>
          <w:color w:val="00053B"/>
        </w:rPr>
        <w:t xml:space="preserve">Age: </w:t>
      </w:r>
      <w:r>
        <w:rPr>
          <w:rFonts w:ascii="Arial" w:cs="Arial" w:eastAsia="Arial" w:hAnsi="Arial"/>
          <w:sz w:val="14"/>
          <w:szCs w:val="14"/>
          <w:b w:val="1"/>
          <w:bCs w:val="1"/>
          <w:color w:val="00053B"/>
        </w:rPr>
        <w:t>39</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00053B"/>
        </w:rPr>
        <w:t xml:space="preserve">Director since </w:t>
      </w:r>
      <w:r>
        <w:rPr>
          <w:rFonts w:ascii="Arial" w:cs="Arial" w:eastAsia="Arial" w:hAnsi="Arial"/>
          <w:sz w:val="14"/>
          <w:szCs w:val="14"/>
          <w:b w:val="1"/>
          <w:bCs w:val="1"/>
          <w:color w:val="00053B"/>
        </w:rPr>
        <w:t>2020</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00053B"/>
        </w:rPr>
        <w:t>Committees:</w:t>
      </w:r>
    </w:p>
    <w:p>
      <w:pPr>
        <w:spacing w:after="0" w:line="29" w:lineRule="exact"/>
        <w:rPr>
          <w:sz w:val="20"/>
          <w:szCs w:val="20"/>
          <w:color w:val="auto"/>
        </w:rPr>
      </w:pPr>
    </w:p>
    <w:p>
      <w:pPr>
        <w:ind w:left="120" w:right="400"/>
        <w:spacing w:after="0" w:line="273" w:lineRule="auto"/>
        <w:rPr>
          <w:sz w:val="20"/>
          <w:szCs w:val="20"/>
          <w:color w:val="auto"/>
        </w:rPr>
      </w:pPr>
      <w:r>
        <w:rPr>
          <w:rFonts w:ascii="Arial" w:cs="Arial" w:eastAsia="Arial" w:hAnsi="Arial"/>
          <w:sz w:val="14"/>
          <w:szCs w:val="14"/>
          <w:b w:val="1"/>
          <w:bCs w:val="1"/>
          <w:color w:val="00053B"/>
        </w:rPr>
        <w:t>Audit, Nominations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338455</wp:posOffset>
            </wp:positionV>
            <wp:extent cx="1345565" cy="13455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345565"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844896"/>
        </w:rPr>
        <w:t>Independent</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00053B"/>
        </w:rPr>
        <w:t xml:space="preserve">Age: </w:t>
      </w:r>
      <w:r>
        <w:rPr>
          <w:rFonts w:ascii="Arial" w:cs="Arial" w:eastAsia="Arial" w:hAnsi="Arial"/>
          <w:sz w:val="14"/>
          <w:szCs w:val="14"/>
          <w:b w:val="1"/>
          <w:bCs w:val="1"/>
          <w:color w:val="00053B"/>
        </w:rPr>
        <w:t>61</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00053B"/>
        </w:rPr>
        <w:t xml:space="preserve">Director since </w:t>
      </w:r>
      <w:r>
        <w:rPr>
          <w:rFonts w:ascii="Arial" w:cs="Arial" w:eastAsia="Arial" w:hAnsi="Arial"/>
          <w:sz w:val="14"/>
          <w:szCs w:val="14"/>
          <w:b w:val="1"/>
          <w:bCs w:val="1"/>
          <w:color w:val="00053B"/>
        </w:rPr>
        <w:t>2022</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00053B"/>
        </w:rPr>
        <w:t>Committees: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053B"/>
        </w:rPr>
        <w:t>Audit (Chair),</w:t>
      </w:r>
    </w:p>
    <w:p>
      <w:pPr>
        <w:ind w:left="120"/>
        <w:spacing w:after="0" w:line="202" w:lineRule="auto"/>
        <w:rPr>
          <w:sz w:val="20"/>
          <w:szCs w:val="20"/>
          <w:color w:val="auto"/>
        </w:rPr>
      </w:pPr>
      <w:r>
        <w:rPr>
          <w:rFonts w:ascii="Arial" w:cs="Arial" w:eastAsia="Arial" w:hAnsi="Arial"/>
          <w:sz w:val="14"/>
          <w:szCs w:val="14"/>
          <w:b w:val="1"/>
          <w:bCs w:val="1"/>
          <w:color w:val="00053B"/>
        </w:rPr>
        <w:t>Nominations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053B"/>
        </w:rPr>
        <w:t>Governance, and TMCC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Allison Pickens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Professional Background</w:t>
      </w:r>
    </w:p>
    <w:p>
      <w:pPr>
        <w:spacing w:after="0" w:line="69" w:lineRule="exact"/>
        <w:rPr>
          <w:sz w:val="20"/>
          <w:szCs w:val="20"/>
          <w:color w:val="auto"/>
        </w:rPr>
      </w:pPr>
    </w:p>
    <w:p>
      <w:pPr>
        <w:spacing w:after="0" w:line="260" w:lineRule="auto"/>
        <w:rPr>
          <w:sz w:val="20"/>
          <w:szCs w:val="20"/>
          <w:color w:val="auto"/>
        </w:rPr>
      </w:pPr>
      <w:r>
        <w:rPr>
          <w:rFonts w:ascii="Arial" w:cs="Arial" w:eastAsia="Arial" w:hAnsi="Arial"/>
          <w:sz w:val="15"/>
          <w:szCs w:val="15"/>
          <w:color w:val="00053B"/>
        </w:rPr>
        <w:t>Ms. Pickens is the founding General Partner of The New Normal Fund, LP, a venture capital fund focused on AI and SaaS businesses, and a Senior Advisor to Boston Consulting Group, where she advises on strategic transformations of technology companies. Previously, Ms. Pickens served as Chief Operating Officer, and held other executive roles, at Gainsight, a SaaS company, from 2014 to 2020. From 2018 to 2020, she also served as the Executive-in-Residence at Bessemer Venture Partners, and she served as a Board Director for dbt Labs, a venture-backed data transformation company, from 2021 to 2024. Earlier in her career, Ms. Pickens was an associate at Bain Capital Private Equity from 2009 to 2011, where she evaluated investments in a range of industries, and a management consultant to both public and private companies at Boston Consulting Group from 2007 to 2009. She is the co-author of the book The Customer Success Economy, published by Wiley in 2020.</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Qualifications</w:t>
      </w:r>
    </w:p>
    <w:p>
      <w:pPr>
        <w:spacing w:after="0" w:line="83" w:lineRule="exact"/>
        <w:rPr>
          <w:sz w:val="20"/>
          <w:szCs w:val="20"/>
          <w:color w:val="auto"/>
        </w:rPr>
      </w:pPr>
    </w:p>
    <w:p>
      <w:pPr>
        <w:spacing w:after="0" w:line="260" w:lineRule="auto"/>
        <w:rPr>
          <w:sz w:val="20"/>
          <w:szCs w:val="20"/>
          <w:color w:val="auto"/>
        </w:rPr>
      </w:pPr>
      <w:r>
        <w:rPr>
          <w:rFonts w:ascii="Arial" w:cs="Arial" w:eastAsia="Arial" w:hAnsi="Arial"/>
          <w:sz w:val="15"/>
          <w:szCs w:val="15"/>
          <w:color w:val="00053B"/>
        </w:rPr>
        <w:t>Ms. Pickens is a technology executive with significant experience driving growth and strategic transformation initiatives at AI and SaaS companies. She has extensive experience coaching CEOs and executives in the software industry through her work at Gainsight and other advisory roles, through speaking engagements, and through the content she has authored, which earned her recognition as one of the Top Women Leaders in SaaS in 2018 by The Software Report. Ms. Pickens also has a unique breadth of experience that spans industries, including software, investment management, and management consulting. She brings significant skill in finance, general management, mergers and acquisitions, strategy, and customer growth and retention to the Board.</w:t>
      </w:r>
    </w:p>
    <w:p>
      <w:pPr>
        <w:spacing w:after="0" w:line="75"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Shane Sanders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Professional Background</w:t>
      </w:r>
    </w:p>
    <w:p>
      <w:pPr>
        <w:spacing w:after="0" w:line="69"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00053B"/>
        </w:rPr>
        <w:t>Mr. Sanders most recently served as Senior Vice President, Business Transformation at Verizon Communications from 2020 to 2022 where he was responsible for leading the enterprise-wide cost transformation program and operational excellence. Mr. Sanders served in a series of progressive leadership positions within Verizon since 2000 during which time he served in various roles within accounting and finance including Senior Vice President, Internal Audit &amp; Chief Audit Executive from 2010 until 2015 where he led enterprise governance and risk management reporting directly to the Verizon Board of Directors and Audit Committee. From 2015 to 2020, Mr. Sanders served as Senior Vice President, Corporate Finance where he also managed long-range planning and capital allocation.</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Qualifications</w:t>
      </w:r>
    </w:p>
    <w:p>
      <w:pPr>
        <w:spacing w:after="0" w:line="69" w:lineRule="exact"/>
        <w:rPr>
          <w:sz w:val="20"/>
          <w:szCs w:val="20"/>
          <w:color w:val="auto"/>
        </w:rPr>
      </w:pPr>
    </w:p>
    <w:p>
      <w:pPr>
        <w:ind w:right="40"/>
        <w:spacing w:after="0" w:line="263" w:lineRule="auto"/>
        <w:rPr>
          <w:sz w:val="20"/>
          <w:szCs w:val="20"/>
          <w:color w:val="auto"/>
        </w:rPr>
      </w:pPr>
      <w:r>
        <w:rPr>
          <w:rFonts w:ascii="Arial" w:cs="Arial" w:eastAsia="Arial" w:hAnsi="Arial"/>
          <w:sz w:val="15"/>
          <w:szCs w:val="15"/>
          <w:color w:val="00053B"/>
        </w:rPr>
        <w:t>Mr. Sanders leadership experiences in Verizon’s accounting and finance organization has spanned a range of functional areas including financial planning and analysis, corporate governance, audit, public reporting and compliance. His risk management expertise, including cybersecurity risk, to the Board. Alongside the Chief Security Officer, Mr. Sanders led the implementation of the Verizon Enterprise Security Council which focused on cybersecurity and IT security risk management. His experience with Verizon, one of the world’s largest communications and technology companies, provides a unique perspective on all aspects of our business. His proven business transformation skills make him well qualified to offer guidance to the Board and management. The Board has determined that he is an audit committee financial expert.</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Other Public Company Boards</w:t>
      </w:r>
    </w:p>
    <w:p>
      <w:pPr>
        <w:spacing w:after="0" w:line="69" w:lineRule="exact"/>
        <w:rPr>
          <w:sz w:val="20"/>
          <w:szCs w:val="20"/>
          <w:color w:val="auto"/>
        </w:rPr>
      </w:pPr>
    </w:p>
    <w:p>
      <w:pPr>
        <w:ind w:left="140" w:hanging="93"/>
        <w:spacing w:after="0"/>
        <w:tabs>
          <w:tab w:leader="none" w:pos="140" w:val="left"/>
        </w:tabs>
        <w:numPr>
          <w:ilvl w:val="0"/>
          <w:numId w:val="18"/>
        </w:numPr>
        <w:rPr>
          <w:rFonts w:ascii="Times New Roman" w:cs="Times New Roman" w:eastAsia="Times New Roman" w:hAnsi="Times New Roman"/>
          <w:sz w:val="15"/>
          <w:szCs w:val="15"/>
          <w:color w:val="00053B"/>
        </w:rPr>
      </w:pPr>
      <w:r>
        <w:rPr>
          <w:rFonts w:ascii="Arial" w:cs="Arial" w:eastAsia="Arial" w:hAnsi="Arial"/>
          <w:sz w:val="15"/>
          <w:szCs w:val="15"/>
          <w:color w:val="00053B"/>
        </w:rPr>
        <w:t>Danaher (since 2021)</w:t>
      </w:r>
    </w:p>
    <w:p>
      <w:pPr>
        <w:spacing w:after="0" w:line="200" w:lineRule="exact"/>
        <w:rPr>
          <w:sz w:val="20"/>
          <w:szCs w:val="20"/>
          <w:color w:val="auto"/>
        </w:rPr>
      </w:pPr>
    </w:p>
    <w:p>
      <w:pPr>
        <w:sectPr>
          <w:pgSz w:w="11900" w:h="16838" w:orient="portrait"/>
          <w:cols w:equalWidth="0" w:num="2">
            <w:col w:w="2140" w:space="720"/>
            <w:col w:w="8340"/>
          </w:cols>
          <w:pgMar w:left="320" w:top="122"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15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15175" cy="1028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0"/>
          <w:szCs w:val="10"/>
          <w:color w:val="00053B"/>
        </w:rPr>
        <w:t xml:space="preserve">PROPOSAL NO. 1: ELECTION OF DIRECTORS | </w:t>
      </w:r>
      <w:r>
        <w:rPr>
          <w:rFonts w:ascii="Arial" w:cs="Arial" w:eastAsia="Arial" w:hAnsi="Arial"/>
          <w:sz w:val="10"/>
          <w:szCs w:val="10"/>
          <w:b w:val="1"/>
          <w:bCs w:val="1"/>
          <w:color w:val="00053B"/>
        </w:rPr>
        <w:t>NOMINEES FOR ELECTION</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844896"/>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-1587500</wp:posOffset>
            </wp:positionV>
            <wp:extent cx="1345565" cy="13455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345565" cy="1345565"/>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4"/>
          <w:szCs w:val="14"/>
          <w:color w:val="00053B"/>
        </w:rPr>
        <w:t xml:space="preserve">Age: </w:t>
      </w:r>
      <w:r>
        <w:rPr>
          <w:rFonts w:ascii="Arial" w:cs="Arial" w:eastAsia="Arial" w:hAnsi="Arial"/>
          <w:sz w:val="14"/>
          <w:szCs w:val="14"/>
          <w:b w:val="1"/>
          <w:bCs w:val="1"/>
          <w:color w:val="00053B"/>
        </w:rPr>
        <w:t>53</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00053B"/>
        </w:rPr>
        <w:t xml:space="preserve">Director since </w:t>
      </w:r>
      <w:r>
        <w:rPr>
          <w:rFonts w:ascii="Arial" w:cs="Arial" w:eastAsia="Arial" w:hAnsi="Arial"/>
          <w:sz w:val="14"/>
          <w:szCs w:val="14"/>
          <w:b w:val="1"/>
          <w:bCs w:val="1"/>
          <w:color w:val="00053B"/>
        </w:rPr>
        <w:t>2020</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00053B"/>
        </w:rPr>
        <w:t>Committees:</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053B"/>
        </w:rPr>
        <w:t>Operating (Chair),</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053B"/>
        </w:rPr>
        <w:t>TMCC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Arlen Shenkman</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Professional Background</w:t>
      </w:r>
    </w:p>
    <w:p>
      <w:pPr>
        <w:spacing w:after="0" w:line="69"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00053B"/>
        </w:rPr>
        <w:t>Mr. Shenkman is the President of Boomi, Inc. where he is responsible for driving business transformation and financial growth. Mr. Shenkman also served as Boomi, Inc.’s Chief Financial Officer from 2023 until June 2024. Prior to that, he was Executive Vice President and Chief Financial Officer at Citrix Systems, Inc. from 2019 until March 2022, where he was responsible for all the company’s financial and capital management strategies, budgeting and planning, financial accounting, tax and treasury, investor relations, strategic alliances, and M&amp;A. He joined Citrix from SAP, where he served in many roles, including Executive Vice President and Global Head of Business Development and Ecosystems (2017-2019); Chief Financial Officer of SAP North America, the company’s largest business unit (2015-2017); and Global Head of Corporate Development (2012-2015). During his tenure, Mr. Shenkman led the finance functions across North America, including planning and forecasting, business streamlining, and overall financial management, and led SAP’s corporate development and M&amp;A activities worldwide.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Qualifications</w:t>
      </w:r>
    </w:p>
    <w:p>
      <w:pPr>
        <w:spacing w:after="0" w:line="69"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00053B"/>
        </w:rPr>
        <w:t>Mr. Shenkman has substantial experience helping to lead large-scale business transformations for growth of SaaS and working with companies that specialize in complex-cloud environments, enterprise application software, and cybersecurity. He has significant financial experience, including in his former role as Chief Financial Officer for Boomi, Inc. Mr. Shenkman also has significant experience managing large software companies, including in his former roles at Citrix and as CFO of SAP North America, where he was a principal architect of SAP’s rapid transformation into a cloud company. Mr. Shenkman’s substantial record and experience at global SaaS companies make him well qualified to serve as Chair of the Operating Committee.</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Other Public Company Boards</w:t>
      </w:r>
    </w:p>
    <w:p>
      <w:pPr>
        <w:spacing w:after="0" w:line="69" w:lineRule="exact"/>
        <w:rPr>
          <w:sz w:val="20"/>
          <w:szCs w:val="20"/>
          <w:color w:val="auto"/>
        </w:rPr>
      </w:pPr>
    </w:p>
    <w:p>
      <w:pPr>
        <w:ind w:left="100" w:hanging="91"/>
        <w:spacing w:after="0"/>
        <w:tabs>
          <w:tab w:leader="none" w:pos="100" w:val="left"/>
        </w:tabs>
        <w:numPr>
          <w:ilvl w:val="0"/>
          <w:numId w:val="19"/>
        </w:numPr>
        <w:rPr>
          <w:rFonts w:ascii="Times New Roman" w:cs="Times New Roman" w:eastAsia="Times New Roman" w:hAnsi="Times New Roman"/>
          <w:sz w:val="15"/>
          <w:szCs w:val="15"/>
          <w:color w:val="00053B"/>
        </w:rPr>
      </w:pPr>
      <w:r>
        <w:rPr>
          <w:rFonts w:ascii="Arial" w:cs="Arial" w:eastAsia="Arial" w:hAnsi="Arial"/>
          <w:sz w:val="15"/>
          <w:szCs w:val="15"/>
          <w:color w:val="00053B"/>
        </w:rPr>
        <w:t>AspenTech (since 2022)</w:t>
      </w:r>
    </w:p>
    <w:p>
      <w:pPr>
        <w:spacing w:after="0" w:line="200" w:lineRule="exact"/>
        <w:rPr>
          <w:sz w:val="20"/>
          <w:szCs w:val="20"/>
          <w:color w:val="auto"/>
        </w:rPr>
      </w:pPr>
    </w:p>
    <w:p>
      <w:pPr>
        <w:sectPr>
          <w:pgSz w:w="11900" w:h="16838" w:orient="portrait"/>
          <w:cols w:equalWidth="0" w:num="2">
            <w:col w:w="2140" w:space="720"/>
            <w:col w:w="8360"/>
          </w:cols>
          <w:pgMar w:left="320" w:top="122" w:right="35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Majority Vote Standard and Resignation Policy in Director Elections</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6"/>
          <w:szCs w:val="16"/>
          <w:color w:val="00053B"/>
        </w:rPr>
        <w:t>In uncontested elections, if a quorum is present or represented, directors are elected by an affirmative vote of a majority of the votes cast. If an incumbent director fails to receive the affirmative vote of a majority of votes cast in an uncontested election, such director must promptly tender an irrevocable resignation to the Board, which is contingent upon the Board’s acceptance. Within 90 days after certification of the results of the stockholder vote, the Board of Directors will act on the resignation, taking into account, among other things, a recommendation from the Nominations and Governance Committee. We will publicly disclose the Board’s decision whether to accept or reject the resignation, together with an explanation of the process (and the reasons for rejecting the resignation, if applicable). Any director whose resignation is being so considered may not participate in the deliberations of the Nominations and Governance Committee or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16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445770</wp:posOffset>
            </wp:positionV>
            <wp:extent cx="6995160" cy="17405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995160" cy="174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Overview</w:t>
      </w:r>
    </w:p>
    <w:p>
      <w:pPr>
        <w:spacing w:after="0" w:line="69" w:lineRule="exact"/>
        <w:rPr>
          <w:sz w:val="20"/>
          <w:szCs w:val="20"/>
          <w:color w:val="auto"/>
        </w:rPr>
      </w:pPr>
    </w:p>
    <w:p>
      <w:pPr>
        <w:spacing w:after="0" w:line="262" w:lineRule="auto"/>
        <w:rPr>
          <w:sz w:val="20"/>
          <w:szCs w:val="20"/>
          <w:color w:val="auto"/>
        </w:rPr>
      </w:pPr>
      <w:r>
        <w:rPr>
          <w:rFonts w:ascii="Arial" w:cs="Arial" w:eastAsia="Arial" w:hAnsi="Arial"/>
          <w:sz w:val="18"/>
          <w:szCs w:val="18"/>
          <w:color w:val="00053B"/>
        </w:rPr>
        <w:t>The Board has adopted comprehensive Corporate Governance Guidelines to define responsibilities, set high standards of professional and personal integrity, and ensure compliance with such responsibilities and standards. The Board of Directors annually monitors developments in the area of corporate governance and reviews the Corporate Governance Guidelines. Some of our significant corporate governance policies and practices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40575" cy="651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40575" cy="651510"/>
                    </a:xfrm>
                    <a:prstGeom prst="rect">
                      <a:avLst/>
                    </a:prstGeom>
                    <a:noFill/>
                  </pic:spPr>
                </pic:pic>
              </a:graphicData>
            </a:graphic>
          </wp:anchor>
        </w:drawing>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844896"/>
        </w:rPr>
        <w:t>INDEPENDENCE AND COMPOSITION OF OUR BOARD OF DIRECTORS</w:t>
      </w:r>
    </w:p>
    <w:p>
      <w:pPr>
        <w:spacing w:after="0" w:line="68" w:lineRule="exact"/>
        <w:rPr>
          <w:sz w:val="20"/>
          <w:szCs w:val="20"/>
          <w:color w:val="auto"/>
        </w:rPr>
      </w:pPr>
    </w:p>
    <w:p>
      <w:pPr>
        <w:ind w:left="440" w:hanging="158"/>
        <w:spacing w:after="0"/>
        <w:tabs>
          <w:tab w:leader="none" w:pos="440" w:val="left"/>
        </w:tabs>
        <w:numPr>
          <w:ilvl w:val="0"/>
          <w:numId w:val="20"/>
        </w:numPr>
        <w:rPr>
          <w:rFonts w:ascii="Arial" w:cs="Arial" w:eastAsia="Arial" w:hAnsi="Arial"/>
          <w:sz w:val="18"/>
          <w:szCs w:val="18"/>
          <w:color w:val="00053B"/>
        </w:rPr>
      </w:pPr>
      <w:r>
        <w:rPr>
          <w:rFonts w:ascii="Arial" w:cs="Arial" w:eastAsia="Arial" w:hAnsi="Arial"/>
          <w:sz w:val="16"/>
          <w:szCs w:val="16"/>
          <w:color w:val="00053B"/>
        </w:rPr>
        <w:t>Eight of our nine current directors are independent under the Nasdaq listing standards.</w:t>
      </w:r>
    </w:p>
    <w:p>
      <w:pPr>
        <w:spacing w:after="0" w:line="13" w:lineRule="exact"/>
        <w:rPr>
          <w:rFonts w:ascii="Arial" w:cs="Arial" w:eastAsia="Arial" w:hAnsi="Arial"/>
          <w:sz w:val="18"/>
          <w:szCs w:val="18"/>
          <w:color w:val="00053B"/>
        </w:rPr>
      </w:pPr>
    </w:p>
    <w:p>
      <w:pPr>
        <w:ind w:left="440" w:hanging="158"/>
        <w:spacing w:after="0"/>
        <w:tabs>
          <w:tab w:leader="none" w:pos="440" w:val="left"/>
        </w:tabs>
        <w:numPr>
          <w:ilvl w:val="0"/>
          <w:numId w:val="20"/>
        </w:numPr>
        <w:rPr>
          <w:rFonts w:ascii="Arial" w:cs="Arial" w:eastAsia="Arial" w:hAnsi="Arial"/>
          <w:sz w:val="18"/>
          <w:szCs w:val="18"/>
          <w:color w:val="00053B"/>
        </w:rPr>
      </w:pPr>
      <w:r>
        <w:rPr>
          <w:rFonts w:ascii="Arial" w:cs="Arial" w:eastAsia="Arial" w:hAnsi="Arial"/>
          <w:sz w:val="16"/>
          <w:szCs w:val="16"/>
          <w:color w:val="00053B"/>
        </w:rPr>
        <w:t>Our Board is led by an independent chairman so our President and Chief Executive Officer can focus on his executive leadership role.</w:t>
      </w:r>
    </w:p>
    <w:p>
      <w:pPr>
        <w:spacing w:after="0" w:line="9" w:lineRule="exact"/>
        <w:rPr>
          <w:rFonts w:ascii="Arial" w:cs="Arial" w:eastAsia="Arial" w:hAnsi="Arial"/>
          <w:sz w:val="18"/>
          <w:szCs w:val="18"/>
          <w:color w:val="00053B"/>
        </w:rPr>
      </w:pPr>
    </w:p>
    <w:p>
      <w:pPr>
        <w:ind w:left="440" w:hanging="158"/>
        <w:spacing w:after="0"/>
        <w:tabs>
          <w:tab w:leader="none" w:pos="440" w:val="left"/>
        </w:tabs>
        <w:numPr>
          <w:ilvl w:val="0"/>
          <w:numId w:val="20"/>
        </w:numPr>
        <w:rPr>
          <w:rFonts w:ascii="Arial" w:cs="Arial" w:eastAsia="Arial" w:hAnsi="Arial"/>
          <w:sz w:val="18"/>
          <w:szCs w:val="18"/>
          <w:color w:val="00053B"/>
        </w:rPr>
      </w:pPr>
      <w:r>
        <w:rPr>
          <w:rFonts w:ascii="Arial" w:cs="Arial" w:eastAsia="Arial" w:hAnsi="Arial"/>
          <w:sz w:val="16"/>
          <w:szCs w:val="16"/>
          <w:color w:val="00053B"/>
        </w:rPr>
        <w:t>All of our directors will be elected for one-year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40575" cy="7543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40575" cy="75438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844896"/>
        </w:rPr>
        <w:t>MAJORITY VOTING FOR DIRECTORS</w:t>
      </w:r>
    </w:p>
    <w:p>
      <w:pPr>
        <w:spacing w:after="0" w:line="54" w:lineRule="exact"/>
        <w:rPr>
          <w:sz w:val="20"/>
          <w:szCs w:val="20"/>
          <w:color w:val="auto"/>
        </w:rPr>
      </w:pPr>
    </w:p>
    <w:p>
      <w:pPr>
        <w:ind w:left="440" w:hanging="125"/>
        <w:spacing w:after="0"/>
        <w:tabs>
          <w:tab w:leader="none" w:pos="440" w:val="left"/>
        </w:tabs>
        <w:numPr>
          <w:ilvl w:val="0"/>
          <w:numId w:val="21"/>
        </w:numPr>
        <w:rPr>
          <w:rFonts w:ascii="Arial" w:cs="Arial" w:eastAsia="Arial" w:hAnsi="Arial"/>
          <w:sz w:val="18"/>
          <w:szCs w:val="18"/>
          <w:color w:val="00053B"/>
        </w:rPr>
      </w:pPr>
      <w:r>
        <w:rPr>
          <w:rFonts w:ascii="Arial" w:cs="Arial" w:eastAsia="Arial" w:hAnsi="Arial"/>
          <w:sz w:val="16"/>
          <w:szCs w:val="16"/>
          <w:color w:val="00053B"/>
        </w:rPr>
        <w:t>We have adopted a majority vote standard for the election of directors in an uncontested election.</w:t>
      </w:r>
    </w:p>
    <w:p>
      <w:pPr>
        <w:spacing w:after="0" w:line="13" w:lineRule="exact"/>
        <w:rPr>
          <w:rFonts w:ascii="Arial" w:cs="Arial" w:eastAsia="Arial" w:hAnsi="Arial"/>
          <w:sz w:val="18"/>
          <w:szCs w:val="18"/>
          <w:color w:val="00053B"/>
        </w:rPr>
      </w:pPr>
    </w:p>
    <w:p>
      <w:pPr>
        <w:ind w:left="440" w:hanging="125"/>
        <w:spacing w:after="0" w:line="268" w:lineRule="auto"/>
        <w:tabs>
          <w:tab w:leader="none" w:pos="427" w:val="left"/>
        </w:tabs>
        <w:numPr>
          <w:ilvl w:val="0"/>
          <w:numId w:val="21"/>
        </w:numPr>
        <w:rPr>
          <w:rFonts w:ascii="Arial" w:cs="Arial" w:eastAsia="Arial" w:hAnsi="Arial"/>
          <w:sz w:val="18"/>
          <w:szCs w:val="18"/>
          <w:color w:val="00053B"/>
        </w:rPr>
      </w:pPr>
      <w:r>
        <w:rPr>
          <w:rFonts w:ascii="Arial" w:cs="Arial" w:eastAsia="Arial" w:hAnsi="Arial"/>
          <w:sz w:val="16"/>
          <w:szCs w:val="16"/>
          <w:color w:val="00053B"/>
        </w:rPr>
        <w:t>Any incumbent director who does not receive a majority of the votes cast in an uncontested election must promptly tender an irrevocable resignation, which is contingent upon the Board’s acceptance.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40575" cy="11741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40575" cy="117411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844896"/>
        </w:rPr>
        <w:t>STANDING COMMITTEES</w:t>
      </w:r>
    </w:p>
    <w:p>
      <w:pPr>
        <w:spacing w:after="0" w:line="54" w:lineRule="exact"/>
        <w:rPr>
          <w:sz w:val="20"/>
          <w:szCs w:val="20"/>
          <w:color w:val="auto"/>
        </w:rPr>
      </w:pPr>
    </w:p>
    <w:p>
      <w:pPr>
        <w:ind w:left="440" w:right="280" w:hanging="158"/>
        <w:spacing w:after="0" w:line="256" w:lineRule="auto"/>
        <w:tabs>
          <w:tab w:leader="none" w:pos="435" w:val="left"/>
        </w:tabs>
        <w:numPr>
          <w:ilvl w:val="0"/>
          <w:numId w:val="22"/>
        </w:numPr>
        <w:rPr>
          <w:rFonts w:ascii="Arial" w:cs="Arial" w:eastAsia="Arial" w:hAnsi="Arial"/>
          <w:sz w:val="18"/>
          <w:szCs w:val="18"/>
          <w:color w:val="00053B"/>
        </w:rPr>
      </w:pPr>
      <w:r>
        <w:rPr>
          <w:rFonts w:ascii="Arial" w:cs="Arial" w:eastAsia="Arial" w:hAnsi="Arial"/>
          <w:sz w:val="16"/>
          <w:szCs w:val="16"/>
          <w:color w:val="00053B"/>
        </w:rPr>
        <w:t>The members of all four of the Board’s standing committees are independent and, where relevant, meet the heightened independence standards prescribed by the Nasdaq listing standards and SEC rules for service on particular committees.</w:t>
      </w:r>
    </w:p>
    <w:p>
      <w:pPr>
        <w:ind w:left="440" w:right="420" w:hanging="158"/>
        <w:spacing w:after="0" w:line="248" w:lineRule="auto"/>
        <w:tabs>
          <w:tab w:leader="none" w:pos="435" w:val="left"/>
        </w:tabs>
        <w:numPr>
          <w:ilvl w:val="0"/>
          <w:numId w:val="22"/>
        </w:numPr>
        <w:rPr>
          <w:rFonts w:ascii="Arial" w:cs="Arial" w:eastAsia="Arial" w:hAnsi="Arial"/>
          <w:sz w:val="18"/>
          <w:szCs w:val="18"/>
          <w:color w:val="00053B"/>
        </w:rPr>
      </w:pPr>
      <w:r>
        <w:rPr>
          <w:rFonts w:ascii="Arial" w:cs="Arial" w:eastAsia="Arial" w:hAnsi="Arial"/>
          <w:sz w:val="16"/>
          <w:szCs w:val="16"/>
          <w:color w:val="00053B"/>
        </w:rPr>
        <w:t>The majority of Audit Committee members, including the Audit Committee Chair, qualify as “audit committee financial experts” pursuant to SEC guidelines.</w:t>
      </w:r>
    </w:p>
    <w:p>
      <w:pPr>
        <w:spacing w:after="0" w:line="2" w:lineRule="exact"/>
        <w:rPr>
          <w:rFonts w:ascii="Arial" w:cs="Arial" w:eastAsia="Arial" w:hAnsi="Arial"/>
          <w:sz w:val="18"/>
          <w:szCs w:val="18"/>
          <w:color w:val="00053B"/>
        </w:rPr>
      </w:pPr>
    </w:p>
    <w:p>
      <w:pPr>
        <w:ind w:left="440" w:hanging="158"/>
        <w:spacing w:after="0"/>
        <w:tabs>
          <w:tab w:leader="none" w:pos="440" w:val="left"/>
        </w:tabs>
        <w:numPr>
          <w:ilvl w:val="0"/>
          <w:numId w:val="22"/>
        </w:numPr>
        <w:rPr>
          <w:rFonts w:ascii="Arial" w:cs="Arial" w:eastAsia="Arial" w:hAnsi="Arial"/>
          <w:sz w:val="18"/>
          <w:szCs w:val="18"/>
          <w:color w:val="00053B"/>
        </w:rPr>
      </w:pPr>
      <w:r>
        <w:rPr>
          <w:rFonts w:ascii="Arial" w:cs="Arial" w:eastAsia="Arial" w:hAnsi="Arial"/>
          <w:sz w:val="16"/>
          <w:szCs w:val="16"/>
          <w:color w:val="00053B"/>
        </w:rPr>
        <w:t>Each standing committee operates under a written charter that is available on our website.</w:t>
      </w:r>
    </w:p>
    <w:p>
      <w:pPr>
        <w:spacing w:after="0" w:line="13" w:lineRule="exact"/>
        <w:rPr>
          <w:rFonts w:ascii="Arial" w:cs="Arial" w:eastAsia="Arial" w:hAnsi="Arial"/>
          <w:sz w:val="18"/>
          <w:szCs w:val="18"/>
          <w:color w:val="00053B"/>
        </w:rPr>
      </w:pPr>
    </w:p>
    <w:p>
      <w:pPr>
        <w:ind w:left="440" w:hanging="158"/>
        <w:spacing w:after="0"/>
        <w:tabs>
          <w:tab w:leader="none" w:pos="440" w:val="left"/>
        </w:tabs>
        <w:numPr>
          <w:ilvl w:val="0"/>
          <w:numId w:val="22"/>
        </w:numPr>
        <w:rPr>
          <w:rFonts w:ascii="Arial" w:cs="Arial" w:eastAsia="Arial" w:hAnsi="Arial"/>
          <w:sz w:val="18"/>
          <w:szCs w:val="18"/>
          <w:color w:val="00053B"/>
        </w:rPr>
      </w:pPr>
      <w:r>
        <w:rPr>
          <w:rFonts w:ascii="Arial" w:cs="Arial" w:eastAsia="Arial" w:hAnsi="Arial"/>
          <w:sz w:val="16"/>
          <w:szCs w:val="16"/>
          <w:color w:val="00053B"/>
        </w:rPr>
        <w:t>The chairs of each committee rotate every five years and the Chair of the Board rotates every ten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17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2" w:right="4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15175" cy="1028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CORPORATE GOVERNANCE | </w:t>
      </w:r>
      <w:r>
        <w:rPr>
          <w:rFonts w:ascii="Arial" w:cs="Arial" w:eastAsia="Arial" w:hAnsi="Arial"/>
          <w:sz w:val="11"/>
          <w:szCs w:val="11"/>
          <w:b w:val="1"/>
          <w:bCs w:val="1"/>
          <w:color w:val="00053B"/>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40575" cy="22713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40575" cy="2271395"/>
                    </a:xfrm>
                    <a:prstGeom prst="rect">
                      <a:avLst/>
                    </a:prstGeom>
                    <a:noFill/>
                  </pic:spPr>
                </pic:pic>
              </a:graphicData>
            </a:graphic>
          </wp:anchor>
        </w:drawing>
      </w:r>
    </w:p>
    <w:p>
      <w:pPr>
        <w:spacing w:after="0" w:line="36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844896"/>
        </w:rPr>
        <w:t>CORPORATE GOVERNANCE POLICIES</w:t>
      </w:r>
    </w:p>
    <w:p>
      <w:pPr>
        <w:spacing w:after="0" w:line="54" w:lineRule="exact"/>
        <w:rPr>
          <w:sz w:val="20"/>
          <w:szCs w:val="20"/>
          <w:color w:val="auto"/>
        </w:rPr>
      </w:pPr>
    </w:p>
    <w:p>
      <w:pPr>
        <w:ind w:left="440" w:right="40" w:hanging="125"/>
        <w:spacing w:after="0" w:line="273" w:lineRule="auto"/>
        <w:tabs>
          <w:tab w:leader="none" w:pos="427" w:val="left"/>
        </w:tabs>
        <w:numPr>
          <w:ilvl w:val="0"/>
          <w:numId w:val="23"/>
        </w:numPr>
        <w:rPr>
          <w:rFonts w:ascii="Arial" w:cs="Arial" w:eastAsia="Arial" w:hAnsi="Arial"/>
          <w:sz w:val="18"/>
          <w:szCs w:val="18"/>
          <w:color w:val="00053B"/>
        </w:rPr>
      </w:pPr>
      <w:r>
        <w:rPr>
          <w:rFonts w:ascii="Arial" w:cs="Arial" w:eastAsia="Arial" w:hAnsi="Arial"/>
          <w:sz w:val="16"/>
          <w:szCs w:val="16"/>
          <w:color w:val="00053B"/>
        </w:rPr>
        <w:t>Our Code of Ethics, which applies to all directors, officers, employees, and contractors is approved by the Audit Committee and the Board of Directors annually. The Code highlights Commvault’s core operating principles and values to help ensure lawful and ethical business conduct.</w:t>
      </w:r>
    </w:p>
    <w:p>
      <w:pPr>
        <w:ind w:left="440" w:right="220" w:hanging="125"/>
        <w:spacing w:after="0" w:line="290" w:lineRule="auto"/>
        <w:tabs>
          <w:tab w:leader="none" w:pos="435" w:val="left"/>
        </w:tabs>
        <w:numPr>
          <w:ilvl w:val="0"/>
          <w:numId w:val="23"/>
        </w:numPr>
        <w:rPr>
          <w:rFonts w:ascii="Arial" w:cs="Arial" w:eastAsia="Arial" w:hAnsi="Arial"/>
          <w:sz w:val="16"/>
          <w:szCs w:val="16"/>
          <w:color w:val="00053B"/>
        </w:rPr>
      </w:pPr>
      <w:r>
        <w:rPr>
          <w:rFonts w:ascii="Arial" w:cs="Arial" w:eastAsia="Arial" w:hAnsi="Arial"/>
          <w:sz w:val="16"/>
          <w:szCs w:val="16"/>
          <w:color w:val="00053B"/>
        </w:rPr>
        <w:t>We have adopted a Code of Ethics for Senior Financial Officers that applies to our Chief Executive Officer, Chief Financial Officer, Chief Accounting Officer, and Controller.</w:t>
      </w:r>
    </w:p>
    <w:p>
      <w:pPr>
        <w:ind w:left="440" w:right="40" w:hanging="125"/>
        <w:spacing w:after="0" w:line="273" w:lineRule="auto"/>
        <w:tabs>
          <w:tab w:leader="none" w:pos="435" w:val="left"/>
        </w:tabs>
        <w:numPr>
          <w:ilvl w:val="0"/>
          <w:numId w:val="23"/>
        </w:numPr>
        <w:rPr>
          <w:rFonts w:ascii="Arial" w:cs="Arial" w:eastAsia="Arial" w:hAnsi="Arial"/>
          <w:sz w:val="16"/>
          <w:szCs w:val="16"/>
          <w:color w:val="00053B"/>
        </w:rPr>
      </w:pPr>
      <w:r>
        <w:rPr>
          <w:rFonts w:ascii="Arial" w:cs="Arial" w:eastAsia="Arial" w:hAnsi="Arial"/>
          <w:sz w:val="16"/>
          <w:szCs w:val="16"/>
          <w:color w:val="00053B"/>
        </w:rPr>
        <w:t>Our Ethics and Integrity Reporting Policy outlines management’s handling of unethical behavior and reports, our zero-tolerance policy for retaliation of any kind, and ways to report misconduct confidentially or anonymously. Our reporting policy and process is covered at the end of each compliance training program provided to employees throughout the year.</w:t>
      </w:r>
    </w:p>
    <w:p>
      <w:pPr>
        <w:spacing w:after="0" w:line="20" w:lineRule="exact"/>
        <w:rPr>
          <w:rFonts w:ascii="Arial" w:cs="Arial" w:eastAsia="Arial" w:hAnsi="Arial"/>
          <w:sz w:val="16"/>
          <w:szCs w:val="16"/>
          <w:color w:val="00053B"/>
        </w:rPr>
      </w:pPr>
    </w:p>
    <w:p>
      <w:pPr>
        <w:ind w:left="440" w:right="300" w:hanging="125"/>
        <w:spacing w:after="0" w:line="267" w:lineRule="auto"/>
        <w:tabs>
          <w:tab w:leader="none" w:pos="427" w:val="left"/>
        </w:tabs>
        <w:numPr>
          <w:ilvl w:val="0"/>
          <w:numId w:val="23"/>
        </w:numPr>
        <w:rPr>
          <w:rFonts w:ascii="Arial" w:cs="Arial" w:eastAsia="Arial" w:hAnsi="Arial"/>
          <w:sz w:val="18"/>
          <w:szCs w:val="18"/>
          <w:color w:val="00053B"/>
        </w:rPr>
      </w:pPr>
      <w:r>
        <w:rPr>
          <w:rFonts w:ascii="Arial" w:cs="Arial" w:eastAsia="Arial" w:hAnsi="Arial"/>
          <w:sz w:val="16"/>
          <w:szCs w:val="16"/>
          <w:color w:val="00053B"/>
        </w:rPr>
        <w:t>Our Human Rights Policy includes our commitment to diversity, equity and inclusion; personal privacy; safety, health, and wellness; fair work hours and wages; freedom of association; and opposition of forced labor, child labor, and human trafficking. We require our employees, contractors, representatives, and suppliers to uphold the principles of this Policy.</w:t>
      </w:r>
    </w:p>
    <w:p>
      <w:pPr>
        <w:spacing w:after="0" w:line="21" w:lineRule="exact"/>
        <w:rPr>
          <w:rFonts w:ascii="Arial" w:cs="Arial" w:eastAsia="Arial" w:hAnsi="Arial"/>
          <w:sz w:val="18"/>
          <w:szCs w:val="18"/>
          <w:color w:val="00053B"/>
        </w:rPr>
      </w:pPr>
    </w:p>
    <w:p>
      <w:pPr>
        <w:ind w:left="440" w:right="120" w:hanging="125"/>
        <w:spacing w:after="0" w:line="273" w:lineRule="auto"/>
        <w:tabs>
          <w:tab w:leader="none" w:pos="427" w:val="left"/>
        </w:tabs>
        <w:numPr>
          <w:ilvl w:val="0"/>
          <w:numId w:val="23"/>
        </w:numPr>
        <w:rPr>
          <w:rFonts w:ascii="Arial" w:cs="Arial" w:eastAsia="Arial" w:hAnsi="Arial"/>
          <w:sz w:val="18"/>
          <w:szCs w:val="18"/>
          <w:color w:val="00053B"/>
        </w:rPr>
      </w:pPr>
      <w:r>
        <w:rPr>
          <w:rFonts w:ascii="Arial" w:cs="Arial" w:eastAsia="Arial" w:hAnsi="Arial"/>
          <w:sz w:val="16"/>
          <w:szCs w:val="16"/>
          <w:color w:val="00053B"/>
        </w:rPr>
        <w:t>Our Supplier Code of Conduct mirrors our Code of Ethics, outlining key principles for ethical business conduct. We require all suppliers, meaning any third-party providing goods or services to Commvault, to comply with the principles therein and encourage the same for their supply chains.</w:t>
      </w:r>
    </w:p>
    <w:p>
      <w:pPr>
        <w:ind w:left="440" w:right="800" w:hanging="125"/>
        <w:spacing w:after="0" w:line="304" w:lineRule="auto"/>
        <w:tabs>
          <w:tab w:leader="none" w:pos="435" w:val="left"/>
        </w:tabs>
        <w:numPr>
          <w:ilvl w:val="0"/>
          <w:numId w:val="23"/>
        </w:numPr>
        <w:rPr>
          <w:rFonts w:ascii="Arial" w:cs="Arial" w:eastAsia="Arial" w:hAnsi="Arial"/>
          <w:sz w:val="16"/>
          <w:szCs w:val="16"/>
          <w:color w:val="00053B"/>
        </w:rPr>
      </w:pPr>
      <w:r>
        <w:rPr>
          <w:rFonts w:ascii="Arial" w:cs="Arial" w:eastAsia="Arial" w:hAnsi="Arial"/>
          <w:sz w:val="16"/>
          <w:szCs w:val="16"/>
          <w:color w:val="00053B"/>
        </w:rPr>
        <w:t xml:space="preserve">All of our key governance documents are publicly available on our website at </w:t>
      </w:r>
      <w:r>
        <w:rPr>
          <w:rFonts w:ascii="Arial" w:cs="Arial" w:eastAsia="Arial" w:hAnsi="Arial"/>
          <w:sz w:val="16"/>
          <w:szCs w:val="16"/>
          <w:color w:val="844896"/>
        </w:rPr>
        <w:t>www.commvault.com</w:t>
      </w:r>
      <w:r>
        <w:rPr>
          <w:rFonts w:ascii="Arial" w:cs="Arial" w:eastAsia="Arial" w:hAnsi="Arial"/>
          <w:sz w:val="16"/>
          <w:szCs w:val="16"/>
          <w:color w:val="00053B"/>
        </w:rPr>
        <w:t>, from the Investor Relations—Corporate Governance tab.</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Cybersecurity</w:t>
      </w:r>
    </w:p>
    <w:p>
      <w:pPr>
        <w:spacing w:after="0" w:line="87" w:lineRule="exact"/>
        <w:rPr>
          <w:sz w:val="20"/>
          <w:szCs w:val="20"/>
          <w:color w:val="auto"/>
        </w:rPr>
      </w:pPr>
    </w:p>
    <w:p>
      <w:pPr>
        <w:spacing w:after="0" w:line="255" w:lineRule="auto"/>
        <w:rPr>
          <w:sz w:val="20"/>
          <w:szCs w:val="20"/>
          <w:color w:val="auto"/>
        </w:rPr>
      </w:pPr>
      <w:r>
        <w:rPr>
          <w:rFonts w:ascii="Arial" w:cs="Arial" w:eastAsia="Arial" w:hAnsi="Arial"/>
          <w:sz w:val="16"/>
          <w:szCs w:val="16"/>
          <w:color w:val="00053B"/>
        </w:rPr>
        <w:t>Commvault has established a cybersecurity program for the benefit of the company, our customers, partners and stockholders. The cybersecurity program includes policies, processes and practices that are designed to assess, identify and manage material risks from cybersecurity threats and is integrated into our enterprise risk management program. Led by the Chief Information Security Officer (“CISO”), Commvault’s cybersecurity program leverages the National Institute of Standards and Technology ("NIST") Cybersecurity Framework, with the primary objective of securing systems and data from cyber threats. The Board of Directors provides oversight of Commvault’s cybersecurity strategy through the Audit Committee, which receives quarterly briefings on the cybersecurity program from the CISO and briefings on the ERMC and CSOT from the Chief Legal and Trust Officer (“CLTO”). The Board is kept apprised of cybersecurity updates through quarterly, or as needed, reporting from the Audit Committee Chair and annual, or as needed, reporting directly to the Board from the CISO. Commvault’s Management, including the CEO, CFO, CLTO, CISO, Chief Information Officer (“CIO”), and Senior Vice President of Engineering, is responsible for our cybersecurity risk management strategy, operational decision-making, and incident preparedness and response. Management ensures cybersecurity risks are communicated through the establishment of the ERMC and the CSOT and regular, or as needed, reporting to the Audit Committee and the Board. The ERMC is responsible for the implementation, maintenance, and execution of our enterprise risk management program. The CSOT meets as needed, with the Audit Committee Chair as an optional attendee, to provide counsel and foster productive communication between Management and the Board.</w:t>
      </w: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Board Leadership Structure</w:t>
      </w:r>
    </w:p>
    <w:p>
      <w:pPr>
        <w:spacing w:after="0" w:line="74" w:lineRule="exact"/>
        <w:rPr>
          <w:sz w:val="20"/>
          <w:szCs w:val="20"/>
          <w:color w:val="auto"/>
        </w:rPr>
      </w:pPr>
    </w:p>
    <w:p>
      <w:pPr>
        <w:spacing w:after="0" w:line="261" w:lineRule="auto"/>
        <w:rPr>
          <w:sz w:val="20"/>
          <w:szCs w:val="20"/>
          <w:color w:val="auto"/>
        </w:rPr>
      </w:pPr>
      <w:r>
        <w:rPr>
          <w:rFonts w:ascii="Arial" w:cs="Arial" w:eastAsia="Arial" w:hAnsi="Arial"/>
          <w:sz w:val="16"/>
          <w:szCs w:val="16"/>
          <w:color w:val="00053B"/>
        </w:rPr>
        <w:t>Our policy is to adopt the leadership structure that best serves Commvault’s needs at any particular time. Currently, our Board has determined that the most effective leadership structure is to have an independent Chairman so our President and CEO can focus on his executive leadership role. Mr. Adamo has served as Chair of the Board since 2019. In this capacity, Mr. Adamo is responsible for presiding at Board meetings and executive sessions, and facilitating communication between Board members and the CEO and other members of senior management. As a member of our Board, Mr. Mirchandani ensures that Board members have a high level of access and visibility regarding Commvault’s business, including Mr. Mirchandani’ s insights and perspectives on our operations, strategy, and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18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15175" cy="102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CORPORATE GOVERNANCE | </w:t>
      </w:r>
      <w:r>
        <w:rPr>
          <w:rFonts w:ascii="Arial" w:cs="Arial" w:eastAsia="Arial" w:hAnsi="Arial"/>
          <w:sz w:val="11"/>
          <w:szCs w:val="11"/>
          <w:b w:val="1"/>
          <w:bCs w:val="1"/>
          <w:color w:val="00053B"/>
        </w:rPr>
        <w:t>BOARD OVERSIGHT OF RISK</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Board Oversight of Risk</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00053B"/>
        </w:rPr>
        <w:t>The Board oversees Commvault’s policies and procedures relating to enterprise risk. This involves understanding the risks the Company faces and the steps management is taking to manage those risks, and also considering what level of risk is appropriate for our Company. The Board’s involvement in overseeing Commvault’s business strategy informs its assessment of management’s risk tolerance and its determination of an appropriate level of risk.</w:t>
      </w:r>
    </w:p>
    <w:p>
      <w:pPr>
        <w:spacing w:after="0" w:line="5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00053B"/>
        </w:rPr>
        <w:t>The Board of Directors considers risk management to varying degrees regularly at its meetings. The Board adjusts its practices with respect to risk oversight as necessary and involves itself in particular areas or business circumstances where the proper exercise of oversight requires it. The Board and senior management may engage outside advisors for risk assessment where warranted.</w:t>
      </w:r>
    </w:p>
    <w:p>
      <w:pPr>
        <w:spacing w:after="0" w:line="70"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00053B"/>
        </w:rPr>
        <w:t>While the Board has ultimate oversight responsibility for the risk management process, the Board’s standing committees also have responsibility for risk assessment and risk management with respect to matters in their purview.</w:t>
      </w:r>
    </w:p>
    <w:p>
      <w:pPr>
        <w:sectPr>
          <w:pgSz w:w="11900" w:h="16838" w:orient="portrait"/>
          <w:cols w:equalWidth="0" w:num="1">
            <w:col w:w="11220"/>
          </w:cols>
          <w:pgMar w:left="320" w:top="121" w:right="359" w:bottom="1440" w:gutter="0" w:footer="0" w:header="0"/>
        </w:sectPr>
      </w:pPr>
    </w:p>
    <w:p>
      <w:pPr>
        <w:spacing w:after="0" w:line="210"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color w:val="00053B"/>
        </w:rPr>
        <w:t xml:space="preserve">The Audit Committee </w:t>
      </w:r>
      <w:r>
        <w:rPr>
          <w:rFonts w:ascii="Arial" w:cs="Arial" w:eastAsia="Arial" w:hAnsi="Arial"/>
          <w:sz w:val="16"/>
          <w:szCs w:val="16"/>
          <w:color w:val="00053B"/>
        </w:rPr>
        <w:t>is required under its charter to discuss with</w:t>
      </w:r>
      <w:r>
        <w:rPr>
          <w:rFonts w:ascii="Arial" w:cs="Arial" w:eastAsia="Arial" w:hAnsi="Arial"/>
          <w:sz w:val="16"/>
          <w:szCs w:val="16"/>
          <w:b w:val="1"/>
          <w:bCs w:val="1"/>
          <w:color w:val="00053B"/>
        </w:rPr>
        <w:t xml:space="preserve"> </w:t>
      </w:r>
      <w:r>
        <w:rPr>
          <w:rFonts w:ascii="Arial" w:cs="Arial" w:eastAsia="Arial" w:hAnsi="Arial"/>
          <w:sz w:val="16"/>
          <w:szCs w:val="16"/>
          <w:color w:val="00053B"/>
        </w:rPr>
        <w:t>management and the independent auditor our cybersecurity, IT and financial risks or exposures and to assess the steps management has taken to minimize such risks. The Audit Committee also oversees Commvault’s internal audit function and compliance matters, and reviews with the CLTO any legal or compliance matters, including litigation, that may have a material impact on our financial statements, financial condition, or results of operations.</w:t>
      </w:r>
    </w:p>
    <w:p>
      <w:pPr>
        <w:spacing w:after="0" w:line="86"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b w:val="1"/>
          <w:bCs w:val="1"/>
          <w:color w:val="00053B"/>
        </w:rPr>
        <w:t xml:space="preserve">The Talent Management and Compensation Committee </w:t>
      </w:r>
      <w:r>
        <w:rPr>
          <w:rFonts w:ascii="Arial" w:cs="Arial" w:eastAsia="Arial" w:hAnsi="Arial"/>
          <w:sz w:val="16"/>
          <w:szCs w:val="16"/>
          <w:color w:val="00053B"/>
        </w:rPr>
        <w:t>assesses</w:t>
      </w:r>
      <w:r>
        <w:rPr>
          <w:rFonts w:ascii="Arial" w:cs="Arial" w:eastAsia="Arial" w:hAnsi="Arial"/>
          <w:sz w:val="16"/>
          <w:szCs w:val="16"/>
          <w:b w:val="1"/>
          <w:bCs w:val="1"/>
          <w:color w:val="00053B"/>
        </w:rPr>
        <w:t xml:space="preserve"> </w:t>
      </w:r>
      <w:r>
        <w:rPr>
          <w:rFonts w:ascii="Arial" w:cs="Arial" w:eastAsia="Arial" w:hAnsi="Arial"/>
          <w:sz w:val="16"/>
          <w:szCs w:val="16"/>
          <w:color w:val="00053B"/>
        </w:rPr>
        <w:t>compensation-related risk.</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 xml:space="preserve">The Nominations and Governance Committee </w:t>
      </w:r>
      <w:r>
        <w:rPr>
          <w:rFonts w:ascii="Arial" w:cs="Arial" w:eastAsia="Arial" w:hAnsi="Arial"/>
          <w:sz w:val="16"/>
          <w:szCs w:val="16"/>
          <w:color w:val="00053B"/>
        </w:rPr>
        <w:t>addresses management</w:t>
      </w:r>
    </w:p>
    <w:p>
      <w:pPr>
        <w:spacing w:after="0" w:line="35"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00053B"/>
        </w:rPr>
        <w:t>and governance risk, including through its oversight of the succession planning and nominating processes, our Corporate Governance Guidelines, and our corporate ESG responsibility and efforts.</w:t>
      </w:r>
    </w:p>
    <w:p>
      <w:pPr>
        <w:spacing w:after="0" w:line="84"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b w:val="1"/>
          <w:bCs w:val="1"/>
          <w:color w:val="00053B"/>
        </w:rPr>
        <w:t xml:space="preserve">The Operating Committee </w:t>
      </w:r>
      <w:r>
        <w:rPr>
          <w:rFonts w:ascii="Arial" w:cs="Arial" w:eastAsia="Arial" w:hAnsi="Arial"/>
          <w:sz w:val="16"/>
          <w:szCs w:val="16"/>
          <w:color w:val="00053B"/>
        </w:rPr>
        <w:t>provides oversight on various risk-related</w:t>
      </w:r>
      <w:r>
        <w:rPr>
          <w:rFonts w:ascii="Arial" w:cs="Arial" w:eastAsia="Arial" w:hAnsi="Arial"/>
          <w:sz w:val="16"/>
          <w:szCs w:val="16"/>
          <w:b w:val="1"/>
          <w:bCs w:val="1"/>
          <w:color w:val="00053B"/>
        </w:rPr>
        <w:t xml:space="preserve"> </w:t>
      </w:r>
      <w:r>
        <w:rPr>
          <w:rFonts w:ascii="Arial" w:cs="Arial" w:eastAsia="Arial" w:hAnsi="Arial"/>
          <w:sz w:val="16"/>
          <w:szCs w:val="16"/>
          <w:color w:val="00053B"/>
        </w:rPr>
        <w:t>matters as determined by the Board and management.</w:t>
      </w:r>
    </w:p>
    <w:p>
      <w:pPr>
        <w:spacing w:after="0" w:line="6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00053B"/>
        </w:rPr>
        <w:t>Each of these Board committees reports to the full Board with respect to its risk oversight functions.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b w:val="1"/>
          <w:bCs w:val="1"/>
          <w:color w:val="00053B"/>
        </w:rPr>
        <w:t xml:space="preserve">At the management level, </w:t>
      </w:r>
      <w:r>
        <w:rPr>
          <w:rFonts w:ascii="Arial" w:cs="Arial" w:eastAsia="Arial" w:hAnsi="Arial"/>
          <w:sz w:val="16"/>
          <w:szCs w:val="16"/>
          <w:color w:val="00053B"/>
        </w:rPr>
        <w:t>our CFO and CLTO oversee risk-related</w:t>
      </w:r>
      <w:r>
        <w:rPr>
          <w:rFonts w:ascii="Arial" w:cs="Arial" w:eastAsia="Arial" w:hAnsi="Arial"/>
          <w:sz w:val="16"/>
          <w:szCs w:val="16"/>
          <w:b w:val="1"/>
          <w:bCs w:val="1"/>
          <w:color w:val="00053B"/>
        </w:rPr>
        <w:t xml:space="preserve"> </w:t>
      </w:r>
      <w:r>
        <w:rPr>
          <w:rFonts w:ascii="Arial" w:cs="Arial" w:eastAsia="Arial" w:hAnsi="Arial"/>
          <w:sz w:val="16"/>
          <w:szCs w:val="16"/>
          <w:color w:val="00053B"/>
        </w:rPr>
        <w:t>matters. In addition, we have established disclosure controls to monitor our compliance with securities disclosure obligations and an executive review committee to monitor and approve certain transactions or other corporate matters that deviate from our standard practices. Senior management reports to the Board or an appropriate Board committee regarding risk issues.</w:t>
      </w:r>
    </w:p>
    <w:p>
      <w:pPr>
        <w:spacing w:after="0" w:line="66" w:lineRule="exact"/>
        <w:rPr>
          <w:sz w:val="20"/>
          <w:szCs w:val="20"/>
          <w:color w:val="auto"/>
        </w:rPr>
      </w:pPr>
    </w:p>
    <w:p>
      <w:pPr>
        <w:ind w:right="320"/>
        <w:spacing w:after="0" w:line="265" w:lineRule="auto"/>
        <w:rPr>
          <w:sz w:val="20"/>
          <w:szCs w:val="20"/>
          <w:color w:val="auto"/>
        </w:rPr>
      </w:pPr>
      <w:r>
        <w:rPr>
          <w:rFonts w:ascii="Arial" w:cs="Arial" w:eastAsia="Arial" w:hAnsi="Arial"/>
          <w:sz w:val="16"/>
          <w:szCs w:val="16"/>
          <w:color w:val="00053B"/>
        </w:rPr>
        <w:t>The ERMC is responsible for the implementation, maintenance, and execution of our enterprise risk management program. The ERMC meets quarterly, or as needed, to assess, consider, and manage material risks including cybersecurity threats across the business.</w:t>
      </w:r>
    </w:p>
    <w:p>
      <w:pPr>
        <w:spacing w:after="0" w:line="78"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00053B"/>
        </w:rPr>
        <w:t>Under our Corporate Governance Policies, the Board has complete and open access to any member of management and any employee, as well as any outside advisor or independent advisor retained by the Board, to inquire about risk-related (or other) topics. In addition, our CFO and CLTO are available at Board and committee meetings to answer questions relating to risk oversight. Further, because the CEO is a director, he brings a unique perspective on our risk profile and risk assessment to Board deliberations based on his day-to-day management, responsibilities and knowledge about the Company.</w:t>
      </w:r>
    </w:p>
    <w:p>
      <w:pPr>
        <w:spacing w:after="0" w:line="200" w:lineRule="exact"/>
        <w:rPr>
          <w:sz w:val="20"/>
          <w:szCs w:val="20"/>
          <w:color w:val="auto"/>
        </w:rPr>
      </w:pPr>
    </w:p>
    <w:p>
      <w:pPr>
        <w:sectPr>
          <w:pgSz w:w="11900" w:h="16838" w:orient="portrait"/>
          <w:cols w:equalWidth="0" w:num="2">
            <w:col w:w="5480" w:space="180"/>
            <w:col w:w="556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19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15175" cy="102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CORPORATE GOVERNANCE | </w:t>
      </w:r>
      <w:r>
        <w:rPr>
          <w:rFonts w:ascii="Arial" w:cs="Arial" w:eastAsia="Arial" w:hAnsi="Arial"/>
          <w:sz w:val="11"/>
          <w:szCs w:val="11"/>
          <w:b w:val="1"/>
          <w:bCs w:val="1"/>
          <w:color w:val="00053B"/>
        </w:rPr>
        <w:t>STOCKHOLDER ENGAGEMENT</w:t>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98425</wp:posOffset>
            </wp:positionV>
            <wp:extent cx="6172200" cy="12255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17220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00053B"/>
        </w:rPr>
        <w:t>We maintain a quarterly stockholder outreach program, which includes proactive CEO and CFO post-earnings calls with our top stockholders, and subsequent phone calls with all interested investors. Our CEO, CFO, Head of Investor Relations, and senior management participate in non-deal roadshows and conferences each quarter. In fiscal year 2024 we hosted 174 investor meetings or phone calls, including 97 meetings with existing investors and 77 meetings with potential investors.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00053B"/>
        </w:rPr>
        <w:t>We received positive stockholder feedback on our fiscal year 2023 outreach. In particular, stockholders noted the Company’s efforts on ESG disclosures.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0053B"/>
        </w:rPr>
        <w:t>Stockholders were also appreciative of our independent directors’ commitment to stockholder engagement and our receptivity to stockholder feedback.</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How We Choose Directors</w:t>
      </w:r>
    </w:p>
    <w:p>
      <w:pPr>
        <w:spacing w:after="0" w:line="74" w:lineRule="exact"/>
        <w:rPr>
          <w:sz w:val="20"/>
          <w:szCs w:val="20"/>
          <w:color w:val="auto"/>
        </w:rPr>
      </w:pPr>
    </w:p>
    <w:p>
      <w:pPr>
        <w:spacing w:after="0" w:line="275" w:lineRule="auto"/>
        <w:rPr>
          <w:sz w:val="20"/>
          <w:szCs w:val="20"/>
          <w:color w:val="auto"/>
        </w:rPr>
      </w:pPr>
      <w:r>
        <w:rPr>
          <w:rFonts w:ascii="Arial" w:cs="Arial" w:eastAsia="Arial" w:hAnsi="Arial"/>
          <w:sz w:val="16"/>
          <w:szCs w:val="16"/>
          <w:color w:val="092E44"/>
        </w:rPr>
        <w:t>T</w:t>
      </w:r>
      <w:r>
        <w:rPr>
          <w:rFonts w:ascii="Arial" w:cs="Arial" w:eastAsia="Arial" w:hAnsi="Arial"/>
          <w:sz w:val="16"/>
          <w:szCs w:val="16"/>
          <w:color w:val="00053B"/>
        </w:rPr>
        <w:t>he Nominations and Governance Committee is responsible for assessing the appropriate balance of experience, skills, and characteristics required of our</w:t>
      </w:r>
      <w:r>
        <w:rPr>
          <w:rFonts w:ascii="Arial" w:cs="Arial" w:eastAsia="Arial" w:hAnsi="Arial"/>
          <w:sz w:val="16"/>
          <w:szCs w:val="16"/>
          <w:color w:val="092E44"/>
        </w:rPr>
        <w:t xml:space="preserve"> </w:t>
      </w:r>
      <w:r>
        <w:rPr>
          <w:rFonts w:ascii="Arial" w:cs="Arial" w:eastAsia="Arial" w:hAnsi="Arial"/>
          <w:sz w:val="16"/>
          <w:szCs w:val="16"/>
          <w:color w:val="00053B"/>
        </w:rPr>
        <w:t>Board of Directors and for carrying out adequate due diligence with respect to prospective board members. Generally speaking, we believe the Board should include individuals with skills and experience in the following areas: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60" w:type="dxa"/>
            <w:vAlign w:val="bottom"/>
            <w:gridSpan w:val="2"/>
          </w:tcPr>
          <w:p>
            <w:pPr>
              <w:spacing w:after="0"/>
              <w:rPr>
                <w:sz w:val="20"/>
                <w:szCs w:val="20"/>
                <w:color w:val="auto"/>
              </w:rPr>
            </w:pPr>
            <w:r>
              <w:rPr>
                <w:rFonts w:ascii="Times New Roman" w:cs="Times New Roman" w:eastAsia="Times New Roman" w:hAnsi="Times New Roman"/>
                <w:sz w:val="16"/>
                <w:szCs w:val="16"/>
                <w:color w:val="00053B"/>
              </w:rPr>
              <w:t xml:space="preserve">•   </w:t>
            </w:r>
            <w:r>
              <w:rPr>
                <w:rFonts w:ascii="Arial" w:cs="Arial" w:eastAsia="Arial" w:hAnsi="Arial"/>
                <w:sz w:val="16"/>
                <w:szCs w:val="16"/>
                <w:color w:val="00053B"/>
              </w:rPr>
              <w:t>HR - Workforce of the Future</w:t>
            </w:r>
          </w:p>
        </w:tc>
        <w:tc>
          <w:tcPr>
            <w:tcW w:w="880" w:type="dxa"/>
            <w:vAlign w:val="bottom"/>
          </w:tcPr>
          <w:p>
            <w:pPr>
              <w:ind w:left="740"/>
              <w:spacing w:after="0"/>
              <w:rPr>
                <w:sz w:val="20"/>
                <w:szCs w:val="20"/>
                <w:color w:val="auto"/>
              </w:rPr>
            </w:pPr>
            <w:r>
              <w:rPr>
                <w:rFonts w:ascii="Times New Roman" w:cs="Times New Roman" w:eastAsia="Times New Roman" w:hAnsi="Times New Roman"/>
                <w:sz w:val="16"/>
                <w:szCs w:val="16"/>
                <w:color w:val="00053B"/>
              </w:rPr>
              <w:t>•</w:t>
            </w:r>
          </w:p>
        </w:tc>
        <w:tc>
          <w:tcPr>
            <w:tcW w:w="2560" w:type="dxa"/>
            <w:vAlign w:val="bottom"/>
          </w:tcPr>
          <w:p>
            <w:pPr>
              <w:ind w:left="100"/>
              <w:spacing w:after="0"/>
              <w:rPr>
                <w:sz w:val="20"/>
                <w:szCs w:val="20"/>
                <w:color w:val="auto"/>
              </w:rPr>
            </w:pPr>
            <w:r>
              <w:rPr>
                <w:rFonts w:ascii="Arial" w:cs="Arial" w:eastAsia="Arial" w:hAnsi="Arial"/>
                <w:sz w:val="16"/>
                <w:szCs w:val="16"/>
                <w:color w:val="00053B"/>
              </w:rPr>
              <w:t>Cybersecurity</w:t>
            </w:r>
          </w:p>
        </w:tc>
        <w:tc>
          <w:tcPr>
            <w:tcW w:w="1220" w:type="dxa"/>
            <w:vAlign w:val="bottom"/>
          </w:tcPr>
          <w:p>
            <w:pPr>
              <w:ind w:left="1080"/>
              <w:spacing w:after="0"/>
              <w:rPr>
                <w:sz w:val="20"/>
                <w:szCs w:val="20"/>
                <w:color w:val="auto"/>
              </w:rPr>
            </w:pPr>
            <w:r>
              <w:rPr>
                <w:rFonts w:ascii="Times New Roman" w:cs="Times New Roman" w:eastAsia="Times New Roman" w:hAnsi="Times New Roman"/>
                <w:sz w:val="16"/>
                <w:szCs w:val="16"/>
                <w:color w:val="00053B"/>
              </w:rPr>
              <w:t>•</w:t>
            </w:r>
          </w:p>
        </w:tc>
        <w:tc>
          <w:tcPr>
            <w:tcW w:w="1800" w:type="dxa"/>
            <w:vAlign w:val="bottom"/>
          </w:tcPr>
          <w:p>
            <w:pPr>
              <w:ind w:left="100"/>
              <w:spacing w:after="0"/>
              <w:rPr>
                <w:sz w:val="20"/>
                <w:szCs w:val="20"/>
                <w:color w:val="auto"/>
              </w:rPr>
            </w:pPr>
            <w:r>
              <w:rPr>
                <w:rFonts w:ascii="Arial" w:cs="Arial" w:eastAsia="Arial" w:hAnsi="Arial"/>
                <w:sz w:val="16"/>
                <w:szCs w:val="16"/>
                <w:color w:val="00053B"/>
              </w:rPr>
              <w:t>Global/Strategy</w:t>
            </w:r>
          </w:p>
        </w:tc>
      </w:tr>
      <w:tr>
        <w:trPr>
          <w:trHeight w:val="256"/>
        </w:trPr>
        <w:tc>
          <w:tcPr>
            <w:tcW w:w="160" w:type="dxa"/>
            <w:vAlign w:val="bottom"/>
          </w:tcPr>
          <w:p>
            <w:pPr>
              <w:spacing w:after="0"/>
              <w:rPr>
                <w:sz w:val="20"/>
                <w:szCs w:val="20"/>
                <w:color w:val="auto"/>
              </w:rPr>
            </w:pPr>
            <w:r>
              <w:rPr>
                <w:rFonts w:ascii="Times New Roman" w:cs="Times New Roman" w:eastAsia="Times New Roman" w:hAnsi="Times New Roman"/>
                <w:sz w:val="16"/>
                <w:szCs w:val="16"/>
                <w:color w:val="00053B"/>
              </w:rPr>
              <w:t>•</w:t>
            </w:r>
          </w:p>
        </w:tc>
        <w:tc>
          <w:tcPr>
            <w:tcW w:w="2900" w:type="dxa"/>
            <w:vAlign w:val="bottom"/>
          </w:tcPr>
          <w:p>
            <w:pPr>
              <w:ind w:left="80"/>
              <w:spacing w:after="0"/>
              <w:rPr>
                <w:sz w:val="20"/>
                <w:szCs w:val="20"/>
                <w:color w:val="auto"/>
              </w:rPr>
            </w:pPr>
            <w:r>
              <w:rPr>
                <w:rFonts w:ascii="Arial" w:cs="Arial" w:eastAsia="Arial" w:hAnsi="Arial"/>
                <w:sz w:val="16"/>
                <w:szCs w:val="16"/>
                <w:color w:val="00053B"/>
              </w:rPr>
              <w:t>Engineering and Innovation</w:t>
            </w:r>
          </w:p>
        </w:tc>
        <w:tc>
          <w:tcPr>
            <w:tcW w:w="880" w:type="dxa"/>
            <w:vAlign w:val="bottom"/>
          </w:tcPr>
          <w:p>
            <w:pPr>
              <w:ind w:left="740"/>
              <w:spacing w:after="0"/>
              <w:rPr>
                <w:sz w:val="20"/>
                <w:szCs w:val="20"/>
                <w:color w:val="auto"/>
              </w:rPr>
            </w:pPr>
            <w:r>
              <w:rPr>
                <w:rFonts w:ascii="Times New Roman" w:cs="Times New Roman" w:eastAsia="Times New Roman" w:hAnsi="Times New Roman"/>
                <w:sz w:val="16"/>
                <w:szCs w:val="16"/>
                <w:color w:val="00053B"/>
              </w:rPr>
              <w:t>•</w:t>
            </w:r>
          </w:p>
        </w:tc>
        <w:tc>
          <w:tcPr>
            <w:tcW w:w="2560" w:type="dxa"/>
            <w:vAlign w:val="bottom"/>
          </w:tcPr>
          <w:p>
            <w:pPr>
              <w:ind w:left="100"/>
              <w:spacing w:after="0"/>
              <w:rPr>
                <w:sz w:val="20"/>
                <w:szCs w:val="20"/>
                <w:color w:val="auto"/>
              </w:rPr>
            </w:pPr>
            <w:r>
              <w:rPr>
                <w:rFonts w:ascii="Arial" w:cs="Arial" w:eastAsia="Arial" w:hAnsi="Arial"/>
                <w:sz w:val="16"/>
                <w:szCs w:val="16"/>
                <w:color w:val="00053B"/>
              </w:rPr>
              <w:t>Financial Expertise</w:t>
            </w:r>
          </w:p>
        </w:tc>
        <w:tc>
          <w:tcPr>
            <w:tcW w:w="1220" w:type="dxa"/>
            <w:vAlign w:val="bottom"/>
          </w:tcPr>
          <w:p>
            <w:pPr>
              <w:ind w:left="1080"/>
              <w:spacing w:after="0"/>
              <w:rPr>
                <w:sz w:val="20"/>
                <w:szCs w:val="20"/>
                <w:color w:val="auto"/>
              </w:rPr>
            </w:pPr>
            <w:r>
              <w:rPr>
                <w:rFonts w:ascii="Times New Roman" w:cs="Times New Roman" w:eastAsia="Times New Roman" w:hAnsi="Times New Roman"/>
                <w:sz w:val="16"/>
                <w:szCs w:val="16"/>
                <w:color w:val="00053B"/>
              </w:rPr>
              <w:t>•</w:t>
            </w:r>
          </w:p>
        </w:tc>
        <w:tc>
          <w:tcPr>
            <w:tcW w:w="1800" w:type="dxa"/>
            <w:vAlign w:val="bottom"/>
          </w:tcPr>
          <w:p>
            <w:pPr>
              <w:ind w:left="100"/>
              <w:spacing w:after="0"/>
              <w:rPr>
                <w:sz w:val="20"/>
                <w:szCs w:val="20"/>
                <w:color w:val="auto"/>
              </w:rPr>
            </w:pPr>
            <w:r>
              <w:rPr>
                <w:rFonts w:ascii="Arial" w:cs="Arial" w:eastAsia="Arial" w:hAnsi="Arial"/>
                <w:sz w:val="16"/>
                <w:szCs w:val="16"/>
                <w:color w:val="00053B"/>
              </w:rPr>
              <w:t>M&amp;A and Integrations</w:t>
            </w:r>
          </w:p>
        </w:tc>
      </w:tr>
      <w:tr>
        <w:trPr>
          <w:trHeight w:val="243"/>
        </w:trPr>
        <w:tc>
          <w:tcPr>
            <w:tcW w:w="160" w:type="dxa"/>
            <w:vAlign w:val="bottom"/>
          </w:tcPr>
          <w:p>
            <w:pPr>
              <w:spacing w:after="0"/>
              <w:rPr>
                <w:sz w:val="20"/>
                <w:szCs w:val="20"/>
                <w:color w:val="auto"/>
              </w:rPr>
            </w:pPr>
            <w:r>
              <w:rPr>
                <w:rFonts w:ascii="Times New Roman" w:cs="Times New Roman" w:eastAsia="Times New Roman" w:hAnsi="Times New Roman"/>
                <w:sz w:val="16"/>
                <w:szCs w:val="16"/>
                <w:color w:val="00053B"/>
              </w:rPr>
              <w:t>•</w:t>
            </w:r>
          </w:p>
        </w:tc>
        <w:tc>
          <w:tcPr>
            <w:tcW w:w="2900" w:type="dxa"/>
            <w:vAlign w:val="bottom"/>
          </w:tcPr>
          <w:p>
            <w:pPr>
              <w:ind w:left="80"/>
              <w:spacing w:after="0"/>
              <w:rPr>
                <w:sz w:val="20"/>
                <w:szCs w:val="20"/>
                <w:color w:val="auto"/>
              </w:rPr>
            </w:pPr>
            <w:r>
              <w:rPr>
                <w:rFonts w:ascii="Arial" w:cs="Arial" w:eastAsia="Arial" w:hAnsi="Arial"/>
                <w:sz w:val="16"/>
                <w:szCs w:val="16"/>
                <w:color w:val="00053B"/>
              </w:rPr>
              <w:t>Go-to-Market</w:t>
            </w:r>
          </w:p>
        </w:tc>
        <w:tc>
          <w:tcPr>
            <w:tcW w:w="880" w:type="dxa"/>
            <w:vAlign w:val="bottom"/>
          </w:tcPr>
          <w:p>
            <w:pPr>
              <w:ind w:left="740"/>
              <w:spacing w:after="0"/>
              <w:rPr>
                <w:sz w:val="20"/>
                <w:szCs w:val="20"/>
                <w:color w:val="auto"/>
              </w:rPr>
            </w:pPr>
            <w:r>
              <w:rPr>
                <w:rFonts w:ascii="Times New Roman" w:cs="Times New Roman" w:eastAsia="Times New Roman" w:hAnsi="Times New Roman"/>
                <w:sz w:val="16"/>
                <w:szCs w:val="16"/>
                <w:color w:val="00053B"/>
              </w:rPr>
              <w:t>•</w:t>
            </w:r>
          </w:p>
        </w:tc>
        <w:tc>
          <w:tcPr>
            <w:tcW w:w="2560" w:type="dxa"/>
            <w:vAlign w:val="bottom"/>
          </w:tcPr>
          <w:p>
            <w:pPr>
              <w:ind w:left="100"/>
              <w:spacing w:after="0"/>
              <w:rPr>
                <w:sz w:val="20"/>
                <w:szCs w:val="20"/>
                <w:color w:val="auto"/>
              </w:rPr>
            </w:pPr>
            <w:r>
              <w:rPr>
                <w:rFonts w:ascii="Arial" w:cs="Arial" w:eastAsia="Arial" w:hAnsi="Arial"/>
                <w:sz w:val="16"/>
                <w:szCs w:val="16"/>
                <w:color w:val="00053B"/>
              </w:rPr>
              <w:t>SaaS</w:t>
            </w:r>
          </w:p>
        </w:tc>
        <w:tc>
          <w:tcPr>
            <w:tcW w:w="1220" w:type="dxa"/>
            <w:vAlign w:val="bottom"/>
          </w:tcPr>
          <w:p>
            <w:pPr>
              <w:ind w:left="1080"/>
              <w:spacing w:after="0"/>
              <w:rPr>
                <w:sz w:val="20"/>
                <w:szCs w:val="20"/>
                <w:color w:val="auto"/>
              </w:rPr>
            </w:pPr>
            <w:r>
              <w:rPr>
                <w:rFonts w:ascii="Times New Roman" w:cs="Times New Roman" w:eastAsia="Times New Roman" w:hAnsi="Times New Roman"/>
                <w:sz w:val="16"/>
                <w:szCs w:val="16"/>
                <w:color w:val="00053B"/>
              </w:rPr>
              <w:t>•</w:t>
            </w:r>
          </w:p>
        </w:tc>
        <w:tc>
          <w:tcPr>
            <w:tcW w:w="1800" w:type="dxa"/>
            <w:vAlign w:val="bottom"/>
          </w:tcPr>
          <w:p>
            <w:pPr>
              <w:ind w:left="100"/>
              <w:spacing w:after="0"/>
              <w:rPr>
                <w:sz w:val="20"/>
                <w:szCs w:val="20"/>
                <w:color w:val="auto"/>
              </w:rPr>
            </w:pPr>
            <w:r>
              <w:rPr>
                <w:rFonts w:ascii="Arial" w:cs="Arial" w:eastAsia="Arial" w:hAnsi="Arial"/>
                <w:sz w:val="16"/>
                <w:szCs w:val="16"/>
                <w:color w:val="00053B"/>
              </w:rPr>
              <w:t>Executive Management</w:t>
            </w:r>
          </w:p>
        </w:tc>
      </w:tr>
    </w:tbl>
    <w:p>
      <w:pPr>
        <w:spacing w:after="0" w:line="379" w:lineRule="exact"/>
        <w:rPr>
          <w:sz w:val="20"/>
          <w:szCs w:val="20"/>
          <w:color w:val="auto"/>
        </w:rPr>
      </w:pPr>
    </w:p>
    <w:p>
      <w:pPr>
        <w:spacing w:after="0" w:line="304" w:lineRule="auto"/>
        <w:rPr>
          <w:sz w:val="20"/>
          <w:szCs w:val="20"/>
          <w:color w:val="auto"/>
        </w:rPr>
      </w:pPr>
      <w:r>
        <w:rPr>
          <w:rFonts w:ascii="Arial" w:cs="Arial" w:eastAsia="Arial" w:hAnsi="Arial"/>
          <w:sz w:val="16"/>
          <w:szCs w:val="16"/>
          <w:color w:val="00053B"/>
        </w:rPr>
        <w:t>The Nominations and Governance Committee will consider nominees that are recommended by current directors, management, or stockholders. Candidates recommended by stockholders will be evaluated in the same manner as candidates identified through other means.</w:t>
      </w:r>
    </w:p>
    <w:p>
      <w:pPr>
        <w:spacing w:after="0" w:line="33"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00053B"/>
        </w:rPr>
        <w:t>Nominees for director are selected on the basis of diversity, depth and breadth of experience, integrity, ability to make independent analytical inquiries, understanding of our business environment, willingness to devote adequate time to Board duties, and the interplay of the candidate’s experience and skills with those of other Board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20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15175" cy="1028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CORPORATE GOVERNANCE | </w:t>
      </w:r>
      <w:r>
        <w:rPr>
          <w:rFonts w:ascii="Arial" w:cs="Arial" w:eastAsia="Arial" w:hAnsi="Arial"/>
          <w:sz w:val="11"/>
          <w:szCs w:val="11"/>
          <w:b w:val="1"/>
          <w:bCs w:val="1"/>
          <w:color w:val="00053B"/>
        </w:rPr>
        <w:t>BOARD COMMITTEES</w:t>
      </w: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Board Committees</w:t>
      </w:r>
    </w:p>
    <w:p>
      <w:pPr>
        <w:spacing w:after="0" w:line="87"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00053B"/>
        </w:rPr>
        <w:t xml:space="preserve">The Board of Directors has three standing committees and one </w:t>
      </w:r>
      <w:r>
        <w:rPr>
          <w:rFonts w:ascii="Arial" w:cs="Arial" w:eastAsia="Arial" w:hAnsi="Arial"/>
          <w:sz w:val="16"/>
          <w:szCs w:val="16"/>
          <w:i w:val="1"/>
          <w:iCs w:val="1"/>
          <w:color w:val="00053B"/>
        </w:rPr>
        <w:t>ad hoc</w:t>
      </w:r>
      <w:r>
        <w:rPr>
          <w:rFonts w:ascii="Arial" w:cs="Arial" w:eastAsia="Arial" w:hAnsi="Arial"/>
          <w:sz w:val="16"/>
          <w:szCs w:val="16"/>
          <w:color w:val="00053B"/>
        </w:rPr>
        <w:t xml:space="preserve"> committee. Each committee operates under a written charter that is available on the “Investor Relations—Corporate Governance Overview” section of our website. The members of all of the committees are independent as defined in the Nasdaq listing standards.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844896"/>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-1287145</wp:posOffset>
            </wp:positionV>
            <wp:extent cx="1131570" cy="11315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131570" cy="113157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00053B"/>
        </w:rPr>
        <w:t>Messrs. Sanders</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4"/>
          <w:szCs w:val="14"/>
          <w:color w:val="00053B"/>
        </w:rPr>
        <w:t>(Chair),</w:t>
      </w:r>
    </w:p>
    <w:p>
      <w:pPr>
        <w:spacing w:after="0" w:line="41" w:lineRule="exact"/>
        <w:rPr>
          <w:sz w:val="20"/>
          <w:szCs w:val="20"/>
          <w:color w:val="auto"/>
        </w:rPr>
      </w:pPr>
    </w:p>
    <w:p>
      <w:pPr>
        <w:ind w:left="40"/>
        <w:spacing w:after="0" w:line="291" w:lineRule="auto"/>
        <w:rPr>
          <w:sz w:val="20"/>
          <w:szCs w:val="20"/>
          <w:color w:val="auto"/>
        </w:rPr>
      </w:pPr>
      <w:r>
        <w:rPr>
          <w:rFonts w:ascii="Arial" w:cs="Arial" w:eastAsia="Arial" w:hAnsi="Arial"/>
          <w:sz w:val="14"/>
          <w:szCs w:val="14"/>
          <w:color w:val="00053B"/>
        </w:rPr>
        <w:t>and Moran and Mses. Bejar and Pickens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00053B"/>
        </w:rPr>
        <w:t xml:space="preserve">Meetings in fiscal 2024: </w:t>
      </w:r>
      <w:r>
        <w:rPr>
          <w:rFonts w:ascii="Arial" w:cs="Arial" w:eastAsia="Arial" w:hAnsi="Arial"/>
          <w:sz w:val="14"/>
          <w:szCs w:val="14"/>
          <w:b w:val="1"/>
          <w:bCs w:val="1"/>
          <w:color w:val="00053B"/>
        </w:rPr>
        <w:t>5</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Audit Committee</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00053B"/>
        </w:rPr>
        <w:t>The Audit Committee is responsible for:</w:t>
      </w:r>
    </w:p>
    <w:p>
      <w:pPr>
        <w:spacing w:after="0" w:line="165" w:lineRule="exact"/>
        <w:rPr>
          <w:sz w:val="20"/>
          <w:szCs w:val="20"/>
          <w:color w:val="auto"/>
        </w:rPr>
      </w:pPr>
    </w:p>
    <w:p>
      <w:pPr>
        <w:ind w:left="140" w:hanging="122"/>
        <w:spacing w:after="0" w:line="283" w:lineRule="auto"/>
        <w:tabs>
          <w:tab w:leader="none" w:pos="131" w:val="left"/>
        </w:tabs>
        <w:numPr>
          <w:ilvl w:val="0"/>
          <w:numId w:val="24"/>
        </w:numPr>
        <w:rPr>
          <w:rFonts w:ascii="Arial" w:cs="Arial" w:eastAsia="Arial" w:hAnsi="Arial"/>
          <w:sz w:val="15"/>
          <w:szCs w:val="15"/>
          <w:color w:val="00053B"/>
        </w:rPr>
      </w:pPr>
      <w:r>
        <w:rPr>
          <w:rFonts w:ascii="Arial" w:cs="Arial" w:eastAsia="Arial" w:hAnsi="Arial"/>
          <w:sz w:val="15"/>
          <w:szCs w:val="15"/>
          <w:color w:val="00053B"/>
        </w:rPr>
        <w:t>the appointment, compensation, and oversight of our independent auditor</w:t>
      </w:r>
    </w:p>
    <w:p>
      <w:pPr>
        <w:spacing w:after="0" w:line="11" w:lineRule="exact"/>
        <w:rPr>
          <w:rFonts w:ascii="Arial" w:cs="Arial" w:eastAsia="Arial" w:hAnsi="Arial"/>
          <w:sz w:val="15"/>
          <w:szCs w:val="15"/>
          <w:color w:val="00053B"/>
        </w:rPr>
      </w:pPr>
    </w:p>
    <w:p>
      <w:pPr>
        <w:ind w:left="140" w:hanging="122"/>
        <w:spacing w:after="0"/>
        <w:tabs>
          <w:tab w:leader="none" w:pos="140" w:val="left"/>
        </w:tabs>
        <w:numPr>
          <w:ilvl w:val="0"/>
          <w:numId w:val="24"/>
        </w:numPr>
        <w:rPr>
          <w:rFonts w:ascii="Arial" w:cs="Arial" w:eastAsia="Arial" w:hAnsi="Arial"/>
          <w:sz w:val="15"/>
          <w:szCs w:val="15"/>
          <w:color w:val="00053B"/>
        </w:rPr>
      </w:pPr>
      <w:r>
        <w:rPr>
          <w:rFonts w:ascii="Arial" w:cs="Arial" w:eastAsia="Arial" w:hAnsi="Arial"/>
          <w:sz w:val="15"/>
          <w:szCs w:val="15"/>
          <w:color w:val="00053B"/>
        </w:rPr>
        <w:t>the integrity of our financial statements</w:t>
      </w:r>
    </w:p>
    <w:p>
      <w:pPr>
        <w:spacing w:after="0" w:line="70" w:lineRule="exact"/>
        <w:rPr>
          <w:rFonts w:ascii="Arial" w:cs="Arial" w:eastAsia="Arial" w:hAnsi="Arial"/>
          <w:sz w:val="15"/>
          <w:szCs w:val="15"/>
          <w:color w:val="00053B"/>
        </w:rPr>
      </w:pPr>
    </w:p>
    <w:p>
      <w:pPr>
        <w:ind w:left="140" w:right="560" w:hanging="122"/>
        <w:spacing w:after="0" w:line="283" w:lineRule="auto"/>
        <w:tabs>
          <w:tab w:leader="none" w:pos="131" w:val="left"/>
        </w:tabs>
        <w:numPr>
          <w:ilvl w:val="0"/>
          <w:numId w:val="24"/>
        </w:numPr>
        <w:rPr>
          <w:rFonts w:ascii="Arial" w:cs="Arial" w:eastAsia="Arial" w:hAnsi="Arial"/>
          <w:sz w:val="15"/>
          <w:szCs w:val="15"/>
          <w:color w:val="00053B"/>
        </w:rPr>
      </w:pPr>
      <w:r>
        <w:rPr>
          <w:rFonts w:ascii="Arial" w:cs="Arial" w:eastAsia="Arial" w:hAnsi="Arial"/>
          <w:sz w:val="15"/>
          <w:szCs w:val="15"/>
          <w:color w:val="00053B"/>
        </w:rPr>
        <w:t>our independent auditor’s performance qualifications, and independence</w:t>
      </w:r>
    </w:p>
    <w:p>
      <w:pPr>
        <w:spacing w:after="0" w:line="11" w:lineRule="exact"/>
        <w:rPr>
          <w:rFonts w:ascii="Arial" w:cs="Arial" w:eastAsia="Arial" w:hAnsi="Arial"/>
          <w:sz w:val="15"/>
          <w:szCs w:val="15"/>
          <w:color w:val="00053B"/>
        </w:rPr>
      </w:pPr>
    </w:p>
    <w:p>
      <w:pPr>
        <w:ind w:left="140" w:right="220" w:hanging="122"/>
        <w:spacing w:after="0" w:line="283" w:lineRule="auto"/>
        <w:tabs>
          <w:tab w:leader="none" w:pos="131" w:val="left"/>
        </w:tabs>
        <w:numPr>
          <w:ilvl w:val="0"/>
          <w:numId w:val="24"/>
        </w:numPr>
        <w:rPr>
          <w:rFonts w:ascii="Arial" w:cs="Arial" w:eastAsia="Arial" w:hAnsi="Arial"/>
          <w:sz w:val="15"/>
          <w:szCs w:val="15"/>
          <w:color w:val="00053B"/>
        </w:rPr>
      </w:pPr>
      <w:r>
        <w:rPr>
          <w:rFonts w:ascii="Arial" w:cs="Arial" w:eastAsia="Arial" w:hAnsi="Arial"/>
          <w:sz w:val="15"/>
          <w:szCs w:val="15"/>
          <w:color w:val="00053B"/>
        </w:rPr>
        <w:t>our compliance with legal and regulatory requirements and our compliance program generally</w:t>
      </w:r>
    </w:p>
    <w:p>
      <w:pPr>
        <w:spacing w:after="0" w:line="11" w:lineRule="exact"/>
        <w:rPr>
          <w:rFonts w:ascii="Arial" w:cs="Arial" w:eastAsia="Arial" w:hAnsi="Arial"/>
          <w:sz w:val="15"/>
          <w:szCs w:val="15"/>
          <w:color w:val="00053B"/>
        </w:rPr>
      </w:pPr>
    </w:p>
    <w:p>
      <w:pPr>
        <w:ind w:left="140" w:right="240" w:hanging="122"/>
        <w:spacing w:after="0" w:line="291" w:lineRule="auto"/>
        <w:tabs>
          <w:tab w:leader="none" w:pos="131" w:val="left"/>
        </w:tabs>
        <w:numPr>
          <w:ilvl w:val="0"/>
          <w:numId w:val="24"/>
        </w:numPr>
        <w:rPr>
          <w:rFonts w:ascii="Arial" w:cs="Arial" w:eastAsia="Arial" w:hAnsi="Arial"/>
          <w:sz w:val="15"/>
          <w:szCs w:val="15"/>
          <w:color w:val="00053B"/>
        </w:rPr>
      </w:pPr>
      <w:r>
        <w:rPr>
          <w:rFonts w:ascii="Arial" w:cs="Arial" w:eastAsia="Arial" w:hAnsi="Arial"/>
          <w:sz w:val="15"/>
          <w:szCs w:val="15"/>
          <w:color w:val="00053B"/>
        </w:rPr>
        <w:t>the performance of our internal audit function and independent auditor</w:t>
      </w:r>
    </w:p>
    <w:p>
      <w:pPr>
        <w:ind w:left="140" w:hanging="122"/>
        <w:spacing w:after="0"/>
        <w:tabs>
          <w:tab w:leader="none" w:pos="140" w:val="left"/>
        </w:tabs>
        <w:numPr>
          <w:ilvl w:val="0"/>
          <w:numId w:val="24"/>
        </w:numPr>
        <w:rPr>
          <w:rFonts w:ascii="Arial" w:cs="Arial" w:eastAsia="Arial" w:hAnsi="Arial"/>
          <w:sz w:val="15"/>
          <w:szCs w:val="15"/>
          <w:color w:val="00053B"/>
        </w:rPr>
      </w:pPr>
      <w:r>
        <w:rPr>
          <w:rFonts w:ascii="Arial" w:cs="Arial" w:eastAsia="Arial" w:hAnsi="Arial"/>
          <w:sz w:val="15"/>
          <w:szCs w:val="15"/>
          <w:color w:val="00053B"/>
        </w:rPr>
        <w:t>related person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5" w:hanging="125"/>
        <w:spacing w:after="0"/>
        <w:tabs>
          <w:tab w:leader="none" w:pos="125" w:val="left"/>
        </w:tabs>
        <w:numPr>
          <w:ilvl w:val="0"/>
          <w:numId w:val="25"/>
        </w:numPr>
        <w:rPr>
          <w:rFonts w:ascii="Arial" w:cs="Arial" w:eastAsia="Arial" w:hAnsi="Arial"/>
          <w:sz w:val="15"/>
          <w:szCs w:val="15"/>
          <w:color w:val="00053B"/>
        </w:rPr>
      </w:pPr>
      <w:r>
        <w:rPr>
          <w:rFonts w:ascii="Arial" w:cs="Arial" w:eastAsia="Arial" w:hAnsi="Arial"/>
          <w:sz w:val="15"/>
          <w:szCs w:val="15"/>
          <w:color w:val="00053B"/>
        </w:rPr>
        <w:t>our cybersecurity and IT compliance programs</w:t>
      </w:r>
    </w:p>
    <w:p>
      <w:pPr>
        <w:spacing w:after="0" w:line="57" w:lineRule="exact"/>
        <w:rPr>
          <w:rFonts w:ascii="Arial" w:cs="Arial" w:eastAsia="Arial" w:hAnsi="Arial"/>
          <w:sz w:val="15"/>
          <w:szCs w:val="15"/>
          <w:color w:val="00053B"/>
        </w:rPr>
      </w:pPr>
    </w:p>
    <w:p>
      <w:pPr>
        <w:ind w:left="125" w:right="40" w:hanging="125"/>
        <w:spacing w:after="0" w:line="300" w:lineRule="auto"/>
        <w:tabs>
          <w:tab w:leader="none" w:pos="117" w:val="left"/>
        </w:tabs>
        <w:numPr>
          <w:ilvl w:val="0"/>
          <w:numId w:val="25"/>
        </w:numPr>
        <w:rPr>
          <w:rFonts w:ascii="Arial" w:cs="Arial" w:eastAsia="Arial" w:hAnsi="Arial"/>
          <w:sz w:val="15"/>
          <w:szCs w:val="15"/>
          <w:color w:val="00053B"/>
        </w:rPr>
      </w:pPr>
      <w:r>
        <w:rPr>
          <w:rFonts w:ascii="Arial" w:cs="Arial" w:eastAsia="Arial" w:hAnsi="Arial"/>
          <w:sz w:val="15"/>
          <w:szCs w:val="15"/>
          <w:color w:val="00053B"/>
        </w:rPr>
        <w:t>whistleblower complaints (Integrity Counts) and related investigations</w:t>
      </w:r>
    </w:p>
    <w:p>
      <w:pPr>
        <w:ind w:left="125" w:hanging="125"/>
        <w:spacing w:after="0"/>
        <w:tabs>
          <w:tab w:leader="none" w:pos="125" w:val="left"/>
        </w:tabs>
        <w:numPr>
          <w:ilvl w:val="0"/>
          <w:numId w:val="25"/>
        </w:numPr>
        <w:rPr>
          <w:rFonts w:ascii="Arial" w:cs="Arial" w:eastAsia="Arial" w:hAnsi="Arial"/>
          <w:sz w:val="15"/>
          <w:szCs w:val="15"/>
          <w:color w:val="00053B"/>
        </w:rPr>
      </w:pPr>
      <w:r>
        <w:rPr>
          <w:rFonts w:ascii="Arial" w:cs="Arial" w:eastAsia="Arial" w:hAnsi="Arial"/>
          <w:sz w:val="15"/>
          <w:szCs w:val="15"/>
          <w:color w:val="00053B"/>
        </w:rPr>
        <w:t>our audit results</w:t>
      </w:r>
    </w:p>
    <w:p>
      <w:pPr>
        <w:spacing w:after="0" w:line="57" w:lineRule="exact"/>
        <w:rPr>
          <w:rFonts w:ascii="Arial" w:cs="Arial" w:eastAsia="Arial" w:hAnsi="Arial"/>
          <w:sz w:val="15"/>
          <w:szCs w:val="15"/>
          <w:color w:val="00053B"/>
        </w:rPr>
      </w:pPr>
    </w:p>
    <w:p>
      <w:pPr>
        <w:ind w:left="125" w:hanging="125"/>
        <w:spacing w:after="0"/>
        <w:tabs>
          <w:tab w:leader="none" w:pos="125" w:val="left"/>
        </w:tabs>
        <w:numPr>
          <w:ilvl w:val="0"/>
          <w:numId w:val="25"/>
        </w:numPr>
        <w:rPr>
          <w:rFonts w:ascii="Arial" w:cs="Arial" w:eastAsia="Arial" w:hAnsi="Arial"/>
          <w:sz w:val="15"/>
          <w:szCs w:val="15"/>
          <w:color w:val="00053B"/>
        </w:rPr>
      </w:pPr>
      <w:r>
        <w:rPr>
          <w:rFonts w:ascii="Arial" w:cs="Arial" w:eastAsia="Arial" w:hAnsi="Arial"/>
          <w:sz w:val="15"/>
          <w:szCs w:val="15"/>
          <w:color w:val="00053B"/>
        </w:rPr>
        <w:t>our critical accounting policies and practices</w:t>
      </w:r>
    </w:p>
    <w:p>
      <w:pPr>
        <w:spacing w:after="0" w:line="70" w:lineRule="exact"/>
        <w:rPr>
          <w:rFonts w:ascii="Arial" w:cs="Arial" w:eastAsia="Arial" w:hAnsi="Arial"/>
          <w:sz w:val="15"/>
          <w:szCs w:val="15"/>
          <w:color w:val="00053B"/>
        </w:rPr>
      </w:pPr>
    </w:p>
    <w:p>
      <w:pPr>
        <w:ind w:left="125" w:right="800" w:hanging="125"/>
        <w:spacing w:after="0" w:line="283" w:lineRule="auto"/>
        <w:tabs>
          <w:tab w:leader="none" w:pos="117" w:val="left"/>
        </w:tabs>
        <w:numPr>
          <w:ilvl w:val="0"/>
          <w:numId w:val="25"/>
        </w:numPr>
        <w:rPr>
          <w:rFonts w:ascii="Arial" w:cs="Arial" w:eastAsia="Arial" w:hAnsi="Arial"/>
          <w:sz w:val="15"/>
          <w:szCs w:val="15"/>
          <w:color w:val="00053B"/>
        </w:rPr>
      </w:pPr>
      <w:r>
        <w:rPr>
          <w:rFonts w:ascii="Arial" w:cs="Arial" w:eastAsia="Arial" w:hAnsi="Arial"/>
          <w:sz w:val="15"/>
          <w:szCs w:val="15"/>
          <w:color w:val="00053B"/>
        </w:rPr>
        <w:t>the adequacy of our disclosure controls and procedures</w:t>
      </w:r>
    </w:p>
    <w:p>
      <w:pPr>
        <w:spacing w:after="0" w:line="11" w:lineRule="exact"/>
        <w:rPr>
          <w:rFonts w:ascii="Arial" w:cs="Arial" w:eastAsia="Arial" w:hAnsi="Arial"/>
          <w:sz w:val="15"/>
          <w:szCs w:val="15"/>
          <w:color w:val="00053B"/>
        </w:rPr>
      </w:pPr>
    </w:p>
    <w:p>
      <w:pPr>
        <w:ind w:left="125" w:hanging="125"/>
        <w:spacing w:after="0"/>
        <w:tabs>
          <w:tab w:leader="none" w:pos="125" w:val="left"/>
        </w:tabs>
        <w:numPr>
          <w:ilvl w:val="0"/>
          <w:numId w:val="25"/>
        </w:numPr>
        <w:rPr>
          <w:rFonts w:ascii="Arial" w:cs="Arial" w:eastAsia="Arial" w:hAnsi="Arial"/>
          <w:sz w:val="15"/>
          <w:szCs w:val="15"/>
          <w:color w:val="00053B"/>
        </w:rPr>
      </w:pPr>
      <w:r>
        <w:rPr>
          <w:rFonts w:ascii="Arial" w:cs="Arial" w:eastAsia="Arial" w:hAnsi="Arial"/>
          <w:sz w:val="15"/>
          <w:szCs w:val="15"/>
          <w:color w:val="00053B"/>
        </w:rPr>
        <w:t>management of significant financial risk</w:t>
      </w:r>
    </w:p>
    <w:p>
      <w:pPr>
        <w:spacing w:after="0" w:line="651" w:lineRule="exact"/>
        <w:rPr>
          <w:sz w:val="20"/>
          <w:szCs w:val="20"/>
          <w:color w:val="auto"/>
        </w:rPr>
      </w:pPr>
    </w:p>
    <w:p>
      <w:pPr>
        <w:sectPr>
          <w:pgSz w:w="11900" w:h="16838" w:orient="portrait"/>
          <w:cols w:equalWidth="0" w:num="3">
            <w:col w:w="2100" w:space="380"/>
            <w:col w:w="4600" w:space="235"/>
            <w:col w:w="3885"/>
          </w:cols>
          <w:pgMar w:left="320" w:top="121" w:right="379" w:bottom="1440" w:gutter="0" w:footer="0" w:header="0"/>
          <w:type w:val="continuous"/>
        </w:sectPr>
      </w:pPr>
    </w:p>
    <w:p>
      <w:pPr>
        <w:ind w:left="2480" w:right="160"/>
        <w:spacing w:after="0" w:line="283" w:lineRule="auto"/>
        <w:rPr>
          <w:sz w:val="20"/>
          <w:szCs w:val="20"/>
          <w:color w:val="auto"/>
        </w:rPr>
      </w:pPr>
      <w:r>
        <w:rPr>
          <w:rFonts w:ascii="Arial" w:cs="Arial" w:eastAsia="Arial" w:hAnsi="Arial"/>
          <w:sz w:val="15"/>
          <w:szCs w:val="15"/>
          <w:color w:val="00053B"/>
        </w:rPr>
        <w:t>The Audit Committee is also responsible for ensuring Commvault’s Code of Ethics for Senior Financial Officers remains current and for approving any non-auditing services performed by our independent auditor.</w:t>
      </w:r>
    </w:p>
    <w:p>
      <w:pPr>
        <w:spacing w:after="0" w:line="66" w:lineRule="exact"/>
        <w:rPr>
          <w:sz w:val="20"/>
          <w:szCs w:val="20"/>
          <w:color w:val="auto"/>
        </w:rPr>
      </w:pPr>
    </w:p>
    <w:p>
      <w:pPr>
        <w:ind w:left="2480" w:right="400"/>
        <w:spacing w:after="0" w:line="301" w:lineRule="auto"/>
        <w:rPr>
          <w:sz w:val="20"/>
          <w:szCs w:val="20"/>
          <w:color w:val="auto"/>
        </w:rPr>
      </w:pPr>
      <w:r>
        <w:rPr>
          <w:rFonts w:ascii="Arial" w:cs="Arial" w:eastAsia="Arial" w:hAnsi="Arial"/>
          <w:sz w:val="15"/>
          <w:szCs w:val="15"/>
          <w:color w:val="00053B"/>
        </w:rPr>
        <w:t>The Audit Committee relies on the knowledge and expertise of our management, the internal auditors, and the independent auditor in carrying out its oversight responsibilities.</w:t>
      </w:r>
    </w:p>
    <w:p>
      <w:pPr>
        <w:spacing w:after="0" w:line="40" w:lineRule="exact"/>
        <w:rPr>
          <w:sz w:val="20"/>
          <w:szCs w:val="20"/>
          <w:color w:val="auto"/>
        </w:rPr>
      </w:pPr>
    </w:p>
    <w:p>
      <w:pPr>
        <w:ind w:left="2480" w:right="80"/>
        <w:spacing w:after="0" w:line="269" w:lineRule="auto"/>
        <w:rPr>
          <w:sz w:val="20"/>
          <w:szCs w:val="20"/>
          <w:color w:val="auto"/>
        </w:rPr>
      </w:pPr>
      <w:r>
        <w:rPr>
          <w:rFonts w:ascii="Arial" w:cs="Arial" w:eastAsia="Arial" w:hAnsi="Arial"/>
          <w:sz w:val="15"/>
          <w:szCs w:val="15"/>
          <w:color w:val="00053B"/>
        </w:rPr>
        <w:t>The members of the Audit Committee meet all of the heightened independence standards for audit committee membership as set forth in the Nasdaq listing standards and SEC rules. The Board of Directors has determined that Ms. Bejar and Messrs. Moran and Sanders qualify as an “audit committee financial expert” as that term is defined in SEC rules, and that each is able to read and understand fundamental financial statements.</w:t>
      </w:r>
    </w:p>
    <w:p>
      <w:pPr>
        <w:sectPr>
          <w:pgSz w:w="11900" w:h="16838" w:orient="portrait"/>
          <w:cols w:equalWidth="0" w:num="1">
            <w:col w:w="11200"/>
          </w:cols>
          <w:pgMar w:left="320" w:top="12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844896"/>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-1287145</wp:posOffset>
            </wp:positionV>
            <wp:extent cx="1131570" cy="11315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131570" cy="1131570"/>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0053B"/>
        </w:rPr>
        <w:t>Ms. Lee</w:t>
      </w:r>
    </w:p>
    <w:p>
      <w:pPr>
        <w:spacing w:after="0" w:line="15" w:lineRule="exact"/>
        <w:rPr>
          <w:sz w:val="20"/>
          <w:szCs w:val="20"/>
          <w:color w:val="auto"/>
        </w:rPr>
      </w:pPr>
    </w:p>
    <w:p>
      <w:pPr>
        <w:ind w:left="120" w:right="120"/>
        <w:spacing w:after="0" w:line="281" w:lineRule="auto"/>
        <w:rPr>
          <w:sz w:val="20"/>
          <w:szCs w:val="20"/>
          <w:color w:val="auto"/>
        </w:rPr>
      </w:pPr>
      <w:r>
        <w:rPr>
          <w:rFonts w:ascii="Arial" w:cs="Arial" w:eastAsia="Arial" w:hAnsi="Arial"/>
          <w:sz w:val="14"/>
          <w:szCs w:val="14"/>
          <w:color w:val="00053B"/>
        </w:rPr>
        <w:t>(Chair) and Messrs. Geeslin, Sanders and Shenkman</w:t>
      </w:r>
    </w:p>
    <w:p>
      <w:pPr>
        <w:spacing w:after="0" w:line="1" w:lineRule="exact"/>
        <w:rPr>
          <w:sz w:val="20"/>
          <w:szCs w:val="20"/>
          <w:color w:val="auto"/>
        </w:rPr>
      </w:pPr>
    </w:p>
    <w:p>
      <w:pPr>
        <w:jc w:val="both"/>
        <w:ind w:left="120"/>
        <w:spacing w:after="0" w:line="287" w:lineRule="auto"/>
        <w:rPr>
          <w:sz w:val="20"/>
          <w:szCs w:val="20"/>
          <w:color w:val="auto"/>
        </w:rPr>
      </w:pPr>
      <w:r>
        <w:rPr>
          <w:rFonts w:ascii="Arial" w:cs="Arial" w:eastAsia="Arial" w:hAnsi="Arial"/>
          <w:sz w:val="14"/>
          <w:szCs w:val="14"/>
          <w:color w:val="00053B"/>
        </w:rPr>
        <w:t xml:space="preserve">Meetings in fiscal 2024: met </w:t>
      </w:r>
      <w:r>
        <w:rPr>
          <w:rFonts w:ascii="Arial" w:cs="Arial" w:eastAsia="Arial" w:hAnsi="Arial"/>
          <w:sz w:val="14"/>
          <w:szCs w:val="14"/>
          <w:b w:val="1"/>
          <w:bCs w:val="1"/>
          <w:color w:val="00053B"/>
        </w:rPr>
        <w:t>7</w:t>
      </w:r>
      <w:r>
        <w:rPr>
          <w:rFonts w:ascii="Arial" w:cs="Arial" w:eastAsia="Arial" w:hAnsi="Arial"/>
          <w:sz w:val="14"/>
          <w:szCs w:val="14"/>
          <w:color w:val="00053B"/>
        </w:rPr>
        <w:t xml:space="preserve"> times and acted by unanimous written consent </w:t>
      </w:r>
      <w:r>
        <w:rPr>
          <w:rFonts w:ascii="Arial" w:cs="Arial" w:eastAsia="Arial" w:hAnsi="Arial"/>
          <w:sz w:val="14"/>
          <w:szCs w:val="14"/>
          <w:b w:val="1"/>
          <w:bCs w:val="1"/>
          <w:color w:val="00053B"/>
        </w:rPr>
        <w:t>13</w:t>
      </w:r>
      <w:r>
        <w:rPr>
          <w:rFonts w:ascii="Arial" w:cs="Arial" w:eastAsia="Arial" w:hAnsi="Arial"/>
          <w:sz w:val="14"/>
          <w:szCs w:val="14"/>
          <w:color w:val="00053B"/>
        </w:rPr>
        <w:t xml:space="preserve"> times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Talent Management and Compensation Committee</w:t>
      </w:r>
    </w:p>
    <w:p>
      <w:pPr>
        <w:spacing w:after="0" w:line="111" w:lineRule="exact"/>
        <w:rPr>
          <w:sz w:val="20"/>
          <w:szCs w:val="20"/>
          <w:color w:val="auto"/>
        </w:rPr>
      </w:pPr>
    </w:p>
    <w:p>
      <w:pPr>
        <w:spacing w:after="0" w:line="273" w:lineRule="auto"/>
        <w:rPr>
          <w:sz w:val="20"/>
          <w:szCs w:val="20"/>
          <w:color w:val="auto"/>
        </w:rPr>
      </w:pPr>
      <w:r>
        <w:rPr>
          <w:rFonts w:ascii="Arial" w:cs="Arial" w:eastAsia="Arial" w:hAnsi="Arial"/>
          <w:sz w:val="15"/>
          <w:szCs w:val="15"/>
          <w:color w:val="00053B"/>
        </w:rPr>
        <w:t>The TMCC is responsible for overseeing Commvault’s compensation and benefit plans, including all compensation arrangements for executive officers and directors. In particular, the TMCC sets the compensation of our CEO and reviews and approves our CEO’s recommendations regarding the compensation of our other executive officers. Additionally, the TMCC oversees:</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4440" w:type="dxa"/>
            <w:vAlign w:val="bottom"/>
          </w:tcPr>
          <w:p>
            <w:pPr>
              <w:spacing w:after="0"/>
              <w:rPr>
                <w:sz w:val="20"/>
                <w:szCs w:val="20"/>
                <w:color w:val="auto"/>
              </w:rPr>
            </w:pPr>
            <w:r>
              <w:rPr>
                <w:rFonts w:ascii="Arial" w:cs="Arial" w:eastAsia="Arial" w:hAnsi="Arial"/>
                <w:sz w:val="15"/>
                <w:szCs w:val="15"/>
                <w:color w:val="00053B"/>
              </w:rPr>
              <w:t>• Commvault’s diversity and inclusion programs and policies</w:t>
            </w:r>
          </w:p>
        </w:tc>
        <w:tc>
          <w:tcPr>
            <w:tcW w:w="3680" w:type="dxa"/>
            <w:vAlign w:val="bottom"/>
          </w:tcPr>
          <w:p>
            <w:pPr>
              <w:ind w:left="380"/>
              <w:spacing w:after="0"/>
              <w:rPr>
                <w:sz w:val="20"/>
                <w:szCs w:val="20"/>
                <w:color w:val="auto"/>
              </w:rPr>
            </w:pPr>
            <w:r>
              <w:rPr>
                <w:rFonts w:ascii="Arial" w:cs="Arial" w:eastAsia="Arial" w:hAnsi="Arial"/>
                <w:sz w:val="15"/>
                <w:szCs w:val="15"/>
                <w:color w:val="00053B"/>
              </w:rPr>
              <w:t>• talent management</w:t>
            </w:r>
          </w:p>
        </w:tc>
        <w:tc>
          <w:tcPr>
            <w:tcW w:w="0" w:type="dxa"/>
            <w:vAlign w:val="bottom"/>
          </w:tcPr>
          <w:p>
            <w:pPr>
              <w:spacing w:after="0"/>
              <w:rPr>
                <w:sz w:val="1"/>
                <w:szCs w:val="1"/>
                <w:color w:val="auto"/>
              </w:rPr>
            </w:pPr>
          </w:p>
        </w:tc>
      </w:tr>
      <w:tr>
        <w:trPr>
          <w:trHeight w:val="218"/>
        </w:trPr>
        <w:tc>
          <w:tcPr>
            <w:tcW w:w="4440" w:type="dxa"/>
            <w:vAlign w:val="bottom"/>
          </w:tcPr>
          <w:p>
            <w:pPr>
              <w:spacing w:after="0"/>
              <w:rPr>
                <w:sz w:val="20"/>
                <w:szCs w:val="20"/>
                <w:color w:val="auto"/>
              </w:rPr>
            </w:pPr>
            <w:r>
              <w:rPr>
                <w:rFonts w:ascii="Arial" w:cs="Arial" w:eastAsia="Arial" w:hAnsi="Arial"/>
                <w:sz w:val="15"/>
                <w:szCs w:val="15"/>
                <w:color w:val="00053B"/>
              </w:rPr>
              <w:t>• workplace health and safety matters</w:t>
            </w:r>
          </w:p>
        </w:tc>
        <w:tc>
          <w:tcPr>
            <w:tcW w:w="3680" w:type="dxa"/>
            <w:vAlign w:val="bottom"/>
          </w:tcPr>
          <w:p>
            <w:pPr>
              <w:ind w:left="380"/>
              <w:spacing w:after="0"/>
              <w:rPr>
                <w:sz w:val="20"/>
                <w:szCs w:val="20"/>
                <w:color w:val="auto"/>
              </w:rPr>
            </w:pPr>
            <w:r>
              <w:rPr>
                <w:rFonts w:ascii="Arial" w:cs="Arial" w:eastAsia="Arial" w:hAnsi="Arial"/>
                <w:sz w:val="15"/>
                <w:szCs w:val="15"/>
                <w:color w:val="00053B"/>
              </w:rPr>
              <w:t>• management of risk arising from compensation</w:t>
            </w:r>
          </w:p>
        </w:tc>
        <w:tc>
          <w:tcPr>
            <w:tcW w:w="0" w:type="dxa"/>
            <w:vAlign w:val="bottom"/>
          </w:tcPr>
          <w:p>
            <w:pPr>
              <w:spacing w:after="0"/>
              <w:rPr>
                <w:sz w:val="1"/>
                <w:szCs w:val="1"/>
                <w:color w:val="auto"/>
              </w:rPr>
            </w:pPr>
          </w:p>
        </w:tc>
      </w:tr>
      <w:tr>
        <w:trPr>
          <w:trHeight w:val="200"/>
        </w:trPr>
        <w:tc>
          <w:tcPr>
            <w:tcW w:w="4440" w:type="dxa"/>
            <w:vAlign w:val="bottom"/>
            <w:vMerge w:val="restart"/>
          </w:tcPr>
          <w:p>
            <w:pPr>
              <w:spacing w:after="0"/>
              <w:rPr>
                <w:sz w:val="20"/>
                <w:szCs w:val="20"/>
                <w:color w:val="auto"/>
              </w:rPr>
            </w:pPr>
            <w:r>
              <w:rPr>
                <w:rFonts w:ascii="Arial" w:cs="Arial" w:eastAsia="Arial" w:hAnsi="Arial"/>
                <w:sz w:val="15"/>
                <w:szCs w:val="15"/>
                <w:color w:val="00053B"/>
              </w:rPr>
              <w:t>• executive employment agreements</w:t>
            </w:r>
          </w:p>
        </w:tc>
        <w:tc>
          <w:tcPr>
            <w:tcW w:w="3680" w:type="dxa"/>
            <w:vAlign w:val="bottom"/>
          </w:tcPr>
          <w:p>
            <w:pPr>
              <w:ind w:left="500"/>
              <w:spacing w:after="0"/>
              <w:rPr>
                <w:sz w:val="20"/>
                <w:szCs w:val="20"/>
                <w:color w:val="auto"/>
              </w:rPr>
            </w:pPr>
            <w:r>
              <w:rPr>
                <w:rFonts w:ascii="Arial" w:cs="Arial" w:eastAsia="Arial" w:hAnsi="Arial"/>
                <w:sz w:val="15"/>
                <w:szCs w:val="15"/>
                <w:color w:val="00053B"/>
              </w:rPr>
              <w:t>practices and policies</w:t>
            </w:r>
          </w:p>
        </w:tc>
        <w:tc>
          <w:tcPr>
            <w:tcW w:w="0" w:type="dxa"/>
            <w:vAlign w:val="bottom"/>
          </w:tcPr>
          <w:p>
            <w:pPr>
              <w:spacing w:after="0"/>
              <w:rPr>
                <w:sz w:val="1"/>
                <w:szCs w:val="1"/>
                <w:color w:val="auto"/>
              </w:rPr>
            </w:pPr>
          </w:p>
        </w:tc>
      </w:tr>
      <w:tr>
        <w:trPr>
          <w:trHeight w:val="54"/>
        </w:trPr>
        <w:tc>
          <w:tcPr>
            <w:tcW w:w="4440" w:type="dxa"/>
            <w:vAlign w:val="bottom"/>
            <w:vMerge w:val="continue"/>
          </w:tcPr>
          <w:p>
            <w:pPr>
              <w:spacing w:after="0"/>
              <w:rPr>
                <w:sz w:val="4"/>
                <w:szCs w:val="4"/>
                <w:color w:val="auto"/>
              </w:rPr>
            </w:pPr>
          </w:p>
        </w:tc>
        <w:tc>
          <w:tcPr>
            <w:tcW w:w="36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00053B"/>
        </w:rPr>
        <w:t>The TMCC also is responsible for approving Commvault’s Code of Ethics.</w:t>
      </w:r>
    </w:p>
    <w:p>
      <w:pPr>
        <w:spacing w:after="0" w:line="111" w:lineRule="exact"/>
        <w:rPr>
          <w:sz w:val="20"/>
          <w:szCs w:val="20"/>
          <w:color w:val="auto"/>
        </w:rPr>
      </w:pPr>
    </w:p>
    <w:p>
      <w:pPr>
        <w:ind w:right="160"/>
        <w:spacing w:after="0" w:line="301" w:lineRule="auto"/>
        <w:rPr>
          <w:sz w:val="20"/>
          <w:szCs w:val="20"/>
          <w:color w:val="auto"/>
        </w:rPr>
      </w:pPr>
      <w:r>
        <w:rPr>
          <w:rFonts w:ascii="Arial" w:cs="Arial" w:eastAsia="Arial" w:hAnsi="Arial"/>
          <w:sz w:val="15"/>
          <w:szCs w:val="15"/>
          <w:color w:val="00053B"/>
        </w:rPr>
        <w:t>All members of the TMCC meet the heightened independence standards for compensation committee members set forth in the Nasdaq listing standards.</w:t>
      </w:r>
    </w:p>
    <w:p>
      <w:pPr>
        <w:spacing w:after="0" w:line="312" w:lineRule="exact"/>
        <w:rPr>
          <w:sz w:val="20"/>
          <w:szCs w:val="20"/>
          <w:color w:val="auto"/>
        </w:rPr>
      </w:pPr>
    </w:p>
    <w:p>
      <w:pPr>
        <w:sectPr>
          <w:pgSz w:w="11900" w:h="16838" w:orient="portrait"/>
          <w:cols w:equalWidth="0" w:num="2">
            <w:col w:w="2080" w:space="400"/>
            <w:col w:w="8720"/>
          </w:cols>
          <w:pgMar w:left="320" w:top="12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21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15175" cy="1028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0"/>
          <w:szCs w:val="10"/>
          <w:color w:val="00053B"/>
        </w:rPr>
        <w:t xml:space="preserve">CORPORATE GOVERNANCE | </w:t>
      </w:r>
      <w:r>
        <w:rPr>
          <w:rFonts w:ascii="Arial" w:cs="Arial" w:eastAsia="Arial" w:hAnsi="Arial"/>
          <w:sz w:val="10"/>
          <w:szCs w:val="10"/>
          <w:b w:val="1"/>
          <w:bCs w:val="1"/>
          <w:color w:val="00053B"/>
        </w:rPr>
        <w:t>BOARD COMMITTEES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44896"/>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-1278890</wp:posOffset>
            </wp:positionV>
            <wp:extent cx="1131570" cy="11315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131570" cy="113157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053B"/>
        </w:rPr>
        <w:t>Mses. Bejar</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color w:val="00053B"/>
        </w:rPr>
        <w:t>(Chair),</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4"/>
          <w:szCs w:val="14"/>
          <w:color w:val="00053B"/>
        </w:rPr>
        <w:t>Lee and Pickens, and Mr.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00053B"/>
        </w:rPr>
        <w:t>Sanders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00053B"/>
        </w:rPr>
        <w:t xml:space="preserve">Meetings in fiscal 2024: </w:t>
      </w:r>
      <w:r>
        <w:rPr>
          <w:rFonts w:ascii="Arial" w:cs="Arial" w:eastAsia="Arial" w:hAnsi="Arial"/>
          <w:sz w:val="14"/>
          <w:szCs w:val="14"/>
          <w:b w:val="1"/>
          <w:bCs w:val="1"/>
          <w:color w:val="00053B"/>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100965</wp:posOffset>
            </wp:positionV>
            <wp:extent cx="1131570" cy="11315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131570"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44896"/>
        </w:rPr>
        <w:t>Members:</w:t>
      </w:r>
    </w:p>
    <w:p>
      <w:pPr>
        <w:spacing w:after="0" w:line="55" w:lineRule="exact"/>
        <w:rPr>
          <w:sz w:val="20"/>
          <w:szCs w:val="20"/>
          <w:color w:val="auto"/>
        </w:rPr>
      </w:pPr>
    </w:p>
    <w:p>
      <w:pPr>
        <w:ind w:left="20" w:right="400"/>
        <w:spacing w:after="0" w:line="291" w:lineRule="auto"/>
        <w:rPr>
          <w:sz w:val="20"/>
          <w:szCs w:val="20"/>
          <w:color w:val="auto"/>
        </w:rPr>
      </w:pPr>
      <w:r>
        <w:rPr>
          <w:rFonts w:ascii="Arial" w:cs="Arial" w:eastAsia="Arial" w:hAnsi="Arial"/>
          <w:sz w:val="14"/>
          <w:szCs w:val="14"/>
          <w:b w:val="1"/>
          <w:bCs w:val="1"/>
          <w:color w:val="00053B"/>
        </w:rPr>
        <w:t xml:space="preserve">Messrs. Shenkman </w:t>
      </w:r>
      <w:r>
        <w:rPr>
          <w:rFonts w:ascii="Arial" w:cs="Arial" w:eastAsia="Arial" w:hAnsi="Arial"/>
          <w:sz w:val="14"/>
          <w:szCs w:val="14"/>
          <w:color w:val="00053B"/>
        </w:rPr>
        <w:t>(Chair),</w:t>
      </w:r>
    </w:p>
    <w:p>
      <w:pPr>
        <w:spacing w:after="0" w:line="1" w:lineRule="exact"/>
        <w:rPr>
          <w:sz w:val="20"/>
          <w:szCs w:val="20"/>
          <w:color w:val="auto"/>
        </w:rPr>
      </w:pPr>
    </w:p>
    <w:p>
      <w:pPr>
        <w:ind w:left="20" w:right="80"/>
        <w:spacing w:after="0" w:line="374" w:lineRule="auto"/>
        <w:rPr>
          <w:sz w:val="20"/>
          <w:szCs w:val="20"/>
          <w:color w:val="auto"/>
        </w:rPr>
      </w:pPr>
      <w:r>
        <w:rPr>
          <w:rFonts w:ascii="Arial" w:cs="Arial" w:eastAsia="Arial" w:hAnsi="Arial"/>
          <w:sz w:val="14"/>
          <w:szCs w:val="14"/>
          <w:color w:val="00053B"/>
        </w:rPr>
        <w:t xml:space="preserve">Geeslin and Moran Meetings in fiscal 2024: </w:t>
      </w:r>
      <w:r>
        <w:rPr>
          <w:rFonts w:ascii="Arial" w:cs="Arial" w:eastAsia="Arial" w:hAnsi="Arial"/>
          <w:sz w:val="14"/>
          <w:szCs w:val="14"/>
          <w:b w:val="1"/>
          <w:bCs w:val="1"/>
          <w:color w:val="00053B"/>
        </w:rPr>
        <w:t>4</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Nominations and Governance Committee</w:t>
      </w:r>
    </w:p>
    <w:p>
      <w:pPr>
        <w:spacing w:after="0" w:line="98" w:lineRule="exact"/>
        <w:rPr>
          <w:sz w:val="20"/>
          <w:szCs w:val="20"/>
          <w:color w:val="auto"/>
        </w:rPr>
      </w:pPr>
    </w:p>
    <w:p>
      <w:pPr>
        <w:ind w:right="240"/>
        <w:spacing w:after="0" w:line="269" w:lineRule="auto"/>
        <w:rPr>
          <w:sz w:val="20"/>
          <w:szCs w:val="20"/>
          <w:color w:val="auto"/>
        </w:rPr>
      </w:pPr>
      <w:r>
        <w:rPr>
          <w:rFonts w:ascii="Arial" w:cs="Arial" w:eastAsia="Arial" w:hAnsi="Arial"/>
          <w:sz w:val="15"/>
          <w:szCs w:val="15"/>
          <w:color w:val="00053B"/>
        </w:rPr>
        <w:t>The Nominations and Governance Committee is responsible for identifying and recommending to our Board of Directors appropriate director nominee candidates and providing oversight with respect to corporate governance matters, including reviewing our corporate governance program and approving Corporate Governance Guidelines and other governance policies. The Nominations and Governance Committee also oversees:</w:t>
      </w:r>
    </w:p>
    <w:p>
      <w:pPr>
        <w:spacing w:after="0" w:line="77" w:lineRule="exact"/>
        <w:rPr>
          <w:sz w:val="20"/>
          <w:szCs w:val="20"/>
          <w:color w:val="auto"/>
        </w:rPr>
      </w:pPr>
    </w:p>
    <w:p>
      <w:pPr>
        <w:ind w:left="140" w:hanging="116"/>
        <w:spacing w:after="0"/>
        <w:tabs>
          <w:tab w:leader="none" w:pos="140" w:val="left"/>
        </w:tabs>
        <w:numPr>
          <w:ilvl w:val="0"/>
          <w:numId w:val="26"/>
        </w:numPr>
        <w:rPr>
          <w:rFonts w:ascii="Arial" w:cs="Arial" w:eastAsia="Arial" w:hAnsi="Arial"/>
          <w:sz w:val="15"/>
          <w:szCs w:val="15"/>
          <w:color w:val="00053B"/>
        </w:rPr>
      </w:pPr>
      <w:r>
        <w:rPr>
          <w:rFonts w:ascii="Arial" w:cs="Arial" w:eastAsia="Arial" w:hAnsi="Arial"/>
          <w:sz w:val="15"/>
          <w:szCs w:val="15"/>
          <w:color w:val="00053B"/>
        </w:rPr>
        <w:t>Commvault’s sustainability, stewardship, and corporate social responsibility</w:t>
      </w:r>
    </w:p>
    <w:p>
      <w:pPr>
        <w:spacing w:after="0" w:line="57" w:lineRule="exact"/>
        <w:rPr>
          <w:rFonts w:ascii="Arial" w:cs="Arial" w:eastAsia="Arial" w:hAnsi="Arial"/>
          <w:sz w:val="15"/>
          <w:szCs w:val="15"/>
          <w:color w:val="00053B"/>
        </w:rPr>
      </w:pPr>
    </w:p>
    <w:p>
      <w:pPr>
        <w:ind w:left="140" w:hanging="116"/>
        <w:spacing w:after="0"/>
        <w:tabs>
          <w:tab w:leader="none" w:pos="140" w:val="left"/>
        </w:tabs>
        <w:numPr>
          <w:ilvl w:val="0"/>
          <w:numId w:val="26"/>
        </w:numPr>
        <w:rPr>
          <w:rFonts w:ascii="Arial" w:cs="Arial" w:eastAsia="Arial" w:hAnsi="Arial"/>
          <w:sz w:val="15"/>
          <w:szCs w:val="15"/>
          <w:color w:val="00053B"/>
        </w:rPr>
      </w:pPr>
      <w:r>
        <w:rPr>
          <w:rFonts w:ascii="Arial" w:cs="Arial" w:eastAsia="Arial" w:hAnsi="Arial"/>
          <w:sz w:val="15"/>
          <w:szCs w:val="15"/>
          <w:color w:val="00053B"/>
        </w:rPr>
        <w:t>succession planning</w:t>
      </w:r>
    </w:p>
    <w:p>
      <w:pPr>
        <w:spacing w:after="0" w:line="70" w:lineRule="exact"/>
        <w:rPr>
          <w:rFonts w:ascii="Arial" w:cs="Arial" w:eastAsia="Arial" w:hAnsi="Arial"/>
          <w:sz w:val="15"/>
          <w:szCs w:val="15"/>
          <w:color w:val="00053B"/>
        </w:rPr>
      </w:pPr>
    </w:p>
    <w:p>
      <w:pPr>
        <w:ind w:left="140" w:hanging="116"/>
        <w:spacing w:after="0"/>
        <w:tabs>
          <w:tab w:leader="none" w:pos="140" w:val="left"/>
        </w:tabs>
        <w:numPr>
          <w:ilvl w:val="0"/>
          <w:numId w:val="26"/>
        </w:numPr>
        <w:rPr>
          <w:rFonts w:ascii="Arial" w:cs="Arial" w:eastAsia="Arial" w:hAnsi="Arial"/>
          <w:sz w:val="15"/>
          <w:szCs w:val="15"/>
          <w:color w:val="00053B"/>
        </w:rPr>
      </w:pPr>
      <w:r>
        <w:rPr>
          <w:rFonts w:ascii="Arial" w:cs="Arial" w:eastAsia="Arial" w:hAnsi="Arial"/>
          <w:sz w:val="15"/>
          <w:szCs w:val="15"/>
          <w:color w:val="00053B"/>
        </w:rPr>
        <w:t>annual review of all Board committee charters</w:t>
      </w:r>
    </w:p>
    <w:p>
      <w:pPr>
        <w:spacing w:after="0" w:line="57" w:lineRule="exact"/>
        <w:rPr>
          <w:rFonts w:ascii="Arial" w:cs="Arial" w:eastAsia="Arial" w:hAnsi="Arial"/>
          <w:sz w:val="15"/>
          <w:szCs w:val="15"/>
          <w:color w:val="00053B"/>
        </w:rPr>
      </w:pPr>
    </w:p>
    <w:p>
      <w:pPr>
        <w:ind w:left="140" w:hanging="116"/>
        <w:spacing w:after="0"/>
        <w:tabs>
          <w:tab w:leader="none" w:pos="140" w:val="left"/>
        </w:tabs>
        <w:numPr>
          <w:ilvl w:val="0"/>
          <w:numId w:val="26"/>
        </w:numPr>
        <w:rPr>
          <w:rFonts w:ascii="Arial" w:cs="Arial" w:eastAsia="Arial" w:hAnsi="Arial"/>
          <w:sz w:val="15"/>
          <w:szCs w:val="15"/>
          <w:color w:val="00053B"/>
        </w:rPr>
      </w:pPr>
      <w:r>
        <w:rPr>
          <w:rFonts w:ascii="Arial" w:cs="Arial" w:eastAsia="Arial" w:hAnsi="Arial"/>
          <w:sz w:val="15"/>
          <w:szCs w:val="15"/>
          <w:color w:val="00053B"/>
        </w:rPr>
        <w:t>annual performance evaluations of the CEO, Board and its committees</w:t>
      </w:r>
    </w:p>
    <w:p>
      <w:pPr>
        <w:spacing w:after="0" w:line="70" w:lineRule="exact"/>
        <w:rPr>
          <w:rFonts w:ascii="Arial" w:cs="Arial" w:eastAsia="Arial" w:hAnsi="Arial"/>
          <w:sz w:val="15"/>
          <w:szCs w:val="15"/>
          <w:color w:val="00053B"/>
        </w:rPr>
      </w:pPr>
    </w:p>
    <w:p>
      <w:pPr>
        <w:ind w:left="140" w:hanging="116"/>
        <w:spacing w:after="0"/>
        <w:tabs>
          <w:tab w:leader="none" w:pos="140" w:val="left"/>
        </w:tabs>
        <w:numPr>
          <w:ilvl w:val="0"/>
          <w:numId w:val="26"/>
        </w:numPr>
        <w:rPr>
          <w:rFonts w:ascii="Arial" w:cs="Arial" w:eastAsia="Arial" w:hAnsi="Arial"/>
          <w:sz w:val="15"/>
          <w:szCs w:val="15"/>
          <w:color w:val="00053B"/>
        </w:rPr>
      </w:pPr>
      <w:r>
        <w:rPr>
          <w:rFonts w:ascii="Arial" w:cs="Arial" w:eastAsia="Arial" w:hAnsi="Arial"/>
          <w:sz w:val="15"/>
          <w:szCs w:val="15"/>
          <w:color w:val="00053B"/>
        </w:rPr>
        <w:t>recommendations for directors to serve on Board committees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Operating Committee</w:t>
      </w:r>
    </w:p>
    <w:p>
      <w:pPr>
        <w:spacing w:after="0" w:line="98" w:lineRule="exact"/>
        <w:rPr>
          <w:sz w:val="20"/>
          <w:szCs w:val="20"/>
          <w:color w:val="auto"/>
        </w:rPr>
      </w:pPr>
    </w:p>
    <w:p>
      <w:pPr>
        <w:ind w:right="40"/>
        <w:spacing w:after="0" w:line="269" w:lineRule="auto"/>
        <w:rPr>
          <w:sz w:val="20"/>
          <w:szCs w:val="20"/>
          <w:color w:val="auto"/>
        </w:rPr>
      </w:pPr>
      <w:r>
        <w:rPr>
          <w:rFonts w:ascii="Arial" w:cs="Arial" w:eastAsia="Arial" w:hAnsi="Arial"/>
          <w:sz w:val="15"/>
          <w:szCs w:val="15"/>
          <w:color w:val="00053B"/>
        </w:rPr>
        <w:t>The general purpose of the Operating Committee is to provide oversight of various matters as determined by the Board and management. The Operating Committee reviews Commvault’s annual budget and works with management to establish margin targets and a balanced capital allocation policy. The Operating Committee also oversees earnings announcements and guidance. The focus of the Operating Committee is on achieving profitable growth, return on investment, and stockholder value.</w:t>
      </w:r>
    </w:p>
    <w:p>
      <w:pPr>
        <w:spacing w:after="0" w:line="2056" w:lineRule="exact"/>
        <w:rPr>
          <w:sz w:val="20"/>
          <w:szCs w:val="20"/>
          <w:color w:val="auto"/>
        </w:rPr>
      </w:pPr>
    </w:p>
    <w:p>
      <w:pPr>
        <w:sectPr>
          <w:pgSz w:w="11900" w:h="16838" w:orient="portrait"/>
          <w:cols w:equalWidth="0" w:num="2">
            <w:col w:w="1720" w:space="720"/>
            <w:col w:w="8780"/>
          </w:cols>
          <w:pgMar w:left="320" w:top="121" w:right="35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Meetings of the Board</w:t>
      </w:r>
    </w:p>
    <w:p>
      <w:pPr>
        <w:spacing w:after="0" w:line="141"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00053B"/>
        </w:rPr>
        <w:t>During the fiscal year ended March 31, 2024, our Board of Directors held four meetings, made up of both virtual and in person meetings. All of our directors attended more than 90% of the meetings of the Board of Directors and meetings of the committees of the Board on which they served during the time they served.</w:t>
      </w:r>
    </w:p>
    <w:p>
      <w:pPr>
        <w:spacing w:after="0" w:line="77"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00053B"/>
        </w:rPr>
        <w:t>The Board of Directors meets in executive session, without management, at every Board meeting. During fiscal year 2024, Mr. Adamo, as the independent Chair of the Board, led these executive sessions and acted as primary spokesperson in communicating matters arising out of these sessions to management.</w:t>
      </w:r>
    </w:p>
    <w:p>
      <w:pPr>
        <w:spacing w:after="0" w:line="56"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00053B"/>
        </w:rPr>
        <w:t>Because we do not regularly schedule a Board of Directors meeting to coincide with our Annual Meeting, director attendance at our Annual Meeting is encouraged but not required. All of our directors attended our 2023 Annual Meeting virtually.</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How to Contact Our Board</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00053B"/>
        </w:rPr>
        <w:t>Stockholders can contact our Board of Directors to provide comments, to report concerns, or to ask a question, at the following address: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Corporate Secretary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00053B"/>
        </w:rPr>
        <w:t>Commvault Systems,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0053B"/>
        </w:rPr>
        <w:t>1 Commvault Way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0053B"/>
        </w:rPr>
        <w:t>Tinton Falls, New Jersey 07724</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00053B"/>
        </w:rPr>
        <w:t>Email: CorporateSecretary@commvault.com</w:t>
      </w:r>
    </w:p>
    <w:p>
      <w:pPr>
        <w:spacing w:after="0" w:line="87" w:lineRule="exact"/>
        <w:rPr>
          <w:sz w:val="20"/>
          <w:szCs w:val="20"/>
          <w:color w:val="auto"/>
        </w:rPr>
      </w:pPr>
    </w:p>
    <w:p>
      <w:pPr>
        <w:spacing w:after="0" w:line="265" w:lineRule="auto"/>
        <w:rPr>
          <w:sz w:val="20"/>
          <w:szCs w:val="20"/>
          <w:color w:val="auto"/>
        </w:rPr>
      </w:pPr>
      <w:r>
        <w:rPr>
          <w:rFonts w:ascii="Arial" w:cs="Arial" w:eastAsia="Arial" w:hAnsi="Arial"/>
          <w:sz w:val="16"/>
          <w:szCs w:val="16"/>
          <w:color w:val="00053B"/>
        </w:rPr>
        <w:t xml:space="preserve">Communications are distributed to our Board of Directors, or to individual directors as appropriate, depending on the nature of the communication. You may also communicate online with our Board of Directors as a group through the Investor Relations section of our website at </w:t>
      </w:r>
      <w:r>
        <w:rPr>
          <w:rFonts w:ascii="Arial" w:cs="Arial" w:eastAsia="Arial" w:hAnsi="Arial"/>
          <w:sz w:val="16"/>
          <w:szCs w:val="16"/>
          <w:i w:val="1"/>
          <w:iCs w:val="1"/>
          <w:color w:val="844896"/>
        </w:rPr>
        <w:t>www.commvault.com</w:t>
      </w:r>
      <w:r>
        <w:rPr>
          <w:rFonts w:ascii="Arial" w:cs="Arial" w:eastAsia="Arial" w:hAnsi="Arial"/>
          <w:sz w:val="16"/>
          <w:szCs w:val="16"/>
          <w:color w:val="00053B"/>
        </w:rPr>
        <w:t>. All relevant communications directed to the full Board will be forwarded to the Chair of the Audit Committee or the Chair of the Nominations and Governance Committee, who will determine when it is appropriate to distribute such communications to other members of the Board or to management.</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22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15175" cy="1028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CORPORATE GOVERNANCE | </w:t>
      </w:r>
      <w:r>
        <w:rPr>
          <w:rFonts w:ascii="Arial" w:cs="Arial" w:eastAsia="Arial" w:hAnsi="Arial"/>
          <w:sz w:val="11"/>
          <w:szCs w:val="11"/>
          <w:b w:val="1"/>
          <w:bCs w:val="1"/>
          <w:color w:val="00053B"/>
        </w:rPr>
        <w:t>GOVERNANCE DOCUMENTS</w:t>
      </w: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Governance Documents</w:t>
      </w:r>
    </w:p>
    <w:p>
      <w:pPr>
        <w:spacing w:after="0" w:line="87" w:lineRule="exact"/>
        <w:rPr>
          <w:sz w:val="20"/>
          <w:szCs w:val="20"/>
          <w:color w:val="auto"/>
        </w:rPr>
      </w:pPr>
    </w:p>
    <w:p>
      <w:pPr>
        <w:spacing w:after="0" w:line="261" w:lineRule="auto"/>
        <w:rPr>
          <w:sz w:val="20"/>
          <w:szCs w:val="20"/>
          <w:color w:val="auto"/>
        </w:rPr>
      </w:pPr>
      <w:r>
        <w:rPr>
          <w:rFonts w:ascii="Arial" w:cs="Arial" w:eastAsia="Arial" w:hAnsi="Arial"/>
          <w:sz w:val="16"/>
          <w:szCs w:val="16"/>
          <w:color w:val="00053B"/>
        </w:rPr>
        <w:t xml:space="preserve">Our Code of Ethics applies to all of our directors and employees, including executives and contractors. The Code establishes our legal and ethical standards of behavior, and supports our commitments to human rights, respectful treatment, and equal opportunity, among other core values. Employees and interested third parties can report concerns or suspected violations of the Code, other company policies, or violations of the law to Commvault’s CLTO or Chief People Officer (“CPO”) directly or through Integrity Counts, an anonymous hotline at </w:t>
      </w:r>
      <w:r>
        <w:rPr>
          <w:rFonts w:ascii="Arial" w:cs="Arial" w:eastAsia="Arial" w:hAnsi="Arial"/>
          <w:sz w:val="16"/>
          <w:szCs w:val="16"/>
          <w:color w:val="844896"/>
        </w:rPr>
        <w:t>commvault@integritycounts.ca</w:t>
      </w:r>
      <w:r>
        <w:rPr>
          <w:rFonts w:ascii="Arial" w:cs="Arial" w:eastAsia="Arial" w:hAnsi="Arial"/>
          <w:sz w:val="16"/>
          <w:szCs w:val="16"/>
          <w:color w:val="00053B"/>
        </w:rPr>
        <w:t xml:space="preserve"> or by navigating to the website </w:t>
      </w:r>
      <w:r>
        <w:rPr>
          <w:rFonts w:ascii="Arial" w:cs="Arial" w:eastAsia="Arial" w:hAnsi="Arial"/>
          <w:sz w:val="16"/>
          <w:szCs w:val="16"/>
          <w:color w:val="844896"/>
        </w:rPr>
        <w:t>https://integritycounts.ca/org/commvault</w:t>
      </w:r>
      <w:r>
        <w:rPr>
          <w:rFonts w:ascii="Arial" w:cs="Arial" w:eastAsia="Arial" w:hAnsi="Arial"/>
          <w:sz w:val="16"/>
          <w:szCs w:val="16"/>
          <w:color w:val="00053B"/>
        </w:rPr>
        <w:t>. The Code and the following additional governance documents are available in the Investor Relations section of our</w:t>
      </w:r>
      <w:r>
        <w:rPr>
          <w:rFonts w:ascii="Arial" w:cs="Arial" w:eastAsia="Arial" w:hAnsi="Arial"/>
          <w:sz w:val="16"/>
          <w:szCs w:val="16"/>
          <w:color w:val="844896"/>
        </w:rPr>
        <w:t xml:space="preserve"> </w:t>
      </w:r>
      <w:r>
        <w:rPr>
          <w:rFonts w:ascii="Arial" w:cs="Arial" w:eastAsia="Arial" w:hAnsi="Arial"/>
          <w:sz w:val="16"/>
          <w:szCs w:val="16"/>
          <w:color w:val="00053B"/>
        </w:rPr>
        <w:t>website under “Corporate Governance—Overview”:</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0" w:type="dxa"/>
            <w:vAlign w:val="bottom"/>
          </w:tcPr>
          <w:p>
            <w:pPr>
              <w:spacing w:after="0"/>
              <w:rPr>
                <w:sz w:val="20"/>
                <w:szCs w:val="20"/>
                <w:color w:val="auto"/>
              </w:rPr>
            </w:pPr>
            <w:r>
              <w:rPr>
                <w:rFonts w:ascii="Times New Roman" w:cs="Times New Roman" w:eastAsia="Times New Roman" w:hAnsi="Times New Roman"/>
                <w:sz w:val="16"/>
                <w:szCs w:val="16"/>
                <w:color w:val="00053B"/>
              </w:rPr>
              <w:t>•</w:t>
            </w:r>
          </w:p>
        </w:tc>
        <w:tc>
          <w:tcPr>
            <w:tcW w:w="4340" w:type="dxa"/>
            <w:vAlign w:val="bottom"/>
          </w:tcPr>
          <w:p>
            <w:pPr>
              <w:ind w:left="80"/>
              <w:spacing w:after="0"/>
              <w:rPr>
                <w:sz w:val="20"/>
                <w:szCs w:val="20"/>
                <w:color w:val="auto"/>
              </w:rPr>
            </w:pPr>
            <w:r>
              <w:rPr>
                <w:rFonts w:ascii="Arial" w:cs="Arial" w:eastAsia="Arial" w:hAnsi="Arial"/>
                <w:sz w:val="16"/>
                <w:szCs w:val="16"/>
                <w:color w:val="00053B"/>
              </w:rPr>
              <w:t>Corporate Governance Guidelines</w:t>
            </w:r>
          </w:p>
        </w:tc>
        <w:tc>
          <w:tcPr>
            <w:tcW w:w="1300" w:type="dxa"/>
            <w:vAlign w:val="bottom"/>
          </w:tcPr>
          <w:p>
            <w:pPr>
              <w:ind w:left="1160"/>
              <w:spacing w:after="0"/>
              <w:rPr>
                <w:sz w:val="20"/>
                <w:szCs w:val="20"/>
                <w:color w:val="auto"/>
              </w:rPr>
            </w:pPr>
            <w:r>
              <w:rPr>
                <w:rFonts w:ascii="Times New Roman" w:cs="Times New Roman" w:eastAsia="Times New Roman" w:hAnsi="Times New Roman"/>
                <w:sz w:val="16"/>
                <w:szCs w:val="16"/>
                <w:color w:val="00053B"/>
              </w:rPr>
              <w:t>•</w:t>
            </w:r>
          </w:p>
        </w:tc>
        <w:tc>
          <w:tcPr>
            <w:tcW w:w="3140" w:type="dxa"/>
            <w:vAlign w:val="bottom"/>
          </w:tcPr>
          <w:p>
            <w:pPr>
              <w:ind w:left="100"/>
              <w:spacing w:after="0"/>
              <w:rPr>
                <w:sz w:val="20"/>
                <w:szCs w:val="20"/>
                <w:color w:val="auto"/>
              </w:rPr>
            </w:pPr>
            <w:r>
              <w:rPr>
                <w:rFonts w:ascii="Arial" w:cs="Arial" w:eastAsia="Arial" w:hAnsi="Arial"/>
                <w:sz w:val="16"/>
                <w:szCs w:val="16"/>
                <w:color w:val="00053B"/>
              </w:rPr>
              <w:t>Human Rights Policy</w:t>
            </w:r>
          </w:p>
        </w:tc>
      </w:tr>
      <w:tr>
        <w:trPr>
          <w:trHeight w:val="243"/>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00053B"/>
              </w:rPr>
              <w:t xml:space="preserve">•   </w:t>
            </w:r>
            <w:r>
              <w:rPr>
                <w:rFonts w:ascii="Arial" w:cs="Arial" w:eastAsia="Arial" w:hAnsi="Arial"/>
                <w:sz w:val="16"/>
                <w:szCs w:val="16"/>
                <w:color w:val="00053B"/>
              </w:rPr>
              <w:t>Amended and Restated Bylaws</w:t>
            </w:r>
          </w:p>
        </w:tc>
        <w:tc>
          <w:tcPr>
            <w:tcW w:w="1300" w:type="dxa"/>
            <w:vAlign w:val="bottom"/>
          </w:tcPr>
          <w:p>
            <w:pPr>
              <w:ind w:left="1160"/>
              <w:spacing w:after="0"/>
              <w:rPr>
                <w:sz w:val="20"/>
                <w:szCs w:val="20"/>
                <w:color w:val="auto"/>
              </w:rPr>
            </w:pPr>
            <w:r>
              <w:rPr>
                <w:rFonts w:ascii="Times New Roman" w:cs="Times New Roman" w:eastAsia="Times New Roman" w:hAnsi="Times New Roman"/>
                <w:sz w:val="16"/>
                <w:szCs w:val="16"/>
                <w:color w:val="00053B"/>
              </w:rPr>
              <w:t>•</w:t>
            </w:r>
          </w:p>
        </w:tc>
        <w:tc>
          <w:tcPr>
            <w:tcW w:w="3140" w:type="dxa"/>
            <w:vAlign w:val="bottom"/>
          </w:tcPr>
          <w:p>
            <w:pPr>
              <w:ind w:left="100"/>
              <w:spacing w:after="0"/>
              <w:rPr>
                <w:sz w:val="20"/>
                <w:szCs w:val="20"/>
                <w:color w:val="auto"/>
              </w:rPr>
            </w:pPr>
            <w:r>
              <w:rPr>
                <w:rFonts w:ascii="Arial" w:cs="Arial" w:eastAsia="Arial" w:hAnsi="Arial"/>
                <w:sz w:val="16"/>
                <w:szCs w:val="16"/>
                <w:color w:val="00053B"/>
              </w:rPr>
              <w:t>Sanctions Guidelines</w:t>
            </w:r>
          </w:p>
        </w:tc>
      </w:t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00053B"/>
              </w:rPr>
              <w:t xml:space="preserve">•   </w:t>
            </w:r>
            <w:r>
              <w:rPr>
                <w:rFonts w:ascii="Arial" w:cs="Arial" w:eastAsia="Arial" w:hAnsi="Arial"/>
                <w:sz w:val="16"/>
                <w:szCs w:val="16"/>
                <w:color w:val="00053B"/>
              </w:rPr>
              <w:t>Code of Ethics for Senior Financial Officers</w:t>
            </w:r>
          </w:p>
        </w:tc>
        <w:tc>
          <w:tcPr>
            <w:tcW w:w="1300" w:type="dxa"/>
            <w:vAlign w:val="bottom"/>
          </w:tcPr>
          <w:p>
            <w:pPr>
              <w:ind w:left="1160"/>
              <w:spacing w:after="0"/>
              <w:rPr>
                <w:sz w:val="20"/>
                <w:szCs w:val="20"/>
                <w:color w:val="auto"/>
              </w:rPr>
            </w:pPr>
            <w:r>
              <w:rPr>
                <w:rFonts w:ascii="Times New Roman" w:cs="Times New Roman" w:eastAsia="Times New Roman" w:hAnsi="Times New Roman"/>
                <w:sz w:val="16"/>
                <w:szCs w:val="16"/>
                <w:color w:val="00053B"/>
              </w:rPr>
              <w:t>•</w:t>
            </w:r>
          </w:p>
        </w:tc>
        <w:tc>
          <w:tcPr>
            <w:tcW w:w="3140" w:type="dxa"/>
            <w:vAlign w:val="bottom"/>
          </w:tcPr>
          <w:p>
            <w:pPr>
              <w:ind w:left="100"/>
              <w:spacing w:after="0"/>
              <w:rPr>
                <w:sz w:val="20"/>
                <w:szCs w:val="20"/>
                <w:color w:val="auto"/>
              </w:rPr>
            </w:pPr>
            <w:r>
              <w:rPr>
                <w:rFonts w:ascii="Arial" w:cs="Arial" w:eastAsia="Arial" w:hAnsi="Arial"/>
                <w:sz w:val="16"/>
                <w:szCs w:val="16"/>
                <w:color w:val="00053B"/>
              </w:rPr>
              <w:t>Insider Trading Policy</w:t>
            </w:r>
          </w:p>
        </w:tc>
      </w:tr>
      <w:tr>
        <w:trPr>
          <w:trHeight w:val="243"/>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00053B"/>
              </w:rPr>
              <w:t xml:space="preserve">•   </w:t>
            </w:r>
            <w:r>
              <w:rPr>
                <w:rFonts w:ascii="Arial" w:cs="Arial" w:eastAsia="Arial" w:hAnsi="Arial"/>
                <w:sz w:val="16"/>
                <w:szCs w:val="16"/>
                <w:color w:val="00053B"/>
              </w:rPr>
              <w:t>Supplier Code of Conduct</w:t>
            </w:r>
          </w:p>
        </w:tc>
        <w:tc>
          <w:tcPr>
            <w:tcW w:w="444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00053B"/>
              </w:rPr>
              <w:t xml:space="preserve">•   </w:t>
            </w:r>
            <w:r>
              <w:rPr>
                <w:rFonts w:ascii="Arial" w:cs="Arial" w:eastAsia="Arial" w:hAnsi="Arial"/>
                <w:sz w:val="16"/>
                <w:szCs w:val="16"/>
                <w:color w:val="00053B"/>
              </w:rPr>
              <w:t>Environmental, Health and Safety Policy</w:t>
            </w: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6"/>
                <w:szCs w:val="16"/>
                <w:color w:val="00053B"/>
              </w:rPr>
              <w:t>•</w:t>
            </w:r>
          </w:p>
        </w:tc>
        <w:tc>
          <w:tcPr>
            <w:tcW w:w="4340" w:type="dxa"/>
            <w:vAlign w:val="bottom"/>
          </w:tcPr>
          <w:p>
            <w:pPr>
              <w:ind w:left="80"/>
              <w:spacing w:after="0"/>
              <w:rPr>
                <w:sz w:val="20"/>
                <w:szCs w:val="20"/>
                <w:color w:val="auto"/>
              </w:rPr>
            </w:pPr>
            <w:r>
              <w:rPr>
                <w:rFonts w:ascii="Arial" w:cs="Arial" w:eastAsia="Arial" w:hAnsi="Arial"/>
                <w:sz w:val="16"/>
                <w:szCs w:val="16"/>
                <w:color w:val="00053B"/>
              </w:rPr>
              <w:t>Ethics and Integrity Reporting Policy</w:t>
            </w:r>
          </w:p>
        </w:tc>
        <w:tc>
          <w:tcPr>
            <w:tcW w:w="444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00053B"/>
              </w:rPr>
              <w:t xml:space="preserve">•   </w:t>
            </w:r>
            <w:r>
              <w:rPr>
                <w:rFonts w:ascii="Arial" w:cs="Arial" w:eastAsia="Arial" w:hAnsi="Arial"/>
                <w:sz w:val="16"/>
                <w:szCs w:val="16"/>
                <w:color w:val="00053B"/>
              </w:rPr>
              <w:t>Board and Disclosure Committee Charters</w:t>
            </w:r>
          </w:p>
        </w:tc>
      </w:tr>
    </w:tbl>
    <w:p>
      <w:pPr>
        <w:spacing w:after="0" w:line="325"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00053B"/>
        </w:rPr>
        <w:t>If we were to amend or waive any provision of the Code of Ethics or Code of Ethics for Senior Financial Officers applicable to our directors and executive officers (including senior financial officers), we intend to satisfy our disclosure obligations, if any, with respect to any such waiver or amendment by posting such information on our website at the address and location specified above.</w:t>
      </w:r>
    </w:p>
    <w:p>
      <w:pPr>
        <w:spacing w:after="0" w:line="56"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00053B"/>
        </w:rPr>
        <w:t>The Company has adopted and maintains insider trading policies and procedures governing the purchase, sale, and disposition of its securities by its officers, directors, and employees that are designed to promote compliance with insider trading laws, rules and regulations and applicable listing standards.</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Transactions With Related Persons</w:t>
      </w:r>
    </w:p>
    <w:p>
      <w:pPr>
        <w:spacing w:after="0" w:line="22"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00053B"/>
        </w:rPr>
        <w:t>The Board of Directors recognizes that transactions between the Company and certain related persons present a heightened risk of conflicts of interest. It is our policy to have the Audit Committee review and approve, ratify, or disapprove of proposed transactions or courses of dealings with respect to which executive officers or directors or members of their immediate families have an interest. The Audit Committee reviews any such transaction based upon the applicable SEC rules and our ethics and governance guidelines.</w:t>
      </w:r>
    </w:p>
    <w:p>
      <w:pPr>
        <w:spacing w:after="0" w:line="199" w:lineRule="exact"/>
        <w:rPr>
          <w:sz w:val="20"/>
          <w:szCs w:val="20"/>
          <w:color w:val="auto"/>
        </w:rPr>
      </w:pPr>
    </w:p>
    <w:p>
      <w:pPr>
        <w:spacing w:after="0" w:line="248" w:lineRule="auto"/>
        <w:rPr>
          <w:sz w:val="20"/>
          <w:szCs w:val="20"/>
          <w:color w:val="auto"/>
        </w:rPr>
      </w:pPr>
      <w:r>
        <w:rPr>
          <w:rFonts w:ascii="Arial" w:cs="Arial" w:eastAsia="Arial" w:hAnsi="Arial"/>
          <w:sz w:val="16"/>
          <w:szCs w:val="16"/>
          <w:color w:val="00053B"/>
        </w:rPr>
        <w:t>Mr. Renzo Di Blasio, the brother of Mr. Riccardo Di Blasio, our former Chief Revenue Officer, currently serves as our Senior Director of Field Operations, SaaS and Global Partners. Mr. Di Blasio has been employed by us since fiscal year 2021. Mr. Renzo Di Blasio was not employed in the same department as Mr. Riccardo Di Blasio, and his compensation is set and reviewed solely by Human Resources based on compensation studies. We did not enter into any other related person transactions during the fiscal year ended March 31, 2024.</w:t>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Arial" w:cs="Arial" w:eastAsia="Arial" w:hAnsi="Arial"/>
          <w:sz w:val="10"/>
          <w:szCs w:val="10"/>
          <w:color w:val="00053B"/>
        </w:rPr>
        <w:t xml:space="preserve">23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0" w:right="1440"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115175" cy="1028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CORPORATE GOVERNANCE | </w:t>
      </w:r>
      <w:r>
        <w:rPr>
          <w:rFonts w:ascii="Arial" w:cs="Arial" w:eastAsia="Arial" w:hAnsi="Arial"/>
          <w:sz w:val="11"/>
          <w:szCs w:val="11"/>
          <w:b w:val="1"/>
          <w:bCs w:val="1"/>
          <w:color w:val="00053B"/>
        </w:rPr>
        <w:t>DIRECTOR COMPENSATION</w:t>
      </w:r>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Director Compensation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ANNUAL CASH AND EQUITY RETAINERS</w:t>
      </w:r>
    </w:p>
    <w:p>
      <w:pPr>
        <w:spacing w:after="0" w:line="122"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00053B"/>
        </w:rPr>
        <w:t>Our TMCC determines the amount and form of any fees and expense reimbursements that non-employee directors receive for or in connection with their service on Commvault’s Board of Directors. In June 2023, the TMCC engaged an external third-party compensation consultant, Compensia, to provide an assessment of our non-employee director compensation practices, including a peer analysis of practices related to cash compensation, equity compensation, and equity vesting.</w:t>
      </w:r>
    </w:p>
    <w:p>
      <w:pPr>
        <w:spacing w:after="0" w:line="78"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00053B"/>
        </w:rPr>
        <w:t>For more information about our peer group, see “Compensation Discussion and Analysis—How Compensation Decisions are Made—Role of the Peer Group.”</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00053B"/>
        </w:rPr>
        <w:t>Compensation earned by our non-employee directors for their service as members of the Board of Directors or any committee of the Board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160" w:type="dxa"/>
            <w:vAlign w:val="bottom"/>
            <w:tcBorders>
              <w:bottom w:val="single" w:sz="8" w:color="844896"/>
            </w:tcBorders>
          </w:tcPr>
          <w:p>
            <w:pPr>
              <w:ind w:left="140"/>
              <w:spacing w:after="0"/>
              <w:rPr>
                <w:sz w:val="20"/>
                <w:szCs w:val="20"/>
                <w:color w:val="auto"/>
              </w:rPr>
            </w:pPr>
            <w:r>
              <w:rPr>
                <w:rFonts w:ascii="Arial" w:cs="Arial" w:eastAsia="Arial" w:hAnsi="Arial"/>
                <w:sz w:val="14"/>
                <w:szCs w:val="14"/>
                <w:color w:val="00053B"/>
              </w:rPr>
              <w:t>Who receives</w:t>
            </w:r>
          </w:p>
        </w:tc>
        <w:tc>
          <w:tcPr>
            <w:tcW w:w="1580" w:type="dxa"/>
            <w:vAlign w:val="bottom"/>
            <w:tcBorders>
              <w:bottom w:val="single" w:sz="8" w:color="844896"/>
            </w:tcBorders>
          </w:tcPr>
          <w:p>
            <w:pPr>
              <w:jc w:val="right"/>
              <w:ind w:right="240"/>
              <w:spacing w:after="0"/>
              <w:rPr>
                <w:sz w:val="20"/>
                <w:szCs w:val="20"/>
                <w:color w:val="auto"/>
              </w:rPr>
            </w:pPr>
            <w:r>
              <w:rPr>
                <w:rFonts w:ascii="Arial" w:cs="Arial" w:eastAsia="Arial" w:hAnsi="Arial"/>
                <w:sz w:val="14"/>
                <w:szCs w:val="14"/>
                <w:color w:val="00053B"/>
              </w:rPr>
              <w:t>Amount</w:t>
            </w:r>
          </w:p>
        </w:tc>
        <w:tc>
          <w:tcPr>
            <w:tcW w:w="4500" w:type="dxa"/>
            <w:vAlign w:val="bottom"/>
            <w:tcBorders>
              <w:bottom w:val="single" w:sz="8" w:color="844896"/>
            </w:tcBorders>
          </w:tcPr>
          <w:p>
            <w:pPr>
              <w:ind w:left="340"/>
              <w:spacing w:after="0"/>
              <w:rPr>
                <w:sz w:val="20"/>
                <w:szCs w:val="20"/>
                <w:color w:val="auto"/>
              </w:rPr>
            </w:pPr>
            <w:r>
              <w:rPr>
                <w:rFonts w:ascii="Arial" w:cs="Arial" w:eastAsia="Arial" w:hAnsi="Arial"/>
                <w:sz w:val="14"/>
                <w:szCs w:val="14"/>
                <w:color w:val="00053B"/>
              </w:rPr>
              <w:t>Form</w:t>
            </w:r>
          </w:p>
        </w:tc>
        <w:tc>
          <w:tcPr>
            <w:tcW w:w="0" w:type="dxa"/>
            <w:vAlign w:val="bottom"/>
          </w:tcPr>
          <w:p>
            <w:pPr>
              <w:spacing w:after="0"/>
              <w:rPr>
                <w:sz w:val="1"/>
                <w:szCs w:val="1"/>
                <w:color w:val="auto"/>
              </w:rPr>
            </w:pPr>
          </w:p>
        </w:tc>
      </w:tr>
      <w:tr>
        <w:trPr>
          <w:trHeight w:val="213"/>
        </w:trPr>
        <w:tc>
          <w:tcPr>
            <w:tcW w:w="516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Every non-employee director</w:t>
            </w:r>
          </w:p>
        </w:tc>
        <w:tc>
          <w:tcPr>
            <w:tcW w:w="1580" w:type="dxa"/>
            <w:vAlign w:val="bottom"/>
            <w:shd w:val="clear" w:color="auto" w:fill="EAEAEA"/>
          </w:tcPr>
          <w:p>
            <w:pPr>
              <w:jc w:val="right"/>
              <w:ind w:right="240"/>
              <w:spacing w:after="0"/>
              <w:rPr>
                <w:sz w:val="20"/>
                <w:szCs w:val="20"/>
                <w:color w:val="auto"/>
              </w:rPr>
            </w:pPr>
            <w:r>
              <w:rPr>
                <w:rFonts w:ascii="Arial" w:cs="Arial" w:eastAsia="Arial" w:hAnsi="Arial"/>
                <w:sz w:val="16"/>
                <w:szCs w:val="16"/>
                <w:color w:val="00053B"/>
              </w:rPr>
              <w:t>$42,000</w:t>
            </w:r>
          </w:p>
        </w:tc>
        <w:tc>
          <w:tcPr>
            <w:tcW w:w="4500" w:type="dxa"/>
            <w:vAlign w:val="bottom"/>
            <w:shd w:val="clear" w:color="auto" w:fill="EAEAEA"/>
          </w:tcPr>
          <w:p>
            <w:pPr>
              <w:ind w:left="380"/>
              <w:spacing w:after="0"/>
              <w:rPr>
                <w:sz w:val="20"/>
                <w:szCs w:val="20"/>
                <w:color w:val="auto"/>
              </w:rPr>
            </w:pPr>
            <w:r>
              <w:rPr>
                <w:rFonts w:ascii="Arial" w:cs="Arial" w:eastAsia="Arial" w:hAnsi="Arial"/>
                <w:sz w:val="16"/>
                <w:szCs w:val="16"/>
                <w:color w:val="00053B"/>
              </w:rPr>
              <w:t>Cash annual retainer</w:t>
            </w:r>
          </w:p>
        </w:tc>
        <w:tc>
          <w:tcPr>
            <w:tcW w:w="0" w:type="dxa"/>
            <w:vAlign w:val="bottom"/>
          </w:tcPr>
          <w:p>
            <w:pPr>
              <w:spacing w:after="0"/>
              <w:rPr>
                <w:sz w:val="1"/>
                <w:szCs w:val="1"/>
                <w:color w:val="auto"/>
              </w:rPr>
            </w:pPr>
          </w:p>
        </w:tc>
      </w:tr>
      <w:tr>
        <w:trPr>
          <w:trHeight w:val="215"/>
        </w:trPr>
        <w:tc>
          <w:tcPr>
            <w:tcW w:w="5160" w:type="dxa"/>
            <w:vAlign w:val="bottom"/>
          </w:tcPr>
          <w:p>
            <w:pPr>
              <w:ind w:left="120"/>
              <w:spacing w:after="0"/>
              <w:rPr>
                <w:sz w:val="20"/>
                <w:szCs w:val="20"/>
                <w:color w:val="auto"/>
              </w:rPr>
            </w:pPr>
            <w:r>
              <w:rPr>
                <w:rFonts w:ascii="Arial" w:cs="Arial" w:eastAsia="Arial" w:hAnsi="Arial"/>
                <w:sz w:val="16"/>
                <w:szCs w:val="16"/>
                <w:color w:val="00053B"/>
              </w:rPr>
              <w:t>Independent Board Chair</w:t>
            </w:r>
          </w:p>
        </w:tc>
        <w:tc>
          <w:tcPr>
            <w:tcW w:w="1580" w:type="dxa"/>
            <w:vAlign w:val="bottom"/>
          </w:tcPr>
          <w:p>
            <w:pPr>
              <w:jc w:val="right"/>
              <w:ind w:right="240"/>
              <w:spacing w:after="0"/>
              <w:rPr>
                <w:sz w:val="20"/>
                <w:szCs w:val="20"/>
                <w:color w:val="auto"/>
              </w:rPr>
            </w:pPr>
            <w:r>
              <w:rPr>
                <w:rFonts w:ascii="Arial" w:cs="Arial" w:eastAsia="Arial" w:hAnsi="Arial"/>
                <w:sz w:val="16"/>
                <w:szCs w:val="16"/>
                <w:color w:val="00053B"/>
              </w:rPr>
              <w:t>$110,000</w:t>
            </w:r>
          </w:p>
        </w:tc>
        <w:tc>
          <w:tcPr>
            <w:tcW w:w="4500" w:type="dxa"/>
            <w:vAlign w:val="bottom"/>
          </w:tcPr>
          <w:p>
            <w:pPr>
              <w:ind w:left="380"/>
              <w:spacing w:after="0"/>
              <w:rPr>
                <w:sz w:val="20"/>
                <w:szCs w:val="20"/>
                <w:color w:val="auto"/>
              </w:rPr>
            </w:pPr>
            <w:r>
              <w:rPr>
                <w:rFonts w:ascii="Arial" w:cs="Arial" w:eastAsia="Arial" w:hAnsi="Arial"/>
                <w:sz w:val="16"/>
                <w:szCs w:val="16"/>
                <w:color w:val="00053B"/>
              </w:rPr>
              <w:t>Additional cash annual retainer</w:t>
            </w:r>
          </w:p>
        </w:tc>
        <w:tc>
          <w:tcPr>
            <w:tcW w:w="0" w:type="dxa"/>
            <w:vAlign w:val="bottom"/>
          </w:tcPr>
          <w:p>
            <w:pPr>
              <w:spacing w:after="0"/>
              <w:rPr>
                <w:sz w:val="1"/>
                <w:szCs w:val="1"/>
                <w:color w:val="auto"/>
              </w:rPr>
            </w:pPr>
          </w:p>
        </w:tc>
      </w:tr>
      <w:tr>
        <w:trPr>
          <w:trHeight w:val="217"/>
        </w:trPr>
        <w:tc>
          <w:tcPr>
            <w:tcW w:w="516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Audit Committee Chair</w:t>
            </w:r>
          </w:p>
        </w:tc>
        <w:tc>
          <w:tcPr>
            <w:tcW w:w="1580" w:type="dxa"/>
            <w:vAlign w:val="bottom"/>
            <w:shd w:val="clear" w:color="auto" w:fill="EAEAEA"/>
          </w:tcPr>
          <w:p>
            <w:pPr>
              <w:jc w:val="right"/>
              <w:ind w:right="240"/>
              <w:spacing w:after="0"/>
              <w:rPr>
                <w:sz w:val="20"/>
                <w:szCs w:val="20"/>
                <w:color w:val="auto"/>
              </w:rPr>
            </w:pPr>
            <w:r>
              <w:rPr>
                <w:rFonts w:ascii="Arial" w:cs="Arial" w:eastAsia="Arial" w:hAnsi="Arial"/>
                <w:sz w:val="16"/>
                <w:szCs w:val="16"/>
                <w:color w:val="00053B"/>
              </w:rPr>
              <w:t>$30,000</w:t>
            </w:r>
          </w:p>
        </w:tc>
        <w:tc>
          <w:tcPr>
            <w:tcW w:w="4500" w:type="dxa"/>
            <w:vAlign w:val="bottom"/>
            <w:shd w:val="clear" w:color="auto" w:fill="EAEAEA"/>
          </w:tcPr>
          <w:p>
            <w:pPr>
              <w:ind w:left="380"/>
              <w:spacing w:after="0"/>
              <w:rPr>
                <w:sz w:val="20"/>
                <w:szCs w:val="20"/>
                <w:color w:val="auto"/>
              </w:rPr>
            </w:pPr>
            <w:r>
              <w:rPr>
                <w:rFonts w:ascii="Arial" w:cs="Arial" w:eastAsia="Arial" w:hAnsi="Arial"/>
                <w:sz w:val="16"/>
                <w:szCs w:val="16"/>
                <w:color w:val="00053B"/>
              </w:rPr>
              <w:t>Additional cash annual retainer</w:t>
            </w:r>
          </w:p>
        </w:tc>
        <w:tc>
          <w:tcPr>
            <w:tcW w:w="0" w:type="dxa"/>
            <w:vAlign w:val="bottom"/>
          </w:tcPr>
          <w:p>
            <w:pPr>
              <w:spacing w:after="0"/>
              <w:rPr>
                <w:sz w:val="1"/>
                <w:szCs w:val="1"/>
                <w:color w:val="auto"/>
              </w:rPr>
            </w:pPr>
          </w:p>
        </w:tc>
      </w:tr>
      <w:tr>
        <w:trPr>
          <w:trHeight w:val="215"/>
        </w:trPr>
        <w:tc>
          <w:tcPr>
            <w:tcW w:w="5160" w:type="dxa"/>
            <w:vAlign w:val="bottom"/>
          </w:tcPr>
          <w:p>
            <w:pPr>
              <w:ind w:left="120"/>
              <w:spacing w:after="0"/>
              <w:rPr>
                <w:sz w:val="20"/>
                <w:szCs w:val="20"/>
                <w:color w:val="auto"/>
              </w:rPr>
            </w:pPr>
            <w:r>
              <w:rPr>
                <w:rFonts w:ascii="Arial" w:cs="Arial" w:eastAsia="Arial" w:hAnsi="Arial"/>
                <w:sz w:val="16"/>
                <w:szCs w:val="16"/>
                <w:color w:val="00053B"/>
              </w:rPr>
              <w:t>TMCC Committee Chair</w:t>
            </w:r>
          </w:p>
        </w:tc>
        <w:tc>
          <w:tcPr>
            <w:tcW w:w="1580" w:type="dxa"/>
            <w:vAlign w:val="bottom"/>
          </w:tcPr>
          <w:p>
            <w:pPr>
              <w:jc w:val="right"/>
              <w:ind w:right="240"/>
              <w:spacing w:after="0"/>
              <w:rPr>
                <w:sz w:val="20"/>
                <w:szCs w:val="20"/>
                <w:color w:val="auto"/>
              </w:rPr>
            </w:pPr>
            <w:r>
              <w:rPr>
                <w:rFonts w:ascii="Arial" w:cs="Arial" w:eastAsia="Arial" w:hAnsi="Arial"/>
                <w:sz w:val="16"/>
                <w:szCs w:val="16"/>
                <w:color w:val="00053B"/>
              </w:rPr>
              <w:t>$20,000</w:t>
            </w:r>
          </w:p>
        </w:tc>
        <w:tc>
          <w:tcPr>
            <w:tcW w:w="4500" w:type="dxa"/>
            <w:vAlign w:val="bottom"/>
          </w:tcPr>
          <w:p>
            <w:pPr>
              <w:ind w:left="380"/>
              <w:spacing w:after="0"/>
              <w:rPr>
                <w:sz w:val="20"/>
                <w:szCs w:val="20"/>
                <w:color w:val="auto"/>
              </w:rPr>
            </w:pPr>
            <w:r>
              <w:rPr>
                <w:rFonts w:ascii="Arial" w:cs="Arial" w:eastAsia="Arial" w:hAnsi="Arial"/>
                <w:sz w:val="16"/>
                <w:szCs w:val="16"/>
                <w:color w:val="00053B"/>
              </w:rPr>
              <w:t>Additional cash annual retainer</w:t>
            </w:r>
          </w:p>
        </w:tc>
        <w:tc>
          <w:tcPr>
            <w:tcW w:w="0" w:type="dxa"/>
            <w:vAlign w:val="bottom"/>
          </w:tcPr>
          <w:p>
            <w:pPr>
              <w:spacing w:after="0"/>
              <w:rPr>
                <w:sz w:val="1"/>
                <w:szCs w:val="1"/>
                <w:color w:val="auto"/>
              </w:rPr>
            </w:pPr>
          </w:p>
        </w:tc>
      </w:tr>
      <w:tr>
        <w:trPr>
          <w:trHeight w:val="163"/>
        </w:trPr>
        <w:tc>
          <w:tcPr>
            <w:tcW w:w="5160" w:type="dxa"/>
            <w:vAlign w:val="bottom"/>
            <w:shd w:val="clear" w:color="auto" w:fill="EAEAEA"/>
          </w:tcPr>
          <w:p>
            <w:pPr>
              <w:ind w:left="120"/>
              <w:spacing w:after="0" w:line="163" w:lineRule="exact"/>
              <w:rPr>
                <w:sz w:val="20"/>
                <w:szCs w:val="20"/>
                <w:color w:val="auto"/>
              </w:rPr>
            </w:pPr>
            <w:r>
              <w:rPr>
                <w:rFonts w:ascii="Arial" w:cs="Arial" w:eastAsia="Arial" w:hAnsi="Arial"/>
                <w:sz w:val="16"/>
                <w:szCs w:val="16"/>
                <w:color w:val="00053B"/>
              </w:rPr>
              <w:t>Chairs of the Nominations and Governance Committee and</w:t>
            </w:r>
          </w:p>
        </w:tc>
        <w:tc>
          <w:tcPr>
            <w:tcW w:w="1580" w:type="dxa"/>
            <w:vAlign w:val="bottom"/>
            <w:vMerge w:val="restart"/>
            <w:shd w:val="clear" w:color="auto" w:fill="EAEAEA"/>
          </w:tcPr>
          <w:p>
            <w:pPr>
              <w:jc w:val="right"/>
              <w:ind w:right="240"/>
              <w:spacing w:after="0"/>
              <w:rPr>
                <w:sz w:val="20"/>
                <w:szCs w:val="20"/>
                <w:color w:val="auto"/>
              </w:rPr>
            </w:pPr>
            <w:r>
              <w:rPr>
                <w:rFonts w:ascii="Arial" w:cs="Arial" w:eastAsia="Arial" w:hAnsi="Arial"/>
                <w:sz w:val="16"/>
                <w:szCs w:val="16"/>
                <w:color w:val="00053B"/>
              </w:rPr>
              <w:t>$12,000</w:t>
            </w:r>
          </w:p>
        </w:tc>
        <w:tc>
          <w:tcPr>
            <w:tcW w:w="4500" w:type="dxa"/>
            <w:vAlign w:val="bottom"/>
            <w:vMerge w:val="restart"/>
            <w:shd w:val="clear" w:color="auto" w:fill="EAEAEA"/>
          </w:tcPr>
          <w:p>
            <w:pPr>
              <w:ind w:left="380"/>
              <w:spacing w:after="0"/>
              <w:rPr>
                <w:sz w:val="20"/>
                <w:szCs w:val="20"/>
                <w:color w:val="auto"/>
              </w:rPr>
            </w:pPr>
            <w:r>
              <w:rPr>
                <w:rFonts w:ascii="Arial" w:cs="Arial" w:eastAsia="Arial" w:hAnsi="Arial"/>
                <w:sz w:val="16"/>
                <w:szCs w:val="16"/>
                <w:color w:val="00053B"/>
              </w:rPr>
              <w:t>Additional cash annual retainer</w:t>
            </w:r>
          </w:p>
        </w:tc>
        <w:tc>
          <w:tcPr>
            <w:tcW w:w="0" w:type="dxa"/>
            <w:vAlign w:val="bottom"/>
          </w:tcPr>
          <w:p>
            <w:pPr>
              <w:spacing w:after="0"/>
              <w:rPr>
                <w:sz w:val="1"/>
                <w:szCs w:val="1"/>
                <w:color w:val="auto"/>
              </w:rPr>
            </w:pPr>
          </w:p>
        </w:tc>
      </w:tr>
      <w:tr>
        <w:trPr>
          <w:trHeight w:val="133"/>
        </w:trPr>
        <w:tc>
          <w:tcPr>
            <w:tcW w:w="5160" w:type="dxa"/>
            <w:vAlign w:val="bottom"/>
            <w:vMerge w:val="restart"/>
            <w:shd w:val="clear" w:color="auto" w:fill="EAEAEA"/>
          </w:tcPr>
          <w:p>
            <w:pPr>
              <w:ind w:left="120"/>
              <w:spacing w:after="0"/>
              <w:rPr>
                <w:sz w:val="20"/>
                <w:szCs w:val="20"/>
                <w:color w:val="auto"/>
              </w:rPr>
            </w:pPr>
            <w:r>
              <w:rPr>
                <w:rFonts w:ascii="Arial" w:cs="Arial" w:eastAsia="Arial" w:hAnsi="Arial"/>
                <w:sz w:val="16"/>
                <w:szCs w:val="16"/>
                <w:color w:val="00053B"/>
              </w:rPr>
              <w:t>the Operating Committee</w:t>
            </w:r>
          </w:p>
        </w:tc>
        <w:tc>
          <w:tcPr>
            <w:tcW w:w="1580" w:type="dxa"/>
            <w:vAlign w:val="bottom"/>
            <w:vMerge w:val="continue"/>
            <w:shd w:val="clear" w:color="auto" w:fill="EAEAEA"/>
          </w:tcPr>
          <w:p>
            <w:pPr>
              <w:spacing w:after="0"/>
              <w:rPr>
                <w:sz w:val="11"/>
                <w:szCs w:val="11"/>
                <w:color w:val="auto"/>
              </w:rPr>
            </w:pPr>
          </w:p>
        </w:tc>
        <w:tc>
          <w:tcPr>
            <w:tcW w:w="4500" w:type="dxa"/>
            <w:vAlign w:val="bottom"/>
            <w:vMerge w:val="continue"/>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5160" w:type="dxa"/>
            <w:vAlign w:val="bottom"/>
            <w:vMerge w:val="continue"/>
            <w:shd w:val="clear" w:color="auto" w:fill="EAEAEA"/>
          </w:tcPr>
          <w:p>
            <w:pPr>
              <w:spacing w:after="0"/>
              <w:rPr>
                <w:sz w:val="7"/>
                <w:szCs w:val="7"/>
                <w:color w:val="auto"/>
              </w:rPr>
            </w:pPr>
          </w:p>
        </w:tc>
        <w:tc>
          <w:tcPr>
            <w:tcW w:w="1580" w:type="dxa"/>
            <w:vAlign w:val="bottom"/>
            <w:shd w:val="clear" w:color="auto" w:fill="EAEAEA"/>
          </w:tcPr>
          <w:p>
            <w:pPr>
              <w:spacing w:after="0"/>
              <w:rPr>
                <w:sz w:val="7"/>
                <w:szCs w:val="7"/>
                <w:color w:val="auto"/>
              </w:rPr>
            </w:pPr>
          </w:p>
        </w:tc>
        <w:tc>
          <w:tcPr>
            <w:tcW w:w="4500" w:type="dxa"/>
            <w:vAlign w:val="bottom"/>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120"/>
              <w:spacing w:after="0"/>
              <w:rPr>
                <w:sz w:val="20"/>
                <w:szCs w:val="20"/>
                <w:color w:val="auto"/>
              </w:rPr>
            </w:pPr>
            <w:r>
              <w:rPr>
                <w:rFonts w:ascii="Arial" w:cs="Arial" w:eastAsia="Arial" w:hAnsi="Arial"/>
                <w:sz w:val="16"/>
                <w:szCs w:val="16"/>
                <w:color w:val="00053B"/>
              </w:rPr>
              <w:t>Audit Committee members</w:t>
            </w:r>
          </w:p>
        </w:tc>
        <w:tc>
          <w:tcPr>
            <w:tcW w:w="1580" w:type="dxa"/>
            <w:vAlign w:val="bottom"/>
          </w:tcPr>
          <w:p>
            <w:pPr>
              <w:jc w:val="right"/>
              <w:ind w:right="240"/>
              <w:spacing w:after="0"/>
              <w:rPr>
                <w:sz w:val="20"/>
                <w:szCs w:val="20"/>
                <w:color w:val="auto"/>
              </w:rPr>
            </w:pPr>
            <w:r>
              <w:rPr>
                <w:rFonts w:ascii="Arial" w:cs="Arial" w:eastAsia="Arial" w:hAnsi="Arial"/>
                <w:sz w:val="16"/>
                <w:szCs w:val="16"/>
                <w:color w:val="00053B"/>
              </w:rPr>
              <w:t>$15,000</w:t>
            </w:r>
          </w:p>
        </w:tc>
        <w:tc>
          <w:tcPr>
            <w:tcW w:w="4500" w:type="dxa"/>
            <w:vAlign w:val="bottom"/>
          </w:tcPr>
          <w:p>
            <w:pPr>
              <w:ind w:left="380"/>
              <w:spacing w:after="0"/>
              <w:rPr>
                <w:sz w:val="20"/>
                <w:szCs w:val="20"/>
                <w:color w:val="auto"/>
              </w:rPr>
            </w:pPr>
            <w:r>
              <w:rPr>
                <w:rFonts w:ascii="Arial" w:cs="Arial" w:eastAsia="Arial" w:hAnsi="Arial"/>
                <w:sz w:val="16"/>
                <w:szCs w:val="16"/>
                <w:color w:val="00053B"/>
              </w:rPr>
              <w:t>Additional cash annual retainer</w:t>
            </w:r>
          </w:p>
        </w:tc>
        <w:tc>
          <w:tcPr>
            <w:tcW w:w="0" w:type="dxa"/>
            <w:vAlign w:val="bottom"/>
          </w:tcPr>
          <w:p>
            <w:pPr>
              <w:spacing w:after="0"/>
              <w:rPr>
                <w:sz w:val="1"/>
                <w:szCs w:val="1"/>
                <w:color w:val="auto"/>
              </w:rPr>
            </w:pPr>
          </w:p>
        </w:tc>
      </w:tr>
      <w:tr>
        <w:trPr>
          <w:trHeight w:val="217"/>
        </w:trPr>
        <w:tc>
          <w:tcPr>
            <w:tcW w:w="516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TMCC Committee members</w:t>
            </w:r>
          </w:p>
        </w:tc>
        <w:tc>
          <w:tcPr>
            <w:tcW w:w="1580" w:type="dxa"/>
            <w:vAlign w:val="bottom"/>
            <w:shd w:val="clear" w:color="auto" w:fill="EAEAEA"/>
          </w:tcPr>
          <w:p>
            <w:pPr>
              <w:jc w:val="right"/>
              <w:ind w:right="240"/>
              <w:spacing w:after="0"/>
              <w:rPr>
                <w:sz w:val="20"/>
                <w:szCs w:val="20"/>
                <w:color w:val="auto"/>
              </w:rPr>
            </w:pPr>
            <w:r>
              <w:rPr>
                <w:rFonts w:ascii="Arial" w:cs="Arial" w:eastAsia="Arial" w:hAnsi="Arial"/>
                <w:sz w:val="16"/>
                <w:szCs w:val="16"/>
                <w:color w:val="00053B"/>
              </w:rPr>
              <w:t>$10,000</w:t>
            </w:r>
          </w:p>
        </w:tc>
        <w:tc>
          <w:tcPr>
            <w:tcW w:w="4500" w:type="dxa"/>
            <w:vAlign w:val="bottom"/>
            <w:shd w:val="clear" w:color="auto" w:fill="EAEAEA"/>
          </w:tcPr>
          <w:p>
            <w:pPr>
              <w:ind w:left="380"/>
              <w:spacing w:after="0"/>
              <w:rPr>
                <w:sz w:val="20"/>
                <w:szCs w:val="20"/>
                <w:color w:val="auto"/>
              </w:rPr>
            </w:pPr>
            <w:r>
              <w:rPr>
                <w:rFonts w:ascii="Arial" w:cs="Arial" w:eastAsia="Arial" w:hAnsi="Arial"/>
                <w:sz w:val="16"/>
                <w:szCs w:val="16"/>
                <w:color w:val="00053B"/>
              </w:rPr>
              <w:t>Additional cash annual retainer</w:t>
            </w:r>
          </w:p>
        </w:tc>
        <w:tc>
          <w:tcPr>
            <w:tcW w:w="0" w:type="dxa"/>
            <w:vAlign w:val="bottom"/>
          </w:tcPr>
          <w:p>
            <w:pPr>
              <w:spacing w:after="0"/>
              <w:rPr>
                <w:sz w:val="1"/>
                <w:szCs w:val="1"/>
                <w:color w:val="auto"/>
              </w:rPr>
            </w:pPr>
          </w:p>
        </w:tc>
      </w:tr>
      <w:tr>
        <w:trPr>
          <w:trHeight w:val="162"/>
        </w:trPr>
        <w:tc>
          <w:tcPr>
            <w:tcW w:w="5160" w:type="dxa"/>
            <w:vAlign w:val="bottom"/>
          </w:tcPr>
          <w:p>
            <w:pPr>
              <w:ind w:left="120"/>
              <w:spacing w:after="0" w:line="162" w:lineRule="exact"/>
              <w:rPr>
                <w:sz w:val="20"/>
                <w:szCs w:val="20"/>
                <w:color w:val="auto"/>
              </w:rPr>
            </w:pPr>
            <w:r>
              <w:rPr>
                <w:rFonts w:ascii="Arial" w:cs="Arial" w:eastAsia="Arial" w:hAnsi="Arial"/>
                <w:sz w:val="16"/>
                <w:szCs w:val="16"/>
                <w:color w:val="00053B"/>
              </w:rPr>
              <w:t>Members of the Nominations and Governance Committee and</w:t>
            </w:r>
          </w:p>
        </w:tc>
        <w:tc>
          <w:tcPr>
            <w:tcW w:w="1580" w:type="dxa"/>
            <w:vAlign w:val="bottom"/>
            <w:vMerge w:val="restart"/>
          </w:tcPr>
          <w:p>
            <w:pPr>
              <w:jc w:val="right"/>
              <w:ind w:right="240"/>
              <w:spacing w:after="0"/>
              <w:rPr>
                <w:sz w:val="20"/>
                <w:szCs w:val="20"/>
                <w:color w:val="auto"/>
              </w:rPr>
            </w:pPr>
            <w:r>
              <w:rPr>
                <w:rFonts w:ascii="Arial" w:cs="Arial" w:eastAsia="Arial" w:hAnsi="Arial"/>
                <w:sz w:val="16"/>
                <w:szCs w:val="16"/>
                <w:color w:val="00053B"/>
              </w:rPr>
              <w:t>$5,000</w:t>
            </w:r>
          </w:p>
        </w:tc>
        <w:tc>
          <w:tcPr>
            <w:tcW w:w="4500" w:type="dxa"/>
            <w:vAlign w:val="bottom"/>
            <w:vMerge w:val="restart"/>
          </w:tcPr>
          <w:p>
            <w:pPr>
              <w:ind w:left="380"/>
              <w:spacing w:after="0"/>
              <w:rPr>
                <w:sz w:val="20"/>
                <w:szCs w:val="20"/>
                <w:color w:val="auto"/>
              </w:rPr>
            </w:pPr>
            <w:r>
              <w:rPr>
                <w:rFonts w:ascii="Arial" w:cs="Arial" w:eastAsia="Arial" w:hAnsi="Arial"/>
                <w:sz w:val="16"/>
                <w:szCs w:val="16"/>
                <w:color w:val="00053B"/>
              </w:rPr>
              <w:t>Additional cash annual retainer</w:t>
            </w:r>
          </w:p>
        </w:tc>
        <w:tc>
          <w:tcPr>
            <w:tcW w:w="0" w:type="dxa"/>
            <w:vAlign w:val="bottom"/>
          </w:tcPr>
          <w:p>
            <w:pPr>
              <w:spacing w:after="0"/>
              <w:rPr>
                <w:sz w:val="1"/>
                <w:szCs w:val="1"/>
                <w:color w:val="auto"/>
              </w:rPr>
            </w:pPr>
          </w:p>
        </w:tc>
      </w:tr>
      <w:tr>
        <w:trPr>
          <w:trHeight w:val="133"/>
        </w:trPr>
        <w:tc>
          <w:tcPr>
            <w:tcW w:w="5160" w:type="dxa"/>
            <w:vAlign w:val="bottom"/>
            <w:vMerge w:val="restart"/>
          </w:tcPr>
          <w:p>
            <w:pPr>
              <w:ind w:left="120"/>
              <w:spacing w:after="0"/>
              <w:rPr>
                <w:sz w:val="20"/>
                <w:szCs w:val="20"/>
                <w:color w:val="auto"/>
              </w:rPr>
            </w:pPr>
            <w:r>
              <w:rPr>
                <w:rFonts w:ascii="Arial" w:cs="Arial" w:eastAsia="Arial" w:hAnsi="Arial"/>
                <w:sz w:val="16"/>
                <w:szCs w:val="16"/>
                <w:color w:val="00053B"/>
              </w:rPr>
              <w:t>the Operating Committee</w:t>
            </w:r>
          </w:p>
        </w:tc>
        <w:tc>
          <w:tcPr>
            <w:tcW w:w="1580" w:type="dxa"/>
            <w:vAlign w:val="bottom"/>
            <w:vMerge w:val="continue"/>
          </w:tcPr>
          <w:p>
            <w:pPr>
              <w:spacing w:after="0"/>
              <w:rPr>
                <w:sz w:val="11"/>
                <w:szCs w:val="11"/>
                <w:color w:val="auto"/>
              </w:rPr>
            </w:pPr>
          </w:p>
        </w:tc>
        <w:tc>
          <w:tcPr>
            <w:tcW w:w="4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5160" w:type="dxa"/>
            <w:vAlign w:val="bottom"/>
            <w:vMerge w:val="continue"/>
          </w:tcPr>
          <w:p>
            <w:pPr>
              <w:spacing w:after="0"/>
              <w:rPr>
                <w:sz w:val="7"/>
                <w:szCs w:val="7"/>
                <w:color w:val="auto"/>
              </w:rPr>
            </w:pPr>
          </w:p>
        </w:tc>
        <w:tc>
          <w:tcPr>
            <w:tcW w:w="1580" w:type="dxa"/>
            <w:vAlign w:val="bottom"/>
          </w:tcPr>
          <w:p>
            <w:pPr>
              <w:spacing w:after="0"/>
              <w:rPr>
                <w:sz w:val="7"/>
                <w:szCs w:val="7"/>
                <w:color w:val="auto"/>
              </w:rPr>
            </w:pPr>
          </w:p>
        </w:tc>
        <w:tc>
          <w:tcPr>
            <w:tcW w:w="45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right="60"/>
        <w:spacing w:after="0" w:line="275" w:lineRule="auto"/>
        <w:rPr>
          <w:sz w:val="20"/>
          <w:szCs w:val="20"/>
          <w:color w:val="auto"/>
        </w:rPr>
      </w:pPr>
      <w:r>
        <w:rPr>
          <w:rFonts w:ascii="Arial" w:cs="Arial" w:eastAsia="Arial" w:hAnsi="Arial"/>
          <w:sz w:val="16"/>
          <w:szCs w:val="16"/>
          <w:color w:val="00053B"/>
        </w:rPr>
        <w:t>In addition, every non-employee director received an equity retainer at a target value of $215,000 granted on August 29, 2023 in the form of 3,137 restricted stock units (“RSUs”) that will vest on the later of the one year anniversary of the grant date or the next annual meeting following the grant date, if the director is still serving on our Board at the time.</w:t>
      </w:r>
    </w:p>
    <w:p>
      <w:pPr>
        <w:spacing w:after="0" w:line="7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00053B"/>
        </w:rPr>
        <w:t>RSUs granted to the non-employee directors are issued under our 2016 Incentive Plan. See “Long-Term Equity Incentive Awards” in the Compensation Discussion and Analysis section for more information about this plan. We also reimburse our non-employee directors for their reasonable expenses incurred in attending meetings of our Board or Board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24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15175" cy="1028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CORPORATE GOVERNANCE | </w:t>
      </w:r>
      <w:r>
        <w:rPr>
          <w:rFonts w:ascii="Arial" w:cs="Arial" w:eastAsia="Arial" w:hAnsi="Arial"/>
          <w:sz w:val="11"/>
          <w:szCs w:val="11"/>
          <w:b w:val="1"/>
          <w:bCs w:val="1"/>
          <w:color w:val="00053B"/>
        </w:rPr>
        <w:t>DIRECTOR COMPENSATION</w:t>
      </w:r>
    </w:p>
    <w:p>
      <w:pPr>
        <w:spacing w:after="0" w:line="332" w:lineRule="exact"/>
        <w:rPr>
          <w:sz w:val="20"/>
          <w:szCs w:val="20"/>
          <w:color w:val="auto"/>
        </w:rPr>
      </w:pPr>
    </w:p>
    <w:p>
      <w:pPr>
        <w:ind w:right="380"/>
        <w:spacing w:after="0" w:line="284" w:lineRule="auto"/>
        <w:rPr>
          <w:sz w:val="20"/>
          <w:szCs w:val="20"/>
          <w:color w:val="auto"/>
        </w:rPr>
      </w:pPr>
      <w:r>
        <w:rPr>
          <w:rFonts w:ascii="Arial" w:cs="Arial" w:eastAsia="Arial" w:hAnsi="Arial"/>
          <w:sz w:val="16"/>
          <w:szCs w:val="16"/>
          <w:color w:val="00053B"/>
        </w:rPr>
        <w:t>The following table shows the specific compensation received for services rendered to us by our non-employee directors in fiscal 2024. Mr. Mirchandani does not receive any additional compensation for his service on the Board.</w:t>
      </w:r>
    </w:p>
    <w:tbl>
      <w:tblPr>
        <w:tblLayout w:type="fixed"/>
        <w:tblInd w:w="0" w:type="dxa"/>
        <w:tblCellMar>
          <w:top w:w="0" w:type="dxa"/>
          <w:left w:w="0" w:type="dxa"/>
          <w:bottom w:w="0" w:type="dxa"/>
          <w:right w:w="0" w:type="dxa"/>
        </w:tblCellMar>
      </w:tblPr>
      <w:tr>
        <w:trPr>
          <w:trHeight w:val="150"/>
        </w:trPr>
        <w:tc>
          <w:tcPr>
            <w:tcW w:w="4360" w:type="dxa"/>
            <w:vAlign w:val="bottom"/>
          </w:tcPr>
          <w:p>
            <w:pPr>
              <w:spacing w:after="0"/>
              <w:rPr>
                <w:sz w:val="13"/>
                <w:szCs w:val="13"/>
                <w:color w:val="auto"/>
              </w:rPr>
            </w:pPr>
          </w:p>
        </w:tc>
        <w:tc>
          <w:tcPr>
            <w:tcW w:w="4040" w:type="dxa"/>
            <w:vAlign w:val="bottom"/>
          </w:tcPr>
          <w:p>
            <w:pPr>
              <w:jc w:val="right"/>
              <w:ind w:right="201"/>
              <w:spacing w:after="0" w:line="150" w:lineRule="exact"/>
              <w:rPr>
                <w:sz w:val="20"/>
                <w:szCs w:val="20"/>
                <w:color w:val="auto"/>
              </w:rPr>
            </w:pPr>
            <w:r>
              <w:rPr>
                <w:rFonts w:ascii="Arial" w:cs="Arial" w:eastAsia="Arial" w:hAnsi="Arial"/>
                <w:sz w:val="14"/>
                <w:szCs w:val="14"/>
                <w:color w:val="00053B"/>
              </w:rPr>
              <w:t>Fees Earned or</w:t>
            </w:r>
          </w:p>
        </w:tc>
        <w:tc>
          <w:tcPr>
            <w:tcW w:w="17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8"/>
        </w:trPr>
        <w:tc>
          <w:tcPr>
            <w:tcW w:w="4360" w:type="dxa"/>
            <w:vAlign w:val="bottom"/>
            <w:tcBorders>
              <w:bottom w:val="single" w:sz="8" w:color="844896"/>
            </w:tcBorders>
          </w:tcPr>
          <w:p>
            <w:pPr>
              <w:ind w:left="140"/>
              <w:spacing w:after="0"/>
              <w:rPr>
                <w:sz w:val="20"/>
                <w:szCs w:val="20"/>
                <w:color w:val="auto"/>
              </w:rPr>
            </w:pPr>
            <w:r>
              <w:rPr>
                <w:rFonts w:ascii="Arial" w:cs="Arial" w:eastAsia="Arial" w:hAnsi="Arial"/>
                <w:sz w:val="14"/>
                <w:szCs w:val="14"/>
                <w:color w:val="00053B"/>
              </w:rPr>
              <w:t>Name</w:t>
            </w:r>
          </w:p>
        </w:tc>
        <w:tc>
          <w:tcPr>
            <w:tcW w:w="4040" w:type="dxa"/>
            <w:vAlign w:val="bottom"/>
            <w:tcBorders>
              <w:bottom w:val="single" w:sz="8" w:color="844896"/>
            </w:tcBorders>
          </w:tcPr>
          <w:p>
            <w:pPr>
              <w:jc w:val="right"/>
              <w:ind w:right="201"/>
              <w:spacing w:after="0"/>
              <w:rPr>
                <w:sz w:val="20"/>
                <w:szCs w:val="20"/>
                <w:color w:val="auto"/>
              </w:rPr>
            </w:pPr>
            <w:r>
              <w:rPr>
                <w:rFonts w:ascii="Arial" w:cs="Arial" w:eastAsia="Arial" w:hAnsi="Arial"/>
                <w:sz w:val="14"/>
                <w:szCs w:val="14"/>
                <w:color w:val="00053B"/>
              </w:rPr>
              <w:t>Paid in Cash</w:t>
            </w:r>
          </w:p>
        </w:tc>
        <w:tc>
          <w:tcPr>
            <w:tcW w:w="1740" w:type="dxa"/>
            <w:vAlign w:val="bottom"/>
            <w:tcBorders>
              <w:bottom w:val="single" w:sz="8" w:color="844896"/>
            </w:tcBorders>
          </w:tcPr>
          <w:p>
            <w:pPr>
              <w:jc w:val="right"/>
              <w:ind w:right="340"/>
              <w:spacing w:after="0"/>
              <w:rPr>
                <w:sz w:val="20"/>
                <w:szCs w:val="20"/>
                <w:color w:val="auto"/>
              </w:rPr>
            </w:pPr>
            <w:r>
              <w:rPr>
                <w:rFonts w:ascii="Arial" w:cs="Arial" w:eastAsia="Arial" w:hAnsi="Arial"/>
                <w:sz w:val="14"/>
                <w:szCs w:val="14"/>
                <w:color w:val="00053B"/>
              </w:rPr>
              <w:t>Stock Awards(1)</w:t>
            </w:r>
          </w:p>
        </w:tc>
        <w:tc>
          <w:tcPr>
            <w:tcW w:w="1100" w:type="dxa"/>
            <w:vAlign w:val="bottom"/>
            <w:tcBorders>
              <w:bottom w:val="single" w:sz="8" w:color="844896"/>
            </w:tcBorders>
          </w:tcPr>
          <w:p>
            <w:pPr>
              <w:jc w:val="right"/>
              <w:ind w:right="140"/>
              <w:spacing w:after="0"/>
              <w:rPr>
                <w:sz w:val="20"/>
                <w:szCs w:val="20"/>
                <w:color w:val="auto"/>
              </w:rPr>
            </w:pPr>
            <w:r>
              <w:rPr>
                <w:rFonts w:ascii="Arial" w:cs="Arial" w:eastAsia="Arial" w:hAnsi="Arial"/>
                <w:sz w:val="14"/>
                <w:szCs w:val="14"/>
                <w:color w:val="00053B"/>
              </w:rPr>
              <w:t>Total</w:t>
            </w:r>
          </w:p>
        </w:tc>
      </w:tr>
      <w:tr>
        <w:trPr>
          <w:trHeight w:val="214"/>
        </w:trPr>
        <w:tc>
          <w:tcPr>
            <w:tcW w:w="436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Nicholas Adamo(2)</w:t>
            </w:r>
          </w:p>
        </w:tc>
        <w:tc>
          <w:tcPr>
            <w:tcW w:w="4040" w:type="dxa"/>
            <w:vAlign w:val="bottom"/>
            <w:shd w:val="clear" w:color="auto" w:fill="EAEAEA"/>
          </w:tcPr>
          <w:p>
            <w:pPr>
              <w:jc w:val="right"/>
              <w:ind w:right="201"/>
              <w:spacing w:after="0"/>
              <w:rPr>
                <w:sz w:val="20"/>
                <w:szCs w:val="20"/>
                <w:color w:val="auto"/>
              </w:rPr>
            </w:pPr>
            <w:r>
              <w:rPr>
                <w:rFonts w:ascii="Arial" w:cs="Arial" w:eastAsia="Arial" w:hAnsi="Arial"/>
                <w:sz w:val="16"/>
                <w:szCs w:val="16"/>
                <w:color w:val="00053B"/>
              </w:rPr>
              <w:t>$152,000</w:t>
            </w:r>
          </w:p>
        </w:tc>
        <w:tc>
          <w:tcPr>
            <w:tcW w:w="1740" w:type="dxa"/>
            <w:vAlign w:val="bottom"/>
            <w:shd w:val="clear" w:color="auto" w:fill="EAEAEA"/>
          </w:tcPr>
          <w:p>
            <w:pPr>
              <w:jc w:val="right"/>
              <w:ind w:right="340"/>
              <w:spacing w:after="0"/>
              <w:rPr>
                <w:sz w:val="20"/>
                <w:szCs w:val="20"/>
                <w:color w:val="auto"/>
              </w:rPr>
            </w:pPr>
            <w:r>
              <w:rPr>
                <w:rFonts w:ascii="Arial" w:cs="Arial" w:eastAsia="Arial" w:hAnsi="Arial"/>
                <w:sz w:val="16"/>
                <w:szCs w:val="16"/>
                <w:color w:val="00053B"/>
              </w:rPr>
              <w:t>$214,947</w:t>
            </w:r>
          </w:p>
        </w:tc>
        <w:tc>
          <w:tcPr>
            <w:tcW w:w="110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$366,947</w:t>
            </w:r>
          </w:p>
        </w:tc>
      </w:tr>
      <w:tr>
        <w:trPr>
          <w:trHeight w:val="215"/>
        </w:trPr>
        <w:tc>
          <w:tcPr>
            <w:tcW w:w="4360" w:type="dxa"/>
            <w:vAlign w:val="bottom"/>
          </w:tcPr>
          <w:p>
            <w:pPr>
              <w:ind w:left="120"/>
              <w:spacing w:after="0"/>
              <w:rPr>
                <w:sz w:val="20"/>
                <w:szCs w:val="20"/>
                <w:color w:val="auto"/>
              </w:rPr>
            </w:pPr>
            <w:r>
              <w:rPr>
                <w:rFonts w:ascii="Arial" w:cs="Arial" w:eastAsia="Arial" w:hAnsi="Arial"/>
                <w:sz w:val="16"/>
                <w:szCs w:val="16"/>
                <w:color w:val="00053B"/>
              </w:rPr>
              <w:t>Martha H. Bejar(3)</w:t>
            </w:r>
          </w:p>
        </w:tc>
        <w:tc>
          <w:tcPr>
            <w:tcW w:w="4040" w:type="dxa"/>
            <w:vAlign w:val="bottom"/>
          </w:tcPr>
          <w:p>
            <w:pPr>
              <w:jc w:val="right"/>
              <w:ind w:right="201"/>
              <w:spacing w:after="0"/>
              <w:rPr>
                <w:sz w:val="20"/>
                <w:szCs w:val="20"/>
                <w:color w:val="auto"/>
              </w:rPr>
            </w:pPr>
            <w:r>
              <w:rPr>
                <w:rFonts w:ascii="Arial" w:cs="Arial" w:eastAsia="Arial" w:hAnsi="Arial"/>
                <w:sz w:val="16"/>
                <w:szCs w:val="16"/>
                <w:color w:val="00053B"/>
              </w:rPr>
              <w:t>$64,000</w:t>
            </w:r>
          </w:p>
        </w:tc>
        <w:tc>
          <w:tcPr>
            <w:tcW w:w="1740" w:type="dxa"/>
            <w:vAlign w:val="bottom"/>
          </w:tcPr>
          <w:p>
            <w:pPr>
              <w:jc w:val="right"/>
              <w:ind w:right="340"/>
              <w:spacing w:after="0"/>
              <w:rPr>
                <w:sz w:val="20"/>
                <w:szCs w:val="20"/>
                <w:color w:val="auto"/>
              </w:rPr>
            </w:pPr>
            <w:r>
              <w:rPr>
                <w:rFonts w:ascii="Arial" w:cs="Arial" w:eastAsia="Arial" w:hAnsi="Arial"/>
                <w:sz w:val="16"/>
                <w:szCs w:val="16"/>
                <w:color w:val="00053B"/>
              </w:rPr>
              <w:t>$214,947</w:t>
            </w:r>
          </w:p>
        </w:tc>
        <w:tc>
          <w:tcPr>
            <w:tcW w:w="1100" w:type="dxa"/>
            <w:vAlign w:val="bottom"/>
          </w:tcPr>
          <w:p>
            <w:pPr>
              <w:jc w:val="right"/>
              <w:spacing w:after="0"/>
              <w:rPr>
                <w:sz w:val="20"/>
                <w:szCs w:val="20"/>
                <w:color w:val="auto"/>
              </w:rPr>
            </w:pPr>
            <w:r>
              <w:rPr>
                <w:rFonts w:ascii="Arial" w:cs="Arial" w:eastAsia="Arial" w:hAnsi="Arial"/>
                <w:sz w:val="16"/>
                <w:szCs w:val="16"/>
                <w:color w:val="00053B"/>
              </w:rPr>
              <w:t>$278,947</w:t>
            </w:r>
          </w:p>
        </w:tc>
      </w:tr>
      <w:tr>
        <w:trPr>
          <w:trHeight w:val="217"/>
        </w:trPr>
        <w:tc>
          <w:tcPr>
            <w:tcW w:w="436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R. Todd Bradley(4)</w:t>
            </w:r>
          </w:p>
        </w:tc>
        <w:tc>
          <w:tcPr>
            <w:tcW w:w="4040" w:type="dxa"/>
            <w:vAlign w:val="bottom"/>
            <w:shd w:val="clear" w:color="auto" w:fill="EAEAEA"/>
          </w:tcPr>
          <w:p>
            <w:pPr>
              <w:jc w:val="right"/>
              <w:ind w:right="201"/>
              <w:spacing w:after="0"/>
              <w:rPr>
                <w:sz w:val="20"/>
                <w:szCs w:val="20"/>
                <w:color w:val="auto"/>
              </w:rPr>
            </w:pPr>
            <w:r>
              <w:rPr>
                <w:rFonts w:ascii="Arial" w:cs="Arial" w:eastAsia="Arial" w:hAnsi="Arial"/>
                <w:sz w:val="16"/>
                <w:szCs w:val="16"/>
                <w:color w:val="00053B"/>
              </w:rPr>
              <w:t>$23,332</w:t>
            </w:r>
          </w:p>
        </w:tc>
        <w:tc>
          <w:tcPr>
            <w:tcW w:w="1740" w:type="dxa"/>
            <w:vAlign w:val="bottom"/>
            <w:shd w:val="clear" w:color="auto" w:fill="EAEAEA"/>
          </w:tcPr>
          <w:p>
            <w:pPr>
              <w:jc w:val="right"/>
              <w:ind w:right="340"/>
              <w:spacing w:after="0"/>
              <w:rPr>
                <w:sz w:val="20"/>
                <w:szCs w:val="20"/>
                <w:color w:val="auto"/>
              </w:rPr>
            </w:pPr>
            <w:r>
              <w:rPr>
                <w:rFonts w:ascii="Arial" w:cs="Arial" w:eastAsia="Arial" w:hAnsi="Arial"/>
                <w:sz w:val="16"/>
                <w:szCs w:val="16"/>
                <w:color w:val="00053B"/>
              </w:rPr>
              <w:t>$—</w:t>
            </w:r>
          </w:p>
        </w:tc>
        <w:tc>
          <w:tcPr>
            <w:tcW w:w="110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$23,332</w:t>
            </w:r>
          </w:p>
        </w:tc>
      </w:tr>
      <w:tr>
        <w:trPr>
          <w:trHeight w:val="215"/>
        </w:trPr>
        <w:tc>
          <w:tcPr>
            <w:tcW w:w="4360" w:type="dxa"/>
            <w:vAlign w:val="bottom"/>
          </w:tcPr>
          <w:p>
            <w:pPr>
              <w:ind w:left="120"/>
              <w:spacing w:after="0"/>
              <w:rPr>
                <w:sz w:val="20"/>
                <w:szCs w:val="20"/>
                <w:color w:val="auto"/>
              </w:rPr>
            </w:pPr>
            <w:r>
              <w:rPr>
                <w:rFonts w:ascii="Arial" w:cs="Arial" w:eastAsia="Arial" w:hAnsi="Arial"/>
                <w:sz w:val="16"/>
                <w:szCs w:val="16"/>
                <w:color w:val="00053B"/>
              </w:rPr>
              <w:t>Keith Geeslin(5)</w:t>
            </w:r>
          </w:p>
        </w:tc>
        <w:tc>
          <w:tcPr>
            <w:tcW w:w="4040" w:type="dxa"/>
            <w:vAlign w:val="bottom"/>
          </w:tcPr>
          <w:p>
            <w:pPr>
              <w:jc w:val="right"/>
              <w:ind w:right="201"/>
              <w:spacing w:after="0"/>
              <w:rPr>
                <w:sz w:val="20"/>
                <w:szCs w:val="20"/>
                <w:color w:val="auto"/>
              </w:rPr>
            </w:pPr>
            <w:r>
              <w:rPr>
                <w:rFonts w:ascii="Arial" w:cs="Arial" w:eastAsia="Arial" w:hAnsi="Arial"/>
                <w:sz w:val="16"/>
                <w:szCs w:val="16"/>
                <w:color w:val="00053B"/>
              </w:rPr>
              <w:t>$60,750</w:t>
            </w:r>
          </w:p>
        </w:tc>
        <w:tc>
          <w:tcPr>
            <w:tcW w:w="1740" w:type="dxa"/>
            <w:vAlign w:val="bottom"/>
          </w:tcPr>
          <w:p>
            <w:pPr>
              <w:jc w:val="right"/>
              <w:ind w:right="340"/>
              <w:spacing w:after="0"/>
              <w:rPr>
                <w:sz w:val="20"/>
                <w:szCs w:val="20"/>
                <w:color w:val="auto"/>
              </w:rPr>
            </w:pPr>
            <w:r>
              <w:rPr>
                <w:rFonts w:ascii="Arial" w:cs="Arial" w:eastAsia="Arial" w:hAnsi="Arial"/>
                <w:sz w:val="16"/>
                <w:szCs w:val="16"/>
                <w:color w:val="00053B"/>
              </w:rPr>
              <w:t>$214,947</w:t>
            </w:r>
          </w:p>
        </w:tc>
        <w:tc>
          <w:tcPr>
            <w:tcW w:w="1100" w:type="dxa"/>
            <w:vAlign w:val="bottom"/>
          </w:tcPr>
          <w:p>
            <w:pPr>
              <w:jc w:val="right"/>
              <w:spacing w:after="0"/>
              <w:rPr>
                <w:sz w:val="20"/>
                <w:szCs w:val="20"/>
                <w:color w:val="auto"/>
              </w:rPr>
            </w:pPr>
            <w:r>
              <w:rPr>
                <w:rFonts w:ascii="Arial" w:cs="Arial" w:eastAsia="Arial" w:hAnsi="Arial"/>
                <w:sz w:val="16"/>
                <w:szCs w:val="16"/>
                <w:color w:val="00053B"/>
              </w:rPr>
              <w:t>$275,697</w:t>
            </w:r>
          </w:p>
        </w:tc>
      </w:tr>
      <w:tr>
        <w:trPr>
          <w:trHeight w:val="217"/>
        </w:trPr>
        <w:tc>
          <w:tcPr>
            <w:tcW w:w="436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Vivie “YY” Lee(6)</w:t>
            </w:r>
          </w:p>
        </w:tc>
        <w:tc>
          <w:tcPr>
            <w:tcW w:w="4040" w:type="dxa"/>
            <w:vAlign w:val="bottom"/>
            <w:shd w:val="clear" w:color="auto" w:fill="EAEAEA"/>
          </w:tcPr>
          <w:p>
            <w:pPr>
              <w:jc w:val="right"/>
              <w:ind w:right="201"/>
              <w:spacing w:after="0"/>
              <w:rPr>
                <w:sz w:val="20"/>
                <w:szCs w:val="20"/>
                <w:color w:val="auto"/>
              </w:rPr>
            </w:pPr>
            <w:r>
              <w:rPr>
                <w:rFonts w:ascii="Arial" w:cs="Arial" w:eastAsia="Arial" w:hAnsi="Arial"/>
                <w:sz w:val="16"/>
                <w:szCs w:val="16"/>
                <w:color w:val="00053B"/>
              </w:rPr>
              <w:t>$64,500</w:t>
            </w:r>
          </w:p>
        </w:tc>
        <w:tc>
          <w:tcPr>
            <w:tcW w:w="1740" w:type="dxa"/>
            <w:vAlign w:val="bottom"/>
            <w:shd w:val="clear" w:color="auto" w:fill="EAEAEA"/>
          </w:tcPr>
          <w:p>
            <w:pPr>
              <w:jc w:val="right"/>
              <w:ind w:right="340"/>
              <w:spacing w:after="0"/>
              <w:rPr>
                <w:sz w:val="20"/>
                <w:szCs w:val="20"/>
                <w:color w:val="auto"/>
              </w:rPr>
            </w:pPr>
            <w:r>
              <w:rPr>
                <w:rFonts w:ascii="Arial" w:cs="Arial" w:eastAsia="Arial" w:hAnsi="Arial"/>
                <w:sz w:val="16"/>
                <w:szCs w:val="16"/>
                <w:color w:val="00053B"/>
              </w:rPr>
              <w:t>$214,947</w:t>
            </w:r>
          </w:p>
        </w:tc>
        <w:tc>
          <w:tcPr>
            <w:tcW w:w="110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$279,447</w:t>
            </w:r>
          </w:p>
        </w:tc>
      </w:tr>
      <w:tr>
        <w:trPr>
          <w:trHeight w:val="215"/>
        </w:trPr>
        <w:tc>
          <w:tcPr>
            <w:tcW w:w="4360" w:type="dxa"/>
            <w:vAlign w:val="bottom"/>
          </w:tcPr>
          <w:p>
            <w:pPr>
              <w:ind w:left="120"/>
              <w:spacing w:after="0"/>
              <w:rPr>
                <w:sz w:val="20"/>
                <w:szCs w:val="20"/>
                <w:color w:val="auto"/>
              </w:rPr>
            </w:pPr>
            <w:r>
              <w:rPr>
                <w:rFonts w:ascii="Arial" w:cs="Arial" w:eastAsia="Arial" w:hAnsi="Arial"/>
                <w:sz w:val="16"/>
                <w:szCs w:val="16"/>
                <w:color w:val="00053B"/>
              </w:rPr>
              <w:t>Charles E. Moran(7)</w:t>
            </w:r>
          </w:p>
        </w:tc>
        <w:tc>
          <w:tcPr>
            <w:tcW w:w="4040" w:type="dxa"/>
            <w:vAlign w:val="bottom"/>
          </w:tcPr>
          <w:p>
            <w:pPr>
              <w:jc w:val="right"/>
              <w:ind w:right="201"/>
              <w:spacing w:after="0"/>
              <w:rPr>
                <w:sz w:val="20"/>
                <w:szCs w:val="20"/>
                <w:color w:val="auto"/>
              </w:rPr>
            </w:pPr>
            <w:r>
              <w:rPr>
                <w:rFonts w:ascii="Arial" w:cs="Arial" w:eastAsia="Arial" w:hAnsi="Arial"/>
                <w:sz w:val="16"/>
                <w:szCs w:val="16"/>
                <w:color w:val="00053B"/>
              </w:rPr>
              <w:t>$62,000</w:t>
            </w:r>
          </w:p>
        </w:tc>
        <w:tc>
          <w:tcPr>
            <w:tcW w:w="1740" w:type="dxa"/>
            <w:vAlign w:val="bottom"/>
          </w:tcPr>
          <w:p>
            <w:pPr>
              <w:jc w:val="right"/>
              <w:ind w:right="340"/>
              <w:spacing w:after="0"/>
              <w:rPr>
                <w:sz w:val="20"/>
                <w:szCs w:val="20"/>
                <w:color w:val="auto"/>
              </w:rPr>
            </w:pPr>
            <w:r>
              <w:rPr>
                <w:rFonts w:ascii="Arial" w:cs="Arial" w:eastAsia="Arial" w:hAnsi="Arial"/>
                <w:sz w:val="16"/>
                <w:szCs w:val="16"/>
                <w:color w:val="00053B"/>
              </w:rPr>
              <w:t>$214,947</w:t>
            </w:r>
          </w:p>
        </w:tc>
        <w:tc>
          <w:tcPr>
            <w:tcW w:w="1100" w:type="dxa"/>
            <w:vAlign w:val="bottom"/>
          </w:tcPr>
          <w:p>
            <w:pPr>
              <w:jc w:val="right"/>
              <w:spacing w:after="0"/>
              <w:rPr>
                <w:sz w:val="20"/>
                <w:szCs w:val="20"/>
                <w:color w:val="auto"/>
              </w:rPr>
            </w:pPr>
            <w:r>
              <w:rPr>
                <w:rFonts w:ascii="Arial" w:cs="Arial" w:eastAsia="Arial" w:hAnsi="Arial"/>
                <w:sz w:val="16"/>
                <w:szCs w:val="16"/>
                <w:color w:val="00053B"/>
              </w:rPr>
              <w:t>$276,947</w:t>
            </w:r>
          </w:p>
        </w:tc>
      </w:tr>
      <w:tr>
        <w:trPr>
          <w:trHeight w:val="217"/>
        </w:trPr>
        <w:tc>
          <w:tcPr>
            <w:tcW w:w="436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Allison Pickens(8)</w:t>
            </w:r>
          </w:p>
        </w:tc>
        <w:tc>
          <w:tcPr>
            <w:tcW w:w="4040" w:type="dxa"/>
            <w:vAlign w:val="bottom"/>
            <w:shd w:val="clear" w:color="auto" w:fill="EAEAEA"/>
          </w:tcPr>
          <w:p>
            <w:pPr>
              <w:jc w:val="right"/>
              <w:ind w:right="201"/>
              <w:spacing w:after="0"/>
              <w:rPr>
                <w:sz w:val="20"/>
                <w:szCs w:val="20"/>
                <w:color w:val="auto"/>
              </w:rPr>
            </w:pPr>
            <w:r>
              <w:rPr>
                <w:rFonts w:ascii="Arial" w:cs="Arial" w:eastAsia="Arial" w:hAnsi="Arial"/>
                <w:sz w:val="16"/>
                <w:szCs w:val="16"/>
                <w:color w:val="00053B"/>
              </w:rPr>
              <w:t>$58,250</w:t>
            </w:r>
          </w:p>
        </w:tc>
        <w:tc>
          <w:tcPr>
            <w:tcW w:w="1740" w:type="dxa"/>
            <w:vAlign w:val="bottom"/>
            <w:shd w:val="clear" w:color="auto" w:fill="EAEAEA"/>
          </w:tcPr>
          <w:p>
            <w:pPr>
              <w:jc w:val="right"/>
              <w:ind w:right="340"/>
              <w:spacing w:after="0"/>
              <w:rPr>
                <w:sz w:val="20"/>
                <w:szCs w:val="20"/>
                <w:color w:val="auto"/>
              </w:rPr>
            </w:pPr>
            <w:r>
              <w:rPr>
                <w:rFonts w:ascii="Arial" w:cs="Arial" w:eastAsia="Arial" w:hAnsi="Arial"/>
                <w:sz w:val="16"/>
                <w:szCs w:val="16"/>
                <w:color w:val="00053B"/>
              </w:rPr>
              <w:t>$214,947</w:t>
            </w:r>
          </w:p>
        </w:tc>
        <w:tc>
          <w:tcPr>
            <w:tcW w:w="110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$273,197</w:t>
            </w:r>
          </w:p>
        </w:tc>
      </w:tr>
      <w:tr>
        <w:trPr>
          <w:trHeight w:val="215"/>
        </w:trPr>
        <w:tc>
          <w:tcPr>
            <w:tcW w:w="4360" w:type="dxa"/>
            <w:vAlign w:val="bottom"/>
          </w:tcPr>
          <w:p>
            <w:pPr>
              <w:ind w:left="120"/>
              <w:spacing w:after="0"/>
              <w:rPr>
                <w:sz w:val="20"/>
                <w:szCs w:val="20"/>
                <w:color w:val="auto"/>
              </w:rPr>
            </w:pPr>
            <w:r>
              <w:rPr>
                <w:rFonts w:ascii="Arial" w:cs="Arial" w:eastAsia="Arial" w:hAnsi="Arial"/>
                <w:sz w:val="16"/>
                <w:szCs w:val="16"/>
                <w:color w:val="00053B"/>
              </w:rPr>
              <w:t>Shane Sanders(9)</w:t>
            </w:r>
          </w:p>
        </w:tc>
        <w:tc>
          <w:tcPr>
            <w:tcW w:w="4040" w:type="dxa"/>
            <w:vAlign w:val="bottom"/>
          </w:tcPr>
          <w:p>
            <w:pPr>
              <w:jc w:val="right"/>
              <w:ind w:right="201"/>
              <w:spacing w:after="0"/>
              <w:rPr>
                <w:sz w:val="20"/>
                <w:szCs w:val="20"/>
                <w:color w:val="auto"/>
              </w:rPr>
            </w:pPr>
            <w:r>
              <w:rPr>
                <w:rFonts w:ascii="Arial" w:cs="Arial" w:eastAsia="Arial" w:hAnsi="Arial"/>
                <w:sz w:val="16"/>
                <w:szCs w:val="16"/>
                <w:color w:val="00053B"/>
              </w:rPr>
              <w:t>$79,500</w:t>
            </w:r>
          </w:p>
        </w:tc>
        <w:tc>
          <w:tcPr>
            <w:tcW w:w="1740" w:type="dxa"/>
            <w:vAlign w:val="bottom"/>
          </w:tcPr>
          <w:p>
            <w:pPr>
              <w:jc w:val="right"/>
              <w:ind w:right="340"/>
              <w:spacing w:after="0"/>
              <w:rPr>
                <w:sz w:val="20"/>
                <w:szCs w:val="20"/>
                <w:color w:val="auto"/>
              </w:rPr>
            </w:pPr>
            <w:r>
              <w:rPr>
                <w:rFonts w:ascii="Arial" w:cs="Arial" w:eastAsia="Arial" w:hAnsi="Arial"/>
                <w:sz w:val="16"/>
                <w:szCs w:val="16"/>
                <w:color w:val="00053B"/>
              </w:rPr>
              <w:t>$214,947</w:t>
            </w:r>
          </w:p>
        </w:tc>
        <w:tc>
          <w:tcPr>
            <w:tcW w:w="1100" w:type="dxa"/>
            <w:vAlign w:val="bottom"/>
          </w:tcPr>
          <w:p>
            <w:pPr>
              <w:jc w:val="right"/>
              <w:spacing w:after="0"/>
              <w:rPr>
                <w:sz w:val="20"/>
                <w:szCs w:val="20"/>
                <w:color w:val="auto"/>
              </w:rPr>
            </w:pPr>
            <w:r>
              <w:rPr>
                <w:rFonts w:ascii="Arial" w:cs="Arial" w:eastAsia="Arial" w:hAnsi="Arial"/>
                <w:sz w:val="16"/>
                <w:szCs w:val="16"/>
                <w:color w:val="00053B"/>
              </w:rPr>
              <w:t>$294,447</w:t>
            </w:r>
          </w:p>
        </w:tc>
      </w:tr>
      <w:tr>
        <w:trPr>
          <w:trHeight w:val="217"/>
        </w:trPr>
        <w:tc>
          <w:tcPr>
            <w:tcW w:w="436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Arlen Shenkman(10)</w:t>
            </w:r>
          </w:p>
        </w:tc>
        <w:tc>
          <w:tcPr>
            <w:tcW w:w="4040" w:type="dxa"/>
            <w:vAlign w:val="bottom"/>
            <w:shd w:val="clear" w:color="auto" w:fill="EAEAEA"/>
          </w:tcPr>
          <w:p>
            <w:pPr>
              <w:jc w:val="right"/>
              <w:ind w:right="201"/>
              <w:spacing w:after="0"/>
              <w:rPr>
                <w:sz w:val="20"/>
                <w:szCs w:val="20"/>
                <w:color w:val="auto"/>
              </w:rPr>
            </w:pPr>
            <w:r>
              <w:rPr>
                <w:rFonts w:ascii="Arial" w:cs="Arial" w:eastAsia="Arial" w:hAnsi="Arial"/>
                <w:sz w:val="16"/>
                <w:szCs w:val="16"/>
                <w:color w:val="00053B"/>
              </w:rPr>
              <w:t>$66,500</w:t>
            </w:r>
          </w:p>
        </w:tc>
        <w:tc>
          <w:tcPr>
            <w:tcW w:w="1740" w:type="dxa"/>
            <w:vAlign w:val="bottom"/>
            <w:shd w:val="clear" w:color="auto" w:fill="EAEAEA"/>
          </w:tcPr>
          <w:p>
            <w:pPr>
              <w:jc w:val="right"/>
              <w:ind w:right="340"/>
              <w:spacing w:after="0"/>
              <w:rPr>
                <w:sz w:val="20"/>
                <w:szCs w:val="20"/>
                <w:color w:val="auto"/>
              </w:rPr>
            </w:pPr>
            <w:r>
              <w:rPr>
                <w:rFonts w:ascii="Arial" w:cs="Arial" w:eastAsia="Arial" w:hAnsi="Arial"/>
                <w:sz w:val="16"/>
                <w:szCs w:val="16"/>
                <w:color w:val="00053B"/>
              </w:rPr>
              <w:t>$214,947</w:t>
            </w:r>
          </w:p>
        </w:tc>
        <w:tc>
          <w:tcPr>
            <w:tcW w:w="110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$281,447</w:t>
            </w:r>
          </w:p>
        </w:tc>
      </w:tr>
      <w:tr>
        <w:trPr>
          <w:trHeight w:val="215"/>
        </w:trPr>
        <w:tc>
          <w:tcPr>
            <w:tcW w:w="4360" w:type="dxa"/>
            <w:vAlign w:val="bottom"/>
          </w:tcPr>
          <w:p>
            <w:pPr>
              <w:ind w:left="120"/>
              <w:spacing w:after="0"/>
              <w:rPr>
                <w:sz w:val="20"/>
                <w:szCs w:val="20"/>
                <w:color w:val="auto"/>
              </w:rPr>
            </w:pPr>
            <w:r>
              <w:rPr>
                <w:rFonts w:ascii="Arial" w:cs="Arial" w:eastAsia="Arial" w:hAnsi="Arial"/>
                <w:sz w:val="16"/>
                <w:szCs w:val="16"/>
                <w:color w:val="00053B"/>
              </w:rPr>
              <w:t>David F. Walker(11)</w:t>
            </w:r>
          </w:p>
        </w:tc>
        <w:tc>
          <w:tcPr>
            <w:tcW w:w="4040" w:type="dxa"/>
            <w:vAlign w:val="bottom"/>
          </w:tcPr>
          <w:p>
            <w:pPr>
              <w:jc w:val="right"/>
              <w:ind w:right="201"/>
              <w:spacing w:after="0"/>
              <w:rPr>
                <w:sz w:val="20"/>
                <w:szCs w:val="20"/>
                <w:color w:val="auto"/>
              </w:rPr>
            </w:pPr>
            <w:r>
              <w:rPr>
                <w:rFonts w:ascii="Arial" w:cs="Arial" w:eastAsia="Arial" w:hAnsi="Arial"/>
                <w:sz w:val="16"/>
                <w:szCs w:val="16"/>
                <w:color w:val="00053B"/>
              </w:rPr>
              <w:t>$29,473</w:t>
            </w:r>
          </w:p>
        </w:tc>
        <w:tc>
          <w:tcPr>
            <w:tcW w:w="1740" w:type="dxa"/>
            <w:vAlign w:val="bottom"/>
          </w:tcPr>
          <w:p>
            <w:pPr>
              <w:jc w:val="right"/>
              <w:ind w:right="340"/>
              <w:spacing w:after="0"/>
              <w:rPr>
                <w:sz w:val="20"/>
                <w:szCs w:val="20"/>
                <w:color w:val="auto"/>
              </w:rPr>
            </w:pPr>
            <w:r>
              <w:rPr>
                <w:rFonts w:ascii="Arial" w:cs="Arial" w:eastAsia="Arial" w:hAnsi="Arial"/>
                <w:sz w:val="16"/>
                <w:szCs w:val="16"/>
                <w:color w:val="00053B"/>
              </w:rPr>
              <w:t>$—</w:t>
            </w:r>
          </w:p>
        </w:tc>
        <w:tc>
          <w:tcPr>
            <w:tcW w:w="1100" w:type="dxa"/>
            <w:vAlign w:val="bottom"/>
          </w:tcPr>
          <w:p>
            <w:pPr>
              <w:jc w:val="right"/>
              <w:spacing w:after="0"/>
              <w:rPr>
                <w:sz w:val="20"/>
                <w:szCs w:val="20"/>
                <w:color w:val="auto"/>
              </w:rPr>
            </w:pPr>
            <w:r>
              <w:rPr>
                <w:rFonts w:ascii="Arial" w:cs="Arial" w:eastAsia="Arial" w:hAnsi="Arial"/>
                <w:sz w:val="16"/>
                <w:szCs w:val="16"/>
                <w:color w:val="00053B"/>
              </w:rPr>
              <w:t>$29,473</w:t>
            </w:r>
          </w:p>
        </w:tc>
      </w:tr>
    </w:tbl>
    <w:p>
      <w:pPr>
        <w:spacing w:after="0" w:line="132" w:lineRule="exact"/>
        <w:rPr>
          <w:sz w:val="20"/>
          <w:szCs w:val="20"/>
          <w:color w:val="auto"/>
        </w:rPr>
      </w:pPr>
    </w:p>
    <w:p>
      <w:pPr>
        <w:ind w:left="340" w:right="100" w:hanging="332"/>
        <w:spacing w:after="0" w:line="251" w:lineRule="auto"/>
        <w:tabs>
          <w:tab w:leader="none" w:pos="252" w:val="left"/>
        </w:tabs>
        <w:numPr>
          <w:ilvl w:val="0"/>
          <w:numId w:val="27"/>
        </w:numPr>
        <w:rPr>
          <w:rFonts w:ascii="Arial" w:cs="Arial" w:eastAsia="Arial" w:hAnsi="Arial"/>
          <w:sz w:val="13"/>
          <w:szCs w:val="13"/>
          <w:color w:val="00053B"/>
        </w:rPr>
      </w:pPr>
      <w:r>
        <w:rPr>
          <w:rFonts w:ascii="Arial" w:cs="Arial" w:eastAsia="Arial" w:hAnsi="Arial"/>
          <w:sz w:val="13"/>
          <w:szCs w:val="13"/>
          <w:color w:val="00053B"/>
        </w:rPr>
        <w:t>The amounts in this column represent the grant date fair value of restricted stock unit awards granted during the fiscal year indicated as computed in accordance with FASB ASC Topic 718. The amounts reported disregard estimated forfeitures related to service-based vesting conditions. See the notes to our consolidated financial statements contained in our Annual Report on Form 10-K for the fiscal year ended March 31, 2024, for a discussion of all assumptions made by us in determining the grant date fair value of such awards.</w:t>
      </w:r>
    </w:p>
    <w:p>
      <w:pPr>
        <w:spacing w:after="0" w:line="30" w:lineRule="exact"/>
        <w:rPr>
          <w:rFonts w:ascii="Arial" w:cs="Arial" w:eastAsia="Arial" w:hAnsi="Arial"/>
          <w:sz w:val="13"/>
          <w:szCs w:val="13"/>
          <w:color w:val="00053B"/>
        </w:rPr>
      </w:pPr>
    </w:p>
    <w:p>
      <w:pPr>
        <w:ind w:left="260" w:hanging="252"/>
        <w:spacing w:after="0"/>
        <w:tabs>
          <w:tab w:leader="none" w:pos="260" w:val="left"/>
        </w:tabs>
        <w:numPr>
          <w:ilvl w:val="0"/>
          <w:numId w:val="27"/>
        </w:numPr>
        <w:rPr>
          <w:rFonts w:ascii="Arial" w:cs="Arial" w:eastAsia="Arial" w:hAnsi="Arial"/>
          <w:sz w:val="13"/>
          <w:szCs w:val="13"/>
          <w:color w:val="00053B"/>
        </w:rPr>
      </w:pPr>
      <w:r>
        <w:rPr>
          <w:rFonts w:ascii="Arial" w:cs="Arial" w:eastAsia="Arial" w:hAnsi="Arial"/>
          <w:sz w:val="13"/>
          <w:szCs w:val="13"/>
          <w:color w:val="00053B"/>
        </w:rPr>
        <w:t>Mr. Adamo has 3,137 restricted stock units outstanding as of March 31, 2024.</w:t>
      </w:r>
    </w:p>
    <w:p>
      <w:pPr>
        <w:spacing w:after="0" w:line="66" w:lineRule="exact"/>
        <w:rPr>
          <w:rFonts w:ascii="Arial" w:cs="Arial" w:eastAsia="Arial" w:hAnsi="Arial"/>
          <w:sz w:val="13"/>
          <w:szCs w:val="13"/>
          <w:color w:val="00053B"/>
        </w:rPr>
      </w:pPr>
    </w:p>
    <w:p>
      <w:pPr>
        <w:ind w:left="260" w:hanging="252"/>
        <w:spacing w:after="0"/>
        <w:tabs>
          <w:tab w:leader="none" w:pos="260" w:val="left"/>
        </w:tabs>
        <w:numPr>
          <w:ilvl w:val="0"/>
          <w:numId w:val="27"/>
        </w:numPr>
        <w:rPr>
          <w:rFonts w:ascii="Arial" w:cs="Arial" w:eastAsia="Arial" w:hAnsi="Arial"/>
          <w:sz w:val="13"/>
          <w:szCs w:val="13"/>
          <w:color w:val="00053B"/>
        </w:rPr>
      </w:pPr>
      <w:r>
        <w:rPr>
          <w:rFonts w:ascii="Arial" w:cs="Arial" w:eastAsia="Arial" w:hAnsi="Arial"/>
          <w:sz w:val="13"/>
          <w:szCs w:val="13"/>
          <w:color w:val="00053B"/>
        </w:rPr>
        <w:t>Ms. Bejar has 3,137 restricted stock units outstanding as of March 31, 2024.</w:t>
      </w:r>
    </w:p>
    <w:p>
      <w:pPr>
        <w:spacing w:after="0" w:line="53" w:lineRule="exact"/>
        <w:rPr>
          <w:rFonts w:ascii="Arial" w:cs="Arial" w:eastAsia="Arial" w:hAnsi="Arial"/>
          <w:sz w:val="13"/>
          <w:szCs w:val="13"/>
          <w:color w:val="00053B"/>
        </w:rPr>
      </w:pPr>
    </w:p>
    <w:p>
      <w:pPr>
        <w:ind w:left="340" w:right="20" w:hanging="332"/>
        <w:spacing w:after="0" w:line="264" w:lineRule="auto"/>
        <w:tabs>
          <w:tab w:leader="none" w:pos="255" w:val="left"/>
        </w:tabs>
        <w:numPr>
          <w:ilvl w:val="0"/>
          <w:numId w:val="27"/>
        </w:numPr>
        <w:rPr>
          <w:rFonts w:ascii="Arial" w:cs="Arial" w:eastAsia="Arial" w:hAnsi="Arial"/>
          <w:sz w:val="13"/>
          <w:szCs w:val="13"/>
          <w:color w:val="00053B"/>
        </w:rPr>
      </w:pPr>
      <w:r>
        <w:rPr>
          <w:rFonts w:ascii="Arial" w:cs="Arial" w:eastAsia="Arial" w:hAnsi="Arial"/>
          <w:sz w:val="13"/>
          <w:szCs w:val="13"/>
          <w:color w:val="00053B"/>
        </w:rPr>
        <w:t>Mr. Bradley retired from the Board of Directors and subcommittees on which he served effective August 28, 2023. He received prorated cash payments for his service while serving during fiscal year 2024. He did not receive any stock awards and he had no restricted stock units outstanding as of March 31, 2024.</w:t>
      </w:r>
    </w:p>
    <w:p>
      <w:pPr>
        <w:spacing w:after="0" w:line="22" w:lineRule="exact"/>
        <w:rPr>
          <w:rFonts w:ascii="Arial" w:cs="Arial" w:eastAsia="Arial" w:hAnsi="Arial"/>
          <w:sz w:val="13"/>
          <w:szCs w:val="13"/>
          <w:color w:val="00053B"/>
        </w:rPr>
      </w:pPr>
    </w:p>
    <w:p>
      <w:pPr>
        <w:ind w:left="260" w:hanging="252"/>
        <w:spacing w:after="0"/>
        <w:tabs>
          <w:tab w:leader="none" w:pos="260" w:val="left"/>
        </w:tabs>
        <w:numPr>
          <w:ilvl w:val="0"/>
          <w:numId w:val="27"/>
        </w:numPr>
        <w:rPr>
          <w:rFonts w:ascii="Arial" w:cs="Arial" w:eastAsia="Arial" w:hAnsi="Arial"/>
          <w:sz w:val="13"/>
          <w:szCs w:val="13"/>
          <w:color w:val="00053B"/>
        </w:rPr>
      </w:pPr>
      <w:r>
        <w:rPr>
          <w:rFonts w:ascii="Arial" w:cs="Arial" w:eastAsia="Arial" w:hAnsi="Arial"/>
          <w:sz w:val="13"/>
          <w:szCs w:val="13"/>
          <w:color w:val="00053B"/>
        </w:rPr>
        <w:t>Mr. Geeslin has 5,000 stock options, each of which is vested and exercisable, and 3,137 restricted stock units, in either case, outstanding as of March 31, 2024.</w:t>
      </w:r>
    </w:p>
    <w:p>
      <w:pPr>
        <w:spacing w:after="0" w:line="53" w:lineRule="exact"/>
        <w:rPr>
          <w:rFonts w:ascii="Arial" w:cs="Arial" w:eastAsia="Arial" w:hAnsi="Arial"/>
          <w:sz w:val="13"/>
          <w:szCs w:val="13"/>
          <w:color w:val="00053B"/>
        </w:rPr>
      </w:pPr>
    </w:p>
    <w:p>
      <w:pPr>
        <w:ind w:left="260" w:hanging="252"/>
        <w:spacing w:after="0"/>
        <w:tabs>
          <w:tab w:leader="none" w:pos="260" w:val="left"/>
        </w:tabs>
        <w:numPr>
          <w:ilvl w:val="0"/>
          <w:numId w:val="27"/>
        </w:numPr>
        <w:rPr>
          <w:rFonts w:ascii="Arial" w:cs="Arial" w:eastAsia="Arial" w:hAnsi="Arial"/>
          <w:sz w:val="13"/>
          <w:szCs w:val="13"/>
          <w:color w:val="00053B"/>
        </w:rPr>
      </w:pPr>
      <w:r>
        <w:rPr>
          <w:rFonts w:ascii="Arial" w:cs="Arial" w:eastAsia="Arial" w:hAnsi="Arial"/>
          <w:sz w:val="13"/>
          <w:szCs w:val="13"/>
          <w:color w:val="00053B"/>
        </w:rPr>
        <w:t>Ms. Lee has 3,137 restricted stock units outstanding as of March 31, 2024.</w:t>
      </w:r>
    </w:p>
    <w:p>
      <w:pPr>
        <w:spacing w:after="0" w:line="66" w:lineRule="exact"/>
        <w:rPr>
          <w:rFonts w:ascii="Arial" w:cs="Arial" w:eastAsia="Arial" w:hAnsi="Arial"/>
          <w:sz w:val="13"/>
          <w:szCs w:val="13"/>
          <w:color w:val="00053B"/>
        </w:rPr>
      </w:pPr>
    </w:p>
    <w:p>
      <w:pPr>
        <w:ind w:left="260" w:hanging="252"/>
        <w:spacing w:after="0"/>
        <w:tabs>
          <w:tab w:leader="none" w:pos="260" w:val="left"/>
        </w:tabs>
        <w:numPr>
          <w:ilvl w:val="0"/>
          <w:numId w:val="27"/>
        </w:numPr>
        <w:rPr>
          <w:rFonts w:ascii="Arial" w:cs="Arial" w:eastAsia="Arial" w:hAnsi="Arial"/>
          <w:sz w:val="13"/>
          <w:szCs w:val="13"/>
          <w:color w:val="00053B"/>
        </w:rPr>
      </w:pPr>
      <w:r>
        <w:rPr>
          <w:rFonts w:ascii="Arial" w:cs="Arial" w:eastAsia="Arial" w:hAnsi="Arial"/>
          <w:sz w:val="13"/>
          <w:szCs w:val="13"/>
          <w:color w:val="00053B"/>
        </w:rPr>
        <w:t>Mr. Moran has 3,137 restricted stock units outstanding as of March 31, 2024.</w:t>
      </w:r>
    </w:p>
    <w:p>
      <w:pPr>
        <w:spacing w:after="0" w:line="53" w:lineRule="exact"/>
        <w:rPr>
          <w:rFonts w:ascii="Arial" w:cs="Arial" w:eastAsia="Arial" w:hAnsi="Arial"/>
          <w:sz w:val="13"/>
          <w:szCs w:val="13"/>
          <w:color w:val="00053B"/>
        </w:rPr>
      </w:pPr>
    </w:p>
    <w:p>
      <w:pPr>
        <w:ind w:left="260" w:hanging="252"/>
        <w:spacing w:after="0"/>
        <w:tabs>
          <w:tab w:leader="none" w:pos="260" w:val="left"/>
        </w:tabs>
        <w:numPr>
          <w:ilvl w:val="0"/>
          <w:numId w:val="27"/>
        </w:numPr>
        <w:rPr>
          <w:rFonts w:ascii="Arial" w:cs="Arial" w:eastAsia="Arial" w:hAnsi="Arial"/>
          <w:sz w:val="13"/>
          <w:szCs w:val="13"/>
          <w:color w:val="00053B"/>
        </w:rPr>
      </w:pPr>
      <w:r>
        <w:rPr>
          <w:rFonts w:ascii="Arial" w:cs="Arial" w:eastAsia="Arial" w:hAnsi="Arial"/>
          <w:sz w:val="13"/>
          <w:szCs w:val="13"/>
          <w:color w:val="00053B"/>
        </w:rPr>
        <w:t>Ms. Pickens has 3,137 restricted stock units outstanding as of March 31, 2024.</w:t>
      </w:r>
    </w:p>
    <w:p>
      <w:pPr>
        <w:spacing w:after="0" w:line="53" w:lineRule="exact"/>
        <w:rPr>
          <w:rFonts w:ascii="Arial" w:cs="Arial" w:eastAsia="Arial" w:hAnsi="Arial"/>
          <w:sz w:val="13"/>
          <w:szCs w:val="13"/>
          <w:color w:val="00053B"/>
        </w:rPr>
      </w:pPr>
    </w:p>
    <w:p>
      <w:pPr>
        <w:ind w:left="260" w:hanging="252"/>
        <w:spacing w:after="0"/>
        <w:tabs>
          <w:tab w:leader="none" w:pos="260" w:val="left"/>
        </w:tabs>
        <w:numPr>
          <w:ilvl w:val="0"/>
          <w:numId w:val="27"/>
        </w:numPr>
        <w:rPr>
          <w:rFonts w:ascii="Arial" w:cs="Arial" w:eastAsia="Arial" w:hAnsi="Arial"/>
          <w:sz w:val="13"/>
          <w:szCs w:val="13"/>
          <w:color w:val="00053B"/>
        </w:rPr>
      </w:pPr>
      <w:r>
        <w:rPr>
          <w:rFonts w:ascii="Arial" w:cs="Arial" w:eastAsia="Arial" w:hAnsi="Arial"/>
          <w:sz w:val="13"/>
          <w:szCs w:val="13"/>
          <w:color w:val="00053B"/>
        </w:rPr>
        <w:t>Mr. Sanders has 3,137 restricted stock units outstanding as of March 31, 2024.</w:t>
      </w:r>
    </w:p>
    <w:p>
      <w:pPr>
        <w:spacing w:after="0" w:line="39" w:lineRule="exact"/>
        <w:rPr>
          <w:rFonts w:ascii="Arial" w:cs="Arial" w:eastAsia="Arial" w:hAnsi="Arial"/>
          <w:sz w:val="13"/>
          <w:szCs w:val="13"/>
          <w:color w:val="00053B"/>
        </w:rPr>
      </w:pPr>
    </w:p>
    <w:p>
      <w:pPr>
        <w:ind w:left="320" w:hanging="312"/>
        <w:spacing w:after="0"/>
        <w:tabs>
          <w:tab w:leader="none" w:pos="320" w:val="left"/>
        </w:tabs>
        <w:numPr>
          <w:ilvl w:val="0"/>
          <w:numId w:val="27"/>
        </w:numPr>
        <w:rPr>
          <w:rFonts w:ascii="Arial" w:cs="Arial" w:eastAsia="Arial" w:hAnsi="Arial"/>
          <w:sz w:val="13"/>
          <w:szCs w:val="13"/>
          <w:color w:val="00053B"/>
        </w:rPr>
      </w:pPr>
      <w:r>
        <w:rPr>
          <w:rFonts w:ascii="Arial" w:cs="Arial" w:eastAsia="Arial" w:hAnsi="Arial"/>
          <w:sz w:val="13"/>
          <w:szCs w:val="13"/>
          <w:color w:val="00053B"/>
        </w:rPr>
        <w:t>Mr. Shenkman has 3,137 restricted stock units outstanding as of March 31, 2024.</w:t>
      </w:r>
    </w:p>
    <w:p>
      <w:pPr>
        <w:spacing w:after="0" w:line="66" w:lineRule="exact"/>
        <w:rPr>
          <w:rFonts w:ascii="Arial" w:cs="Arial" w:eastAsia="Arial" w:hAnsi="Arial"/>
          <w:sz w:val="13"/>
          <w:szCs w:val="13"/>
          <w:color w:val="00053B"/>
        </w:rPr>
      </w:pPr>
    </w:p>
    <w:p>
      <w:pPr>
        <w:ind w:left="340" w:hanging="332"/>
        <w:spacing w:after="0" w:line="264" w:lineRule="auto"/>
        <w:tabs>
          <w:tab w:leader="none" w:pos="315" w:val="left"/>
        </w:tabs>
        <w:numPr>
          <w:ilvl w:val="0"/>
          <w:numId w:val="27"/>
        </w:numPr>
        <w:rPr>
          <w:rFonts w:ascii="Arial" w:cs="Arial" w:eastAsia="Arial" w:hAnsi="Arial"/>
          <w:sz w:val="13"/>
          <w:szCs w:val="13"/>
          <w:color w:val="00053B"/>
        </w:rPr>
      </w:pPr>
      <w:r>
        <w:rPr>
          <w:rFonts w:ascii="Arial" w:cs="Arial" w:eastAsia="Arial" w:hAnsi="Arial"/>
          <w:sz w:val="13"/>
          <w:szCs w:val="13"/>
          <w:color w:val="00053B"/>
        </w:rPr>
        <w:t>Mr. Walker retired from the Board of Directors and subcommittees on which he served effective August 28, 2023. He received prorated cash payments for his service while serving during fiscal year 2024. He did not receive any stock awards and he had no restricted stock units outstanding as of March 31, 2024.</w:t>
      </w: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Stock Ownership Guidelines for Independent Directors</w:t>
      </w:r>
    </w:p>
    <w:p>
      <w:pPr>
        <w:spacing w:after="0" w:line="74"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00053B"/>
        </w:rPr>
        <w:t>We currently require our independent directors to acquire an equity ownership interest in Commvault common stock that is equal to five times their base annual cash retainer by the fifth anniversary of the date they first became a director. The TMCC is satisfied that this level of equity ownership among our independent directors is sufficient to provide motivation and to align the directors’ interests with those of our stockholders. Each independent director who is required to be in compliance with these guidelines owns the requisite amount of stock.</w:t>
      </w:r>
    </w:p>
    <w:p>
      <w:pPr>
        <w:sectPr>
          <w:pgSz w:w="11900" w:h="16838" w:orient="portrait"/>
          <w:cols w:equalWidth="0" w:num="1">
            <w:col w:w="11240"/>
          </w:cols>
          <w:pgMar w:left="320" w:top="121" w:right="339" w:bottom="6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25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669"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15175" cy="1028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CORPORATE GOVERNANCE | </w:t>
      </w:r>
      <w:r>
        <w:rPr>
          <w:rFonts w:ascii="Arial" w:cs="Arial" w:eastAsia="Arial" w:hAnsi="Arial"/>
          <w:sz w:val="11"/>
          <w:szCs w:val="11"/>
          <w:b w:val="1"/>
          <w:bCs w:val="1"/>
          <w:color w:val="00053B"/>
        </w:rPr>
        <w:t>SECURITY OWNERSHIP OF MANAGEMENT AND CERTAIN BENEFICIAL OWNERS</w:t>
      </w: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Security Ownership of Management and Certain Beneficial Owners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MANAGEMENT</w:t>
      </w:r>
    </w:p>
    <w:p>
      <w:pPr>
        <w:spacing w:after="0" w:line="68"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00053B"/>
        </w:rPr>
        <w:t>The following table shows, as of May 31, 2024, the number of shares of our common stock (the only class of voting securities outstanding) beneficially owned by: (1) each current director and nominee for director; (2) each named executive officer (defined below); and (3) all directors and current executive officers as a group. The number of shares of our common stock beneficially owned by a person includes shares of common stock issuable with respect to options, restricted stock units (including performance-based stock units), and convertible securities held by the person that are exercisable, convertible, or will vest within 60 days. The percentage of our common stock beneficially owned by a person assumes the person has exercised all options, vested in all restricted stock units, and converted all convertible securities, that are exercisable, convertible, or will vest within 60 days, and that no other person exercised any of their options, vested in any of their restricted stock units, or converted any of their convertible securities. Except as otherwise noted, each individual exercises sole voting power and investment power over the shares of voting securities shown.</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3480" w:type="dxa"/>
            <w:vAlign w:val="bottom"/>
            <w:vMerge w:val="restart"/>
          </w:tcPr>
          <w:p>
            <w:pPr>
              <w:jc w:val="right"/>
              <w:ind w:right="620"/>
              <w:spacing w:after="0"/>
              <w:rPr>
                <w:sz w:val="20"/>
                <w:szCs w:val="20"/>
                <w:color w:val="auto"/>
              </w:rPr>
            </w:pPr>
            <w:r>
              <w:rPr>
                <w:rFonts w:ascii="Arial" w:cs="Arial" w:eastAsia="Arial" w:hAnsi="Arial"/>
                <w:sz w:val="14"/>
                <w:szCs w:val="14"/>
                <w:color w:val="00053B"/>
              </w:rPr>
              <w:t>Shares of Common</w:t>
            </w:r>
          </w:p>
        </w:tc>
        <w:tc>
          <w:tcPr>
            <w:tcW w:w="1720" w:type="dxa"/>
            <w:vAlign w:val="bottom"/>
          </w:tcPr>
          <w:p>
            <w:pPr>
              <w:jc w:val="right"/>
              <w:spacing w:after="0"/>
              <w:rPr>
                <w:sz w:val="20"/>
                <w:szCs w:val="20"/>
                <w:color w:val="auto"/>
              </w:rPr>
            </w:pPr>
            <w:r>
              <w:rPr>
                <w:rFonts w:ascii="Arial" w:cs="Arial" w:eastAsia="Arial" w:hAnsi="Arial"/>
                <w:sz w:val="14"/>
                <w:szCs w:val="14"/>
                <w:color w:val="00053B"/>
              </w:rPr>
              <w:t>Percent of</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3480" w:type="dxa"/>
            <w:vAlign w:val="bottom"/>
            <w:vMerge w:val="continue"/>
          </w:tcPr>
          <w:p>
            <w:pPr>
              <w:spacing w:after="0"/>
              <w:rPr>
                <w:sz w:val="12"/>
                <w:szCs w:val="12"/>
                <w:color w:val="auto"/>
              </w:rPr>
            </w:pPr>
          </w:p>
        </w:tc>
        <w:tc>
          <w:tcPr>
            <w:tcW w:w="1720" w:type="dxa"/>
            <w:vAlign w:val="bottom"/>
          </w:tcPr>
          <w:p>
            <w:pPr>
              <w:jc w:val="right"/>
              <w:spacing w:after="0" w:line="149" w:lineRule="exact"/>
              <w:rPr>
                <w:sz w:val="20"/>
                <w:szCs w:val="20"/>
                <w:color w:val="auto"/>
              </w:rPr>
            </w:pPr>
            <w:r>
              <w:rPr>
                <w:rFonts w:ascii="Arial" w:cs="Arial" w:eastAsia="Arial" w:hAnsi="Arial"/>
                <w:sz w:val="14"/>
                <w:szCs w:val="14"/>
                <w:color w:val="00053B"/>
              </w:rPr>
              <w:t>Common Stock</w:t>
            </w:r>
          </w:p>
        </w:tc>
        <w:tc>
          <w:tcPr>
            <w:tcW w:w="0" w:type="dxa"/>
            <w:vAlign w:val="bottom"/>
          </w:tcPr>
          <w:p>
            <w:pPr>
              <w:spacing w:after="0"/>
              <w:rPr>
                <w:sz w:val="1"/>
                <w:szCs w:val="1"/>
                <w:color w:val="auto"/>
              </w:rPr>
            </w:pPr>
          </w:p>
        </w:tc>
      </w:tr>
      <w:tr>
        <w:trPr>
          <w:trHeight w:val="189"/>
        </w:trPr>
        <w:tc>
          <w:tcPr>
            <w:tcW w:w="6040" w:type="dxa"/>
            <w:vAlign w:val="bottom"/>
            <w:tcBorders>
              <w:bottom w:val="single" w:sz="8" w:color="844896"/>
            </w:tcBorders>
          </w:tcPr>
          <w:p>
            <w:pPr>
              <w:spacing w:after="0"/>
              <w:rPr>
                <w:sz w:val="16"/>
                <w:szCs w:val="16"/>
                <w:color w:val="auto"/>
              </w:rPr>
            </w:pPr>
          </w:p>
        </w:tc>
        <w:tc>
          <w:tcPr>
            <w:tcW w:w="3480" w:type="dxa"/>
            <w:vAlign w:val="bottom"/>
            <w:tcBorders>
              <w:bottom w:val="single" w:sz="8" w:color="844896"/>
            </w:tcBorders>
          </w:tcPr>
          <w:p>
            <w:pPr>
              <w:jc w:val="right"/>
              <w:ind w:right="620"/>
              <w:spacing w:after="0"/>
              <w:rPr>
                <w:sz w:val="20"/>
                <w:szCs w:val="20"/>
                <w:color w:val="auto"/>
              </w:rPr>
            </w:pPr>
            <w:r>
              <w:rPr>
                <w:rFonts w:ascii="Arial" w:cs="Arial" w:eastAsia="Arial" w:hAnsi="Arial"/>
                <w:sz w:val="14"/>
                <w:szCs w:val="14"/>
                <w:color w:val="00053B"/>
              </w:rPr>
              <w:t>Stock Owned</w:t>
            </w:r>
          </w:p>
        </w:tc>
        <w:tc>
          <w:tcPr>
            <w:tcW w:w="1720" w:type="dxa"/>
            <w:vAlign w:val="bottom"/>
            <w:tcBorders>
              <w:bottom w:val="single" w:sz="8" w:color="844896"/>
            </w:tcBorders>
          </w:tcPr>
          <w:p>
            <w:pPr>
              <w:jc w:val="right"/>
              <w:spacing w:after="0"/>
              <w:rPr>
                <w:sz w:val="20"/>
                <w:szCs w:val="20"/>
                <w:color w:val="auto"/>
              </w:rPr>
            </w:pPr>
            <w:r>
              <w:rPr>
                <w:rFonts w:ascii="Arial" w:cs="Arial" w:eastAsia="Arial" w:hAnsi="Arial"/>
                <w:sz w:val="14"/>
                <w:szCs w:val="14"/>
                <w:color w:val="00053B"/>
              </w:rPr>
              <w:t>Outstanding</w:t>
            </w:r>
          </w:p>
        </w:tc>
        <w:tc>
          <w:tcPr>
            <w:tcW w:w="0" w:type="dxa"/>
            <w:vAlign w:val="bottom"/>
          </w:tcPr>
          <w:p>
            <w:pPr>
              <w:spacing w:after="0"/>
              <w:rPr>
                <w:sz w:val="1"/>
                <w:szCs w:val="1"/>
                <w:color w:val="auto"/>
              </w:rPr>
            </w:pPr>
          </w:p>
        </w:tc>
      </w:tr>
      <w:tr>
        <w:trPr>
          <w:trHeight w:val="209"/>
        </w:trPr>
        <w:tc>
          <w:tcPr>
            <w:tcW w:w="6040" w:type="dxa"/>
            <w:vAlign w:val="bottom"/>
          </w:tcPr>
          <w:p>
            <w:pPr>
              <w:ind w:left="120"/>
              <w:spacing w:after="0"/>
              <w:rPr>
                <w:sz w:val="20"/>
                <w:szCs w:val="20"/>
                <w:color w:val="auto"/>
              </w:rPr>
            </w:pPr>
            <w:r>
              <w:rPr>
                <w:rFonts w:ascii="Arial" w:cs="Arial" w:eastAsia="Arial" w:hAnsi="Arial"/>
                <w:sz w:val="16"/>
                <w:szCs w:val="16"/>
                <w:b w:val="1"/>
                <w:bCs w:val="1"/>
                <w:color w:val="00053B"/>
              </w:rPr>
              <w:t>Directors</w:t>
            </w:r>
          </w:p>
        </w:tc>
        <w:tc>
          <w:tcPr>
            <w:tcW w:w="3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Nicholas Adamo</w:t>
            </w:r>
          </w:p>
        </w:tc>
        <w:tc>
          <w:tcPr>
            <w:tcW w:w="3480" w:type="dxa"/>
            <w:vAlign w:val="bottom"/>
            <w:shd w:val="clear" w:color="auto" w:fill="EAEAEA"/>
          </w:tcPr>
          <w:p>
            <w:pPr>
              <w:jc w:val="right"/>
              <w:ind w:right="700"/>
              <w:spacing w:after="0"/>
              <w:rPr>
                <w:sz w:val="20"/>
                <w:szCs w:val="20"/>
                <w:color w:val="auto"/>
              </w:rPr>
            </w:pPr>
            <w:r>
              <w:rPr>
                <w:rFonts w:ascii="Arial" w:cs="Arial" w:eastAsia="Arial" w:hAnsi="Arial"/>
                <w:sz w:val="16"/>
                <w:szCs w:val="16"/>
                <w:color w:val="00053B"/>
              </w:rPr>
              <w:t>14,805</w:t>
            </w:r>
          </w:p>
        </w:tc>
        <w:tc>
          <w:tcPr>
            <w:tcW w:w="172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w:t>
            </w:r>
          </w:p>
        </w:tc>
        <w:tc>
          <w:tcPr>
            <w:tcW w:w="0" w:type="dxa"/>
            <w:vAlign w:val="bottom"/>
          </w:tcPr>
          <w:p>
            <w:pPr>
              <w:spacing w:after="0"/>
              <w:rPr>
                <w:sz w:val="1"/>
                <w:szCs w:val="1"/>
                <w:color w:val="auto"/>
              </w:rPr>
            </w:pPr>
          </w:p>
        </w:tc>
      </w:tr>
      <w:tr>
        <w:trPr>
          <w:trHeight w:val="222"/>
        </w:trPr>
        <w:tc>
          <w:tcPr>
            <w:tcW w:w="6040" w:type="dxa"/>
            <w:vAlign w:val="bottom"/>
          </w:tcPr>
          <w:p>
            <w:pPr>
              <w:ind w:left="120"/>
              <w:spacing w:after="0"/>
              <w:rPr>
                <w:sz w:val="20"/>
                <w:szCs w:val="20"/>
                <w:color w:val="auto"/>
              </w:rPr>
            </w:pPr>
            <w:r>
              <w:rPr>
                <w:rFonts w:ascii="Arial" w:cs="Arial" w:eastAsia="Arial" w:hAnsi="Arial"/>
                <w:sz w:val="16"/>
                <w:szCs w:val="16"/>
                <w:color w:val="00053B"/>
              </w:rPr>
              <w:t>Martha H. Bejar</w:t>
            </w:r>
          </w:p>
        </w:tc>
        <w:tc>
          <w:tcPr>
            <w:tcW w:w="3480" w:type="dxa"/>
            <w:vAlign w:val="bottom"/>
          </w:tcPr>
          <w:p>
            <w:pPr>
              <w:jc w:val="right"/>
              <w:ind w:right="700"/>
              <w:spacing w:after="0"/>
              <w:rPr>
                <w:sz w:val="20"/>
                <w:szCs w:val="20"/>
                <w:color w:val="auto"/>
              </w:rPr>
            </w:pPr>
            <w:r>
              <w:rPr>
                <w:rFonts w:ascii="Arial" w:cs="Arial" w:eastAsia="Arial" w:hAnsi="Arial"/>
                <w:sz w:val="16"/>
                <w:szCs w:val="16"/>
                <w:color w:val="00053B"/>
              </w:rPr>
              <w:t>1,180</w:t>
            </w:r>
          </w:p>
        </w:tc>
        <w:tc>
          <w:tcPr>
            <w:tcW w:w="1720" w:type="dxa"/>
            <w:vAlign w:val="bottom"/>
          </w:tcPr>
          <w:p>
            <w:pPr>
              <w:jc w:val="right"/>
              <w:spacing w:after="0"/>
              <w:rPr>
                <w:sz w:val="20"/>
                <w:szCs w:val="20"/>
                <w:color w:val="auto"/>
              </w:rPr>
            </w:pPr>
            <w:r>
              <w:rPr>
                <w:rFonts w:ascii="Arial" w:cs="Arial" w:eastAsia="Arial" w:hAnsi="Arial"/>
                <w:sz w:val="16"/>
                <w:szCs w:val="16"/>
                <w:color w:val="00053B"/>
              </w:rPr>
              <w:t>*</w:t>
            </w:r>
          </w:p>
        </w:tc>
        <w:tc>
          <w:tcPr>
            <w:tcW w:w="0" w:type="dxa"/>
            <w:vAlign w:val="bottom"/>
          </w:tcPr>
          <w:p>
            <w:pPr>
              <w:spacing w:after="0"/>
              <w:rPr>
                <w:sz w:val="1"/>
                <w:szCs w:val="1"/>
                <w:color w:val="auto"/>
              </w:rPr>
            </w:pPr>
          </w:p>
        </w:tc>
      </w:tr>
      <w:tr>
        <w:trPr>
          <w:trHeight w:val="237"/>
        </w:trPr>
        <w:tc>
          <w:tcPr>
            <w:tcW w:w="604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Keith Geeslin(1)</w:t>
            </w:r>
          </w:p>
        </w:tc>
        <w:tc>
          <w:tcPr>
            <w:tcW w:w="3480" w:type="dxa"/>
            <w:vAlign w:val="bottom"/>
            <w:shd w:val="clear" w:color="auto" w:fill="EAEAEA"/>
          </w:tcPr>
          <w:p>
            <w:pPr>
              <w:jc w:val="right"/>
              <w:ind w:right="700"/>
              <w:spacing w:after="0"/>
              <w:rPr>
                <w:sz w:val="20"/>
                <w:szCs w:val="20"/>
                <w:color w:val="auto"/>
              </w:rPr>
            </w:pPr>
            <w:r>
              <w:rPr>
                <w:rFonts w:ascii="Arial" w:cs="Arial" w:eastAsia="Arial" w:hAnsi="Arial"/>
                <w:sz w:val="16"/>
                <w:szCs w:val="16"/>
                <w:color w:val="00053B"/>
              </w:rPr>
              <w:t>57,644</w:t>
            </w:r>
          </w:p>
        </w:tc>
        <w:tc>
          <w:tcPr>
            <w:tcW w:w="172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w:t>
            </w:r>
          </w:p>
        </w:tc>
        <w:tc>
          <w:tcPr>
            <w:tcW w:w="0" w:type="dxa"/>
            <w:vAlign w:val="bottom"/>
          </w:tcPr>
          <w:p>
            <w:pPr>
              <w:spacing w:after="0"/>
              <w:rPr>
                <w:sz w:val="1"/>
                <w:szCs w:val="1"/>
                <w:color w:val="auto"/>
              </w:rPr>
            </w:pPr>
          </w:p>
        </w:tc>
      </w:tr>
      <w:tr>
        <w:trPr>
          <w:trHeight w:val="222"/>
        </w:trPr>
        <w:tc>
          <w:tcPr>
            <w:tcW w:w="6040" w:type="dxa"/>
            <w:vAlign w:val="bottom"/>
          </w:tcPr>
          <w:p>
            <w:pPr>
              <w:ind w:left="120"/>
              <w:spacing w:after="0"/>
              <w:rPr>
                <w:sz w:val="20"/>
                <w:szCs w:val="20"/>
                <w:color w:val="auto"/>
              </w:rPr>
            </w:pPr>
            <w:r>
              <w:rPr>
                <w:rFonts w:ascii="Arial" w:cs="Arial" w:eastAsia="Arial" w:hAnsi="Arial"/>
                <w:sz w:val="16"/>
                <w:szCs w:val="16"/>
                <w:color w:val="00053B"/>
              </w:rPr>
              <w:t>Vivie “YY” Lee</w:t>
            </w:r>
          </w:p>
        </w:tc>
        <w:tc>
          <w:tcPr>
            <w:tcW w:w="3480" w:type="dxa"/>
            <w:vAlign w:val="bottom"/>
          </w:tcPr>
          <w:p>
            <w:pPr>
              <w:jc w:val="right"/>
              <w:ind w:right="700"/>
              <w:spacing w:after="0"/>
              <w:rPr>
                <w:sz w:val="20"/>
                <w:szCs w:val="20"/>
                <w:color w:val="auto"/>
              </w:rPr>
            </w:pPr>
            <w:r>
              <w:rPr>
                <w:rFonts w:ascii="Arial" w:cs="Arial" w:eastAsia="Arial" w:hAnsi="Arial"/>
                <w:sz w:val="16"/>
                <w:szCs w:val="16"/>
                <w:color w:val="00053B"/>
              </w:rPr>
              <w:t>10,452</w:t>
            </w:r>
          </w:p>
        </w:tc>
        <w:tc>
          <w:tcPr>
            <w:tcW w:w="1720" w:type="dxa"/>
            <w:vAlign w:val="bottom"/>
          </w:tcPr>
          <w:p>
            <w:pPr>
              <w:jc w:val="right"/>
              <w:spacing w:after="0"/>
              <w:rPr>
                <w:sz w:val="20"/>
                <w:szCs w:val="20"/>
                <w:color w:val="auto"/>
              </w:rPr>
            </w:pPr>
            <w:r>
              <w:rPr>
                <w:rFonts w:ascii="Arial" w:cs="Arial" w:eastAsia="Arial" w:hAnsi="Arial"/>
                <w:sz w:val="16"/>
                <w:szCs w:val="16"/>
                <w:color w:val="00053B"/>
              </w:rPr>
              <w:t>*</w:t>
            </w:r>
          </w:p>
        </w:tc>
        <w:tc>
          <w:tcPr>
            <w:tcW w:w="0" w:type="dxa"/>
            <w:vAlign w:val="bottom"/>
          </w:tcPr>
          <w:p>
            <w:pPr>
              <w:spacing w:after="0"/>
              <w:rPr>
                <w:sz w:val="1"/>
                <w:szCs w:val="1"/>
                <w:color w:val="auto"/>
              </w:rPr>
            </w:pPr>
          </w:p>
        </w:tc>
      </w:tr>
      <w:tr>
        <w:trPr>
          <w:trHeight w:val="237"/>
        </w:trPr>
        <w:tc>
          <w:tcPr>
            <w:tcW w:w="604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Sanjay Mirchandani</w:t>
            </w:r>
          </w:p>
        </w:tc>
        <w:tc>
          <w:tcPr>
            <w:tcW w:w="3480" w:type="dxa"/>
            <w:vAlign w:val="bottom"/>
            <w:shd w:val="clear" w:color="auto" w:fill="EAEAEA"/>
          </w:tcPr>
          <w:p>
            <w:pPr>
              <w:jc w:val="right"/>
              <w:ind w:right="700"/>
              <w:spacing w:after="0"/>
              <w:rPr>
                <w:sz w:val="20"/>
                <w:szCs w:val="20"/>
                <w:color w:val="auto"/>
              </w:rPr>
            </w:pPr>
            <w:r>
              <w:rPr>
                <w:rFonts w:ascii="Arial" w:cs="Arial" w:eastAsia="Arial" w:hAnsi="Arial"/>
                <w:sz w:val="16"/>
                <w:szCs w:val="16"/>
                <w:color w:val="00053B"/>
              </w:rPr>
              <w:t>224,825</w:t>
            </w:r>
          </w:p>
        </w:tc>
        <w:tc>
          <w:tcPr>
            <w:tcW w:w="172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w:t>
            </w:r>
          </w:p>
        </w:tc>
        <w:tc>
          <w:tcPr>
            <w:tcW w:w="0" w:type="dxa"/>
            <w:vAlign w:val="bottom"/>
          </w:tcPr>
          <w:p>
            <w:pPr>
              <w:spacing w:after="0"/>
              <w:rPr>
                <w:sz w:val="1"/>
                <w:szCs w:val="1"/>
                <w:color w:val="auto"/>
              </w:rPr>
            </w:pPr>
          </w:p>
        </w:tc>
      </w:tr>
      <w:tr>
        <w:trPr>
          <w:trHeight w:val="222"/>
        </w:trPr>
        <w:tc>
          <w:tcPr>
            <w:tcW w:w="6040" w:type="dxa"/>
            <w:vAlign w:val="bottom"/>
          </w:tcPr>
          <w:p>
            <w:pPr>
              <w:ind w:left="120"/>
              <w:spacing w:after="0"/>
              <w:rPr>
                <w:sz w:val="20"/>
                <w:szCs w:val="20"/>
                <w:color w:val="auto"/>
              </w:rPr>
            </w:pPr>
            <w:r>
              <w:rPr>
                <w:rFonts w:ascii="Arial" w:cs="Arial" w:eastAsia="Arial" w:hAnsi="Arial"/>
                <w:sz w:val="16"/>
                <w:szCs w:val="16"/>
                <w:color w:val="00053B"/>
              </w:rPr>
              <w:t>Charles E. Moran</w:t>
            </w:r>
          </w:p>
        </w:tc>
        <w:tc>
          <w:tcPr>
            <w:tcW w:w="3480" w:type="dxa"/>
            <w:vAlign w:val="bottom"/>
          </w:tcPr>
          <w:p>
            <w:pPr>
              <w:jc w:val="right"/>
              <w:ind w:right="700"/>
              <w:spacing w:after="0"/>
              <w:rPr>
                <w:sz w:val="20"/>
                <w:szCs w:val="20"/>
                <w:color w:val="auto"/>
              </w:rPr>
            </w:pPr>
            <w:r>
              <w:rPr>
                <w:rFonts w:ascii="Arial" w:cs="Arial" w:eastAsia="Arial" w:hAnsi="Arial"/>
                <w:sz w:val="16"/>
                <w:szCs w:val="16"/>
                <w:color w:val="00053B"/>
              </w:rPr>
              <w:t>7,830</w:t>
            </w:r>
          </w:p>
        </w:tc>
        <w:tc>
          <w:tcPr>
            <w:tcW w:w="1720" w:type="dxa"/>
            <w:vAlign w:val="bottom"/>
          </w:tcPr>
          <w:p>
            <w:pPr>
              <w:jc w:val="right"/>
              <w:spacing w:after="0"/>
              <w:rPr>
                <w:sz w:val="20"/>
                <w:szCs w:val="20"/>
                <w:color w:val="auto"/>
              </w:rPr>
            </w:pPr>
            <w:r>
              <w:rPr>
                <w:rFonts w:ascii="Arial" w:cs="Arial" w:eastAsia="Arial" w:hAnsi="Arial"/>
                <w:sz w:val="16"/>
                <w:szCs w:val="16"/>
                <w:color w:val="00053B"/>
              </w:rPr>
              <w:t>*</w:t>
            </w:r>
          </w:p>
        </w:tc>
        <w:tc>
          <w:tcPr>
            <w:tcW w:w="0" w:type="dxa"/>
            <w:vAlign w:val="bottom"/>
          </w:tcPr>
          <w:p>
            <w:pPr>
              <w:spacing w:after="0"/>
              <w:rPr>
                <w:sz w:val="1"/>
                <w:szCs w:val="1"/>
                <w:color w:val="auto"/>
              </w:rPr>
            </w:pPr>
          </w:p>
        </w:tc>
      </w:tr>
      <w:tr>
        <w:trPr>
          <w:trHeight w:val="237"/>
        </w:trPr>
        <w:tc>
          <w:tcPr>
            <w:tcW w:w="604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Allison Pickens</w:t>
            </w:r>
          </w:p>
        </w:tc>
        <w:tc>
          <w:tcPr>
            <w:tcW w:w="3480" w:type="dxa"/>
            <w:vAlign w:val="bottom"/>
            <w:shd w:val="clear" w:color="auto" w:fill="EAEAEA"/>
          </w:tcPr>
          <w:p>
            <w:pPr>
              <w:jc w:val="right"/>
              <w:ind w:right="700"/>
              <w:spacing w:after="0"/>
              <w:rPr>
                <w:sz w:val="20"/>
                <w:szCs w:val="20"/>
                <w:color w:val="auto"/>
              </w:rPr>
            </w:pPr>
            <w:r>
              <w:rPr>
                <w:rFonts w:ascii="Arial" w:cs="Arial" w:eastAsia="Arial" w:hAnsi="Arial"/>
                <w:sz w:val="16"/>
                <w:szCs w:val="16"/>
                <w:color w:val="00053B"/>
              </w:rPr>
              <w:t>3,696</w:t>
            </w:r>
          </w:p>
        </w:tc>
        <w:tc>
          <w:tcPr>
            <w:tcW w:w="172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w:t>
            </w:r>
          </w:p>
        </w:tc>
        <w:tc>
          <w:tcPr>
            <w:tcW w:w="0" w:type="dxa"/>
            <w:vAlign w:val="bottom"/>
          </w:tcPr>
          <w:p>
            <w:pPr>
              <w:spacing w:after="0"/>
              <w:rPr>
                <w:sz w:val="1"/>
                <w:szCs w:val="1"/>
                <w:color w:val="auto"/>
              </w:rPr>
            </w:pPr>
          </w:p>
        </w:tc>
      </w:tr>
      <w:tr>
        <w:trPr>
          <w:trHeight w:val="222"/>
        </w:trPr>
        <w:tc>
          <w:tcPr>
            <w:tcW w:w="6040" w:type="dxa"/>
            <w:vAlign w:val="bottom"/>
          </w:tcPr>
          <w:p>
            <w:pPr>
              <w:ind w:left="120"/>
              <w:spacing w:after="0"/>
              <w:rPr>
                <w:sz w:val="20"/>
                <w:szCs w:val="20"/>
                <w:color w:val="auto"/>
              </w:rPr>
            </w:pPr>
            <w:r>
              <w:rPr>
                <w:rFonts w:ascii="Arial" w:cs="Arial" w:eastAsia="Arial" w:hAnsi="Arial"/>
                <w:sz w:val="16"/>
                <w:szCs w:val="16"/>
                <w:color w:val="00053B"/>
              </w:rPr>
              <w:t>Shane Sanders</w:t>
            </w:r>
          </w:p>
        </w:tc>
        <w:tc>
          <w:tcPr>
            <w:tcW w:w="3480" w:type="dxa"/>
            <w:vAlign w:val="bottom"/>
          </w:tcPr>
          <w:p>
            <w:pPr>
              <w:jc w:val="right"/>
              <w:ind w:right="700"/>
              <w:spacing w:after="0"/>
              <w:rPr>
                <w:sz w:val="20"/>
                <w:szCs w:val="20"/>
                <w:color w:val="auto"/>
              </w:rPr>
            </w:pPr>
            <w:r>
              <w:rPr>
                <w:rFonts w:ascii="Arial" w:cs="Arial" w:eastAsia="Arial" w:hAnsi="Arial"/>
                <w:sz w:val="16"/>
                <w:szCs w:val="16"/>
                <w:color w:val="00053B"/>
              </w:rPr>
              <w:t>2,167</w:t>
            </w:r>
          </w:p>
        </w:tc>
        <w:tc>
          <w:tcPr>
            <w:tcW w:w="1720" w:type="dxa"/>
            <w:vAlign w:val="bottom"/>
          </w:tcPr>
          <w:p>
            <w:pPr>
              <w:jc w:val="right"/>
              <w:spacing w:after="0"/>
              <w:rPr>
                <w:sz w:val="20"/>
                <w:szCs w:val="20"/>
                <w:color w:val="auto"/>
              </w:rPr>
            </w:pPr>
            <w:r>
              <w:rPr>
                <w:rFonts w:ascii="Arial" w:cs="Arial" w:eastAsia="Arial" w:hAnsi="Arial"/>
                <w:sz w:val="16"/>
                <w:szCs w:val="16"/>
                <w:color w:val="00053B"/>
              </w:rPr>
              <w:t>*</w:t>
            </w:r>
          </w:p>
        </w:tc>
        <w:tc>
          <w:tcPr>
            <w:tcW w:w="0" w:type="dxa"/>
            <w:vAlign w:val="bottom"/>
          </w:tcPr>
          <w:p>
            <w:pPr>
              <w:spacing w:after="0"/>
              <w:rPr>
                <w:sz w:val="1"/>
                <w:szCs w:val="1"/>
                <w:color w:val="auto"/>
              </w:rPr>
            </w:pPr>
          </w:p>
        </w:tc>
      </w:tr>
      <w:tr>
        <w:trPr>
          <w:trHeight w:val="237"/>
        </w:trPr>
        <w:tc>
          <w:tcPr>
            <w:tcW w:w="604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Arlen Shenkman</w:t>
            </w:r>
          </w:p>
        </w:tc>
        <w:tc>
          <w:tcPr>
            <w:tcW w:w="3480" w:type="dxa"/>
            <w:vAlign w:val="bottom"/>
            <w:shd w:val="clear" w:color="auto" w:fill="EAEAEA"/>
          </w:tcPr>
          <w:p>
            <w:pPr>
              <w:jc w:val="right"/>
              <w:ind w:right="700"/>
              <w:spacing w:after="0"/>
              <w:rPr>
                <w:sz w:val="20"/>
                <w:szCs w:val="20"/>
                <w:color w:val="auto"/>
              </w:rPr>
            </w:pPr>
            <w:r>
              <w:rPr>
                <w:rFonts w:ascii="Arial" w:cs="Arial" w:eastAsia="Arial" w:hAnsi="Arial"/>
                <w:sz w:val="16"/>
                <w:szCs w:val="16"/>
                <w:color w:val="00053B"/>
              </w:rPr>
              <w:t>10,953</w:t>
            </w:r>
          </w:p>
        </w:tc>
        <w:tc>
          <w:tcPr>
            <w:tcW w:w="172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w:t>
            </w:r>
          </w:p>
        </w:tc>
        <w:tc>
          <w:tcPr>
            <w:tcW w:w="0" w:type="dxa"/>
            <w:vAlign w:val="bottom"/>
          </w:tcPr>
          <w:p>
            <w:pPr>
              <w:spacing w:after="0"/>
              <w:rPr>
                <w:sz w:val="1"/>
                <w:szCs w:val="1"/>
                <w:color w:val="auto"/>
              </w:rPr>
            </w:pPr>
          </w:p>
        </w:tc>
      </w:tr>
      <w:tr>
        <w:trPr>
          <w:trHeight w:val="216"/>
        </w:trPr>
        <w:tc>
          <w:tcPr>
            <w:tcW w:w="6040" w:type="dxa"/>
            <w:vAlign w:val="bottom"/>
          </w:tcPr>
          <w:p>
            <w:pPr>
              <w:ind w:left="120"/>
              <w:spacing w:after="0"/>
              <w:rPr>
                <w:sz w:val="20"/>
                <w:szCs w:val="20"/>
                <w:color w:val="auto"/>
              </w:rPr>
            </w:pPr>
            <w:r>
              <w:rPr>
                <w:rFonts w:ascii="Arial" w:cs="Arial" w:eastAsia="Arial" w:hAnsi="Arial"/>
                <w:sz w:val="16"/>
                <w:szCs w:val="16"/>
                <w:b w:val="1"/>
                <w:bCs w:val="1"/>
                <w:color w:val="00053B"/>
              </w:rPr>
              <w:t>Named Executive Officers that are not Directors</w:t>
            </w:r>
          </w:p>
        </w:tc>
        <w:tc>
          <w:tcPr>
            <w:tcW w:w="3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Gary Merrill</w:t>
            </w:r>
          </w:p>
        </w:tc>
        <w:tc>
          <w:tcPr>
            <w:tcW w:w="3480" w:type="dxa"/>
            <w:vAlign w:val="bottom"/>
            <w:shd w:val="clear" w:color="auto" w:fill="EAEAEA"/>
          </w:tcPr>
          <w:p>
            <w:pPr>
              <w:jc w:val="right"/>
              <w:ind w:right="700"/>
              <w:spacing w:after="0"/>
              <w:rPr>
                <w:sz w:val="20"/>
                <w:szCs w:val="20"/>
                <w:color w:val="auto"/>
              </w:rPr>
            </w:pPr>
            <w:r>
              <w:rPr>
                <w:rFonts w:ascii="Arial" w:cs="Arial" w:eastAsia="Arial" w:hAnsi="Arial"/>
                <w:sz w:val="16"/>
                <w:szCs w:val="16"/>
                <w:color w:val="00053B"/>
              </w:rPr>
              <w:t>27,599</w:t>
            </w:r>
          </w:p>
        </w:tc>
        <w:tc>
          <w:tcPr>
            <w:tcW w:w="172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w:t>
            </w:r>
          </w:p>
        </w:tc>
        <w:tc>
          <w:tcPr>
            <w:tcW w:w="0" w:type="dxa"/>
            <w:vAlign w:val="bottom"/>
          </w:tcPr>
          <w:p>
            <w:pPr>
              <w:spacing w:after="0"/>
              <w:rPr>
                <w:sz w:val="1"/>
                <w:szCs w:val="1"/>
                <w:color w:val="auto"/>
              </w:rPr>
            </w:pPr>
          </w:p>
        </w:tc>
      </w:tr>
      <w:tr>
        <w:trPr>
          <w:trHeight w:val="215"/>
        </w:trPr>
        <w:tc>
          <w:tcPr>
            <w:tcW w:w="6040" w:type="dxa"/>
            <w:vAlign w:val="bottom"/>
          </w:tcPr>
          <w:p>
            <w:pPr>
              <w:ind w:left="120"/>
              <w:spacing w:after="0"/>
              <w:rPr>
                <w:sz w:val="20"/>
                <w:szCs w:val="20"/>
                <w:color w:val="auto"/>
              </w:rPr>
            </w:pPr>
            <w:r>
              <w:rPr>
                <w:rFonts w:ascii="Arial" w:cs="Arial" w:eastAsia="Arial" w:hAnsi="Arial"/>
                <w:sz w:val="16"/>
                <w:szCs w:val="16"/>
                <w:color w:val="00053B"/>
              </w:rPr>
              <w:t>Riccardo Di Blasio(2)</w:t>
            </w:r>
          </w:p>
        </w:tc>
        <w:tc>
          <w:tcPr>
            <w:tcW w:w="3480" w:type="dxa"/>
            <w:vAlign w:val="bottom"/>
          </w:tcPr>
          <w:p>
            <w:pPr>
              <w:jc w:val="right"/>
              <w:ind w:right="700"/>
              <w:spacing w:after="0"/>
              <w:rPr>
                <w:sz w:val="20"/>
                <w:szCs w:val="20"/>
                <w:color w:val="auto"/>
              </w:rPr>
            </w:pPr>
            <w:r>
              <w:rPr>
                <w:rFonts w:ascii="Arial" w:cs="Arial" w:eastAsia="Arial" w:hAnsi="Arial"/>
                <w:sz w:val="16"/>
                <w:szCs w:val="16"/>
                <w:color w:val="00053B"/>
              </w:rPr>
              <w:t>—</w:t>
            </w:r>
          </w:p>
        </w:tc>
        <w:tc>
          <w:tcPr>
            <w:tcW w:w="1720" w:type="dxa"/>
            <w:vAlign w:val="bottom"/>
          </w:tcPr>
          <w:p>
            <w:pPr>
              <w:jc w:val="right"/>
              <w:ind w:right="21"/>
              <w:spacing w:after="0"/>
              <w:rPr>
                <w:sz w:val="20"/>
                <w:szCs w:val="20"/>
                <w:color w:val="auto"/>
              </w:rPr>
            </w:pPr>
            <w:r>
              <w:rPr>
                <w:rFonts w:ascii="Arial" w:cs="Arial" w:eastAsia="Arial" w:hAnsi="Arial"/>
                <w:sz w:val="16"/>
                <w:szCs w:val="16"/>
                <w:color w:val="00053B"/>
              </w:rPr>
              <w:t>—</w:t>
            </w:r>
          </w:p>
        </w:tc>
        <w:tc>
          <w:tcPr>
            <w:tcW w:w="0" w:type="dxa"/>
            <w:vAlign w:val="bottom"/>
          </w:tcPr>
          <w:p>
            <w:pPr>
              <w:spacing w:after="0"/>
              <w:rPr>
                <w:sz w:val="1"/>
                <w:szCs w:val="1"/>
                <w:color w:val="auto"/>
              </w:rPr>
            </w:pPr>
          </w:p>
        </w:tc>
      </w:tr>
      <w:tr>
        <w:trPr>
          <w:trHeight w:val="230"/>
        </w:trPr>
        <w:tc>
          <w:tcPr>
            <w:tcW w:w="6040" w:type="dxa"/>
            <w:vAlign w:val="bottom"/>
            <w:shd w:val="clear" w:color="auto" w:fill="00053B"/>
          </w:tcPr>
          <w:p>
            <w:pPr>
              <w:ind w:left="120"/>
              <w:spacing w:after="0"/>
              <w:rPr>
                <w:sz w:val="20"/>
                <w:szCs w:val="20"/>
                <w:color w:val="auto"/>
              </w:rPr>
            </w:pPr>
            <w:r>
              <w:rPr>
                <w:rFonts w:ascii="Arial" w:cs="Arial" w:eastAsia="Arial" w:hAnsi="Arial"/>
                <w:sz w:val="16"/>
                <w:szCs w:val="16"/>
                <w:color w:val="FFFFFF"/>
              </w:rPr>
              <w:t>All directors and executive officers as a group (11 individuals)</w:t>
            </w:r>
          </w:p>
        </w:tc>
        <w:tc>
          <w:tcPr>
            <w:tcW w:w="3480" w:type="dxa"/>
            <w:vAlign w:val="bottom"/>
            <w:shd w:val="clear" w:color="auto" w:fill="00053B"/>
          </w:tcPr>
          <w:p>
            <w:pPr>
              <w:jc w:val="right"/>
              <w:ind w:right="700"/>
              <w:spacing w:after="0"/>
              <w:rPr>
                <w:sz w:val="20"/>
                <w:szCs w:val="20"/>
                <w:color w:val="auto"/>
              </w:rPr>
            </w:pPr>
            <w:r>
              <w:rPr>
                <w:rFonts w:ascii="Arial" w:cs="Arial" w:eastAsia="Arial" w:hAnsi="Arial"/>
                <w:sz w:val="16"/>
                <w:szCs w:val="16"/>
                <w:color w:val="FFFFFF"/>
              </w:rPr>
              <w:t>361,151</w:t>
            </w:r>
          </w:p>
        </w:tc>
        <w:tc>
          <w:tcPr>
            <w:tcW w:w="1720" w:type="dxa"/>
            <w:vAlign w:val="bottom"/>
            <w:shd w:val="clear" w:color="auto" w:fill="00053B"/>
          </w:tcPr>
          <w:p>
            <w:pPr>
              <w:jc w:val="right"/>
              <w:spacing w:after="0"/>
              <w:rPr>
                <w:sz w:val="20"/>
                <w:szCs w:val="20"/>
                <w:color w:val="auto"/>
              </w:rPr>
            </w:pPr>
            <w:r>
              <w:rPr>
                <w:rFonts w:ascii="Arial" w:cs="Arial" w:eastAsia="Arial" w:hAnsi="Arial"/>
                <w:sz w:val="16"/>
                <w:szCs w:val="16"/>
                <w:color w:val="FFFFFF"/>
              </w:rPr>
              <w:t>1%</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00" w:hanging="192"/>
        <w:spacing w:after="0"/>
        <w:tabs>
          <w:tab w:leader="none" w:pos="200" w:val="left"/>
        </w:tabs>
        <w:numPr>
          <w:ilvl w:val="0"/>
          <w:numId w:val="28"/>
        </w:numPr>
        <w:rPr>
          <w:rFonts w:ascii="Arial" w:cs="Arial" w:eastAsia="Arial" w:hAnsi="Arial"/>
          <w:sz w:val="13"/>
          <w:szCs w:val="13"/>
          <w:color w:val="00053B"/>
        </w:rPr>
      </w:pPr>
      <w:r>
        <w:rPr>
          <w:rFonts w:ascii="Arial" w:cs="Arial" w:eastAsia="Arial" w:hAnsi="Arial"/>
          <w:sz w:val="13"/>
          <w:szCs w:val="13"/>
          <w:color w:val="00053B"/>
        </w:rPr>
        <w:t>Less than 1%</w:t>
      </w:r>
    </w:p>
    <w:p>
      <w:pPr>
        <w:spacing w:after="0" w:line="53"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3"/>
          <w:szCs w:val="13"/>
          <w:color w:val="00053B"/>
        </w:rPr>
      </w:pPr>
      <w:r>
        <w:rPr>
          <w:rFonts w:ascii="Arial" w:cs="Arial" w:eastAsia="Arial" w:hAnsi="Arial"/>
          <w:sz w:val="13"/>
          <w:szCs w:val="13"/>
          <w:color w:val="00053B"/>
        </w:rPr>
        <w:t>Includes options to acquire 5,000 shares of common stock that are exercisable within 60 days of May 31, 2024.</w:t>
      </w:r>
    </w:p>
    <w:p>
      <w:pPr>
        <w:spacing w:after="0" w:line="66" w:lineRule="exact"/>
        <w:rPr>
          <w:rFonts w:ascii="Arial" w:cs="Arial" w:eastAsia="Arial" w:hAnsi="Arial"/>
          <w:sz w:val="13"/>
          <w:szCs w:val="13"/>
          <w:color w:val="00053B"/>
        </w:rPr>
      </w:pPr>
    </w:p>
    <w:p>
      <w:pPr>
        <w:ind w:left="260" w:hanging="252"/>
        <w:spacing w:after="0"/>
        <w:tabs>
          <w:tab w:leader="none" w:pos="260" w:val="left"/>
        </w:tabs>
        <w:numPr>
          <w:ilvl w:val="0"/>
          <w:numId w:val="29"/>
        </w:numPr>
        <w:rPr>
          <w:rFonts w:ascii="Arial" w:cs="Arial" w:eastAsia="Arial" w:hAnsi="Arial"/>
          <w:sz w:val="13"/>
          <w:szCs w:val="13"/>
          <w:color w:val="00053B"/>
        </w:rPr>
      </w:pPr>
      <w:r>
        <w:rPr>
          <w:rFonts w:ascii="Arial" w:cs="Arial" w:eastAsia="Arial" w:hAnsi="Arial"/>
          <w:sz w:val="13"/>
          <w:szCs w:val="13"/>
          <w:color w:val="00053B"/>
        </w:rPr>
        <w:t>Mr. Di Blasio resigned as Chief Revenue Officer (“CRO”) effective January 12, 2024. He did not own any shares of common stock as of May 31, 2024.</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CERTAIN OTHER STOCKHOLDERS</w:t>
      </w:r>
    </w:p>
    <w:p>
      <w:pPr>
        <w:spacing w:after="0" w:line="6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00053B"/>
        </w:rPr>
        <w:t>The following table sets forth, as of May 31, 2024 (except to the extent otherwise indicated), certain information regarding the persons known by us to be the beneficial owner of more than 5% of our outstanding common stock. Except as otherwise noted, each entity exercises sole voting power and investment power over the shares of voting securities shown.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vMerge w:val="restart"/>
          </w:tcPr>
          <w:p>
            <w:pPr>
              <w:ind w:left="140"/>
              <w:spacing w:after="0"/>
              <w:rPr>
                <w:sz w:val="20"/>
                <w:szCs w:val="20"/>
                <w:color w:val="auto"/>
              </w:rPr>
            </w:pPr>
            <w:r>
              <w:rPr>
                <w:rFonts w:ascii="Arial" w:cs="Arial" w:eastAsia="Arial" w:hAnsi="Arial"/>
                <w:sz w:val="14"/>
                <w:szCs w:val="14"/>
                <w:color w:val="00053B"/>
              </w:rPr>
              <w:t>Name and Address of Beneficial Owner</w:t>
            </w:r>
          </w:p>
        </w:tc>
        <w:tc>
          <w:tcPr>
            <w:tcW w:w="4260" w:type="dxa"/>
            <w:vAlign w:val="bottom"/>
          </w:tcPr>
          <w:p>
            <w:pPr>
              <w:ind w:left="2560"/>
              <w:spacing w:after="0"/>
              <w:rPr>
                <w:sz w:val="20"/>
                <w:szCs w:val="20"/>
                <w:color w:val="auto"/>
              </w:rPr>
            </w:pPr>
            <w:r>
              <w:rPr>
                <w:rFonts w:ascii="Arial" w:cs="Arial" w:eastAsia="Arial" w:hAnsi="Arial"/>
                <w:sz w:val="14"/>
                <w:szCs w:val="14"/>
                <w:color w:val="00053B"/>
              </w:rPr>
              <w:t>Shares of Common</w:t>
            </w:r>
          </w:p>
        </w:tc>
        <w:tc>
          <w:tcPr>
            <w:tcW w:w="1780" w:type="dxa"/>
            <w:vAlign w:val="bottom"/>
          </w:tcPr>
          <w:p>
            <w:pPr>
              <w:jc w:val="right"/>
              <w:spacing w:after="0"/>
              <w:rPr>
                <w:sz w:val="20"/>
                <w:szCs w:val="20"/>
                <w:color w:val="auto"/>
              </w:rPr>
            </w:pPr>
            <w:r>
              <w:rPr>
                <w:rFonts w:ascii="Arial" w:cs="Arial" w:eastAsia="Arial" w:hAnsi="Arial"/>
                <w:sz w:val="14"/>
                <w:szCs w:val="14"/>
                <w:color w:val="00053B"/>
              </w:rPr>
              <w:t>Percent of Common</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844896"/>
            </w:tcBorders>
            <w:vMerge w:val="continue"/>
          </w:tcPr>
          <w:p>
            <w:pPr>
              <w:spacing w:after="0"/>
              <w:rPr>
                <w:sz w:val="16"/>
                <w:szCs w:val="16"/>
                <w:color w:val="auto"/>
              </w:rPr>
            </w:pPr>
          </w:p>
        </w:tc>
        <w:tc>
          <w:tcPr>
            <w:tcW w:w="4260" w:type="dxa"/>
            <w:vAlign w:val="bottom"/>
            <w:tcBorders>
              <w:bottom w:val="single" w:sz="8" w:color="844896"/>
            </w:tcBorders>
          </w:tcPr>
          <w:p>
            <w:pPr>
              <w:jc w:val="center"/>
              <w:ind w:left="2404"/>
              <w:spacing w:after="0"/>
              <w:rPr>
                <w:sz w:val="20"/>
                <w:szCs w:val="20"/>
                <w:color w:val="auto"/>
              </w:rPr>
            </w:pPr>
            <w:r>
              <w:rPr>
                <w:rFonts w:ascii="Arial" w:cs="Arial" w:eastAsia="Arial" w:hAnsi="Arial"/>
                <w:sz w:val="14"/>
                <w:szCs w:val="14"/>
                <w:color w:val="00053B"/>
              </w:rPr>
              <w:t>Stock Owned</w:t>
            </w:r>
          </w:p>
        </w:tc>
        <w:tc>
          <w:tcPr>
            <w:tcW w:w="1780" w:type="dxa"/>
            <w:vAlign w:val="bottom"/>
            <w:tcBorders>
              <w:bottom w:val="single" w:sz="8" w:color="844896"/>
            </w:tcBorders>
          </w:tcPr>
          <w:p>
            <w:pPr>
              <w:jc w:val="right"/>
              <w:spacing w:after="0"/>
              <w:rPr>
                <w:sz w:val="20"/>
                <w:szCs w:val="20"/>
                <w:color w:val="auto"/>
              </w:rPr>
            </w:pPr>
            <w:r>
              <w:rPr>
                <w:rFonts w:ascii="Arial" w:cs="Arial" w:eastAsia="Arial" w:hAnsi="Arial"/>
                <w:sz w:val="14"/>
                <w:szCs w:val="14"/>
                <w:color w:val="00053B"/>
              </w:rPr>
              <w:t>Stock Outstanding</w:t>
            </w:r>
          </w:p>
        </w:tc>
        <w:tc>
          <w:tcPr>
            <w:tcW w:w="0" w:type="dxa"/>
            <w:vAlign w:val="bottom"/>
          </w:tcPr>
          <w:p>
            <w:pPr>
              <w:spacing w:after="0"/>
              <w:rPr>
                <w:sz w:val="1"/>
                <w:szCs w:val="1"/>
                <w:color w:val="auto"/>
              </w:rPr>
            </w:pPr>
          </w:p>
        </w:tc>
      </w:tr>
      <w:tr>
        <w:trPr>
          <w:trHeight w:val="155"/>
        </w:trPr>
        <w:tc>
          <w:tcPr>
            <w:tcW w:w="5200" w:type="dxa"/>
            <w:vAlign w:val="bottom"/>
            <w:shd w:val="clear" w:color="auto" w:fill="EAEAEA"/>
          </w:tcPr>
          <w:p>
            <w:pPr>
              <w:ind w:left="120"/>
              <w:spacing w:after="0" w:line="155" w:lineRule="exact"/>
              <w:rPr>
                <w:sz w:val="20"/>
                <w:szCs w:val="20"/>
                <w:color w:val="auto"/>
              </w:rPr>
            </w:pPr>
            <w:r>
              <w:rPr>
                <w:rFonts w:ascii="Arial" w:cs="Arial" w:eastAsia="Arial" w:hAnsi="Arial"/>
                <w:sz w:val="16"/>
                <w:szCs w:val="16"/>
                <w:color w:val="00053B"/>
              </w:rPr>
              <w:t>BlackRock, Inc.(1)</w:t>
            </w:r>
          </w:p>
        </w:tc>
        <w:tc>
          <w:tcPr>
            <w:tcW w:w="4260" w:type="dxa"/>
            <w:vAlign w:val="bottom"/>
            <w:vMerge w:val="restart"/>
            <w:shd w:val="clear" w:color="auto" w:fill="EAEAEA"/>
          </w:tcPr>
          <w:p>
            <w:pPr>
              <w:jc w:val="center"/>
              <w:ind w:left="2384"/>
              <w:spacing w:after="0"/>
              <w:rPr>
                <w:sz w:val="20"/>
                <w:szCs w:val="20"/>
                <w:color w:val="auto"/>
              </w:rPr>
            </w:pPr>
            <w:r>
              <w:rPr>
                <w:rFonts w:ascii="Arial" w:cs="Arial" w:eastAsia="Arial" w:hAnsi="Arial"/>
                <w:sz w:val="16"/>
                <w:szCs w:val="16"/>
                <w:color w:val="00053B"/>
              </w:rPr>
              <w:t>6,195,065</w:t>
            </w:r>
          </w:p>
        </w:tc>
        <w:tc>
          <w:tcPr>
            <w:tcW w:w="1780" w:type="dxa"/>
            <w:vAlign w:val="bottom"/>
            <w:vMerge w:val="restart"/>
            <w:shd w:val="clear" w:color="auto" w:fill="EAEAEA"/>
          </w:tcPr>
          <w:p>
            <w:pPr>
              <w:jc w:val="right"/>
              <w:ind w:right="24"/>
              <w:spacing w:after="0"/>
              <w:rPr>
                <w:sz w:val="20"/>
                <w:szCs w:val="20"/>
                <w:color w:val="auto"/>
              </w:rPr>
            </w:pPr>
            <w:r>
              <w:rPr>
                <w:rFonts w:ascii="Arial" w:cs="Arial" w:eastAsia="Arial" w:hAnsi="Arial"/>
                <w:sz w:val="16"/>
                <w:szCs w:val="16"/>
                <w:color w:val="00053B"/>
              </w:rPr>
              <w:t>14.1%</w:t>
            </w:r>
          </w:p>
        </w:tc>
        <w:tc>
          <w:tcPr>
            <w:tcW w:w="0" w:type="dxa"/>
            <w:vAlign w:val="bottom"/>
          </w:tcPr>
          <w:p>
            <w:pPr>
              <w:spacing w:after="0"/>
              <w:rPr>
                <w:sz w:val="1"/>
                <w:szCs w:val="1"/>
                <w:color w:val="auto"/>
              </w:rPr>
            </w:pPr>
          </w:p>
        </w:tc>
      </w:tr>
      <w:tr>
        <w:trPr>
          <w:trHeight w:val="162"/>
        </w:trPr>
        <w:tc>
          <w:tcPr>
            <w:tcW w:w="5200" w:type="dxa"/>
            <w:vAlign w:val="bottom"/>
            <w:shd w:val="clear" w:color="auto" w:fill="EAEAEA"/>
          </w:tcPr>
          <w:p>
            <w:pPr>
              <w:ind w:left="120"/>
              <w:spacing w:after="0" w:line="162" w:lineRule="exact"/>
              <w:rPr>
                <w:sz w:val="20"/>
                <w:szCs w:val="20"/>
                <w:color w:val="auto"/>
              </w:rPr>
            </w:pPr>
            <w:r>
              <w:rPr>
                <w:rFonts w:ascii="Arial" w:cs="Arial" w:eastAsia="Arial" w:hAnsi="Arial"/>
                <w:sz w:val="16"/>
                <w:szCs w:val="16"/>
                <w:color w:val="00053B"/>
              </w:rPr>
              <w:t>50 Hudson Yards</w:t>
            </w:r>
          </w:p>
        </w:tc>
        <w:tc>
          <w:tcPr>
            <w:tcW w:w="4260" w:type="dxa"/>
            <w:vAlign w:val="bottom"/>
            <w:vMerge w:val="continue"/>
            <w:shd w:val="clear" w:color="auto" w:fill="EAEAEA"/>
          </w:tcPr>
          <w:p>
            <w:pPr>
              <w:spacing w:after="0"/>
              <w:rPr>
                <w:sz w:val="14"/>
                <w:szCs w:val="14"/>
                <w:color w:val="auto"/>
              </w:rPr>
            </w:pPr>
          </w:p>
        </w:tc>
        <w:tc>
          <w:tcPr>
            <w:tcW w:w="1780" w:type="dxa"/>
            <w:vAlign w:val="bottom"/>
            <w:vMerge w:val="continue"/>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New York, NY 10001</w:t>
            </w:r>
          </w:p>
        </w:tc>
        <w:tc>
          <w:tcPr>
            <w:tcW w:w="4260" w:type="dxa"/>
            <w:vAlign w:val="bottom"/>
            <w:shd w:val="clear" w:color="auto" w:fill="EAEAEA"/>
          </w:tcPr>
          <w:p>
            <w:pPr>
              <w:spacing w:after="0"/>
              <w:rPr>
                <w:sz w:val="19"/>
                <w:szCs w:val="19"/>
                <w:color w:val="auto"/>
              </w:rPr>
            </w:pPr>
          </w:p>
        </w:tc>
        <w:tc>
          <w:tcPr>
            <w:tcW w:w="178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200" w:type="dxa"/>
            <w:vAlign w:val="bottom"/>
          </w:tcPr>
          <w:p>
            <w:pPr>
              <w:ind w:left="120"/>
              <w:spacing w:after="0" w:line="162" w:lineRule="exact"/>
              <w:rPr>
                <w:sz w:val="20"/>
                <w:szCs w:val="20"/>
                <w:color w:val="auto"/>
              </w:rPr>
            </w:pPr>
            <w:r>
              <w:rPr>
                <w:rFonts w:ascii="Arial" w:cs="Arial" w:eastAsia="Arial" w:hAnsi="Arial"/>
                <w:sz w:val="16"/>
                <w:szCs w:val="16"/>
                <w:color w:val="00053B"/>
              </w:rPr>
              <w:t>Vanguard Group, Inc.(2)</w:t>
            </w:r>
          </w:p>
        </w:tc>
        <w:tc>
          <w:tcPr>
            <w:tcW w:w="4260" w:type="dxa"/>
            <w:vAlign w:val="bottom"/>
            <w:vMerge w:val="restart"/>
          </w:tcPr>
          <w:p>
            <w:pPr>
              <w:jc w:val="center"/>
              <w:ind w:left="2384"/>
              <w:spacing w:after="0"/>
              <w:rPr>
                <w:sz w:val="20"/>
                <w:szCs w:val="20"/>
                <w:color w:val="auto"/>
              </w:rPr>
            </w:pPr>
            <w:r>
              <w:rPr>
                <w:rFonts w:ascii="Arial" w:cs="Arial" w:eastAsia="Arial" w:hAnsi="Arial"/>
                <w:sz w:val="16"/>
                <w:szCs w:val="16"/>
                <w:color w:val="00053B"/>
              </w:rPr>
              <w:t>5,488,370</w:t>
            </w:r>
          </w:p>
        </w:tc>
        <w:tc>
          <w:tcPr>
            <w:tcW w:w="1780" w:type="dxa"/>
            <w:vAlign w:val="bottom"/>
            <w:vMerge w:val="restart"/>
          </w:tcPr>
          <w:p>
            <w:pPr>
              <w:jc w:val="right"/>
              <w:ind w:right="24"/>
              <w:spacing w:after="0"/>
              <w:rPr>
                <w:sz w:val="20"/>
                <w:szCs w:val="20"/>
                <w:color w:val="auto"/>
              </w:rPr>
            </w:pPr>
            <w:r>
              <w:rPr>
                <w:rFonts w:ascii="Arial" w:cs="Arial" w:eastAsia="Arial" w:hAnsi="Arial"/>
                <w:sz w:val="16"/>
                <w:szCs w:val="16"/>
                <w:color w:val="00053B"/>
              </w:rPr>
              <w:t>12.5%</w:t>
            </w:r>
          </w:p>
        </w:tc>
        <w:tc>
          <w:tcPr>
            <w:tcW w:w="0" w:type="dxa"/>
            <w:vAlign w:val="bottom"/>
          </w:tcPr>
          <w:p>
            <w:pPr>
              <w:spacing w:after="0"/>
              <w:rPr>
                <w:sz w:val="1"/>
                <w:szCs w:val="1"/>
                <w:color w:val="auto"/>
              </w:rPr>
            </w:pPr>
          </w:p>
        </w:tc>
      </w:tr>
      <w:tr>
        <w:trPr>
          <w:trHeight w:val="162"/>
        </w:trPr>
        <w:tc>
          <w:tcPr>
            <w:tcW w:w="5200" w:type="dxa"/>
            <w:vAlign w:val="bottom"/>
          </w:tcPr>
          <w:p>
            <w:pPr>
              <w:ind w:left="120"/>
              <w:spacing w:after="0" w:line="162" w:lineRule="exact"/>
              <w:rPr>
                <w:sz w:val="20"/>
                <w:szCs w:val="20"/>
                <w:color w:val="auto"/>
              </w:rPr>
            </w:pPr>
            <w:r>
              <w:rPr>
                <w:rFonts w:ascii="Arial" w:cs="Arial" w:eastAsia="Arial" w:hAnsi="Arial"/>
                <w:sz w:val="16"/>
                <w:szCs w:val="16"/>
                <w:color w:val="00053B"/>
              </w:rPr>
              <w:t>100 Vanguard Blvd.</w:t>
            </w:r>
          </w:p>
        </w:tc>
        <w:tc>
          <w:tcPr>
            <w:tcW w:w="4260" w:type="dxa"/>
            <w:vAlign w:val="bottom"/>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200" w:type="dxa"/>
            <w:vAlign w:val="bottom"/>
          </w:tcPr>
          <w:p>
            <w:pPr>
              <w:ind w:left="120"/>
              <w:spacing w:after="0"/>
              <w:rPr>
                <w:sz w:val="20"/>
                <w:szCs w:val="20"/>
                <w:color w:val="auto"/>
              </w:rPr>
            </w:pPr>
            <w:r>
              <w:rPr>
                <w:rFonts w:ascii="Arial" w:cs="Arial" w:eastAsia="Arial" w:hAnsi="Arial"/>
                <w:sz w:val="16"/>
                <w:szCs w:val="16"/>
                <w:color w:val="00053B"/>
              </w:rPr>
              <w:t>Malvern, PA 19355</w:t>
            </w:r>
          </w:p>
        </w:tc>
        <w:tc>
          <w:tcPr>
            <w:tcW w:w="4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340" w:right="300" w:hanging="332"/>
        <w:spacing w:after="0" w:line="264" w:lineRule="auto"/>
        <w:tabs>
          <w:tab w:leader="none" w:pos="255" w:val="left"/>
        </w:tabs>
        <w:numPr>
          <w:ilvl w:val="0"/>
          <w:numId w:val="30"/>
        </w:numPr>
        <w:rPr>
          <w:rFonts w:ascii="Arial" w:cs="Arial" w:eastAsia="Arial" w:hAnsi="Arial"/>
          <w:sz w:val="13"/>
          <w:szCs w:val="13"/>
          <w:color w:val="00053B"/>
        </w:rPr>
      </w:pPr>
      <w:r>
        <w:rPr>
          <w:rFonts w:ascii="Arial" w:cs="Arial" w:eastAsia="Arial" w:hAnsi="Arial"/>
          <w:sz w:val="13"/>
          <w:szCs w:val="13"/>
          <w:color w:val="00053B"/>
        </w:rPr>
        <w:t>Based solely on a Schedule 13G/A filed on January 23, 2024, by BlackRock, Inc., except for Percent of Common Stock Outstanding. BlackRock, Inc. reported it held 6,104,166 shares with sole voting power, 0 shares with shared voting power, 6,195,065 shares with sole dispositive power, and 0 shares with shared dispositive power.</w:t>
      </w:r>
    </w:p>
    <w:p>
      <w:pPr>
        <w:spacing w:after="0" w:line="22" w:lineRule="exact"/>
        <w:rPr>
          <w:rFonts w:ascii="Arial" w:cs="Arial" w:eastAsia="Arial" w:hAnsi="Arial"/>
          <w:sz w:val="13"/>
          <w:szCs w:val="13"/>
          <w:color w:val="00053B"/>
        </w:rPr>
      </w:pPr>
    </w:p>
    <w:p>
      <w:pPr>
        <w:ind w:left="340" w:right="100" w:hanging="332"/>
        <w:spacing w:after="0" w:line="264" w:lineRule="auto"/>
        <w:tabs>
          <w:tab w:leader="none" w:pos="255" w:val="left"/>
        </w:tabs>
        <w:numPr>
          <w:ilvl w:val="0"/>
          <w:numId w:val="30"/>
        </w:numPr>
        <w:rPr>
          <w:rFonts w:ascii="Arial" w:cs="Arial" w:eastAsia="Arial" w:hAnsi="Arial"/>
          <w:sz w:val="13"/>
          <w:szCs w:val="13"/>
          <w:color w:val="00053B"/>
        </w:rPr>
      </w:pPr>
      <w:r>
        <w:rPr>
          <w:rFonts w:ascii="Arial" w:cs="Arial" w:eastAsia="Arial" w:hAnsi="Arial"/>
          <w:sz w:val="13"/>
          <w:szCs w:val="13"/>
          <w:color w:val="00053B"/>
        </w:rPr>
        <w:t>Based solely on a Schedule 13G/A filed on February 13, 2024, by Vanguard Group, Inc., except for Percent of Common Stock Outstanding. The Vanguard Group, Inc. reported it held 0 shares with sole voting power, 77,230 shares with shared voting power, 5,365,649 shares with sole dispositive power and 122,721 shares with 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26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15175" cy="1028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CORPORATE GOVERNANCE | </w:t>
      </w:r>
      <w:r>
        <w:rPr>
          <w:rFonts w:ascii="Arial" w:cs="Arial" w:eastAsia="Arial" w:hAnsi="Arial"/>
          <w:sz w:val="11"/>
          <w:szCs w:val="11"/>
          <w:b w:val="1"/>
          <w:bCs w:val="1"/>
          <w:color w:val="00053B"/>
        </w:rPr>
        <w:t>FISCAL 2024 EQUITY COMPENSATION PLAN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Fiscal 2024 Equity Compensation Plan Information</w:t>
      </w:r>
    </w:p>
    <w:p>
      <w:pPr>
        <w:spacing w:after="0" w:line="7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00053B"/>
        </w:rPr>
        <w:t>The following table provides information as of March 31, 2024 with respect to the shares of our Common Stock that may be issuable upon the exercise of options, warrants and rights.</w:t>
      </w:r>
    </w:p>
    <w:p>
      <w:pPr>
        <w:spacing w:after="0" w:line="24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920" w:type="dxa"/>
            <w:vAlign w:val="bottom"/>
            <w:vMerge w:val="restart"/>
          </w:tcPr>
          <w:p>
            <w:pPr>
              <w:jc w:val="right"/>
              <w:ind w:right="328"/>
              <w:spacing w:after="0"/>
              <w:rPr>
                <w:sz w:val="20"/>
                <w:szCs w:val="20"/>
                <w:color w:val="auto"/>
              </w:rPr>
            </w:pPr>
            <w:r>
              <w:rPr>
                <w:rFonts w:ascii="Arial" w:cs="Arial" w:eastAsia="Arial" w:hAnsi="Arial"/>
                <w:sz w:val="14"/>
                <w:szCs w:val="14"/>
                <w:color w:val="00053B"/>
              </w:rPr>
              <w:t>Weighted-Average</w:t>
            </w:r>
          </w:p>
        </w:tc>
        <w:tc>
          <w:tcPr>
            <w:tcW w:w="2320" w:type="dxa"/>
            <w:vAlign w:val="bottom"/>
          </w:tcPr>
          <w:p>
            <w:pPr>
              <w:jc w:val="right"/>
              <w:spacing w:after="0"/>
              <w:rPr>
                <w:sz w:val="20"/>
                <w:szCs w:val="20"/>
                <w:color w:val="auto"/>
              </w:rPr>
            </w:pPr>
            <w:r>
              <w:rPr>
                <w:rFonts w:ascii="Arial" w:cs="Arial" w:eastAsia="Arial" w:hAnsi="Arial"/>
                <w:sz w:val="14"/>
                <w:szCs w:val="14"/>
                <w:color w:val="00053B"/>
              </w:rPr>
              <w:t>Number of Securities</w:t>
            </w: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4000" w:type="dxa"/>
            <w:vAlign w:val="bottom"/>
            <w:vMerge w:val="restart"/>
          </w:tcPr>
          <w:p>
            <w:pPr>
              <w:jc w:val="right"/>
              <w:ind w:right="268"/>
              <w:spacing w:after="0"/>
              <w:rPr>
                <w:sz w:val="20"/>
                <w:szCs w:val="20"/>
                <w:color w:val="auto"/>
              </w:rPr>
            </w:pPr>
            <w:r>
              <w:rPr>
                <w:rFonts w:ascii="Arial" w:cs="Arial" w:eastAsia="Arial" w:hAnsi="Arial"/>
                <w:sz w:val="14"/>
                <w:szCs w:val="14"/>
                <w:color w:val="00053B"/>
              </w:rPr>
              <w:t>Number of Securities to be</w:t>
            </w:r>
          </w:p>
        </w:tc>
        <w:tc>
          <w:tcPr>
            <w:tcW w:w="1920" w:type="dxa"/>
            <w:vAlign w:val="bottom"/>
            <w:vMerge w:val="continue"/>
          </w:tcPr>
          <w:p>
            <w:pPr>
              <w:spacing w:after="0"/>
              <w:rPr>
                <w:sz w:val="12"/>
                <w:szCs w:val="12"/>
                <w:color w:val="auto"/>
              </w:rPr>
            </w:pPr>
          </w:p>
        </w:tc>
        <w:tc>
          <w:tcPr>
            <w:tcW w:w="2320" w:type="dxa"/>
            <w:vAlign w:val="bottom"/>
          </w:tcPr>
          <w:p>
            <w:pPr>
              <w:jc w:val="right"/>
              <w:spacing w:after="0" w:line="145" w:lineRule="exact"/>
              <w:rPr>
                <w:sz w:val="20"/>
                <w:szCs w:val="20"/>
                <w:color w:val="auto"/>
              </w:rPr>
            </w:pPr>
            <w:r>
              <w:rPr>
                <w:rFonts w:ascii="Arial" w:cs="Arial" w:eastAsia="Arial" w:hAnsi="Arial"/>
                <w:sz w:val="14"/>
                <w:szCs w:val="14"/>
                <w:color w:val="00053B"/>
              </w:rPr>
              <w:t>that Remained Available for</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4000" w:type="dxa"/>
            <w:vAlign w:val="bottom"/>
            <w:vMerge w:val="continue"/>
          </w:tcPr>
          <w:p>
            <w:pPr>
              <w:spacing w:after="0"/>
              <w:rPr>
                <w:sz w:val="11"/>
                <w:szCs w:val="11"/>
                <w:color w:val="auto"/>
              </w:rPr>
            </w:pPr>
          </w:p>
        </w:tc>
        <w:tc>
          <w:tcPr>
            <w:tcW w:w="1920" w:type="dxa"/>
            <w:vAlign w:val="bottom"/>
          </w:tcPr>
          <w:p>
            <w:pPr>
              <w:jc w:val="right"/>
              <w:ind w:right="328"/>
              <w:spacing w:after="0" w:line="135" w:lineRule="exact"/>
              <w:rPr>
                <w:sz w:val="20"/>
                <w:szCs w:val="20"/>
                <w:color w:val="auto"/>
              </w:rPr>
            </w:pPr>
            <w:r>
              <w:rPr>
                <w:rFonts w:ascii="Arial" w:cs="Arial" w:eastAsia="Arial" w:hAnsi="Arial"/>
                <w:sz w:val="14"/>
                <w:szCs w:val="14"/>
                <w:color w:val="00053B"/>
              </w:rPr>
              <w:t>Exercise Price of</w:t>
            </w:r>
          </w:p>
        </w:tc>
        <w:tc>
          <w:tcPr>
            <w:tcW w:w="2320" w:type="dxa"/>
            <w:vAlign w:val="bottom"/>
          </w:tcPr>
          <w:p>
            <w:pPr>
              <w:jc w:val="right"/>
              <w:spacing w:after="0" w:line="135" w:lineRule="exact"/>
              <w:rPr>
                <w:sz w:val="20"/>
                <w:szCs w:val="20"/>
                <w:color w:val="auto"/>
              </w:rPr>
            </w:pPr>
            <w:r>
              <w:rPr>
                <w:rFonts w:ascii="Arial" w:cs="Arial" w:eastAsia="Arial" w:hAnsi="Arial"/>
                <w:sz w:val="14"/>
                <w:szCs w:val="14"/>
                <w:color w:val="00053B"/>
              </w:rPr>
              <w:t>Future Issuance Under Equity</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4000" w:type="dxa"/>
            <w:vAlign w:val="bottom"/>
          </w:tcPr>
          <w:p>
            <w:pPr>
              <w:jc w:val="right"/>
              <w:ind w:right="268"/>
              <w:spacing w:after="0" w:line="149" w:lineRule="exact"/>
              <w:rPr>
                <w:sz w:val="20"/>
                <w:szCs w:val="20"/>
                <w:color w:val="auto"/>
              </w:rPr>
            </w:pPr>
            <w:r>
              <w:rPr>
                <w:rFonts w:ascii="Arial" w:cs="Arial" w:eastAsia="Arial" w:hAnsi="Arial"/>
                <w:sz w:val="14"/>
                <w:szCs w:val="14"/>
                <w:color w:val="00053B"/>
              </w:rPr>
              <w:t>Issued Upon Exercise of</w:t>
            </w:r>
          </w:p>
        </w:tc>
        <w:tc>
          <w:tcPr>
            <w:tcW w:w="1920" w:type="dxa"/>
            <w:vAlign w:val="bottom"/>
          </w:tcPr>
          <w:p>
            <w:pPr>
              <w:jc w:val="right"/>
              <w:ind w:right="328"/>
              <w:spacing w:after="0" w:line="149" w:lineRule="exact"/>
              <w:rPr>
                <w:sz w:val="20"/>
                <w:szCs w:val="20"/>
                <w:color w:val="auto"/>
              </w:rPr>
            </w:pPr>
            <w:r>
              <w:rPr>
                <w:rFonts w:ascii="Arial" w:cs="Arial" w:eastAsia="Arial" w:hAnsi="Arial"/>
                <w:sz w:val="14"/>
                <w:szCs w:val="14"/>
                <w:color w:val="00053B"/>
              </w:rPr>
              <w:t>Outstanding</w:t>
            </w:r>
          </w:p>
        </w:tc>
        <w:tc>
          <w:tcPr>
            <w:tcW w:w="2320" w:type="dxa"/>
            <w:vAlign w:val="bottom"/>
          </w:tcPr>
          <w:p>
            <w:pPr>
              <w:jc w:val="right"/>
              <w:spacing w:after="0" w:line="149" w:lineRule="exact"/>
              <w:rPr>
                <w:sz w:val="20"/>
                <w:szCs w:val="20"/>
                <w:color w:val="auto"/>
              </w:rPr>
            </w:pPr>
            <w:r>
              <w:rPr>
                <w:rFonts w:ascii="Arial" w:cs="Arial" w:eastAsia="Arial" w:hAnsi="Arial"/>
                <w:sz w:val="14"/>
                <w:szCs w:val="14"/>
                <w:color w:val="00053B"/>
              </w:rPr>
              <w:t>Plans (Excluding</w:t>
            </w:r>
          </w:p>
        </w:tc>
        <w:tc>
          <w:tcPr>
            <w:tcW w:w="0" w:type="dxa"/>
            <w:vAlign w:val="bottom"/>
          </w:tcPr>
          <w:p>
            <w:pPr>
              <w:spacing w:after="0"/>
              <w:rPr>
                <w:sz w:val="1"/>
                <w:szCs w:val="1"/>
                <w:color w:val="auto"/>
              </w:rPr>
            </w:pPr>
          </w:p>
        </w:tc>
      </w:tr>
      <w:tr>
        <w:trPr>
          <w:trHeight w:val="148"/>
        </w:trPr>
        <w:tc>
          <w:tcPr>
            <w:tcW w:w="2840" w:type="dxa"/>
            <w:vAlign w:val="bottom"/>
            <w:vMerge w:val="restart"/>
          </w:tcPr>
          <w:p>
            <w:pPr>
              <w:spacing w:after="0"/>
              <w:rPr>
                <w:sz w:val="20"/>
                <w:szCs w:val="20"/>
                <w:color w:val="auto"/>
              </w:rPr>
            </w:pPr>
            <w:r>
              <w:rPr>
                <w:rFonts w:ascii="Arial" w:cs="Arial" w:eastAsia="Arial" w:hAnsi="Arial"/>
                <w:sz w:val="14"/>
                <w:szCs w:val="14"/>
                <w:color w:val="00053B"/>
              </w:rPr>
              <w:t>Plan Category</w:t>
            </w:r>
          </w:p>
        </w:tc>
        <w:tc>
          <w:tcPr>
            <w:tcW w:w="4000" w:type="dxa"/>
            <w:vAlign w:val="bottom"/>
          </w:tcPr>
          <w:p>
            <w:pPr>
              <w:jc w:val="right"/>
              <w:ind w:right="268"/>
              <w:spacing w:after="0" w:line="149" w:lineRule="exact"/>
              <w:rPr>
                <w:sz w:val="20"/>
                <w:szCs w:val="20"/>
                <w:color w:val="auto"/>
              </w:rPr>
            </w:pPr>
            <w:r>
              <w:rPr>
                <w:rFonts w:ascii="Arial" w:cs="Arial" w:eastAsia="Arial" w:hAnsi="Arial"/>
                <w:sz w:val="14"/>
                <w:szCs w:val="14"/>
                <w:color w:val="00053B"/>
              </w:rPr>
              <w:t>Outstanding Options,</w:t>
            </w:r>
          </w:p>
        </w:tc>
        <w:tc>
          <w:tcPr>
            <w:tcW w:w="1920" w:type="dxa"/>
            <w:vAlign w:val="bottom"/>
          </w:tcPr>
          <w:p>
            <w:pPr>
              <w:jc w:val="right"/>
              <w:ind w:right="328"/>
              <w:spacing w:after="0" w:line="149" w:lineRule="exact"/>
              <w:rPr>
                <w:sz w:val="20"/>
                <w:szCs w:val="20"/>
                <w:color w:val="auto"/>
              </w:rPr>
            </w:pPr>
            <w:r>
              <w:rPr>
                <w:rFonts w:ascii="Arial" w:cs="Arial" w:eastAsia="Arial" w:hAnsi="Arial"/>
                <w:sz w:val="14"/>
                <w:szCs w:val="14"/>
                <w:color w:val="00053B"/>
              </w:rPr>
              <w:t>Options, Warrants</w:t>
            </w:r>
          </w:p>
        </w:tc>
        <w:tc>
          <w:tcPr>
            <w:tcW w:w="2320" w:type="dxa"/>
            <w:vAlign w:val="bottom"/>
          </w:tcPr>
          <w:p>
            <w:pPr>
              <w:jc w:val="right"/>
              <w:spacing w:after="0" w:line="149" w:lineRule="exact"/>
              <w:rPr>
                <w:sz w:val="20"/>
                <w:szCs w:val="20"/>
                <w:color w:val="auto"/>
              </w:rPr>
            </w:pPr>
            <w:r>
              <w:rPr>
                <w:rFonts w:ascii="Arial" w:cs="Arial" w:eastAsia="Arial" w:hAnsi="Arial"/>
                <w:sz w:val="14"/>
                <w:szCs w:val="14"/>
                <w:color w:val="00053B"/>
              </w:rPr>
              <w:t>Securities Reflected in</w:t>
            </w:r>
          </w:p>
        </w:tc>
        <w:tc>
          <w:tcPr>
            <w:tcW w:w="0" w:type="dxa"/>
            <w:vAlign w:val="bottom"/>
          </w:tcPr>
          <w:p>
            <w:pPr>
              <w:spacing w:after="0"/>
              <w:rPr>
                <w:sz w:val="1"/>
                <w:szCs w:val="1"/>
                <w:color w:val="auto"/>
              </w:rPr>
            </w:pPr>
          </w:p>
        </w:tc>
      </w:tr>
      <w:tr>
        <w:trPr>
          <w:trHeight w:val="190"/>
        </w:trPr>
        <w:tc>
          <w:tcPr>
            <w:tcW w:w="2840" w:type="dxa"/>
            <w:vAlign w:val="bottom"/>
            <w:vMerge w:val="continue"/>
          </w:tcPr>
          <w:p>
            <w:pPr>
              <w:spacing w:after="0"/>
              <w:rPr>
                <w:sz w:val="16"/>
                <w:szCs w:val="16"/>
                <w:color w:val="auto"/>
              </w:rPr>
            </w:pPr>
          </w:p>
        </w:tc>
        <w:tc>
          <w:tcPr>
            <w:tcW w:w="4000" w:type="dxa"/>
            <w:vAlign w:val="bottom"/>
          </w:tcPr>
          <w:p>
            <w:pPr>
              <w:jc w:val="right"/>
              <w:ind w:right="268"/>
              <w:spacing w:after="0"/>
              <w:rPr>
                <w:sz w:val="20"/>
                <w:szCs w:val="20"/>
                <w:color w:val="auto"/>
              </w:rPr>
            </w:pPr>
            <w:r>
              <w:rPr>
                <w:rFonts w:ascii="Arial" w:cs="Arial" w:eastAsia="Arial" w:hAnsi="Arial"/>
                <w:sz w:val="14"/>
                <w:szCs w:val="14"/>
                <w:color w:val="00053B"/>
              </w:rPr>
              <w:t>Warrants and Rights (a)</w:t>
            </w:r>
          </w:p>
        </w:tc>
        <w:tc>
          <w:tcPr>
            <w:tcW w:w="1920" w:type="dxa"/>
            <w:vAlign w:val="bottom"/>
          </w:tcPr>
          <w:p>
            <w:pPr>
              <w:jc w:val="right"/>
              <w:ind w:right="328"/>
              <w:spacing w:after="0"/>
              <w:rPr>
                <w:sz w:val="20"/>
                <w:szCs w:val="20"/>
                <w:color w:val="auto"/>
              </w:rPr>
            </w:pPr>
            <w:r>
              <w:rPr>
                <w:rFonts w:ascii="Arial" w:cs="Arial" w:eastAsia="Arial" w:hAnsi="Arial"/>
                <w:sz w:val="14"/>
                <w:szCs w:val="14"/>
                <w:color w:val="00053B"/>
              </w:rPr>
              <w:t>and Rights (b)(2)</w:t>
            </w:r>
          </w:p>
        </w:tc>
        <w:tc>
          <w:tcPr>
            <w:tcW w:w="2320" w:type="dxa"/>
            <w:vAlign w:val="bottom"/>
          </w:tcPr>
          <w:p>
            <w:pPr>
              <w:jc w:val="right"/>
              <w:spacing w:after="0"/>
              <w:rPr>
                <w:sz w:val="20"/>
                <w:szCs w:val="20"/>
                <w:color w:val="auto"/>
              </w:rPr>
            </w:pPr>
            <w:r>
              <w:rPr>
                <w:rFonts w:ascii="Arial" w:cs="Arial" w:eastAsia="Arial" w:hAnsi="Arial"/>
                <w:sz w:val="14"/>
                <w:szCs w:val="14"/>
                <w:color w:val="00053B"/>
              </w:rPr>
              <w:t>Column (a)(c))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291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39" w:lineRule="exact"/>
        <w:rPr>
          <w:sz w:val="20"/>
          <w:szCs w:val="20"/>
          <w:color w:val="auto"/>
        </w:rPr>
      </w:pPr>
    </w:p>
    <w:p>
      <w:pPr>
        <w:ind w:left="120" w:right="1500"/>
        <w:spacing w:after="0" w:line="286" w:lineRule="auto"/>
        <w:rPr>
          <w:sz w:val="20"/>
          <w:szCs w:val="20"/>
          <w:color w:val="auto"/>
        </w:rPr>
      </w:pPr>
      <w:r>
        <w:rPr>
          <w:rFonts w:ascii="Arial" w:cs="Arial" w:eastAsia="Arial" w:hAnsi="Arial"/>
          <w:sz w:val="16"/>
          <w:szCs w:val="16"/>
          <w:color w:val="00053B"/>
        </w:rPr>
        <w:t>Equity compensation plans approved by security holders(1)</w:t>
      </w:r>
    </w:p>
    <w:p>
      <w:pPr>
        <w:spacing w:after="0" w:line="7" w:lineRule="exact"/>
        <w:rPr>
          <w:sz w:val="20"/>
          <w:szCs w:val="20"/>
          <w:color w:val="auto"/>
        </w:rPr>
      </w:pPr>
    </w:p>
    <w:p>
      <w:pPr>
        <w:ind w:left="120" w:right="1240"/>
        <w:spacing w:after="0" w:line="281" w:lineRule="auto"/>
        <w:rPr>
          <w:sz w:val="20"/>
          <w:szCs w:val="20"/>
          <w:color w:val="auto"/>
        </w:rPr>
      </w:pPr>
      <w:r>
        <w:rPr>
          <w:rFonts w:ascii="Arial" w:cs="Arial" w:eastAsia="Arial" w:hAnsi="Arial"/>
          <w:sz w:val="16"/>
          <w:szCs w:val="16"/>
          <w:color w:val="00053B"/>
        </w:rPr>
        <w:t>Equity compensation plans not approved by security holders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FFFFFF"/>
        </w:rPr>
        <w:t>Totals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420" w:type="dxa"/>
            <w:vAlign w:val="bottom"/>
          </w:tcPr>
          <w:p>
            <w:pPr>
              <w:jc w:val="right"/>
              <w:ind w:right="619"/>
              <w:spacing w:after="0"/>
              <w:rPr>
                <w:sz w:val="20"/>
                <w:szCs w:val="20"/>
                <w:color w:val="auto"/>
              </w:rPr>
            </w:pPr>
            <w:r>
              <w:rPr>
                <w:rFonts w:ascii="Arial" w:cs="Arial" w:eastAsia="Arial" w:hAnsi="Arial"/>
                <w:sz w:val="16"/>
                <w:szCs w:val="16"/>
                <w:color w:val="00053B"/>
                <w:w w:val="98"/>
              </w:rPr>
              <w:t>2,541,439</w:t>
            </w:r>
          </w:p>
        </w:tc>
        <w:tc>
          <w:tcPr>
            <w:tcW w:w="2180" w:type="dxa"/>
            <w:vAlign w:val="bottom"/>
          </w:tcPr>
          <w:p>
            <w:pPr>
              <w:jc w:val="right"/>
              <w:ind w:right="919"/>
              <w:spacing w:after="0"/>
              <w:rPr>
                <w:sz w:val="20"/>
                <w:szCs w:val="20"/>
                <w:color w:val="auto"/>
              </w:rPr>
            </w:pPr>
            <w:r>
              <w:rPr>
                <w:rFonts w:ascii="Arial" w:cs="Arial" w:eastAsia="Arial" w:hAnsi="Arial"/>
                <w:sz w:val="16"/>
                <w:szCs w:val="16"/>
                <w:color w:val="00053B"/>
              </w:rPr>
              <w:t>$45.25</w:t>
            </w:r>
          </w:p>
        </w:tc>
        <w:tc>
          <w:tcPr>
            <w:tcW w:w="1720" w:type="dxa"/>
            <w:vAlign w:val="bottom"/>
          </w:tcPr>
          <w:p>
            <w:pPr>
              <w:jc w:val="right"/>
              <w:spacing w:after="0"/>
              <w:rPr>
                <w:sz w:val="20"/>
                <w:szCs w:val="20"/>
                <w:color w:val="auto"/>
              </w:rPr>
            </w:pPr>
            <w:r>
              <w:rPr>
                <w:rFonts w:ascii="Arial" w:cs="Arial" w:eastAsia="Arial" w:hAnsi="Arial"/>
                <w:sz w:val="16"/>
                <w:szCs w:val="16"/>
                <w:color w:val="00053B"/>
              </w:rPr>
              <w:t>3,926,583</w:t>
            </w:r>
          </w:p>
        </w:tc>
      </w:tr>
      <w:tr>
        <w:trPr>
          <w:trHeight w:val="445"/>
        </w:trPr>
        <w:tc>
          <w:tcPr>
            <w:tcW w:w="1420" w:type="dxa"/>
            <w:vAlign w:val="bottom"/>
          </w:tcPr>
          <w:p>
            <w:pPr>
              <w:jc w:val="right"/>
              <w:ind w:right="619"/>
              <w:spacing w:after="0"/>
              <w:rPr>
                <w:sz w:val="20"/>
                <w:szCs w:val="20"/>
                <w:color w:val="auto"/>
              </w:rPr>
            </w:pPr>
            <w:r>
              <w:rPr>
                <w:rFonts w:ascii="Arial" w:cs="Arial" w:eastAsia="Arial" w:hAnsi="Arial"/>
                <w:sz w:val="16"/>
                <w:szCs w:val="16"/>
                <w:color w:val="00053B"/>
              </w:rPr>
              <w:t>—</w:t>
            </w:r>
          </w:p>
        </w:tc>
        <w:tc>
          <w:tcPr>
            <w:tcW w:w="2180" w:type="dxa"/>
            <w:vAlign w:val="bottom"/>
          </w:tcPr>
          <w:p>
            <w:pPr>
              <w:jc w:val="right"/>
              <w:ind w:right="919"/>
              <w:spacing w:after="0"/>
              <w:rPr>
                <w:sz w:val="20"/>
                <w:szCs w:val="20"/>
                <w:color w:val="auto"/>
              </w:rPr>
            </w:pPr>
            <w:r>
              <w:rPr>
                <w:rFonts w:ascii="Arial" w:cs="Arial" w:eastAsia="Arial" w:hAnsi="Arial"/>
                <w:sz w:val="16"/>
                <w:szCs w:val="16"/>
                <w:color w:val="00053B"/>
              </w:rPr>
              <w:t>—</w:t>
            </w:r>
          </w:p>
        </w:tc>
        <w:tc>
          <w:tcPr>
            <w:tcW w:w="1720" w:type="dxa"/>
            <w:vAlign w:val="bottom"/>
          </w:tcPr>
          <w:p>
            <w:pPr>
              <w:jc w:val="right"/>
              <w:spacing w:after="0"/>
              <w:rPr>
                <w:sz w:val="20"/>
                <w:szCs w:val="20"/>
                <w:color w:val="auto"/>
              </w:rPr>
            </w:pPr>
            <w:r>
              <w:rPr>
                <w:rFonts w:ascii="Arial" w:cs="Arial" w:eastAsia="Arial" w:hAnsi="Arial"/>
                <w:sz w:val="16"/>
                <w:szCs w:val="16"/>
                <w:color w:val="00053B"/>
              </w:rPr>
              <w:t>—</w:t>
            </w:r>
          </w:p>
        </w:tc>
      </w:tr>
      <w:tr>
        <w:trPr>
          <w:trHeight w:val="338"/>
        </w:trPr>
        <w:tc>
          <w:tcPr>
            <w:tcW w:w="1420" w:type="dxa"/>
            <w:vAlign w:val="bottom"/>
          </w:tcPr>
          <w:p>
            <w:pPr>
              <w:jc w:val="right"/>
              <w:ind w:right="619"/>
              <w:spacing w:after="0"/>
              <w:rPr>
                <w:sz w:val="20"/>
                <w:szCs w:val="20"/>
                <w:color w:val="auto"/>
              </w:rPr>
            </w:pPr>
            <w:r>
              <w:rPr>
                <w:rFonts w:ascii="Arial" w:cs="Arial" w:eastAsia="Arial" w:hAnsi="Arial"/>
                <w:sz w:val="16"/>
                <w:szCs w:val="16"/>
                <w:color w:val="FFFFFF"/>
                <w:w w:val="98"/>
              </w:rPr>
              <w:t>2,541,439</w:t>
            </w:r>
          </w:p>
        </w:tc>
        <w:tc>
          <w:tcPr>
            <w:tcW w:w="2180" w:type="dxa"/>
            <w:vAlign w:val="bottom"/>
          </w:tcPr>
          <w:p>
            <w:pPr>
              <w:jc w:val="right"/>
              <w:ind w:right="919"/>
              <w:spacing w:after="0"/>
              <w:rPr>
                <w:sz w:val="20"/>
                <w:szCs w:val="20"/>
                <w:color w:val="auto"/>
              </w:rPr>
            </w:pPr>
            <w:r>
              <w:rPr>
                <w:rFonts w:ascii="Arial" w:cs="Arial" w:eastAsia="Arial" w:hAnsi="Arial"/>
                <w:sz w:val="16"/>
                <w:szCs w:val="16"/>
                <w:color w:val="FFFFFF"/>
              </w:rPr>
              <w:t>$45.25</w:t>
            </w:r>
          </w:p>
        </w:tc>
        <w:tc>
          <w:tcPr>
            <w:tcW w:w="1720" w:type="dxa"/>
            <w:vAlign w:val="bottom"/>
          </w:tcPr>
          <w:p>
            <w:pPr>
              <w:jc w:val="right"/>
              <w:spacing w:after="0"/>
              <w:rPr>
                <w:sz w:val="20"/>
                <w:szCs w:val="20"/>
                <w:color w:val="auto"/>
              </w:rPr>
            </w:pPr>
            <w:r>
              <w:rPr>
                <w:rFonts w:ascii="Arial" w:cs="Arial" w:eastAsia="Arial" w:hAnsi="Arial"/>
                <w:sz w:val="16"/>
                <w:szCs w:val="16"/>
                <w:color w:val="FFFFFF"/>
              </w:rPr>
              <w:t>3,926,583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-135255</wp:posOffset>
            </wp:positionV>
            <wp:extent cx="71323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5100" w:space="720"/>
            <w:col w:w="5400"/>
          </w:cols>
          <w:pgMar w:left="320" w:top="121" w:right="359" w:bottom="1440" w:gutter="0" w:footer="0" w:header="0"/>
          <w:type w:val="continuous"/>
        </w:sectPr>
      </w:pPr>
    </w:p>
    <w:p>
      <w:pPr>
        <w:ind w:left="340" w:right="140" w:hanging="332"/>
        <w:spacing w:after="0" w:line="282" w:lineRule="auto"/>
        <w:tabs>
          <w:tab w:leader="none" w:pos="255" w:val="left"/>
        </w:tabs>
        <w:numPr>
          <w:ilvl w:val="0"/>
          <w:numId w:val="31"/>
        </w:numPr>
        <w:rPr>
          <w:rFonts w:ascii="Arial" w:cs="Arial" w:eastAsia="Arial" w:hAnsi="Arial"/>
          <w:sz w:val="12"/>
          <w:szCs w:val="12"/>
          <w:color w:val="00053B"/>
        </w:rPr>
      </w:pPr>
      <w:r>
        <w:rPr>
          <w:rFonts w:ascii="Arial" w:cs="Arial" w:eastAsia="Arial" w:hAnsi="Arial"/>
          <w:sz w:val="12"/>
          <w:szCs w:val="12"/>
          <w:color w:val="00053B"/>
        </w:rPr>
        <w:t>Consists of shares of common stock to be issued upon exercise of outstanding options and vesting of restricted stock units ("RSUs"), including performance stock award units ("PSUs"), under our 2016 Incentive Plan. These amounts do not include potentially issuable shares under the Employee Stock Purchase Plan (the "ESPP"). We have reserved approximately 73,000 shares for the future issuance of shares under the ESPP. See "Note 10. Stock Plans" in Item 8 of our Annual Report filed on Form 10-K for the year ended March 31, 2024 for additional information.</w:t>
      </w:r>
    </w:p>
    <w:p>
      <w:pPr>
        <w:spacing w:after="0" w:line="13" w:lineRule="exact"/>
        <w:rPr>
          <w:rFonts w:ascii="Arial" w:cs="Arial" w:eastAsia="Arial" w:hAnsi="Arial"/>
          <w:sz w:val="12"/>
          <w:szCs w:val="12"/>
          <w:color w:val="00053B"/>
        </w:rPr>
      </w:pPr>
    </w:p>
    <w:p>
      <w:pPr>
        <w:ind w:left="260" w:hanging="252"/>
        <w:spacing w:after="0"/>
        <w:tabs>
          <w:tab w:leader="none" w:pos="260" w:val="left"/>
        </w:tabs>
        <w:numPr>
          <w:ilvl w:val="0"/>
          <w:numId w:val="31"/>
        </w:numPr>
        <w:rPr>
          <w:rFonts w:ascii="Arial" w:cs="Arial" w:eastAsia="Arial" w:hAnsi="Arial"/>
          <w:sz w:val="13"/>
          <w:szCs w:val="13"/>
          <w:color w:val="00053B"/>
        </w:rPr>
      </w:pPr>
      <w:r>
        <w:rPr>
          <w:rFonts w:ascii="Arial" w:cs="Arial" w:eastAsia="Arial" w:hAnsi="Arial"/>
          <w:sz w:val="13"/>
          <w:szCs w:val="13"/>
          <w:color w:val="00053B"/>
        </w:rPr>
        <w:t>The weighted-average exercise price does not consider the shares issuable upon vesting of outstanding RSUs and PSUs, which have no exercise price.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27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291465</wp:posOffset>
            </wp:positionV>
            <wp:extent cx="7054850" cy="29317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054850"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FFFFFF"/>
        </w:rPr>
        <w:t>What am I voting on?</w:t>
      </w:r>
    </w:p>
    <w:p>
      <w:pPr>
        <w:spacing w:after="0" w:line="81" w:lineRule="exact"/>
        <w:rPr>
          <w:sz w:val="20"/>
          <w:szCs w:val="20"/>
          <w:color w:val="auto"/>
        </w:rPr>
      </w:pPr>
    </w:p>
    <w:p>
      <w:pPr>
        <w:ind w:left="180" w:right="1700"/>
        <w:spacing w:after="0" w:line="251" w:lineRule="auto"/>
        <w:rPr>
          <w:sz w:val="20"/>
          <w:szCs w:val="20"/>
          <w:color w:val="auto"/>
        </w:rPr>
      </w:pPr>
      <w:r>
        <w:rPr>
          <w:rFonts w:ascii="Arial" w:cs="Arial" w:eastAsia="Arial" w:hAnsi="Arial"/>
          <w:sz w:val="16"/>
          <w:szCs w:val="16"/>
          <w:color w:val="FFFFFF"/>
        </w:rPr>
        <w:t>We are asking stockholders to approve, on a non-binding advisory basis, the compensation of our 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Vote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-324485</wp:posOffset>
            </wp:positionV>
            <wp:extent cx="2100580" cy="9690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100580" cy="96901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FOR </w:t>
      </w:r>
      <w:r>
        <w:rPr>
          <w:rFonts w:ascii="Arial" w:cs="Arial" w:eastAsia="Arial" w:hAnsi="Arial"/>
          <w:sz w:val="16"/>
          <w:szCs w:val="16"/>
          <w:color w:val="FFFFFF"/>
        </w:rPr>
        <w:t>the resolution approving our</w:t>
      </w:r>
    </w:p>
    <w:p>
      <w:pPr>
        <w:spacing w:after="0"/>
        <w:rPr>
          <w:sz w:val="20"/>
          <w:szCs w:val="20"/>
          <w:color w:val="auto"/>
        </w:rPr>
      </w:pPr>
      <w:r>
        <w:rPr>
          <w:rFonts w:ascii="Arial" w:cs="Arial" w:eastAsia="Arial" w:hAnsi="Arial"/>
          <w:sz w:val="16"/>
          <w:szCs w:val="16"/>
          <w:color w:val="FFFFFF"/>
        </w:rPr>
        <w:t>executive compensation program.</w:t>
      </w:r>
    </w:p>
    <w:p>
      <w:pPr>
        <w:spacing w:after="0" w:line="276" w:lineRule="exact"/>
        <w:rPr>
          <w:sz w:val="20"/>
          <w:szCs w:val="20"/>
          <w:color w:val="auto"/>
        </w:rPr>
      </w:pPr>
    </w:p>
    <w:p>
      <w:pPr>
        <w:sectPr>
          <w:pgSz w:w="11900" w:h="16838" w:orient="portrait"/>
          <w:cols w:equalWidth="0" w:num="2">
            <w:col w:w="7360" w:space="720"/>
            <w:col w:w="3100"/>
          </w:cols>
          <w:pgMar w:left="320" w:top="121" w:right="3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line="304" w:lineRule="auto"/>
        <w:rPr>
          <w:sz w:val="20"/>
          <w:szCs w:val="20"/>
          <w:color w:val="auto"/>
        </w:rPr>
      </w:pPr>
      <w:r>
        <w:rPr>
          <w:rFonts w:ascii="Arial" w:cs="Arial" w:eastAsia="Arial" w:hAnsi="Arial"/>
          <w:sz w:val="16"/>
          <w:szCs w:val="16"/>
          <w:color w:val="00053B"/>
        </w:rPr>
        <w:t>Every year we give stockholders the opportunity to approve, on a non-binding, advisory basis, the compensation of our named executive officers as set forth in the following “Compensation Discussion and Analysis.”</w:t>
      </w:r>
    </w:p>
    <w:p>
      <w:pPr>
        <w:spacing w:after="0" w:line="33" w:lineRule="exact"/>
        <w:rPr>
          <w:sz w:val="20"/>
          <w:szCs w:val="20"/>
          <w:color w:val="auto"/>
        </w:rPr>
      </w:pPr>
    </w:p>
    <w:p>
      <w:pPr>
        <w:spacing w:after="0" w:line="265" w:lineRule="auto"/>
        <w:rPr>
          <w:sz w:val="20"/>
          <w:szCs w:val="20"/>
          <w:color w:val="auto"/>
        </w:rPr>
      </w:pPr>
      <w:r>
        <w:rPr>
          <w:rFonts w:ascii="Arial" w:cs="Arial" w:eastAsia="Arial" w:hAnsi="Arial"/>
          <w:sz w:val="16"/>
          <w:szCs w:val="16"/>
          <w:color w:val="00053B"/>
        </w:rPr>
        <w:t>Our executive compensation program is designed to attract, motivate, and reward talented executives who possess the skills required to formulate and drive our Company’s strategic direction and operational execution to create stockholder value. Our compensation practices, which balance long-term and short-term awards, are structured to competitively pay for performance, to encourage decision-making aligned with the Company’s long-term interests, and to promote and support our business. We encourage you to read the Compensation Discussion and Analysis for complete details about our executive compensation program, including information about the fiscal year 2024 compensation of our named executive officers.</w:t>
      </w:r>
    </w:p>
    <w:p>
      <w:pPr>
        <w:spacing w:after="0" w:line="6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00053B"/>
        </w:rPr>
        <w:t>We are asking stockholders to indicate their support for our named executive officer compensation as described in this proxy statement. This proposal, commonly known as “say-on-pay,” is not intended to address any specific item of compensation, but rather the overall executive compensation program and the related philosophy, policies, and practices. We encourage you to vote FOR the following resolution:</w:t>
      </w:r>
    </w:p>
    <w:p>
      <w:pPr>
        <w:spacing w:after="0" w:line="56"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00053B"/>
        </w:rPr>
        <w:t>“RESOLVED, that the compensation paid to Commvault’s named executive officers, as disclosed pursuant to the compensation disclosure rules of the Securities and Exchange Commission, including the Compensation Discussion and Analysis, compensation tables, and any related material disclosed in Commvault’s proxy statement, is hereby APPROVED.”</w:t>
      </w:r>
    </w:p>
    <w:p>
      <w:pPr>
        <w:spacing w:after="0" w:line="56"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00053B"/>
        </w:rPr>
        <w:t>The say-on-pay vote is advisory, and therefore not binding on our Company, the TMCC, or the Board of Directors. However, the Board of Directors and the TMCC value the opinions of our stockholders. If the voting results indicate there is any significant concern about our executive officer compensation program, we will consider those concerns and evaluate whether any actions are necessary to address them.</w:t>
      </w:r>
    </w:p>
    <w:p>
      <w:pPr>
        <w:spacing w:after="0" w:line="70"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00053B"/>
        </w:rPr>
        <w:t>Because this is a non-binding, advisory vote, there is no specific approval requirement. However, the Board of Directors will consider that the stockholders have approved executive compensation on an advisory basis if this proposal receives the affirmative vote of a majority of the votes cast (in person or by proxy).</w:t>
      </w:r>
    </w:p>
    <w:p>
      <w:pPr>
        <w:spacing w:after="0" w:line="309" w:lineRule="exact"/>
        <w:rPr>
          <w:sz w:val="20"/>
          <w:szCs w:val="20"/>
          <w:color w:val="auto"/>
        </w:rPr>
      </w:pPr>
    </w:p>
    <w:p>
      <w:pPr>
        <w:ind w:right="1040"/>
        <w:spacing w:after="0" w:line="298" w:lineRule="auto"/>
        <w:rPr>
          <w:sz w:val="20"/>
          <w:szCs w:val="20"/>
          <w:color w:val="auto"/>
        </w:rPr>
      </w:pPr>
      <w:r>
        <w:rPr>
          <w:rFonts w:ascii="Arial" w:cs="Arial" w:eastAsia="Arial" w:hAnsi="Arial"/>
          <w:sz w:val="25"/>
          <w:szCs w:val="25"/>
          <w:b w:val="1"/>
          <w:bCs w:val="1"/>
          <w:color w:val="00053B"/>
        </w:rPr>
        <w:t xml:space="preserve">The Board of Directors recommends that you vote </w:t>
      </w:r>
      <w:r>
        <w:rPr>
          <w:rFonts w:ascii="Arial" w:cs="Arial" w:eastAsia="Arial" w:hAnsi="Arial"/>
          <w:sz w:val="25"/>
          <w:szCs w:val="25"/>
          <w:b w:val="1"/>
          <w:bCs w:val="1"/>
          <w:color w:val="844896"/>
        </w:rPr>
        <w:t>FOR</w:t>
      </w:r>
      <w:r>
        <w:rPr>
          <w:rFonts w:ascii="Arial" w:cs="Arial" w:eastAsia="Arial" w:hAnsi="Arial"/>
          <w:sz w:val="25"/>
          <w:szCs w:val="25"/>
          <w:b w:val="1"/>
          <w:bCs w:val="1"/>
          <w:color w:val="00053B"/>
        </w:rPr>
        <w:t xml:space="preserve"> the approval of Commvault’s executive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28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6995160" cy="17405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4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Compensation Discussion and Analysis</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00053B"/>
        </w:rPr>
        <w:t>This section discusses the compensation of the following individuals, who served as executive officers during the fiscal year ended on March 31, 2024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6172200" cy="15347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17220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00053B"/>
        </w:rPr>
        <w:t>Riccardo Di Blasio, who served as our Chief Revenue Officer and is a named executive officer for our fiscal year ended March 31, 2024, resigned effective January 12, 2024. On May 15, 2024, we announced that Gary Merrill, our Chief Financial Officer during the fiscal year ended March 31, 2024, will take on the role of Chief Commercial Officer. Mr. Merrill will remain Chief Financial Officer until a successor is hired.</w:t>
      </w: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053B"/>
        </w:rPr>
        <w:t>Table of Contents</w:t>
      </w:r>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5260" w:type="dxa"/>
            <w:vAlign w:val="bottom"/>
            <w:gridSpan w:val="15"/>
          </w:tcPr>
          <w:p>
            <w:pPr>
              <w:spacing w:after="0"/>
              <w:rPr>
                <w:sz w:val="20"/>
                <w:szCs w:val="20"/>
                <w:color w:val="auto"/>
              </w:rPr>
            </w:pPr>
            <w:r>
              <w:rPr>
                <w:rFonts w:ascii="Arial" w:cs="Arial" w:eastAsia="Arial" w:hAnsi="Arial"/>
                <w:sz w:val="16"/>
                <w:szCs w:val="16"/>
                <w:color w:val="00053B"/>
              </w:rPr>
              <w:t>Compensation Discussion and Analysis</w:t>
            </w:r>
          </w:p>
        </w:tc>
        <w:tc>
          <w:tcPr>
            <w:tcW w:w="1360" w:type="dxa"/>
            <w:vAlign w:val="bottom"/>
          </w:tcPr>
          <w:p>
            <w:pPr>
              <w:jc w:val="right"/>
              <w:spacing w:after="0"/>
              <w:rPr>
                <w:sz w:val="20"/>
                <w:szCs w:val="20"/>
                <w:color w:val="auto"/>
              </w:rPr>
            </w:pPr>
            <w:r>
              <w:rPr>
                <w:rFonts w:ascii="Arial" w:cs="Arial" w:eastAsia="Arial" w:hAnsi="Arial"/>
                <w:sz w:val="16"/>
                <w:szCs w:val="16"/>
                <w:color w:val="00053B"/>
              </w:rPr>
              <w:t>29</w:t>
            </w:r>
          </w:p>
        </w:tc>
      </w:tr>
      <w:tr>
        <w:trPr>
          <w:trHeight w:val="223"/>
        </w:trPr>
        <w:tc>
          <w:tcPr>
            <w:tcW w:w="2840" w:type="dxa"/>
            <w:vAlign w:val="bottom"/>
            <w:tcBorders>
              <w:top w:val="single" w:sz="8" w:color="00053B"/>
            </w:tcBorders>
            <w:gridSpan w:val="10"/>
          </w:tcPr>
          <w:p>
            <w:pPr>
              <w:spacing w:after="0"/>
              <w:rPr>
                <w:sz w:val="20"/>
                <w:szCs w:val="20"/>
                <w:color w:val="auto"/>
              </w:rPr>
            </w:pPr>
            <w:r>
              <w:rPr>
                <w:rFonts w:ascii="Arial" w:cs="Arial" w:eastAsia="Arial" w:hAnsi="Arial"/>
                <w:sz w:val="16"/>
                <w:szCs w:val="16"/>
                <w:color w:val="00053B"/>
              </w:rPr>
              <w:t>Executive Summary</w:t>
            </w:r>
          </w:p>
        </w:tc>
        <w:tc>
          <w:tcPr>
            <w:tcW w:w="2420" w:type="dxa"/>
            <w:vAlign w:val="bottom"/>
            <w:gridSpan w:val="5"/>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00053B"/>
              </w:rPr>
              <w:t>30</w:t>
            </w:r>
          </w:p>
        </w:tc>
      </w:tr>
      <w:tr>
        <w:trPr>
          <w:trHeight w:val="20"/>
        </w:trPr>
        <w:tc>
          <w:tcPr>
            <w:tcW w:w="300" w:type="dxa"/>
            <w:vAlign w:val="bottom"/>
            <w:shd w:val="clear" w:color="auto" w:fill="00053B"/>
          </w:tcPr>
          <w:p>
            <w:pPr>
              <w:spacing w:after="0" w:line="20" w:lineRule="exact"/>
              <w:rPr>
                <w:sz w:val="1"/>
                <w:szCs w:val="1"/>
                <w:color w:val="auto"/>
              </w:rPr>
            </w:pPr>
          </w:p>
        </w:tc>
        <w:tc>
          <w:tcPr>
            <w:tcW w:w="800" w:type="dxa"/>
            <w:vAlign w:val="bottom"/>
            <w:shd w:val="clear" w:color="auto" w:fill="00053B"/>
          </w:tcPr>
          <w:p>
            <w:pPr>
              <w:spacing w:after="0" w:line="20" w:lineRule="exact"/>
              <w:rPr>
                <w:sz w:val="1"/>
                <w:szCs w:val="1"/>
                <w:color w:val="auto"/>
              </w:rPr>
            </w:pPr>
          </w:p>
        </w:tc>
        <w:tc>
          <w:tcPr>
            <w:tcW w:w="340" w:type="dxa"/>
            <w:vAlign w:val="bottom"/>
            <w:gridSpan w:val="2"/>
            <w:shd w:val="clear" w:color="auto" w:fill="00053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23"/>
        </w:trPr>
        <w:tc>
          <w:tcPr>
            <w:tcW w:w="5260" w:type="dxa"/>
            <w:vAlign w:val="bottom"/>
            <w:gridSpan w:val="15"/>
          </w:tcPr>
          <w:p>
            <w:pPr>
              <w:spacing w:after="0"/>
              <w:rPr>
                <w:sz w:val="20"/>
                <w:szCs w:val="20"/>
                <w:color w:val="auto"/>
              </w:rPr>
            </w:pPr>
            <w:r>
              <w:rPr>
                <w:rFonts w:ascii="Arial" w:cs="Arial" w:eastAsia="Arial" w:hAnsi="Arial"/>
                <w:sz w:val="16"/>
                <w:szCs w:val="16"/>
                <w:color w:val="00053B"/>
              </w:rPr>
              <w:t>Compensation Tables</w:t>
            </w:r>
          </w:p>
        </w:tc>
        <w:tc>
          <w:tcPr>
            <w:tcW w:w="1360" w:type="dxa"/>
            <w:vAlign w:val="bottom"/>
          </w:tcPr>
          <w:p>
            <w:pPr>
              <w:jc w:val="right"/>
              <w:spacing w:after="0"/>
              <w:rPr>
                <w:sz w:val="20"/>
                <w:szCs w:val="20"/>
                <w:color w:val="auto"/>
              </w:rPr>
            </w:pPr>
            <w:r>
              <w:rPr>
                <w:rFonts w:ascii="Arial" w:cs="Arial" w:eastAsia="Arial" w:hAnsi="Arial"/>
                <w:sz w:val="16"/>
                <w:szCs w:val="16"/>
                <w:color w:val="00053B"/>
              </w:rPr>
              <w:t>41</w:t>
            </w:r>
          </w:p>
        </w:tc>
      </w:tr>
      <w:tr>
        <w:trPr>
          <w:trHeight w:val="20"/>
        </w:trPr>
        <w:tc>
          <w:tcPr>
            <w:tcW w:w="300" w:type="dxa"/>
            <w:vAlign w:val="bottom"/>
            <w:shd w:val="clear" w:color="auto" w:fill="00053B"/>
          </w:tcPr>
          <w:p>
            <w:pPr>
              <w:spacing w:after="0" w:line="20" w:lineRule="exact"/>
              <w:rPr>
                <w:sz w:val="1"/>
                <w:szCs w:val="1"/>
                <w:color w:val="auto"/>
              </w:rPr>
            </w:pPr>
          </w:p>
        </w:tc>
        <w:tc>
          <w:tcPr>
            <w:tcW w:w="800" w:type="dxa"/>
            <w:vAlign w:val="bottom"/>
            <w:shd w:val="clear" w:color="auto" w:fill="00053B"/>
          </w:tcPr>
          <w:p>
            <w:pPr>
              <w:spacing w:after="0" w:line="20" w:lineRule="exact"/>
              <w:rPr>
                <w:sz w:val="1"/>
                <w:szCs w:val="1"/>
                <w:color w:val="auto"/>
              </w:rPr>
            </w:pPr>
          </w:p>
        </w:tc>
        <w:tc>
          <w:tcPr>
            <w:tcW w:w="460" w:type="dxa"/>
            <w:vAlign w:val="bottom"/>
            <w:gridSpan w:val="3"/>
            <w:shd w:val="clear" w:color="auto" w:fill="00053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4960" w:type="dxa"/>
            <w:vAlign w:val="bottom"/>
            <w:gridSpan w:val="14"/>
          </w:tcPr>
          <w:p>
            <w:pPr>
              <w:spacing w:after="0"/>
              <w:rPr>
                <w:sz w:val="20"/>
                <w:szCs w:val="20"/>
                <w:color w:val="auto"/>
              </w:rPr>
            </w:pPr>
            <w:r>
              <w:rPr>
                <w:rFonts w:ascii="Arial" w:cs="Arial" w:eastAsia="Arial" w:hAnsi="Arial"/>
                <w:sz w:val="16"/>
                <w:szCs w:val="16"/>
                <w:color w:val="00053B"/>
              </w:rPr>
              <w:t>Fiscal 2024 Summary Compensation Table</w:t>
            </w:r>
          </w:p>
        </w:tc>
        <w:tc>
          <w:tcPr>
            <w:tcW w:w="1360" w:type="dxa"/>
            <w:vAlign w:val="bottom"/>
          </w:tcPr>
          <w:p>
            <w:pPr>
              <w:jc w:val="right"/>
              <w:spacing w:after="0"/>
              <w:rPr>
                <w:sz w:val="20"/>
                <w:szCs w:val="20"/>
                <w:color w:val="auto"/>
              </w:rPr>
            </w:pPr>
            <w:r>
              <w:rPr>
                <w:rFonts w:ascii="Arial" w:cs="Arial" w:eastAsia="Arial" w:hAnsi="Arial"/>
                <w:sz w:val="16"/>
                <w:szCs w:val="16"/>
                <w:color w:val="00053B"/>
              </w:rPr>
              <w:t>41</w:t>
            </w:r>
          </w:p>
        </w:tc>
      </w:tr>
      <w:tr>
        <w:trPr>
          <w:trHeight w:val="20"/>
        </w:trPr>
        <w:tc>
          <w:tcPr>
            <w:tcW w:w="300" w:type="dxa"/>
            <w:vAlign w:val="bottom"/>
          </w:tcPr>
          <w:p>
            <w:pPr>
              <w:spacing w:after="0" w:line="20" w:lineRule="exact"/>
              <w:rPr>
                <w:sz w:val="1"/>
                <w:szCs w:val="1"/>
                <w:color w:val="auto"/>
              </w:rPr>
            </w:pPr>
          </w:p>
        </w:tc>
        <w:tc>
          <w:tcPr>
            <w:tcW w:w="800" w:type="dxa"/>
            <w:vAlign w:val="bottom"/>
            <w:shd w:val="clear" w:color="auto" w:fill="00053B"/>
          </w:tcPr>
          <w:p>
            <w:pPr>
              <w:spacing w:after="0" w:line="20" w:lineRule="exact"/>
              <w:rPr>
                <w:sz w:val="1"/>
                <w:szCs w:val="1"/>
                <w:color w:val="auto"/>
              </w:rPr>
            </w:pPr>
          </w:p>
        </w:tc>
        <w:tc>
          <w:tcPr>
            <w:tcW w:w="40" w:type="dxa"/>
            <w:vAlign w:val="bottom"/>
            <w:shd w:val="clear" w:color="auto" w:fill="00053B"/>
          </w:tcPr>
          <w:p>
            <w:pPr>
              <w:spacing w:after="0" w:line="20" w:lineRule="exact"/>
              <w:rPr>
                <w:sz w:val="1"/>
                <w:szCs w:val="1"/>
                <w:color w:val="auto"/>
              </w:rPr>
            </w:pPr>
          </w:p>
        </w:tc>
        <w:tc>
          <w:tcPr>
            <w:tcW w:w="460" w:type="dxa"/>
            <w:vAlign w:val="bottom"/>
            <w:gridSpan w:val="3"/>
            <w:shd w:val="clear" w:color="auto" w:fill="00053B"/>
          </w:tcPr>
          <w:p>
            <w:pPr>
              <w:spacing w:after="0" w:line="20" w:lineRule="exact"/>
              <w:rPr>
                <w:sz w:val="1"/>
                <w:szCs w:val="1"/>
                <w:color w:val="auto"/>
              </w:rPr>
            </w:pPr>
          </w:p>
        </w:tc>
        <w:tc>
          <w:tcPr>
            <w:tcW w:w="180" w:type="dxa"/>
            <w:vAlign w:val="bottom"/>
            <w:shd w:val="clear" w:color="auto" w:fill="00053B"/>
          </w:tcPr>
          <w:p>
            <w:pPr>
              <w:spacing w:after="0" w:line="20" w:lineRule="exact"/>
              <w:rPr>
                <w:sz w:val="1"/>
                <w:szCs w:val="1"/>
                <w:color w:val="auto"/>
              </w:rPr>
            </w:pPr>
          </w:p>
        </w:tc>
        <w:tc>
          <w:tcPr>
            <w:tcW w:w="460" w:type="dxa"/>
            <w:vAlign w:val="bottom"/>
            <w:shd w:val="clear" w:color="auto" w:fill="00053B"/>
          </w:tcPr>
          <w:p>
            <w:pPr>
              <w:spacing w:after="0" w:line="20" w:lineRule="exact"/>
              <w:rPr>
                <w:sz w:val="1"/>
                <w:szCs w:val="1"/>
                <w:color w:val="auto"/>
              </w:rPr>
            </w:pPr>
          </w:p>
        </w:tc>
        <w:tc>
          <w:tcPr>
            <w:tcW w:w="300" w:type="dxa"/>
            <w:vAlign w:val="bottom"/>
            <w:shd w:val="clear" w:color="auto" w:fill="00053B"/>
          </w:tcPr>
          <w:p>
            <w:pPr>
              <w:spacing w:after="0" w:line="20" w:lineRule="exact"/>
              <w:rPr>
                <w:sz w:val="1"/>
                <w:szCs w:val="1"/>
                <w:color w:val="auto"/>
              </w:rPr>
            </w:pPr>
          </w:p>
        </w:tc>
        <w:tc>
          <w:tcPr>
            <w:tcW w:w="760" w:type="dxa"/>
            <w:vAlign w:val="bottom"/>
            <w:gridSpan w:val="2"/>
            <w:shd w:val="clear" w:color="auto" w:fill="00053B"/>
          </w:tcPr>
          <w:p>
            <w:pPr>
              <w:spacing w:after="0" w:line="20" w:lineRule="exact"/>
              <w:rPr>
                <w:sz w:val="1"/>
                <w:szCs w:val="1"/>
                <w:color w:val="auto"/>
              </w:rPr>
            </w:pPr>
          </w:p>
        </w:tc>
        <w:tc>
          <w:tcPr>
            <w:tcW w:w="80" w:type="dxa"/>
            <w:vAlign w:val="bottom"/>
            <w:shd w:val="clear" w:color="auto" w:fill="00053B"/>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840" w:type="dxa"/>
            <w:vAlign w:val="bottom"/>
            <w:gridSpan w:val="2"/>
          </w:tcPr>
          <w:p>
            <w:pPr>
              <w:spacing w:after="0"/>
              <w:rPr>
                <w:sz w:val="20"/>
                <w:szCs w:val="20"/>
                <w:color w:val="auto"/>
              </w:rPr>
            </w:pPr>
            <w:r>
              <w:rPr>
                <w:rFonts w:ascii="Arial" w:cs="Arial" w:eastAsia="Arial" w:hAnsi="Arial"/>
                <w:sz w:val="16"/>
                <w:szCs w:val="16"/>
                <w:color w:val="00053B"/>
              </w:rPr>
              <w:t>Fiscal 2024</w:t>
            </w:r>
          </w:p>
        </w:tc>
        <w:tc>
          <w:tcPr>
            <w:tcW w:w="4120" w:type="dxa"/>
            <w:vAlign w:val="bottom"/>
            <w:gridSpan w:val="12"/>
          </w:tcPr>
          <w:p>
            <w:pPr>
              <w:ind w:left="20"/>
              <w:spacing w:after="0"/>
              <w:rPr>
                <w:sz w:val="20"/>
                <w:szCs w:val="20"/>
                <w:color w:val="auto"/>
              </w:rPr>
            </w:pPr>
            <w:r>
              <w:rPr>
                <w:rFonts w:ascii="Arial" w:cs="Arial" w:eastAsia="Arial" w:hAnsi="Arial"/>
                <w:sz w:val="16"/>
                <w:szCs w:val="16"/>
                <w:color w:val="00053B"/>
              </w:rPr>
              <w:t>Grants of Plan-Based Awards Table</w:t>
            </w:r>
          </w:p>
        </w:tc>
        <w:tc>
          <w:tcPr>
            <w:tcW w:w="1360" w:type="dxa"/>
            <w:vAlign w:val="bottom"/>
          </w:tcPr>
          <w:p>
            <w:pPr>
              <w:jc w:val="right"/>
              <w:spacing w:after="0"/>
              <w:rPr>
                <w:sz w:val="20"/>
                <w:szCs w:val="20"/>
                <w:color w:val="auto"/>
              </w:rPr>
            </w:pPr>
            <w:r>
              <w:rPr>
                <w:rFonts w:ascii="Arial" w:cs="Arial" w:eastAsia="Arial" w:hAnsi="Arial"/>
                <w:sz w:val="16"/>
                <w:szCs w:val="16"/>
                <w:color w:val="00053B"/>
              </w:rPr>
              <w:t>42</w:t>
            </w:r>
          </w:p>
        </w:tc>
      </w:tr>
      <w:tr>
        <w:trPr>
          <w:trHeight w:val="20"/>
        </w:trPr>
        <w:tc>
          <w:tcPr>
            <w:tcW w:w="300" w:type="dxa"/>
            <w:vAlign w:val="bottom"/>
          </w:tcPr>
          <w:p>
            <w:pPr>
              <w:spacing w:after="0" w:line="20" w:lineRule="exact"/>
              <w:rPr>
                <w:sz w:val="1"/>
                <w:szCs w:val="1"/>
                <w:color w:val="auto"/>
              </w:rPr>
            </w:pPr>
          </w:p>
        </w:tc>
        <w:tc>
          <w:tcPr>
            <w:tcW w:w="800" w:type="dxa"/>
            <w:vAlign w:val="bottom"/>
            <w:shd w:val="clear" w:color="auto" w:fill="00053B"/>
          </w:tcPr>
          <w:p>
            <w:pPr>
              <w:spacing w:after="0" w:line="20" w:lineRule="exact"/>
              <w:rPr>
                <w:sz w:val="1"/>
                <w:szCs w:val="1"/>
                <w:color w:val="auto"/>
              </w:rPr>
            </w:pPr>
          </w:p>
        </w:tc>
        <w:tc>
          <w:tcPr>
            <w:tcW w:w="40" w:type="dxa"/>
            <w:vAlign w:val="bottom"/>
            <w:shd w:val="clear" w:color="auto" w:fill="00053B"/>
          </w:tcPr>
          <w:p>
            <w:pPr>
              <w:spacing w:after="0" w:line="20" w:lineRule="exact"/>
              <w:rPr>
                <w:sz w:val="1"/>
                <w:szCs w:val="1"/>
                <w:color w:val="auto"/>
              </w:rPr>
            </w:pPr>
          </w:p>
        </w:tc>
        <w:tc>
          <w:tcPr>
            <w:tcW w:w="460" w:type="dxa"/>
            <w:vAlign w:val="bottom"/>
            <w:gridSpan w:val="3"/>
            <w:shd w:val="clear" w:color="auto" w:fill="00053B"/>
          </w:tcPr>
          <w:p>
            <w:pPr>
              <w:spacing w:after="0" w:line="20" w:lineRule="exact"/>
              <w:rPr>
                <w:sz w:val="1"/>
                <w:szCs w:val="1"/>
                <w:color w:val="auto"/>
              </w:rPr>
            </w:pPr>
          </w:p>
        </w:tc>
        <w:tc>
          <w:tcPr>
            <w:tcW w:w="180" w:type="dxa"/>
            <w:vAlign w:val="bottom"/>
            <w:shd w:val="clear" w:color="auto" w:fill="00053B"/>
          </w:tcPr>
          <w:p>
            <w:pPr>
              <w:spacing w:after="0" w:line="20" w:lineRule="exact"/>
              <w:rPr>
                <w:sz w:val="1"/>
                <w:szCs w:val="1"/>
                <w:color w:val="auto"/>
              </w:rPr>
            </w:pPr>
          </w:p>
        </w:tc>
        <w:tc>
          <w:tcPr>
            <w:tcW w:w="460" w:type="dxa"/>
            <w:vAlign w:val="bottom"/>
            <w:shd w:val="clear" w:color="auto" w:fill="00053B"/>
          </w:tcPr>
          <w:p>
            <w:pPr>
              <w:spacing w:after="0" w:line="20" w:lineRule="exact"/>
              <w:rPr>
                <w:sz w:val="1"/>
                <w:szCs w:val="1"/>
                <w:color w:val="auto"/>
              </w:rPr>
            </w:pPr>
          </w:p>
        </w:tc>
        <w:tc>
          <w:tcPr>
            <w:tcW w:w="300" w:type="dxa"/>
            <w:vAlign w:val="bottom"/>
            <w:shd w:val="clear" w:color="auto" w:fill="00053B"/>
          </w:tcPr>
          <w:p>
            <w:pPr>
              <w:spacing w:after="0" w:line="20" w:lineRule="exact"/>
              <w:rPr>
                <w:sz w:val="1"/>
                <w:szCs w:val="1"/>
                <w:color w:val="auto"/>
              </w:rPr>
            </w:pPr>
          </w:p>
        </w:tc>
        <w:tc>
          <w:tcPr>
            <w:tcW w:w="760" w:type="dxa"/>
            <w:vAlign w:val="bottom"/>
            <w:gridSpan w:val="2"/>
            <w:shd w:val="clear" w:color="auto" w:fill="00053B"/>
          </w:tcPr>
          <w:p>
            <w:pPr>
              <w:spacing w:after="0" w:line="20" w:lineRule="exact"/>
              <w:rPr>
                <w:sz w:val="1"/>
                <w:szCs w:val="1"/>
                <w:color w:val="auto"/>
              </w:rPr>
            </w:pPr>
          </w:p>
        </w:tc>
        <w:tc>
          <w:tcPr>
            <w:tcW w:w="420" w:type="dxa"/>
            <w:vAlign w:val="bottom"/>
            <w:gridSpan w:val="2"/>
            <w:shd w:val="clear" w:color="auto" w:fill="00053B"/>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840" w:type="dxa"/>
            <w:vAlign w:val="bottom"/>
            <w:gridSpan w:val="2"/>
          </w:tcPr>
          <w:p>
            <w:pPr>
              <w:spacing w:after="0"/>
              <w:rPr>
                <w:sz w:val="20"/>
                <w:szCs w:val="20"/>
                <w:color w:val="auto"/>
              </w:rPr>
            </w:pPr>
            <w:r>
              <w:rPr>
                <w:rFonts w:ascii="Arial" w:cs="Arial" w:eastAsia="Arial" w:hAnsi="Arial"/>
                <w:sz w:val="16"/>
                <w:szCs w:val="16"/>
                <w:color w:val="00053B"/>
              </w:rPr>
              <w:t>Fiscal 2024</w:t>
            </w:r>
          </w:p>
        </w:tc>
        <w:tc>
          <w:tcPr>
            <w:tcW w:w="4120" w:type="dxa"/>
            <w:vAlign w:val="bottom"/>
            <w:gridSpan w:val="12"/>
          </w:tcPr>
          <w:p>
            <w:pPr>
              <w:ind w:left="20"/>
              <w:spacing w:after="0"/>
              <w:rPr>
                <w:sz w:val="20"/>
                <w:szCs w:val="20"/>
                <w:color w:val="auto"/>
              </w:rPr>
            </w:pPr>
            <w:r>
              <w:rPr>
                <w:rFonts w:ascii="Arial" w:cs="Arial" w:eastAsia="Arial" w:hAnsi="Arial"/>
                <w:sz w:val="16"/>
                <w:szCs w:val="16"/>
                <w:color w:val="00053B"/>
              </w:rPr>
              <w:t>Outstanding Equity Awards at Fiscal Year End Table</w:t>
            </w:r>
          </w:p>
        </w:tc>
        <w:tc>
          <w:tcPr>
            <w:tcW w:w="1360" w:type="dxa"/>
            <w:vAlign w:val="bottom"/>
          </w:tcPr>
          <w:p>
            <w:pPr>
              <w:jc w:val="right"/>
              <w:spacing w:after="0"/>
              <w:rPr>
                <w:sz w:val="20"/>
                <w:szCs w:val="20"/>
                <w:color w:val="auto"/>
              </w:rPr>
            </w:pPr>
            <w:r>
              <w:rPr>
                <w:rFonts w:ascii="Arial" w:cs="Arial" w:eastAsia="Arial" w:hAnsi="Arial"/>
                <w:sz w:val="16"/>
                <w:szCs w:val="16"/>
                <w:color w:val="00053B"/>
              </w:rPr>
              <w:t>43</w:t>
            </w:r>
          </w:p>
        </w:tc>
      </w:tr>
      <w:tr>
        <w:trPr>
          <w:trHeight w:val="196"/>
        </w:trPr>
        <w:tc>
          <w:tcPr>
            <w:tcW w:w="300" w:type="dxa"/>
            <w:vAlign w:val="bottom"/>
          </w:tcPr>
          <w:p>
            <w:pPr>
              <w:spacing w:after="0"/>
              <w:rPr>
                <w:sz w:val="17"/>
                <w:szCs w:val="17"/>
                <w:color w:val="auto"/>
              </w:rPr>
            </w:pPr>
          </w:p>
        </w:tc>
        <w:tc>
          <w:tcPr>
            <w:tcW w:w="840" w:type="dxa"/>
            <w:vAlign w:val="bottom"/>
            <w:tcBorders>
              <w:top w:val="single" w:sz="8" w:color="00053B"/>
            </w:tcBorders>
            <w:gridSpan w:val="2"/>
          </w:tcPr>
          <w:p>
            <w:pPr>
              <w:spacing w:after="0"/>
              <w:rPr>
                <w:sz w:val="20"/>
                <w:szCs w:val="20"/>
                <w:color w:val="auto"/>
              </w:rPr>
            </w:pPr>
            <w:r>
              <w:rPr>
                <w:rFonts w:ascii="Arial" w:cs="Arial" w:eastAsia="Arial" w:hAnsi="Arial"/>
                <w:sz w:val="16"/>
                <w:szCs w:val="16"/>
                <w:color w:val="00053B"/>
              </w:rPr>
              <w:t>Fiscal 2024</w:t>
            </w:r>
          </w:p>
        </w:tc>
        <w:tc>
          <w:tcPr>
            <w:tcW w:w="3760" w:type="dxa"/>
            <w:vAlign w:val="bottom"/>
            <w:tcBorders>
              <w:top w:val="single" w:sz="8" w:color="00053B"/>
            </w:tcBorders>
            <w:gridSpan w:val="11"/>
          </w:tcPr>
          <w:p>
            <w:pPr>
              <w:ind w:left="20"/>
              <w:spacing w:after="0"/>
              <w:rPr>
                <w:sz w:val="20"/>
                <w:szCs w:val="20"/>
                <w:color w:val="auto"/>
              </w:rPr>
            </w:pPr>
            <w:r>
              <w:rPr>
                <w:rFonts w:ascii="Arial" w:cs="Arial" w:eastAsia="Arial" w:hAnsi="Arial"/>
                <w:sz w:val="16"/>
                <w:szCs w:val="16"/>
                <w:color w:val="00053B"/>
              </w:rPr>
              <w:t>Stock Vested Table</w:t>
            </w:r>
          </w:p>
        </w:tc>
        <w:tc>
          <w:tcPr>
            <w:tcW w:w="3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00053B"/>
              </w:rPr>
              <w:t>44</w:t>
            </w:r>
          </w:p>
        </w:tc>
      </w:tr>
      <w:tr>
        <w:trPr>
          <w:trHeight w:val="20"/>
        </w:trPr>
        <w:tc>
          <w:tcPr>
            <w:tcW w:w="300" w:type="dxa"/>
            <w:vAlign w:val="bottom"/>
          </w:tcPr>
          <w:p>
            <w:pPr>
              <w:spacing w:after="0" w:line="20" w:lineRule="exact"/>
              <w:rPr>
                <w:sz w:val="1"/>
                <w:szCs w:val="1"/>
                <w:color w:val="auto"/>
              </w:rPr>
            </w:pPr>
          </w:p>
        </w:tc>
        <w:tc>
          <w:tcPr>
            <w:tcW w:w="800" w:type="dxa"/>
            <w:vAlign w:val="bottom"/>
            <w:shd w:val="clear" w:color="auto" w:fill="00053B"/>
          </w:tcPr>
          <w:p>
            <w:pPr>
              <w:spacing w:after="0" w:line="20" w:lineRule="exact"/>
              <w:rPr>
                <w:sz w:val="1"/>
                <w:szCs w:val="1"/>
                <w:color w:val="auto"/>
              </w:rPr>
            </w:pPr>
          </w:p>
        </w:tc>
        <w:tc>
          <w:tcPr>
            <w:tcW w:w="500" w:type="dxa"/>
            <w:vAlign w:val="bottom"/>
            <w:gridSpan w:val="4"/>
            <w:shd w:val="clear" w:color="auto" w:fill="00053B"/>
          </w:tcPr>
          <w:p>
            <w:pPr>
              <w:spacing w:after="0" w:line="20" w:lineRule="exact"/>
              <w:rPr>
                <w:sz w:val="1"/>
                <w:szCs w:val="1"/>
                <w:color w:val="auto"/>
              </w:rPr>
            </w:pPr>
          </w:p>
        </w:tc>
        <w:tc>
          <w:tcPr>
            <w:tcW w:w="180" w:type="dxa"/>
            <w:vAlign w:val="bottom"/>
            <w:shd w:val="clear" w:color="auto" w:fill="00053B"/>
          </w:tcPr>
          <w:p>
            <w:pPr>
              <w:spacing w:after="0" w:line="20" w:lineRule="exact"/>
              <w:rPr>
                <w:sz w:val="1"/>
                <w:szCs w:val="1"/>
                <w:color w:val="auto"/>
              </w:rPr>
            </w:pPr>
          </w:p>
        </w:tc>
        <w:tc>
          <w:tcPr>
            <w:tcW w:w="460" w:type="dxa"/>
            <w:vAlign w:val="bottom"/>
            <w:shd w:val="clear" w:color="auto" w:fill="00053B"/>
          </w:tcPr>
          <w:p>
            <w:pPr>
              <w:spacing w:after="0" w:line="20" w:lineRule="exact"/>
              <w:rPr>
                <w:sz w:val="1"/>
                <w:szCs w:val="1"/>
                <w:color w:val="auto"/>
              </w:rPr>
            </w:pPr>
          </w:p>
        </w:tc>
        <w:tc>
          <w:tcPr>
            <w:tcW w:w="300" w:type="dxa"/>
            <w:vAlign w:val="bottom"/>
            <w:shd w:val="clear" w:color="auto" w:fill="00053B"/>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9"/>
        </w:trPr>
        <w:tc>
          <w:tcPr>
            <w:tcW w:w="3300" w:type="dxa"/>
            <w:vAlign w:val="bottom"/>
            <w:tcBorders>
              <w:bottom w:val="single" w:sz="8" w:color="00053B"/>
            </w:tcBorders>
            <w:gridSpan w:val="11"/>
          </w:tcPr>
          <w:p>
            <w:pPr>
              <w:spacing w:after="0"/>
              <w:rPr>
                <w:sz w:val="20"/>
                <w:szCs w:val="20"/>
                <w:color w:val="auto"/>
              </w:rPr>
            </w:pPr>
            <w:r>
              <w:rPr>
                <w:rFonts w:ascii="Arial" w:cs="Arial" w:eastAsia="Arial" w:hAnsi="Arial"/>
                <w:sz w:val="16"/>
                <w:szCs w:val="16"/>
                <w:color w:val="00053B"/>
              </w:rPr>
              <w:t>Pension Benefits and Deferred Compensation</w:t>
            </w:r>
          </w:p>
        </w:tc>
        <w:tc>
          <w:tcPr>
            <w:tcW w:w="1960" w:type="dxa"/>
            <w:vAlign w:val="bottom"/>
            <w:gridSpan w:val="4"/>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00053B"/>
              </w:rPr>
              <w:t>44</w:t>
            </w:r>
          </w:p>
        </w:tc>
      </w:tr>
      <w:tr>
        <w:trPr>
          <w:trHeight w:val="223"/>
        </w:trPr>
        <w:tc>
          <w:tcPr>
            <w:tcW w:w="5260" w:type="dxa"/>
            <w:vAlign w:val="bottom"/>
            <w:gridSpan w:val="15"/>
          </w:tcPr>
          <w:p>
            <w:pPr>
              <w:spacing w:after="0"/>
              <w:rPr>
                <w:sz w:val="20"/>
                <w:szCs w:val="20"/>
                <w:color w:val="auto"/>
              </w:rPr>
            </w:pPr>
            <w:r>
              <w:rPr>
                <w:rFonts w:ascii="Arial" w:cs="Arial" w:eastAsia="Arial" w:hAnsi="Arial"/>
                <w:sz w:val="16"/>
                <w:szCs w:val="16"/>
                <w:color w:val="00053B"/>
              </w:rPr>
              <w:t>Individual Agreements</w:t>
            </w:r>
          </w:p>
        </w:tc>
        <w:tc>
          <w:tcPr>
            <w:tcW w:w="1360" w:type="dxa"/>
            <w:vAlign w:val="bottom"/>
          </w:tcPr>
          <w:p>
            <w:pPr>
              <w:jc w:val="right"/>
              <w:spacing w:after="0"/>
              <w:rPr>
                <w:sz w:val="20"/>
                <w:szCs w:val="20"/>
                <w:color w:val="auto"/>
              </w:rPr>
            </w:pPr>
            <w:r>
              <w:rPr>
                <w:rFonts w:ascii="Arial" w:cs="Arial" w:eastAsia="Arial" w:hAnsi="Arial"/>
                <w:sz w:val="16"/>
                <w:szCs w:val="16"/>
                <w:color w:val="00053B"/>
              </w:rPr>
              <w:t>44</w:t>
            </w:r>
          </w:p>
        </w:tc>
      </w:tr>
      <w:tr>
        <w:trPr>
          <w:trHeight w:val="20"/>
        </w:trPr>
        <w:tc>
          <w:tcPr>
            <w:tcW w:w="1100" w:type="dxa"/>
            <w:vAlign w:val="bottom"/>
            <w:gridSpan w:val="2"/>
            <w:shd w:val="clear" w:color="auto" w:fill="00053B"/>
          </w:tcPr>
          <w:p>
            <w:pPr>
              <w:spacing w:after="0" w:line="20" w:lineRule="exact"/>
              <w:rPr>
                <w:sz w:val="1"/>
                <w:szCs w:val="1"/>
                <w:color w:val="auto"/>
              </w:rPr>
            </w:pPr>
          </w:p>
        </w:tc>
        <w:tc>
          <w:tcPr>
            <w:tcW w:w="500" w:type="dxa"/>
            <w:vAlign w:val="bottom"/>
            <w:gridSpan w:val="4"/>
            <w:shd w:val="clear" w:color="auto" w:fill="00053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23"/>
        </w:trPr>
        <w:tc>
          <w:tcPr>
            <w:tcW w:w="2240" w:type="dxa"/>
            <w:vAlign w:val="bottom"/>
            <w:tcBorders>
              <w:bottom w:val="single" w:sz="8" w:color="00053B"/>
            </w:tcBorders>
            <w:gridSpan w:val="8"/>
          </w:tcPr>
          <w:p>
            <w:pPr>
              <w:spacing w:after="0"/>
              <w:rPr>
                <w:sz w:val="20"/>
                <w:szCs w:val="20"/>
                <w:color w:val="auto"/>
              </w:rPr>
            </w:pPr>
            <w:r>
              <w:rPr>
                <w:rFonts w:ascii="Arial" w:cs="Arial" w:eastAsia="Arial" w:hAnsi="Arial"/>
                <w:sz w:val="16"/>
                <w:szCs w:val="16"/>
                <w:color w:val="00053B"/>
              </w:rPr>
              <w:t>Change in Control Agreements</w:t>
            </w:r>
          </w:p>
        </w:tc>
        <w:tc>
          <w:tcPr>
            <w:tcW w:w="3020" w:type="dxa"/>
            <w:vAlign w:val="bottom"/>
            <w:gridSpan w:val="7"/>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00053B"/>
              </w:rPr>
              <w:t>45</w:t>
            </w:r>
          </w:p>
        </w:tc>
      </w:tr>
      <w:tr>
        <w:trPr>
          <w:trHeight w:val="223"/>
        </w:trPr>
        <w:tc>
          <w:tcPr>
            <w:tcW w:w="5260" w:type="dxa"/>
            <w:vAlign w:val="bottom"/>
            <w:tcBorders>
              <w:bottom w:val="single" w:sz="8" w:color="00053B"/>
            </w:tcBorders>
            <w:gridSpan w:val="15"/>
          </w:tcPr>
          <w:p>
            <w:pPr>
              <w:spacing w:after="0"/>
              <w:rPr>
                <w:sz w:val="20"/>
                <w:szCs w:val="20"/>
                <w:color w:val="auto"/>
              </w:rPr>
            </w:pPr>
            <w:r>
              <w:rPr>
                <w:rFonts w:ascii="Arial" w:cs="Arial" w:eastAsia="Arial" w:hAnsi="Arial"/>
                <w:sz w:val="16"/>
                <w:szCs w:val="16"/>
                <w:color w:val="00053B"/>
              </w:rPr>
              <w:t>Estimated Payments and Benefits upon Termination or Change in Control</w:t>
            </w:r>
          </w:p>
        </w:tc>
        <w:tc>
          <w:tcPr>
            <w:tcW w:w="1360" w:type="dxa"/>
            <w:vAlign w:val="bottom"/>
          </w:tcPr>
          <w:p>
            <w:pPr>
              <w:jc w:val="right"/>
              <w:spacing w:after="0"/>
              <w:rPr>
                <w:sz w:val="20"/>
                <w:szCs w:val="20"/>
                <w:color w:val="auto"/>
              </w:rPr>
            </w:pPr>
            <w:r>
              <w:rPr>
                <w:rFonts w:ascii="Arial" w:cs="Arial" w:eastAsia="Arial" w:hAnsi="Arial"/>
                <w:sz w:val="16"/>
                <w:szCs w:val="16"/>
                <w:color w:val="00053B"/>
              </w:rPr>
              <w:t>46</w:t>
            </w:r>
          </w:p>
        </w:tc>
      </w:tr>
      <w:tr>
        <w:trPr>
          <w:trHeight w:val="223"/>
        </w:trPr>
        <w:tc>
          <w:tcPr>
            <w:tcW w:w="1140" w:type="dxa"/>
            <w:vAlign w:val="bottom"/>
            <w:gridSpan w:val="3"/>
          </w:tcPr>
          <w:p>
            <w:pPr>
              <w:spacing w:after="0"/>
              <w:rPr>
                <w:sz w:val="20"/>
                <w:szCs w:val="20"/>
                <w:color w:val="auto"/>
              </w:rPr>
            </w:pPr>
            <w:r>
              <w:rPr>
                <w:rFonts w:ascii="Arial" w:cs="Arial" w:eastAsia="Arial" w:hAnsi="Arial"/>
                <w:sz w:val="16"/>
                <w:szCs w:val="16"/>
                <w:color w:val="00053B"/>
              </w:rPr>
              <w:t>CEO Pay Ratio</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00053B"/>
              </w:rPr>
              <w:t>47</w:t>
            </w:r>
          </w:p>
        </w:tc>
      </w:tr>
      <w:tr>
        <w:trPr>
          <w:trHeight w:val="20"/>
        </w:trPr>
        <w:tc>
          <w:tcPr>
            <w:tcW w:w="1100" w:type="dxa"/>
            <w:vAlign w:val="bottom"/>
            <w:gridSpan w:val="2"/>
            <w:shd w:val="clear" w:color="auto" w:fill="00053B"/>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480" w:type="dxa"/>
            <w:vAlign w:val="bottom"/>
            <w:gridSpan w:val="8"/>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23"/>
        </w:trPr>
        <w:tc>
          <w:tcPr>
            <w:tcW w:w="1780" w:type="dxa"/>
            <w:vAlign w:val="bottom"/>
            <w:tcBorders>
              <w:bottom w:val="single" w:sz="8" w:color="00053B"/>
            </w:tcBorders>
            <w:gridSpan w:val="7"/>
          </w:tcPr>
          <w:p>
            <w:pPr>
              <w:spacing w:after="0"/>
              <w:rPr>
                <w:sz w:val="20"/>
                <w:szCs w:val="20"/>
                <w:color w:val="auto"/>
              </w:rPr>
            </w:pPr>
            <w:r>
              <w:rPr>
                <w:rFonts w:ascii="Arial" w:cs="Arial" w:eastAsia="Arial" w:hAnsi="Arial"/>
                <w:sz w:val="16"/>
                <w:szCs w:val="16"/>
                <w:color w:val="00053B"/>
              </w:rPr>
              <w:t>Pay versus Performance</w:t>
            </w:r>
          </w:p>
        </w:tc>
        <w:tc>
          <w:tcPr>
            <w:tcW w:w="3480" w:type="dxa"/>
            <w:vAlign w:val="bottom"/>
            <w:gridSpan w:val="8"/>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00053B"/>
              </w:rPr>
              <w:t>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29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15175" cy="1028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CD&amp;A | </w:t>
      </w:r>
      <w:r>
        <w:rPr>
          <w:rFonts w:ascii="Arial" w:cs="Arial" w:eastAsia="Arial" w:hAnsi="Arial"/>
          <w:sz w:val="11"/>
          <w:szCs w:val="11"/>
          <w:b w:val="1"/>
          <w:bCs w:val="1"/>
          <w:color w:val="00053B"/>
        </w:rPr>
        <w:t>EXECUTIVE SUMMARY</w:t>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Executive Summary</w:t>
      </w:r>
    </w:p>
    <w:p>
      <w:pPr>
        <w:spacing w:after="0" w:line="87"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00053B"/>
        </w:rPr>
        <w:t>We believe the skill, talent, judgment, and dedication of our executive officers are critical to Commvault’s long-term value. Therefore, our objective in setting compensation policies for our named executive officers is to align pay with performance, while at the same time providing fair, reasonable, and competitive compensation that will allow us to attract, retain, and reward superior executive talent. The TMCC strongly believes that executive compensation should align our executive officers’ interests with those of our stockholders by rewarding achievement of specific annual, long-term, and strategic company goals, with the ultimate objective of enhancing long-term stockholder value.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FISCAL 2024 COMPENSATION HIGHLIGHTS</w:t>
      </w:r>
    </w:p>
    <w:p>
      <w:pPr>
        <w:spacing w:after="0" w:line="12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00053B"/>
        </w:rPr>
        <w:t>Our fiscal 2024 compensation plans and payouts for our named executive officers reflects our overarching philosophy of pay-for-performance. Highlights of our executive compensation program include:</w:t>
      </w:r>
    </w:p>
    <w:p>
      <w:pPr>
        <w:spacing w:after="0" w:line="48" w:lineRule="exact"/>
        <w:rPr>
          <w:sz w:val="20"/>
          <w:szCs w:val="20"/>
          <w:color w:val="auto"/>
        </w:rPr>
      </w:pPr>
    </w:p>
    <w:p>
      <w:pPr>
        <w:ind w:left="140" w:hanging="132"/>
        <w:spacing w:after="0"/>
        <w:tabs>
          <w:tab w:leader="none" w:pos="140" w:val="left"/>
        </w:tabs>
        <w:numPr>
          <w:ilvl w:val="0"/>
          <w:numId w:val="32"/>
        </w:numPr>
        <w:rPr>
          <w:rFonts w:ascii="Arial" w:cs="Arial" w:eastAsia="Arial" w:hAnsi="Arial"/>
          <w:sz w:val="16"/>
          <w:szCs w:val="16"/>
          <w:color w:val="00053B"/>
        </w:rPr>
      </w:pPr>
      <w:r>
        <w:rPr>
          <w:rFonts w:ascii="Arial" w:cs="Arial" w:eastAsia="Arial" w:hAnsi="Arial"/>
          <w:sz w:val="16"/>
          <w:szCs w:val="16"/>
          <w:b w:val="1"/>
          <w:bCs w:val="1"/>
          <w:color w:val="00053B"/>
        </w:rPr>
        <w:t>Competitive Base Salary</w:t>
      </w:r>
      <w:r>
        <w:rPr>
          <w:rFonts w:ascii="Arial" w:cs="Arial" w:eastAsia="Arial" w:hAnsi="Arial"/>
          <w:sz w:val="16"/>
          <w:szCs w:val="16"/>
          <w:color w:val="00053B"/>
        </w:rPr>
        <w:t>: Base salaries are set to be competitive within our industry and are important in attracting and retaining talented executives.</w:t>
      </w:r>
    </w:p>
    <w:p>
      <w:pPr>
        <w:spacing w:after="0" w:line="126" w:lineRule="exact"/>
        <w:rPr>
          <w:rFonts w:ascii="Arial" w:cs="Arial" w:eastAsia="Arial" w:hAnsi="Arial"/>
          <w:sz w:val="16"/>
          <w:szCs w:val="16"/>
          <w:color w:val="00053B"/>
        </w:rPr>
      </w:pPr>
    </w:p>
    <w:p>
      <w:pPr>
        <w:ind w:left="140" w:right="200" w:hanging="132"/>
        <w:spacing w:after="0" w:line="260" w:lineRule="auto"/>
        <w:tabs>
          <w:tab w:leader="none" w:pos="134" w:val="left"/>
        </w:tabs>
        <w:numPr>
          <w:ilvl w:val="0"/>
          <w:numId w:val="32"/>
        </w:numPr>
        <w:rPr>
          <w:rFonts w:ascii="Arial" w:cs="Arial" w:eastAsia="Arial" w:hAnsi="Arial"/>
          <w:sz w:val="16"/>
          <w:szCs w:val="16"/>
          <w:color w:val="00053B"/>
        </w:rPr>
      </w:pPr>
      <w:r>
        <w:rPr>
          <w:rFonts w:ascii="Arial" w:cs="Arial" w:eastAsia="Arial" w:hAnsi="Arial"/>
          <w:sz w:val="16"/>
          <w:szCs w:val="16"/>
          <w:b w:val="1"/>
          <w:bCs w:val="1"/>
          <w:color w:val="00053B"/>
        </w:rPr>
        <w:t>Challenging Annual Incentive</w:t>
      </w:r>
      <w:r>
        <w:rPr>
          <w:rFonts w:ascii="Arial" w:cs="Arial" w:eastAsia="Arial" w:hAnsi="Arial"/>
          <w:sz w:val="16"/>
          <w:szCs w:val="16"/>
          <w:color w:val="00053B"/>
        </w:rPr>
        <w:t>: In fiscal 2024, our Talent Management and Compensation Committee approved target annual incentives based on</w:t>
      </w:r>
      <w:r>
        <w:rPr>
          <w:rFonts w:ascii="Arial" w:cs="Arial" w:eastAsia="Arial" w:hAnsi="Arial"/>
          <w:sz w:val="16"/>
          <w:szCs w:val="16"/>
          <w:b w:val="1"/>
          <w:bCs w:val="1"/>
          <w:color w:val="00053B"/>
        </w:rPr>
        <w:t xml:space="preserve"> </w:t>
      </w:r>
      <w:r>
        <w:rPr>
          <w:rFonts w:ascii="Arial" w:cs="Arial" w:eastAsia="Arial" w:hAnsi="Arial"/>
          <w:sz w:val="16"/>
          <w:szCs w:val="16"/>
          <w:color w:val="00053B"/>
        </w:rPr>
        <w:t>achievement of annual revenue and non-GAAP EBIT goals for Messrs. Mirchandani and Merrill. Based on our performance during the year, our named executive officers other than Mr. Di Blasio, earned annual incentives equal to 109% of their target for the year. Mr. Di Blasio’s bonus was paid quarterly, based upon quarterly revenue targets and results. He received 88.2% of his target award for the year. Mr. Di Blasio resigned effective January 12, 2024, and therefore only received quarterly incentive payments for the first three quarters of fiscal 2024.</w:t>
      </w:r>
    </w:p>
    <w:p>
      <w:pPr>
        <w:spacing w:after="0" w:line="83" w:lineRule="exact"/>
        <w:rPr>
          <w:rFonts w:ascii="Arial" w:cs="Arial" w:eastAsia="Arial" w:hAnsi="Arial"/>
          <w:sz w:val="16"/>
          <w:szCs w:val="16"/>
          <w:color w:val="00053B"/>
        </w:rPr>
      </w:pPr>
    </w:p>
    <w:p>
      <w:pPr>
        <w:ind w:left="140" w:right="20" w:hanging="132"/>
        <w:spacing w:after="0" w:line="265" w:lineRule="auto"/>
        <w:tabs>
          <w:tab w:leader="none" w:pos="134" w:val="left"/>
        </w:tabs>
        <w:numPr>
          <w:ilvl w:val="0"/>
          <w:numId w:val="32"/>
        </w:numPr>
        <w:rPr>
          <w:rFonts w:ascii="Arial" w:cs="Arial" w:eastAsia="Arial" w:hAnsi="Arial"/>
          <w:sz w:val="16"/>
          <w:szCs w:val="16"/>
          <w:b w:val="1"/>
          <w:bCs w:val="1"/>
          <w:color w:val="00053B"/>
        </w:rPr>
      </w:pPr>
      <w:r>
        <w:rPr>
          <w:rFonts w:ascii="Arial" w:cs="Arial" w:eastAsia="Arial" w:hAnsi="Arial"/>
          <w:sz w:val="16"/>
          <w:szCs w:val="16"/>
          <w:b w:val="1"/>
          <w:bCs w:val="1"/>
          <w:color w:val="00053B"/>
        </w:rPr>
        <w:t>Long-term Incentive Awards</w:t>
      </w:r>
      <w:r>
        <w:rPr>
          <w:rFonts w:ascii="Arial" w:cs="Arial" w:eastAsia="Arial" w:hAnsi="Arial"/>
          <w:sz w:val="16"/>
          <w:szCs w:val="16"/>
          <w:color w:val="00053B"/>
        </w:rPr>
        <w:t>: We believe that stock awards with multi-year vesting are an effective tool for motivating our named executive officers to</w:t>
      </w:r>
      <w:r>
        <w:rPr>
          <w:rFonts w:ascii="Arial" w:cs="Arial" w:eastAsia="Arial" w:hAnsi="Arial"/>
          <w:sz w:val="16"/>
          <w:szCs w:val="16"/>
          <w:b w:val="1"/>
          <w:bCs w:val="1"/>
          <w:color w:val="00053B"/>
        </w:rPr>
        <w:t xml:space="preserve"> </w:t>
      </w:r>
      <w:r>
        <w:rPr>
          <w:rFonts w:ascii="Arial" w:cs="Arial" w:eastAsia="Arial" w:hAnsi="Arial"/>
          <w:sz w:val="16"/>
          <w:szCs w:val="16"/>
          <w:color w:val="00053B"/>
        </w:rPr>
        <w:t>drive long-term stockholder value. During fiscal 2024, 50% of the target value of equity granted to our named executive officers was awarded in the form of performance-based equity. These grants included a mix of PSUs tied to one, two and three-year goals as well as relative and absolute performance measurement.</w:t>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Compensation Philosophy and Objectives</w:t>
      </w:r>
    </w:p>
    <w:p>
      <w:pPr>
        <w:spacing w:after="0" w:line="87" w:lineRule="exact"/>
        <w:rPr>
          <w:sz w:val="20"/>
          <w:szCs w:val="20"/>
          <w:color w:val="auto"/>
        </w:rPr>
      </w:pPr>
    </w:p>
    <w:p>
      <w:pPr>
        <w:spacing w:after="0" w:line="259" w:lineRule="auto"/>
        <w:rPr>
          <w:sz w:val="20"/>
          <w:szCs w:val="20"/>
          <w:color w:val="auto"/>
        </w:rPr>
      </w:pPr>
      <w:r>
        <w:rPr>
          <w:rFonts w:ascii="Arial" w:cs="Arial" w:eastAsia="Arial" w:hAnsi="Arial"/>
          <w:sz w:val="16"/>
          <w:szCs w:val="16"/>
          <w:color w:val="00053B"/>
        </w:rPr>
        <w:t>As a technology company, we operate in an extremely competitive and rapidly changing industry. When setting compensation policies for our executive officers, the TMCC strives to align pay with performance; to provide fair, reasonable, and competitive compensation that will allow us to attract, retain, and reward superior executive talent; and to align our executive officers’ interests with those of our stockholders by rewarding achievement of specific annual, long-term, and strategic goals. To that end, the compensation opportunities provided to our executive officers include a mix of both cash and equity elements that reward performance as measured against pre-established goals and objectives. The specific goals that our current executive compensation program rewards are focused primarily on revenue growth and profitability, as the TMCC believes those measures are the most direct drivers of long-term stockholder value creation.</w:t>
      </w:r>
    </w:p>
    <w:p>
      <w:pPr>
        <w:spacing w:after="0" w:line="14" w:lineRule="exact"/>
        <w:rPr>
          <w:sz w:val="20"/>
          <w:szCs w:val="20"/>
          <w:color w:val="auto"/>
        </w:rPr>
      </w:pPr>
    </w:p>
    <w:p>
      <w:pPr>
        <w:spacing w:after="0" w:line="265" w:lineRule="auto"/>
        <w:rPr>
          <w:sz w:val="20"/>
          <w:szCs w:val="20"/>
          <w:color w:val="auto"/>
        </w:rPr>
      </w:pPr>
      <w:r>
        <w:rPr>
          <w:rFonts w:ascii="Arial" w:cs="Arial" w:eastAsia="Arial" w:hAnsi="Arial"/>
          <w:sz w:val="16"/>
          <w:szCs w:val="16"/>
          <w:color w:val="00053B"/>
        </w:rPr>
        <w:t>Decisions with respect to the total compensation for our executive officers are based primarily upon an assessment of each individual’s performance and potential to enhance long-term stockholder value. Often, the TMCC relies on judgment rather than rigid guidelines or formulas in determining the amount and mix of compensation for each executive officer. Factors affecting such judgment include performance compared to strategic goals established at the beginning of the fiscal year, the nature and scope of each executive’s responsibilities, and whether the executive conducts all activities in a manner consistent with our core Company values.</w:t>
      </w:r>
    </w:p>
    <w:p>
      <w:pPr>
        <w:spacing w:after="0" w:line="10" w:lineRule="exact"/>
        <w:rPr>
          <w:sz w:val="20"/>
          <w:szCs w:val="20"/>
          <w:color w:val="auto"/>
        </w:rPr>
      </w:pPr>
    </w:p>
    <w:p>
      <w:pPr>
        <w:ind w:right="480"/>
        <w:spacing w:after="0" w:line="304" w:lineRule="auto"/>
        <w:rPr>
          <w:sz w:val="20"/>
          <w:szCs w:val="20"/>
          <w:color w:val="auto"/>
        </w:rPr>
      </w:pPr>
      <w:r>
        <w:rPr>
          <w:rFonts w:ascii="Arial" w:cs="Arial" w:eastAsia="Arial" w:hAnsi="Arial"/>
          <w:sz w:val="16"/>
          <w:szCs w:val="16"/>
          <w:color w:val="00053B"/>
        </w:rPr>
        <w:t>In addition, the TMCC seeks to ensure that we maintain sound governance and compensation policies and practices. In designing and overseeing our executive compensation program, we strive to employ best practices and regularly assess our policies and practices.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3B"/>
        </w:rPr>
        <w:t>What we do</w:t>
      </w:r>
    </w:p>
    <w:p>
      <w:pPr>
        <w:spacing w:after="0" w:line="66" w:lineRule="exact"/>
        <w:rPr>
          <w:sz w:val="20"/>
          <w:szCs w:val="20"/>
          <w:color w:val="auto"/>
        </w:rPr>
      </w:pPr>
    </w:p>
    <w:p>
      <w:pPr>
        <w:ind w:left="140" w:hanging="132"/>
        <w:spacing w:after="0"/>
        <w:tabs>
          <w:tab w:leader="none" w:pos="140" w:val="left"/>
        </w:tabs>
        <w:numPr>
          <w:ilvl w:val="0"/>
          <w:numId w:val="33"/>
        </w:numPr>
        <w:rPr>
          <w:rFonts w:ascii="Arial" w:cs="Arial" w:eastAsia="Arial" w:hAnsi="Arial"/>
          <w:sz w:val="16"/>
          <w:szCs w:val="16"/>
          <w:color w:val="00053B"/>
        </w:rPr>
      </w:pPr>
      <w:r>
        <w:rPr>
          <w:rFonts w:ascii="Arial" w:cs="Arial" w:eastAsia="Arial" w:hAnsi="Arial"/>
          <w:sz w:val="16"/>
          <w:szCs w:val="16"/>
          <w:color w:val="00053B"/>
        </w:rPr>
        <w:t>We link pay to performance by delivering a substantial portion of total compensation for our executive officers in the form of long-term equity awards.</w:t>
      </w:r>
    </w:p>
    <w:p>
      <w:pPr>
        <w:spacing w:after="0" w:line="72" w:lineRule="exact"/>
        <w:rPr>
          <w:rFonts w:ascii="Arial" w:cs="Arial" w:eastAsia="Arial" w:hAnsi="Arial"/>
          <w:sz w:val="16"/>
          <w:szCs w:val="16"/>
          <w:color w:val="00053B"/>
        </w:rPr>
      </w:pPr>
    </w:p>
    <w:p>
      <w:pPr>
        <w:ind w:left="140" w:right="100" w:hanging="132"/>
        <w:spacing w:after="0" w:line="286" w:lineRule="auto"/>
        <w:tabs>
          <w:tab w:leader="none" w:pos="134" w:val="left"/>
        </w:tabs>
        <w:numPr>
          <w:ilvl w:val="0"/>
          <w:numId w:val="33"/>
        </w:numPr>
        <w:rPr>
          <w:rFonts w:ascii="Arial" w:cs="Arial" w:eastAsia="Arial" w:hAnsi="Arial"/>
          <w:sz w:val="16"/>
          <w:szCs w:val="16"/>
          <w:color w:val="00053B"/>
        </w:rPr>
      </w:pPr>
      <w:r>
        <w:rPr>
          <w:rFonts w:ascii="Arial" w:cs="Arial" w:eastAsia="Arial" w:hAnsi="Arial"/>
          <w:sz w:val="16"/>
          <w:szCs w:val="16"/>
          <w:color w:val="00053B"/>
        </w:rPr>
        <w:t>Our TMCC directly engages an independent compensation consultant, Compensia, to provide analysis for the annual executive compensation review and guidance on other executive compensation matters independent of management.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53B"/>
        </w:rPr>
        <w:t>What we do not do</w:t>
      </w:r>
    </w:p>
    <w:p>
      <w:pPr>
        <w:spacing w:after="0" w:line="66" w:lineRule="exact"/>
        <w:rPr>
          <w:sz w:val="20"/>
          <w:szCs w:val="20"/>
          <w:color w:val="auto"/>
        </w:rPr>
      </w:pPr>
    </w:p>
    <w:p>
      <w:pPr>
        <w:ind w:left="140" w:hanging="132"/>
        <w:spacing w:after="0"/>
        <w:tabs>
          <w:tab w:leader="none" w:pos="140" w:val="left"/>
        </w:tabs>
        <w:numPr>
          <w:ilvl w:val="0"/>
          <w:numId w:val="34"/>
        </w:numPr>
        <w:rPr>
          <w:rFonts w:ascii="Arial" w:cs="Arial" w:eastAsia="Arial" w:hAnsi="Arial"/>
          <w:sz w:val="16"/>
          <w:szCs w:val="16"/>
          <w:color w:val="00053B"/>
        </w:rPr>
      </w:pPr>
      <w:r>
        <w:rPr>
          <w:rFonts w:ascii="Arial" w:cs="Arial" w:eastAsia="Arial" w:hAnsi="Arial"/>
          <w:sz w:val="16"/>
          <w:szCs w:val="16"/>
          <w:color w:val="00053B"/>
        </w:rPr>
        <w:t>We do not provide guaranteed bonuses to our executive officers.</w:t>
      </w:r>
    </w:p>
    <w:p>
      <w:pPr>
        <w:spacing w:after="0" w:line="72" w:lineRule="exact"/>
        <w:rPr>
          <w:rFonts w:ascii="Arial" w:cs="Arial" w:eastAsia="Arial" w:hAnsi="Arial"/>
          <w:sz w:val="16"/>
          <w:szCs w:val="16"/>
          <w:color w:val="00053B"/>
        </w:rPr>
      </w:pPr>
    </w:p>
    <w:p>
      <w:pPr>
        <w:ind w:left="140" w:right="460" w:hanging="132"/>
        <w:spacing w:after="0" w:line="286" w:lineRule="auto"/>
        <w:tabs>
          <w:tab w:leader="none" w:pos="134" w:val="left"/>
        </w:tabs>
        <w:numPr>
          <w:ilvl w:val="0"/>
          <w:numId w:val="34"/>
        </w:numPr>
        <w:rPr>
          <w:rFonts w:ascii="Arial" w:cs="Arial" w:eastAsia="Arial" w:hAnsi="Arial"/>
          <w:sz w:val="16"/>
          <w:szCs w:val="16"/>
          <w:color w:val="00053B"/>
        </w:rPr>
      </w:pPr>
      <w:r>
        <w:rPr>
          <w:rFonts w:ascii="Arial" w:cs="Arial" w:eastAsia="Arial" w:hAnsi="Arial"/>
          <w:sz w:val="16"/>
          <w:szCs w:val="16"/>
          <w:color w:val="00053B"/>
        </w:rPr>
        <w:t>We do not provide any excise tax reimbursement payments (including “gross-ups”) with respect to payments or benefits contingent upon a change in control of our Company.</w:t>
      </w:r>
    </w:p>
    <w:p>
      <w:pPr>
        <w:spacing w:after="0" w:line="7" w:lineRule="exact"/>
        <w:rPr>
          <w:rFonts w:ascii="Arial" w:cs="Arial" w:eastAsia="Arial" w:hAnsi="Arial"/>
          <w:sz w:val="16"/>
          <w:szCs w:val="16"/>
          <w:color w:val="00053B"/>
        </w:rPr>
      </w:pPr>
    </w:p>
    <w:p>
      <w:pPr>
        <w:ind w:left="140" w:hanging="132"/>
        <w:spacing w:after="0" w:line="281" w:lineRule="auto"/>
        <w:tabs>
          <w:tab w:leader="none" w:pos="134" w:val="left"/>
        </w:tabs>
        <w:numPr>
          <w:ilvl w:val="0"/>
          <w:numId w:val="34"/>
        </w:numPr>
        <w:rPr>
          <w:rFonts w:ascii="Arial" w:cs="Arial" w:eastAsia="Arial" w:hAnsi="Arial"/>
          <w:sz w:val="16"/>
          <w:szCs w:val="16"/>
          <w:color w:val="00053B"/>
        </w:rPr>
      </w:pPr>
      <w:r>
        <w:rPr>
          <w:rFonts w:ascii="Arial" w:cs="Arial" w:eastAsia="Arial" w:hAnsi="Arial"/>
          <w:sz w:val="16"/>
          <w:szCs w:val="16"/>
          <w:color w:val="00053B"/>
        </w:rPr>
        <w:t>We do not offer pension arrangements, or non-qualified deferred compensation plans or arrangements to our executive officers, other than our 401(k) plan, which is open to all United States salaried employees.</w:t>
      </w:r>
    </w:p>
    <w:p>
      <w:pPr>
        <w:spacing w:after="0" w:line="1" w:lineRule="exact"/>
        <w:rPr>
          <w:rFonts w:ascii="Arial" w:cs="Arial" w:eastAsia="Arial" w:hAnsi="Arial"/>
          <w:sz w:val="16"/>
          <w:szCs w:val="16"/>
          <w:color w:val="00053B"/>
        </w:rPr>
      </w:pPr>
    </w:p>
    <w:p>
      <w:pPr>
        <w:ind w:left="140" w:right="260" w:hanging="132"/>
        <w:spacing w:after="0" w:line="290" w:lineRule="auto"/>
        <w:tabs>
          <w:tab w:leader="none" w:pos="134" w:val="left"/>
        </w:tabs>
        <w:numPr>
          <w:ilvl w:val="0"/>
          <w:numId w:val="34"/>
        </w:numPr>
        <w:rPr>
          <w:rFonts w:ascii="Arial" w:cs="Arial" w:eastAsia="Arial" w:hAnsi="Arial"/>
          <w:sz w:val="16"/>
          <w:szCs w:val="16"/>
          <w:color w:val="00053B"/>
        </w:rPr>
      </w:pPr>
      <w:r>
        <w:rPr>
          <w:rFonts w:ascii="Arial" w:cs="Arial" w:eastAsia="Arial" w:hAnsi="Arial"/>
          <w:sz w:val="16"/>
          <w:szCs w:val="16"/>
          <w:color w:val="00053B"/>
        </w:rPr>
        <w:t>Our named executive officers participate in broad-based company-sponsored health and welfare benefits programs on the same basis as our other full-time, salaried employees.</w:t>
      </w:r>
    </w:p>
    <w:p>
      <w:pPr>
        <w:ind w:left="140" w:right="560" w:hanging="132"/>
        <w:spacing w:after="0" w:line="304" w:lineRule="auto"/>
        <w:tabs>
          <w:tab w:leader="none" w:pos="134" w:val="left"/>
        </w:tabs>
        <w:numPr>
          <w:ilvl w:val="0"/>
          <w:numId w:val="34"/>
        </w:numPr>
        <w:rPr>
          <w:rFonts w:ascii="Arial" w:cs="Arial" w:eastAsia="Arial" w:hAnsi="Arial"/>
          <w:sz w:val="16"/>
          <w:szCs w:val="16"/>
          <w:color w:val="00053B"/>
        </w:rPr>
      </w:pPr>
      <w:r>
        <w:rPr>
          <w:rFonts w:ascii="Arial" w:cs="Arial" w:eastAsia="Arial" w:hAnsi="Arial"/>
          <w:sz w:val="16"/>
          <w:szCs w:val="16"/>
          <w:color w:val="00053B"/>
        </w:rPr>
        <w:t>We prohibit our employees, including our named executive officers, and the members of our Board of Directors from hedging or similar transactions designed to decrease risks associated with holding our equity securities.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30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15175" cy="1028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CD&amp;A | </w:t>
      </w:r>
      <w:r>
        <w:rPr>
          <w:rFonts w:ascii="Arial" w:cs="Arial" w:eastAsia="Arial" w:hAnsi="Arial"/>
          <w:sz w:val="11"/>
          <w:szCs w:val="11"/>
          <w:b w:val="1"/>
          <w:bCs w:val="1"/>
          <w:color w:val="00053B"/>
        </w:rPr>
        <w:t>EXECUTIVE SUMMARY</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844896"/>
        </w:rPr>
        <w:t>Mix of Compensation Elements</w:t>
      </w:r>
    </w:p>
    <w:p>
      <w:pPr>
        <w:spacing w:after="0" w:line="58" w:lineRule="exact"/>
        <w:rPr>
          <w:sz w:val="20"/>
          <w:szCs w:val="20"/>
          <w:color w:val="auto"/>
        </w:rPr>
      </w:pPr>
    </w:p>
    <w:p>
      <w:pPr>
        <w:spacing w:after="0" w:line="265" w:lineRule="auto"/>
        <w:rPr>
          <w:sz w:val="20"/>
          <w:szCs w:val="20"/>
          <w:color w:val="auto"/>
        </w:rPr>
      </w:pPr>
      <w:r>
        <w:rPr>
          <w:rFonts w:ascii="Arial" w:cs="Arial" w:eastAsia="Arial" w:hAnsi="Arial"/>
          <w:sz w:val="16"/>
          <w:szCs w:val="16"/>
          <w:color w:val="00053B"/>
        </w:rPr>
        <w:t>Our fiscal 2024 executive compensation program consists of three principal elements: base salary, annual cash incentive bonuses, and long-term equity incentive awards. Consistent with our pay for performance philosophy, the majority of target total direct compensation for the named executive officers in fiscal 2024 consisted of incentive awards, particularly long-term equity incentive awards. The TMCC believes that emphasizing equity-based compensation creates a strong incentive for our executives to build sustainable long-term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84455</wp:posOffset>
            </wp:positionV>
            <wp:extent cx="6223635" cy="53149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223635" cy="5314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40" w:right="4500"/>
        <w:spacing w:after="0" w:line="284" w:lineRule="auto"/>
        <w:rPr>
          <w:sz w:val="20"/>
          <w:szCs w:val="20"/>
          <w:color w:val="auto"/>
        </w:rPr>
      </w:pPr>
      <w:r>
        <w:rPr>
          <w:rFonts w:ascii="Arial" w:cs="Arial" w:eastAsia="Arial" w:hAnsi="Arial"/>
          <w:sz w:val="18"/>
          <w:szCs w:val="18"/>
          <w:b w:val="1"/>
          <w:bCs w:val="1"/>
          <w:color w:val="844896"/>
        </w:rPr>
        <w:t>PRIOR STOCKHOLDER ADVISORY VOTE ON NAMED EXECUTIVE OFFICER COMPENSATION</w:t>
      </w:r>
    </w:p>
    <w:p>
      <w:pPr>
        <w:spacing w:after="0" w:line="1" w:lineRule="exact"/>
        <w:rPr>
          <w:sz w:val="20"/>
          <w:szCs w:val="20"/>
          <w:color w:val="auto"/>
        </w:rPr>
      </w:pPr>
    </w:p>
    <w:p>
      <w:pPr>
        <w:ind w:left="140" w:right="4240"/>
        <w:spacing w:after="0" w:line="261" w:lineRule="auto"/>
        <w:rPr>
          <w:sz w:val="20"/>
          <w:szCs w:val="20"/>
          <w:color w:val="auto"/>
        </w:rPr>
      </w:pPr>
      <w:r>
        <w:rPr>
          <w:rFonts w:ascii="Arial" w:cs="Arial" w:eastAsia="Arial" w:hAnsi="Arial"/>
          <w:sz w:val="16"/>
          <w:szCs w:val="16"/>
          <w:color w:val="00053B"/>
        </w:rPr>
        <w:t>In light of the 2023 say-on-pay vote, in which 96% of the votes cast were in favor of our executive compensation program, the TMCC maintained a consistent approach for fiscal year 2024. In particular, the TMCC continued to emphasize pay-for-performance through the use of performance share awards that reward our executive officers only if they deliver value for our stockholders. The TMCC will continue to consider input from our stockholders when making compensation decisions for our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31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15175" cy="1028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CD&amp;A | </w:t>
      </w:r>
      <w:r>
        <w:rPr>
          <w:rFonts w:ascii="Arial" w:cs="Arial" w:eastAsia="Arial" w:hAnsi="Arial"/>
          <w:sz w:val="11"/>
          <w:szCs w:val="11"/>
          <w:b w:val="1"/>
          <w:bCs w:val="1"/>
          <w:color w:val="00053B"/>
        </w:rPr>
        <w:t>EXECUTIVE SUMMARY</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How Compensation Decisions are Made</w:t>
      </w:r>
    </w:p>
    <w:p>
      <w:pPr>
        <w:spacing w:after="0" w:line="7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00053B"/>
        </w:rPr>
        <w:t>The TMCC’s goal is generally to target elements of compensation within a competitive range, using a balanced approach that does not use rigid percentiles to determine target pay levels for each compensation element. For fiscal 2024, the TMCC reviewed each element of compensation described below and set the target total direct compensation opportunities of our executive officers after taking into consideration the following factors:</w:t>
      </w:r>
    </w:p>
    <w:p>
      <w:pPr>
        <w:spacing w:after="0" w:line="2" w:lineRule="exact"/>
        <w:rPr>
          <w:sz w:val="20"/>
          <w:szCs w:val="20"/>
          <w:color w:val="auto"/>
        </w:rPr>
      </w:pPr>
    </w:p>
    <w:p>
      <w:pPr>
        <w:ind w:left="140" w:hanging="132"/>
        <w:spacing w:after="0"/>
        <w:tabs>
          <w:tab w:leader="none" w:pos="140" w:val="left"/>
        </w:tabs>
        <w:numPr>
          <w:ilvl w:val="0"/>
          <w:numId w:val="35"/>
        </w:numPr>
        <w:rPr>
          <w:rFonts w:ascii="Arial" w:cs="Arial" w:eastAsia="Arial" w:hAnsi="Arial"/>
          <w:sz w:val="16"/>
          <w:szCs w:val="16"/>
          <w:color w:val="00053B"/>
        </w:rPr>
      </w:pPr>
      <w:r>
        <w:rPr>
          <w:rFonts w:ascii="Arial" w:cs="Arial" w:eastAsia="Arial" w:hAnsi="Arial"/>
          <w:sz w:val="16"/>
          <w:szCs w:val="16"/>
          <w:color w:val="00053B"/>
        </w:rPr>
        <w:t>market data, including practices among companies in our compensation peer group;</w:t>
      </w:r>
    </w:p>
    <w:p>
      <w:pPr>
        <w:spacing w:after="0" w:line="72" w:lineRule="exact"/>
        <w:rPr>
          <w:rFonts w:ascii="Arial" w:cs="Arial" w:eastAsia="Arial" w:hAnsi="Arial"/>
          <w:sz w:val="16"/>
          <w:szCs w:val="16"/>
          <w:color w:val="00053B"/>
        </w:rPr>
      </w:pPr>
    </w:p>
    <w:p>
      <w:pPr>
        <w:ind w:left="140" w:hanging="132"/>
        <w:spacing w:after="0"/>
        <w:tabs>
          <w:tab w:leader="none" w:pos="140" w:val="left"/>
        </w:tabs>
        <w:numPr>
          <w:ilvl w:val="0"/>
          <w:numId w:val="35"/>
        </w:numPr>
        <w:rPr>
          <w:rFonts w:ascii="Arial" w:cs="Arial" w:eastAsia="Arial" w:hAnsi="Arial"/>
          <w:sz w:val="16"/>
          <w:szCs w:val="16"/>
          <w:color w:val="00053B"/>
        </w:rPr>
      </w:pPr>
      <w:r>
        <w:rPr>
          <w:rFonts w:ascii="Arial" w:cs="Arial" w:eastAsia="Arial" w:hAnsi="Arial"/>
          <w:sz w:val="16"/>
          <w:szCs w:val="16"/>
          <w:color w:val="00053B"/>
        </w:rPr>
        <w:t>each executive officer’s scope of responsibilities;</w:t>
      </w:r>
    </w:p>
    <w:p>
      <w:pPr>
        <w:spacing w:after="0" w:line="59" w:lineRule="exact"/>
        <w:rPr>
          <w:rFonts w:ascii="Arial" w:cs="Arial" w:eastAsia="Arial" w:hAnsi="Arial"/>
          <w:sz w:val="16"/>
          <w:szCs w:val="16"/>
          <w:color w:val="00053B"/>
        </w:rPr>
      </w:pPr>
    </w:p>
    <w:p>
      <w:pPr>
        <w:ind w:left="140" w:hanging="132"/>
        <w:spacing w:after="0"/>
        <w:tabs>
          <w:tab w:leader="none" w:pos="140" w:val="left"/>
        </w:tabs>
        <w:numPr>
          <w:ilvl w:val="0"/>
          <w:numId w:val="35"/>
        </w:numPr>
        <w:rPr>
          <w:rFonts w:ascii="Arial" w:cs="Arial" w:eastAsia="Arial" w:hAnsi="Arial"/>
          <w:sz w:val="16"/>
          <w:szCs w:val="16"/>
          <w:color w:val="00053B"/>
        </w:rPr>
      </w:pPr>
      <w:r>
        <w:rPr>
          <w:rFonts w:ascii="Arial" w:cs="Arial" w:eastAsia="Arial" w:hAnsi="Arial"/>
          <w:sz w:val="16"/>
          <w:szCs w:val="16"/>
          <w:color w:val="00053B"/>
        </w:rPr>
        <w:t>each executive officer’s tenure, skills, and experience;</w:t>
      </w:r>
    </w:p>
    <w:p>
      <w:pPr>
        <w:spacing w:after="0" w:line="59" w:lineRule="exact"/>
        <w:rPr>
          <w:rFonts w:ascii="Arial" w:cs="Arial" w:eastAsia="Arial" w:hAnsi="Arial"/>
          <w:sz w:val="16"/>
          <w:szCs w:val="16"/>
          <w:color w:val="00053B"/>
        </w:rPr>
      </w:pPr>
    </w:p>
    <w:p>
      <w:pPr>
        <w:ind w:left="140" w:hanging="132"/>
        <w:spacing w:after="0"/>
        <w:tabs>
          <w:tab w:leader="none" w:pos="140" w:val="left"/>
        </w:tabs>
        <w:numPr>
          <w:ilvl w:val="0"/>
          <w:numId w:val="35"/>
        </w:numPr>
        <w:rPr>
          <w:rFonts w:ascii="Arial" w:cs="Arial" w:eastAsia="Arial" w:hAnsi="Arial"/>
          <w:sz w:val="16"/>
          <w:szCs w:val="16"/>
          <w:color w:val="00053B"/>
        </w:rPr>
      </w:pPr>
      <w:r>
        <w:rPr>
          <w:rFonts w:ascii="Arial" w:cs="Arial" w:eastAsia="Arial" w:hAnsi="Arial"/>
          <w:sz w:val="16"/>
          <w:szCs w:val="16"/>
          <w:color w:val="00053B"/>
        </w:rPr>
        <w:t>internal pay equity across the executive management team;</w:t>
      </w:r>
    </w:p>
    <w:p>
      <w:pPr>
        <w:spacing w:after="0" w:line="72" w:lineRule="exact"/>
        <w:rPr>
          <w:rFonts w:ascii="Arial" w:cs="Arial" w:eastAsia="Arial" w:hAnsi="Arial"/>
          <w:sz w:val="16"/>
          <w:szCs w:val="16"/>
          <w:color w:val="00053B"/>
        </w:rPr>
      </w:pPr>
    </w:p>
    <w:p>
      <w:pPr>
        <w:ind w:left="140" w:hanging="132"/>
        <w:spacing w:after="0"/>
        <w:tabs>
          <w:tab w:leader="none" w:pos="140" w:val="left"/>
        </w:tabs>
        <w:numPr>
          <w:ilvl w:val="0"/>
          <w:numId w:val="35"/>
        </w:numPr>
        <w:rPr>
          <w:rFonts w:ascii="Arial" w:cs="Arial" w:eastAsia="Arial" w:hAnsi="Arial"/>
          <w:sz w:val="16"/>
          <w:szCs w:val="16"/>
          <w:color w:val="00053B"/>
        </w:rPr>
      </w:pPr>
      <w:r>
        <w:rPr>
          <w:rFonts w:ascii="Arial" w:cs="Arial" w:eastAsia="Arial" w:hAnsi="Arial"/>
          <w:sz w:val="16"/>
          <w:szCs w:val="16"/>
          <w:color w:val="00053B"/>
        </w:rPr>
        <w:t>our overall performance, taking into consideration performance versus internal plans and industry peers;</w:t>
      </w:r>
    </w:p>
    <w:p>
      <w:pPr>
        <w:spacing w:after="0" w:line="59" w:lineRule="exact"/>
        <w:rPr>
          <w:rFonts w:ascii="Arial" w:cs="Arial" w:eastAsia="Arial" w:hAnsi="Arial"/>
          <w:sz w:val="16"/>
          <w:szCs w:val="16"/>
          <w:color w:val="00053B"/>
        </w:rPr>
      </w:pPr>
    </w:p>
    <w:p>
      <w:pPr>
        <w:ind w:left="140" w:hanging="132"/>
        <w:spacing w:after="0"/>
        <w:tabs>
          <w:tab w:leader="none" w:pos="140" w:val="left"/>
        </w:tabs>
        <w:numPr>
          <w:ilvl w:val="0"/>
          <w:numId w:val="35"/>
        </w:numPr>
        <w:rPr>
          <w:rFonts w:ascii="Arial" w:cs="Arial" w:eastAsia="Arial" w:hAnsi="Arial"/>
          <w:sz w:val="16"/>
          <w:szCs w:val="16"/>
          <w:color w:val="00053B"/>
        </w:rPr>
      </w:pPr>
      <w:r>
        <w:rPr>
          <w:rFonts w:ascii="Arial" w:cs="Arial" w:eastAsia="Arial" w:hAnsi="Arial"/>
          <w:sz w:val="16"/>
          <w:szCs w:val="16"/>
          <w:color w:val="00053B"/>
        </w:rPr>
        <w:t>the recommendations of our CEO; and</w:t>
      </w:r>
    </w:p>
    <w:p>
      <w:pPr>
        <w:spacing w:after="0" w:line="72" w:lineRule="exact"/>
        <w:rPr>
          <w:rFonts w:ascii="Arial" w:cs="Arial" w:eastAsia="Arial" w:hAnsi="Arial"/>
          <w:sz w:val="16"/>
          <w:szCs w:val="16"/>
          <w:color w:val="00053B"/>
        </w:rPr>
      </w:pPr>
    </w:p>
    <w:p>
      <w:pPr>
        <w:ind w:left="140" w:hanging="132"/>
        <w:spacing w:after="0"/>
        <w:tabs>
          <w:tab w:leader="none" w:pos="140" w:val="left"/>
        </w:tabs>
        <w:numPr>
          <w:ilvl w:val="0"/>
          <w:numId w:val="35"/>
        </w:numPr>
        <w:rPr>
          <w:rFonts w:ascii="Arial" w:cs="Arial" w:eastAsia="Arial" w:hAnsi="Arial"/>
          <w:sz w:val="16"/>
          <w:szCs w:val="16"/>
          <w:color w:val="00053B"/>
        </w:rPr>
      </w:pPr>
      <w:r>
        <w:rPr>
          <w:rFonts w:ascii="Arial" w:cs="Arial" w:eastAsia="Arial" w:hAnsi="Arial"/>
          <w:sz w:val="16"/>
          <w:szCs w:val="16"/>
          <w:color w:val="00053B"/>
        </w:rPr>
        <w:t>general market conditions.</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00053B"/>
        </w:rPr>
        <w:t>The TMCC does not assign relative weights or rankings to any of these factors and does not solely use any quantitative formula, target percentile or multiple for establishing compensation among the executive officers or in relation to the competitive market data.</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ROLE OF TALENT MANAGEMENT AND COMPENSATION COMMITTEE</w:t>
      </w:r>
    </w:p>
    <w:p>
      <w:pPr>
        <w:spacing w:after="0" w:line="68" w:lineRule="exact"/>
        <w:rPr>
          <w:sz w:val="20"/>
          <w:szCs w:val="20"/>
          <w:color w:val="auto"/>
        </w:rPr>
      </w:pPr>
    </w:p>
    <w:p>
      <w:pPr>
        <w:ind w:right="1000"/>
        <w:spacing w:after="0" w:line="286" w:lineRule="auto"/>
        <w:rPr>
          <w:sz w:val="20"/>
          <w:szCs w:val="20"/>
          <w:color w:val="auto"/>
        </w:rPr>
      </w:pPr>
      <w:r>
        <w:rPr>
          <w:rFonts w:ascii="Arial" w:cs="Arial" w:eastAsia="Arial" w:hAnsi="Arial"/>
          <w:sz w:val="16"/>
          <w:szCs w:val="16"/>
          <w:color w:val="00053B"/>
        </w:rPr>
        <w:t>The TMCC is responsible for setting the compensation of our CEO and for reviewing and approving our CEO’s recommendations regarding the compensation of our other executive officers.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ROLE OF EXECUTIVE OFFICERS</w:t>
      </w:r>
    </w:p>
    <w:p>
      <w:pPr>
        <w:spacing w:after="0" w:line="68"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00053B"/>
        </w:rPr>
        <w:t>Each year, the CEO reviews the performance and compensation of each of the executive officers and makes recommendations to the TMCC with respect to their compensation for the coming year. In addition, our CEO, CFO, and CPO support the TMCC in its work by providing information relating to our financial plans and personnel-related data.</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32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15175" cy="1028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CD&amp;A | </w:t>
      </w:r>
      <w:r>
        <w:rPr>
          <w:rFonts w:ascii="Arial" w:cs="Arial" w:eastAsia="Arial" w:hAnsi="Arial"/>
          <w:sz w:val="11"/>
          <w:szCs w:val="11"/>
          <w:b w:val="1"/>
          <w:bCs w:val="1"/>
          <w:color w:val="00053B"/>
        </w:rPr>
        <w:t>EXECUTIVE SUMMARY</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ROLE OF THE COMPENSATION CONSULTANT</w:t>
      </w:r>
    </w:p>
    <w:p>
      <w:pPr>
        <w:spacing w:after="0" w:line="122"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00053B"/>
        </w:rPr>
        <w:t>The TMCC has authority under its charter to engage outside advisors and experts for advice as appropriate. In preparation for fiscal year 2024, the TMCC engaged the services of Compensia, Inc., a national compensation consulting firm, as the TMCC’s consultant to provide advice on matters relating to the compensation of our executive officers and non-employee directors. Compensia provided the TMCC with an analysis of industry sector competitive market data regarding executive compensation, information on compensation trends, and peer group and general market data, as well as assistance with the parameters used to determine the peer group, base salaries, incentive plan design, and the overall structure of our executive compensation program.</w:t>
      </w:r>
    </w:p>
    <w:p>
      <w:pPr>
        <w:spacing w:after="0" w:line="83"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00053B"/>
        </w:rPr>
        <w:t>The TMCC regularly reviews the objectivity and independence of the advice provided by its compensation consultant. The TMCC has evaluated Compensia’s engagement and, based on the six factors for assessing independence and identifying potential conflicts of interest that are set forth in SEC rules and Nasdaq rules (and such other factors as were deemed relevant under the circumstances), the TMCC has determined that its relationship with Compensia and the work of Compensia on behalf of the TMCC did not raise any conflict of interest.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ROLE OF THE PEER GROUP</w:t>
      </w:r>
    </w:p>
    <w:p>
      <w:pPr>
        <w:spacing w:after="0" w:line="12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00053B"/>
        </w:rPr>
        <w:t>In preparation for fiscal 2024, the TMCC engaged Compensia to conduct a competitive market analysis for purposes of evaluating our base salaries, annual cash bonus opportunities, and long-term equity incentive plan. The data from this analysis was used to ensure that our executive compensation program was optimally structured to attract, motivate, retain, and reward our highly experienced management team, to keep management focused during our expected period of growth, and to align our compensation practices with comparable technology industry companies.</w:t>
      </w:r>
    </w:p>
    <w:p>
      <w:pPr>
        <w:spacing w:after="0" w:line="7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00053B"/>
        </w:rPr>
        <w:t>In developing the peer group, the TMCC targeted U.S.-headquartered companies within similar industries and of a similar size as the Company. In particular, the TMCC targeted direct competitors and other business application software companies. The peer companies were also evaluated based on two financial criteria:</w:t>
      </w:r>
    </w:p>
    <w:p>
      <w:pPr>
        <w:spacing w:after="0" w:line="56" w:lineRule="exact"/>
        <w:rPr>
          <w:sz w:val="20"/>
          <w:szCs w:val="20"/>
          <w:color w:val="auto"/>
        </w:rPr>
      </w:pPr>
    </w:p>
    <w:p>
      <w:pPr>
        <w:ind w:left="240" w:hanging="232"/>
        <w:spacing w:after="0"/>
        <w:tabs>
          <w:tab w:leader="none" w:pos="240" w:val="left"/>
        </w:tabs>
        <w:numPr>
          <w:ilvl w:val="0"/>
          <w:numId w:val="36"/>
        </w:numPr>
        <w:rPr>
          <w:rFonts w:ascii="Times New Roman" w:cs="Times New Roman" w:eastAsia="Times New Roman" w:hAnsi="Times New Roman"/>
          <w:sz w:val="16"/>
          <w:szCs w:val="16"/>
          <w:color w:val="00053B"/>
        </w:rPr>
      </w:pPr>
      <w:r>
        <w:rPr>
          <w:rFonts w:ascii="Arial" w:cs="Arial" w:eastAsia="Arial" w:hAnsi="Arial"/>
          <w:sz w:val="16"/>
          <w:szCs w:val="16"/>
          <w:b w:val="1"/>
          <w:bCs w:val="1"/>
          <w:color w:val="00053B"/>
        </w:rPr>
        <w:t xml:space="preserve">Revenue: </w:t>
      </w:r>
      <w:r>
        <w:rPr>
          <w:rFonts w:ascii="Arial" w:cs="Arial" w:eastAsia="Arial" w:hAnsi="Arial"/>
          <w:sz w:val="16"/>
          <w:szCs w:val="16"/>
          <w:color w:val="00053B"/>
        </w:rPr>
        <w:t>Target between approximately $400 million and $1.6 billion (0.5x to 2.0x the Company’s trailing 12-month revenue); and</w:t>
      </w:r>
    </w:p>
    <w:p>
      <w:pPr>
        <w:spacing w:after="0" w:line="112" w:lineRule="exact"/>
        <w:rPr>
          <w:rFonts w:ascii="Times New Roman" w:cs="Times New Roman" w:eastAsia="Times New Roman" w:hAnsi="Times New Roman"/>
          <w:sz w:val="16"/>
          <w:szCs w:val="16"/>
          <w:color w:val="00053B"/>
        </w:rPr>
      </w:pPr>
    </w:p>
    <w:p>
      <w:pPr>
        <w:ind w:left="240" w:hanging="232"/>
        <w:spacing w:after="0"/>
        <w:tabs>
          <w:tab w:leader="none" w:pos="240" w:val="left"/>
        </w:tabs>
        <w:numPr>
          <w:ilvl w:val="0"/>
          <w:numId w:val="36"/>
        </w:numPr>
        <w:rPr>
          <w:rFonts w:ascii="Times New Roman" w:cs="Times New Roman" w:eastAsia="Times New Roman" w:hAnsi="Times New Roman"/>
          <w:sz w:val="16"/>
          <w:szCs w:val="16"/>
          <w:color w:val="00053B"/>
        </w:rPr>
      </w:pPr>
      <w:r>
        <w:rPr>
          <w:rFonts w:ascii="Arial" w:cs="Arial" w:eastAsia="Arial" w:hAnsi="Arial"/>
          <w:sz w:val="16"/>
          <w:szCs w:val="16"/>
          <w:b w:val="1"/>
          <w:bCs w:val="1"/>
          <w:color w:val="00053B"/>
        </w:rPr>
        <w:t xml:space="preserve">Market Capitalization: </w:t>
      </w:r>
      <w:r>
        <w:rPr>
          <w:rFonts w:ascii="Arial" w:cs="Arial" w:eastAsia="Arial" w:hAnsi="Arial"/>
          <w:sz w:val="16"/>
          <w:szCs w:val="16"/>
          <w:color w:val="00053B"/>
        </w:rPr>
        <w:t>Target between $1.0 billion and $9.0 billion (0.3x to 3.0x the Company’s market capitalization)</w:t>
      </w:r>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053B"/>
        </w:rPr>
        <w:t>The companies included in the peer group for fiscal year 2024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084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pacing w:after="0" w:line="21" w:lineRule="exact"/>
        <w:rPr>
          <w:sz w:val="20"/>
          <w:szCs w:val="20"/>
          <w:color w:val="auto"/>
        </w:rPr>
      </w:pPr>
    </w:p>
    <w:tbl>
      <w:tblPr>
        <w:tblLayout w:type="fixed"/>
        <w:tblInd w:w="260" w:type="dxa"/>
        <w:tblCellMar>
          <w:top w:w="0" w:type="dxa"/>
          <w:left w:w="0" w:type="dxa"/>
          <w:bottom w:w="0" w:type="dxa"/>
          <w:right w:w="0" w:type="dxa"/>
        </w:tblCellMar>
      </w:tblPr>
      <w:tr>
        <w:trPr>
          <w:trHeight w:val="215"/>
        </w:trPr>
        <w:tc>
          <w:tcPr>
            <w:tcW w:w="2640" w:type="dxa"/>
            <w:vAlign w:val="bottom"/>
          </w:tcPr>
          <w:p>
            <w:pPr>
              <w:spacing w:after="0"/>
              <w:rPr>
                <w:sz w:val="20"/>
                <w:szCs w:val="20"/>
                <w:color w:val="auto"/>
              </w:rPr>
            </w:pPr>
            <w:r>
              <w:rPr>
                <w:rFonts w:ascii="Arial" w:cs="Arial" w:eastAsia="Arial" w:hAnsi="Arial"/>
                <w:sz w:val="16"/>
                <w:szCs w:val="16"/>
                <w:color w:val="00053B"/>
              </w:rPr>
              <w:t>ACI Worldwide</w:t>
            </w:r>
          </w:p>
        </w:tc>
        <w:tc>
          <w:tcPr>
            <w:tcW w:w="3540" w:type="dxa"/>
            <w:vAlign w:val="bottom"/>
          </w:tcPr>
          <w:p>
            <w:pPr>
              <w:ind w:left="1020"/>
              <w:spacing w:after="0"/>
              <w:rPr>
                <w:sz w:val="20"/>
                <w:szCs w:val="20"/>
                <w:color w:val="auto"/>
              </w:rPr>
            </w:pPr>
            <w:r>
              <w:rPr>
                <w:rFonts w:ascii="Arial" w:cs="Arial" w:eastAsia="Arial" w:hAnsi="Arial"/>
                <w:sz w:val="16"/>
                <w:szCs w:val="16"/>
                <w:color w:val="00053B"/>
              </w:rPr>
              <w:t>MicroStrategy</w:t>
            </w:r>
          </w:p>
        </w:tc>
        <w:tc>
          <w:tcPr>
            <w:tcW w:w="2420" w:type="dxa"/>
            <w:vAlign w:val="bottom"/>
          </w:tcPr>
          <w:p>
            <w:pPr>
              <w:ind w:left="1180"/>
              <w:spacing w:after="0"/>
              <w:rPr>
                <w:sz w:val="20"/>
                <w:szCs w:val="20"/>
                <w:color w:val="auto"/>
              </w:rPr>
            </w:pPr>
            <w:r>
              <w:rPr>
                <w:rFonts w:ascii="Arial" w:cs="Arial" w:eastAsia="Arial" w:hAnsi="Arial"/>
                <w:sz w:val="16"/>
                <w:szCs w:val="16"/>
                <w:color w:val="00053B"/>
              </w:rPr>
              <w:t>Pure Storage</w:t>
            </w:r>
          </w:p>
        </w:tc>
      </w:tr>
      <w:tr>
        <w:trPr>
          <w:trHeight w:val="283"/>
        </w:trPr>
        <w:tc>
          <w:tcPr>
            <w:tcW w:w="2640" w:type="dxa"/>
            <w:vAlign w:val="bottom"/>
          </w:tcPr>
          <w:p>
            <w:pPr>
              <w:spacing w:after="0"/>
              <w:rPr>
                <w:sz w:val="20"/>
                <w:szCs w:val="20"/>
                <w:color w:val="auto"/>
              </w:rPr>
            </w:pPr>
            <w:r>
              <w:rPr>
                <w:rFonts w:ascii="Arial" w:cs="Arial" w:eastAsia="Arial" w:hAnsi="Arial"/>
                <w:sz w:val="16"/>
                <w:szCs w:val="16"/>
                <w:color w:val="00053B"/>
              </w:rPr>
              <w:t>Alteryx</w:t>
            </w:r>
          </w:p>
        </w:tc>
        <w:tc>
          <w:tcPr>
            <w:tcW w:w="3540" w:type="dxa"/>
            <w:vAlign w:val="bottom"/>
          </w:tcPr>
          <w:p>
            <w:pPr>
              <w:ind w:left="1020"/>
              <w:spacing w:after="0"/>
              <w:rPr>
                <w:sz w:val="20"/>
                <w:szCs w:val="20"/>
                <w:color w:val="auto"/>
              </w:rPr>
            </w:pPr>
            <w:r>
              <w:rPr>
                <w:rFonts w:ascii="Arial" w:cs="Arial" w:eastAsia="Arial" w:hAnsi="Arial"/>
                <w:sz w:val="16"/>
                <w:szCs w:val="16"/>
                <w:color w:val="00053B"/>
              </w:rPr>
              <w:t>N-Able</w:t>
            </w:r>
          </w:p>
        </w:tc>
        <w:tc>
          <w:tcPr>
            <w:tcW w:w="2420" w:type="dxa"/>
            <w:vAlign w:val="bottom"/>
          </w:tcPr>
          <w:p>
            <w:pPr>
              <w:ind w:left="1180"/>
              <w:spacing w:after="0"/>
              <w:rPr>
                <w:sz w:val="20"/>
                <w:szCs w:val="20"/>
                <w:color w:val="auto"/>
              </w:rPr>
            </w:pPr>
            <w:r>
              <w:rPr>
                <w:rFonts w:ascii="Arial" w:cs="Arial" w:eastAsia="Arial" w:hAnsi="Arial"/>
                <w:sz w:val="16"/>
                <w:szCs w:val="16"/>
                <w:color w:val="00053B"/>
              </w:rPr>
              <w:t>Qualys</w:t>
            </w:r>
          </w:p>
        </w:tc>
      </w:tr>
      <w:tr>
        <w:trPr>
          <w:trHeight w:val="270"/>
        </w:trPr>
        <w:tc>
          <w:tcPr>
            <w:tcW w:w="2640" w:type="dxa"/>
            <w:vAlign w:val="bottom"/>
          </w:tcPr>
          <w:p>
            <w:pPr>
              <w:spacing w:after="0"/>
              <w:rPr>
                <w:sz w:val="20"/>
                <w:szCs w:val="20"/>
                <w:color w:val="auto"/>
              </w:rPr>
            </w:pPr>
            <w:r>
              <w:rPr>
                <w:rFonts w:ascii="Arial" w:cs="Arial" w:eastAsia="Arial" w:hAnsi="Arial"/>
                <w:sz w:val="16"/>
                <w:szCs w:val="16"/>
                <w:color w:val="00053B"/>
              </w:rPr>
              <w:t>Blackbaud</w:t>
            </w:r>
          </w:p>
        </w:tc>
        <w:tc>
          <w:tcPr>
            <w:tcW w:w="3540" w:type="dxa"/>
            <w:vAlign w:val="bottom"/>
          </w:tcPr>
          <w:p>
            <w:pPr>
              <w:ind w:left="1020"/>
              <w:spacing w:after="0"/>
              <w:rPr>
                <w:sz w:val="20"/>
                <w:szCs w:val="20"/>
                <w:color w:val="auto"/>
              </w:rPr>
            </w:pPr>
            <w:r>
              <w:rPr>
                <w:rFonts w:ascii="Arial" w:cs="Arial" w:eastAsia="Arial" w:hAnsi="Arial"/>
                <w:sz w:val="16"/>
                <w:szCs w:val="16"/>
                <w:color w:val="00053B"/>
              </w:rPr>
              <w:t>NetScout Systems</w:t>
            </w:r>
          </w:p>
        </w:tc>
        <w:tc>
          <w:tcPr>
            <w:tcW w:w="2420" w:type="dxa"/>
            <w:vAlign w:val="bottom"/>
          </w:tcPr>
          <w:p>
            <w:pPr>
              <w:ind w:left="1180"/>
              <w:spacing w:after="0"/>
              <w:rPr>
                <w:sz w:val="20"/>
                <w:szCs w:val="20"/>
                <w:color w:val="auto"/>
              </w:rPr>
            </w:pPr>
            <w:r>
              <w:rPr>
                <w:rFonts w:ascii="Arial" w:cs="Arial" w:eastAsia="Arial" w:hAnsi="Arial"/>
                <w:sz w:val="16"/>
                <w:szCs w:val="16"/>
                <w:color w:val="00053B"/>
              </w:rPr>
              <w:t>Rapid7</w:t>
            </w:r>
          </w:p>
        </w:tc>
      </w:tr>
      <w:tr>
        <w:trPr>
          <w:trHeight w:val="283"/>
        </w:trPr>
        <w:tc>
          <w:tcPr>
            <w:tcW w:w="2640" w:type="dxa"/>
            <w:vAlign w:val="bottom"/>
          </w:tcPr>
          <w:p>
            <w:pPr>
              <w:spacing w:after="0"/>
              <w:rPr>
                <w:sz w:val="20"/>
                <w:szCs w:val="20"/>
                <w:color w:val="auto"/>
              </w:rPr>
            </w:pPr>
            <w:r>
              <w:rPr>
                <w:rFonts w:ascii="Arial" w:cs="Arial" w:eastAsia="Arial" w:hAnsi="Arial"/>
                <w:sz w:val="16"/>
                <w:szCs w:val="16"/>
                <w:color w:val="00053B"/>
              </w:rPr>
              <w:t>Box</w:t>
            </w:r>
          </w:p>
        </w:tc>
        <w:tc>
          <w:tcPr>
            <w:tcW w:w="3540" w:type="dxa"/>
            <w:vAlign w:val="bottom"/>
          </w:tcPr>
          <w:p>
            <w:pPr>
              <w:ind w:left="1020"/>
              <w:spacing w:after="0"/>
              <w:rPr>
                <w:sz w:val="20"/>
                <w:szCs w:val="20"/>
                <w:color w:val="auto"/>
              </w:rPr>
            </w:pPr>
            <w:r>
              <w:rPr>
                <w:rFonts w:ascii="Arial" w:cs="Arial" w:eastAsia="Arial" w:hAnsi="Arial"/>
                <w:sz w:val="16"/>
                <w:szCs w:val="16"/>
                <w:color w:val="00053B"/>
              </w:rPr>
              <w:t>New Relic</w:t>
            </w:r>
          </w:p>
        </w:tc>
        <w:tc>
          <w:tcPr>
            <w:tcW w:w="2420" w:type="dxa"/>
            <w:vAlign w:val="bottom"/>
          </w:tcPr>
          <w:p>
            <w:pPr>
              <w:ind w:left="1180"/>
              <w:spacing w:after="0"/>
              <w:rPr>
                <w:sz w:val="20"/>
                <w:szCs w:val="20"/>
                <w:color w:val="auto"/>
              </w:rPr>
            </w:pPr>
            <w:r>
              <w:rPr>
                <w:rFonts w:ascii="Arial" w:cs="Arial" w:eastAsia="Arial" w:hAnsi="Arial"/>
                <w:sz w:val="16"/>
                <w:szCs w:val="16"/>
                <w:color w:val="00053B"/>
                <w:w w:val="97"/>
              </w:rPr>
              <w:t>Tenable Holdings</w:t>
            </w:r>
          </w:p>
        </w:tc>
      </w:tr>
      <w:tr>
        <w:trPr>
          <w:trHeight w:val="284"/>
        </w:trPr>
        <w:tc>
          <w:tcPr>
            <w:tcW w:w="2640" w:type="dxa"/>
            <w:vAlign w:val="bottom"/>
          </w:tcPr>
          <w:p>
            <w:pPr>
              <w:spacing w:after="0"/>
              <w:rPr>
                <w:sz w:val="20"/>
                <w:szCs w:val="20"/>
                <w:color w:val="auto"/>
              </w:rPr>
            </w:pPr>
            <w:r>
              <w:rPr>
                <w:rFonts w:ascii="Arial" w:cs="Arial" w:eastAsia="Arial" w:hAnsi="Arial"/>
                <w:sz w:val="16"/>
                <w:szCs w:val="16"/>
                <w:color w:val="00053B"/>
              </w:rPr>
              <w:t>DigitalOcean Holdings</w:t>
            </w:r>
          </w:p>
        </w:tc>
        <w:tc>
          <w:tcPr>
            <w:tcW w:w="3540" w:type="dxa"/>
            <w:vAlign w:val="bottom"/>
          </w:tcPr>
          <w:p>
            <w:pPr>
              <w:ind w:left="1020"/>
              <w:spacing w:after="0"/>
              <w:rPr>
                <w:sz w:val="20"/>
                <w:szCs w:val="20"/>
                <w:color w:val="auto"/>
              </w:rPr>
            </w:pPr>
            <w:r>
              <w:rPr>
                <w:rFonts w:ascii="Arial" w:cs="Arial" w:eastAsia="Arial" w:hAnsi="Arial"/>
                <w:sz w:val="16"/>
                <w:szCs w:val="16"/>
                <w:color w:val="00053B"/>
              </w:rPr>
              <w:t>Nutanix</w:t>
            </w:r>
          </w:p>
        </w:tc>
        <w:tc>
          <w:tcPr>
            <w:tcW w:w="2420" w:type="dxa"/>
            <w:vAlign w:val="bottom"/>
          </w:tcPr>
          <w:p>
            <w:pPr>
              <w:ind w:left="1180"/>
              <w:spacing w:after="0"/>
              <w:rPr>
                <w:sz w:val="20"/>
                <w:szCs w:val="20"/>
                <w:color w:val="auto"/>
              </w:rPr>
            </w:pPr>
            <w:r>
              <w:rPr>
                <w:rFonts w:ascii="Arial" w:cs="Arial" w:eastAsia="Arial" w:hAnsi="Arial"/>
                <w:sz w:val="16"/>
                <w:szCs w:val="16"/>
                <w:color w:val="00053B"/>
              </w:rPr>
              <w:t>Varonis Systems</w:t>
            </w:r>
          </w:p>
        </w:tc>
      </w:tr>
      <w:tr>
        <w:trPr>
          <w:trHeight w:val="297"/>
        </w:trPr>
        <w:tc>
          <w:tcPr>
            <w:tcW w:w="2640" w:type="dxa"/>
            <w:vAlign w:val="bottom"/>
          </w:tcPr>
          <w:p>
            <w:pPr>
              <w:spacing w:after="0"/>
              <w:rPr>
                <w:sz w:val="20"/>
                <w:szCs w:val="20"/>
                <w:color w:val="auto"/>
              </w:rPr>
            </w:pPr>
            <w:r>
              <w:rPr>
                <w:rFonts w:ascii="Arial" w:cs="Arial" w:eastAsia="Arial" w:hAnsi="Arial"/>
                <w:sz w:val="16"/>
                <w:szCs w:val="16"/>
                <w:color w:val="00053B"/>
              </w:rPr>
              <w:t>Informatica</w:t>
            </w:r>
          </w:p>
        </w:tc>
        <w:tc>
          <w:tcPr>
            <w:tcW w:w="3540" w:type="dxa"/>
            <w:vAlign w:val="bottom"/>
          </w:tcPr>
          <w:p>
            <w:pPr>
              <w:ind w:left="1020"/>
              <w:spacing w:after="0"/>
              <w:rPr>
                <w:sz w:val="20"/>
                <w:szCs w:val="20"/>
                <w:color w:val="auto"/>
              </w:rPr>
            </w:pPr>
            <w:r>
              <w:rPr>
                <w:rFonts w:ascii="Arial" w:cs="Arial" w:eastAsia="Arial" w:hAnsi="Arial"/>
                <w:sz w:val="16"/>
                <w:szCs w:val="16"/>
                <w:color w:val="00053B"/>
              </w:rPr>
              <w:t>Progress Software</w:t>
            </w:r>
          </w:p>
        </w:tc>
        <w:tc>
          <w:tcPr>
            <w:tcW w:w="2420" w:type="dxa"/>
            <w:vAlign w:val="bottom"/>
          </w:tcPr>
          <w:p>
            <w:pPr>
              <w:spacing w:after="0"/>
              <w:rPr>
                <w:sz w:val="24"/>
                <w:szCs w:val="24"/>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COMMVAULT VS. PEER GROUP</w:t>
      </w:r>
    </w:p>
    <w:p>
      <w:pPr>
        <w:spacing w:after="0" w:line="176"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00053B"/>
        </w:rPr>
        <w:t>The Company and the TMCC review the peer group annually and make changes as needed to ensure it remains appropriate. The competitive positioning of our trailing four-quarters of revenue and market capitalization below reflect our profile as of January 2023, when the TMCC approved the peer group for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212090</wp:posOffset>
            </wp:positionV>
            <wp:extent cx="6172200" cy="11315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172200"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33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15175" cy="1028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CD&amp;A | </w:t>
      </w:r>
      <w:r>
        <w:rPr>
          <w:rFonts w:ascii="Arial" w:cs="Arial" w:eastAsia="Arial" w:hAnsi="Arial"/>
          <w:sz w:val="11"/>
          <w:szCs w:val="11"/>
          <w:b w:val="1"/>
          <w:bCs w:val="1"/>
          <w:color w:val="00053B"/>
        </w:rPr>
        <w:t>FISCAL YEAR 2024 COMPENSATION DECISIONS</w:t>
      </w: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Fiscal Year 2024 Compensation Decisions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BASE SALARY</w:t>
      </w:r>
    </w:p>
    <w:p>
      <w:pPr>
        <w:spacing w:after="0" w:line="12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00053B"/>
        </w:rPr>
        <w:t>The TMCC generally compares our executive officer base salaries to the 25th—75th percentile of the competitive market data in the analysis prepared by its compensation consultant.</w:t>
      </w:r>
    </w:p>
    <w:p>
      <w:pPr>
        <w:spacing w:after="0" w:line="61"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00053B"/>
        </w:rPr>
        <w:t>Typically, base salary levels are reviewed annually as part of our performance review process, as well as upon a promotion or other change in job responsibility. In addition to considering the competitive market analysis when setting base salaries for fiscal 2024, the TMCC also evaluated the scope of, and accountability associated with, each executive officer’s position and the overall experience of each executive officer. The table below shows the fiscal 2024 and 2023 base salary rates for each named executive officer.</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500" w:type="dxa"/>
            <w:vAlign w:val="bottom"/>
            <w:tcBorders>
              <w:bottom w:val="single" w:sz="8" w:color="844896"/>
            </w:tcBorders>
          </w:tcPr>
          <w:p>
            <w:pPr>
              <w:ind w:left="140"/>
              <w:spacing w:after="0"/>
              <w:rPr>
                <w:sz w:val="20"/>
                <w:szCs w:val="20"/>
                <w:color w:val="auto"/>
              </w:rPr>
            </w:pPr>
            <w:r>
              <w:rPr>
                <w:rFonts w:ascii="Arial" w:cs="Arial" w:eastAsia="Arial" w:hAnsi="Arial"/>
                <w:sz w:val="14"/>
                <w:szCs w:val="14"/>
                <w:color w:val="00053B"/>
              </w:rPr>
              <w:t>Name and Principal Position Held</w:t>
            </w:r>
          </w:p>
        </w:tc>
        <w:tc>
          <w:tcPr>
            <w:tcW w:w="3180" w:type="dxa"/>
            <w:vAlign w:val="bottom"/>
            <w:tcBorders>
              <w:bottom w:val="single" w:sz="8" w:color="844896"/>
            </w:tcBorders>
          </w:tcPr>
          <w:p>
            <w:pPr>
              <w:jc w:val="right"/>
              <w:ind w:right="221"/>
              <w:spacing w:after="0"/>
              <w:rPr>
                <w:sz w:val="20"/>
                <w:szCs w:val="20"/>
                <w:color w:val="auto"/>
              </w:rPr>
            </w:pPr>
            <w:r>
              <w:rPr>
                <w:rFonts w:ascii="Arial" w:cs="Arial" w:eastAsia="Arial" w:hAnsi="Arial"/>
                <w:sz w:val="14"/>
                <w:szCs w:val="14"/>
                <w:color w:val="00053B"/>
              </w:rPr>
              <w:t>Fiscal 2024 Salary</w:t>
            </w:r>
          </w:p>
        </w:tc>
        <w:tc>
          <w:tcPr>
            <w:tcW w:w="1860" w:type="dxa"/>
            <w:vAlign w:val="bottom"/>
            <w:tcBorders>
              <w:bottom w:val="single" w:sz="8" w:color="844896"/>
            </w:tcBorders>
          </w:tcPr>
          <w:p>
            <w:pPr>
              <w:jc w:val="right"/>
              <w:ind w:right="281"/>
              <w:spacing w:after="0"/>
              <w:rPr>
                <w:sz w:val="20"/>
                <w:szCs w:val="20"/>
                <w:color w:val="auto"/>
              </w:rPr>
            </w:pPr>
            <w:r>
              <w:rPr>
                <w:rFonts w:ascii="Arial" w:cs="Arial" w:eastAsia="Arial" w:hAnsi="Arial"/>
                <w:sz w:val="14"/>
                <w:szCs w:val="14"/>
                <w:color w:val="00053B"/>
              </w:rPr>
              <w:t>Fiscal 2023 Salary</w:t>
            </w:r>
          </w:p>
        </w:tc>
        <w:tc>
          <w:tcPr>
            <w:tcW w:w="1700" w:type="dxa"/>
            <w:vAlign w:val="bottom"/>
            <w:tcBorders>
              <w:bottom w:val="single" w:sz="8" w:color="844896"/>
            </w:tcBorders>
          </w:tcPr>
          <w:p>
            <w:pPr>
              <w:jc w:val="right"/>
              <w:spacing w:after="0"/>
              <w:rPr>
                <w:sz w:val="20"/>
                <w:szCs w:val="20"/>
                <w:color w:val="auto"/>
              </w:rPr>
            </w:pPr>
            <w:r>
              <w:rPr>
                <w:rFonts w:ascii="Arial" w:cs="Arial" w:eastAsia="Arial" w:hAnsi="Arial"/>
                <w:sz w:val="14"/>
                <w:szCs w:val="14"/>
                <w:color w:val="00053B"/>
              </w:rPr>
              <w:t>Percentage Increase</w:t>
            </w:r>
          </w:p>
        </w:tc>
        <w:tc>
          <w:tcPr>
            <w:tcW w:w="0" w:type="dxa"/>
            <w:vAlign w:val="bottom"/>
          </w:tcPr>
          <w:p>
            <w:pPr>
              <w:spacing w:after="0"/>
              <w:rPr>
                <w:sz w:val="1"/>
                <w:szCs w:val="1"/>
                <w:color w:val="auto"/>
              </w:rPr>
            </w:pPr>
          </w:p>
        </w:tc>
      </w:tr>
      <w:tr>
        <w:trPr>
          <w:trHeight w:val="160"/>
        </w:trPr>
        <w:tc>
          <w:tcPr>
            <w:tcW w:w="4500" w:type="dxa"/>
            <w:vAlign w:val="bottom"/>
            <w:shd w:val="clear" w:color="auto" w:fill="EAEAEA"/>
          </w:tcPr>
          <w:p>
            <w:pPr>
              <w:ind w:left="120"/>
              <w:spacing w:after="0" w:line="160" w:lineRule="exact"/>
              <w:rPr>
                <w:sz w:val="20"/>
                <w:szCs w:val="20"/>
                <w:color w:val="auto"/>
              </w:rPr>
            </w:pPr>
            <w:r>
              <w:rPr>
                <w:rFonts w:ascii="Arial" w:cs="Arial" w:eastAsia="Arial" w:hAnsi="Arial"/>
                <w:sz w:val="16"/>
                <w:szCs w:val="16"/>
                <w:b w:val="1"/>
                <w:bCs w:val="1"/>
                <w:color w:val="00053B"/>
              </w:rPr>
              <w:t>Sanjay Mirchandani</w:t>
            </w:r>
          </w:p>
        </w:tc>
        <w:tc>
          <w:tcPr>
            <w:tcW w:w="3180" w:type="dxa"/>
            <w:vAlign w:val="bottom"/>
            <w:vMerge w:val="restart"/>
            <w:shd w:val="clear" w:color="auto" w:fill="EAEAEA"/>
          </w:tcPr>
          <w:p>
            <w:pPr>
              <w:jc w:val="right"/>
              <w:ind w:right="301"/>
              <w:spacing w:after="0"/>
              <w:rPr>
                <w:sz w:val="20"/>
                <w:szCs w:val="20"/>
                <w:color w:val="auto"/>
              </w:rPr>
            </w:pPr>
            <w:r>
              <w:rPr>
                <w:rFonts w:ascii="Arial" w:cs="Arial" w:eastAsia="Arial" w:hAnsi="Arial"/>
                <w:sz w:val="16"/>
                <w:szCs w:val="16"/>
                <w:color w:val="00053B"/>
              </w:rPr>
              <w:t>$645,000</w:t>
            </w:r>
          </w:p>
        </w:tc>
        <w:tc>
          <w:tcPr>
            <w:tcW w:w="1860" w:type="dxa"/>
            <w:vAlign w:val="bottom"/>
            <w:vMerge w:val="restart"/>
            <w:shd w:val="clear" w:color="auto" w:fill="EAEAEA"/>
          </w:tcPr>
          <w:p>
            <w:pPr>
              <w:jc w:val="right"/>
              <w:ind w:right="381"/>
              <w:spacing w:after="0"/>
              <w:rPr>
                <w:sz w:val="20"/>
                <w:szCs w:val="20"/>
                <w:color w:val="auto"/>
              </w:rPr>
            </w:pPr>
            <w:r>
              <w:rPr>
                <w:rFonts w:ascii="Arial" w:cs="Arial" w:eastAsia="Arial" w:hAnsi="Arial"/>
                <w:sz w:val="16"/>
                <w:szCs w:val="16"/>
                <w:color w:val="00053B"/>
              </w:rPr>
              <w:t>$645,000</w:t>
            </w:r>
          </w:p>
        </w:tc>
        <w:tc>
          <w:tcPr>
            <w:tcW w:w="1700" w:type="dxa"/>
            <w:vAlign w:val="bottom"/>
            <w:vMerge w:val="restart"/>
            <w:shd w:val="clear" w:color="auto" w:fill="EAEAEA"/>
          </w:tcPr>
          <w:p>
            <w:pPr>
              <w:jc w:val="right"/>
              <w:ind w:right="21"/>
              <w:spacing w:after="0"/>
              <w:rPr>
                <w:sz w:val="20"/>
                <w:szCs w:val="20"/>
                <w:color w:val="auto"/>
              </w:rPr>
            </w:pPr>
            <w:r>
              <w:rPr>
                <w:rFonts w:ascii="Arial" w:cs="Arial" w:eastAsia="Arial" w:hAnsi="Arial"/>
                <w:sz w:val="16"/>
                <w:szCs w:val="16"/>
                <w:color w:val="00053B"/>
              </w:rPr>
              <w:t>—%</w:t>
            </w:r>
          </w:p>
        </w:tc>
        <w:tc>
          <w:tcPr>
            <w:tcW w:w="0" w:type="dxa"/>
            <w:vAlign w:val="bottom"/>
          </w:tcPr>
          <w:p>
            <w:pPr>
              <w:spacing w:after="0"/>
              <w:rPr>
                <w:sz w:val="1"/>
                <w:szCs w:val="1"/>
                <w:color w:val="auto"/>
              </w:rPr>
            </w:pPr>
          </w:p>
        </w:tc>
      </w:tr>
      <w:tr>
        <w:trPr>
          <w:trHeight w:val="133"/>
        </w:trPr>
        <w:tc>
          <w:tcPr>
            <w:tcW w:w="4500" w:type="dxa"/>
            <w:vAlign w:val="bottom"/>
            <w:vMerge w:val="restart"/>
            <w:shd w:val="clear" w:color="auto" w:fill="EAEAEA"/>
          </w:tcPr>
          <w:p>
            <w:pPr>
              <w:ind w:left="120"/>
              <w:spacing w:after="0"/>
              <w:rPr>
                <w:sz w:val="20"/>
                <w:szCs w:val="20"/>
                <w:color w:val="auto"/>
              </w:rPr>
            </w:pPr>
            <w:r>
              <w:rPr>
                <w:rFonts w:ascii="Arial" w:cs="Arial" w:eastAsia="Arial" w:hAnsi="Arial"/>
                <w:sz w:val="16"/>
                <w:szCs w:val="16"/>
                <w:color w:val="00053B"/>
              </w:rPr>
              <w:t>President and Chief Executive Officer</w:t>
            </w:r>
          </w:p>
        </w:tc>
        <w:tc>
          <w:tcPr>
            <w:tcW w:w="3180" w:type="dxa"/>
            <w:vAlign w:val="bottom"/>
            <w:vMerge w:val="continue"/>
            <w:shd w:val="clear" w:color="auto" w:fill="EAEAEA"/>
          </w:tcPr>
          <w:p>
            <w:pPr>
              <w:spacing w:after="0"/>
              <w:rPr>
                <w:sz w:val="11"/>
                <w:szCs w:val="11"/>
                <w:color w:val="auto"/>
              </w:rPr>
            </w:pPr>
          </w:p>
        </w:tc>
        <w:tc>
          <w:tcPr>
            <w:tcW w:w="1860" w:type="dxa"/>
            <w:vAlign w:val="bottom"/>
            <w:vMerge w:val="continue"/>
            <w:shd w:val="clear" w:color="auto" w:fill="EAEAEA"/>
          </w:tcPr>
          <w:p>
            <w:pPr>
              <w:spacing w:after="0"/>
              <w:rPr>
                <w:sz w:val="11"/>
                <w:szCs w:val="11"/>
                <w:color w:val="auto"/>
              </w:rPr>
            </w:pPr>
          </w:p>
        </w:tc>
        <w:tc>
          <w:tcPr>
            <w:tcW w:w="1700" w:type="dxa"/>
            <w:vAlign w:val="bottom"/>
            <w:vMerge w:val="continue"/>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500" w:type="dxa"/>
            <w:vAlign w:val="bottom"/>
            <w:vMerge w:val="continue"/>
            <w:shd w:val="clear" w:color="auto" w:fill="EAEAEA"/>
          </w:tcPr>
          <w:p>
            <w:pPr>
              <w:spacing w:after="0"/>
              <w:rPr>
                <w:sz w:val="8"/>
                <w:szCs w:val="8"/>
                <w:color w:val="auto"/>
              </w:rPr>
            </w:pPr>
          </w:p>
        </w:tc>
        <w:tc>
          <w:tcPr>
            <w:tcW w:w="3180" w:type="dxa"/>
            <w:vAlign w:val="bottom"/>
            <w:shd w:val="clear" w:color="auto" w:fill="EAEAEA"/>
          </w:tcPr>
          <w:p>
            <w:pPr>
              <w:spacing w:after="0"/>
              <w:rPr>
                <w:sz w:val="8"/>
                <w:szCs w:val="8"/>
                <w:color w:val="auto"/>
              </w:rPr>
            </w:pPr>
          </w:p>
        </w:tc>
        <w:tc>
          <w:tcPr>
            <w:tcW w:w="1860" w:type="dxa"/>
            <w:vAlign w:val="bottom"/>
            <w:shd w:val="clear" w:color="auto" w:fill="EAEAEA"/>
          </w:tcPr>
          <w:p>
            <w:pPr>
              <w:spacing w:after="0"/>
              <w:rPr>
                <w:sz w:val="8"/>
                <w:szCs w:val="8"/>
                <w:color w:val="auto"/>
              </w:rPr>
            </w:pPr>
          </w:p>
        </w:tc>
        <w:tc>
          <w:tcPr>
            <w:tcW w:w="1700" w:type="dxa"/>
            <w:vAlign w:val="bottom"/>
            <w:shd w:val="clear" w:color="auto" w:fill="EAEAEA"/>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500" w:type="dxa"/>
            <w:vAlign w:val="bottom"/>
          </w:tcPr>
          <w:p>
            <w:pPr>
              <w:ind w:left="120"/>
              <w:spacing w:after="0" w:line="162" w:lineRule="exact"/>
              <w:rPr>
                <w:sz w:val="20"/>
                <w:szCs w:val="20"/>
                <w:color w:val="auto"/>
              </w:rPr>
            </w:pPr>
            <w:r>
              <w:rPr>
                <w:rFonts w:ascii="Arial" w:cs="Arial" w:eastAsia="Arial" w:hAnsi="Arial"/>
                <w:sz w:val="16"/>
                <w:szCs w:val="16"/>
                <w:b w:val="1"/>
                <w:bCs w:val="1"/>
                <w:color w:val="00053B"/>
              </w:rPr>
              <w:t>Gary Merrill</w:t>
            </w:r>
          </w:p>
        </w:tc>
        <w:tc>
          <w:tcPr>
            <w:tcW w:w="3180" w:type="dxa"/>
            <w:vAlign w:val="bottom"/>
            <w:vMerge w:val="restart"/>
          </w:tcPr>
          <w:p>
            <w:pPr>
              <w:jc w:val="right"/>
              <w:ind w:right="301"/>
              <w:spacing w:after="0"/>
              <w:rPr>
                <w:sz w:val="20"/>
                <w:szCs w:val="20"/>
                <w:color w:val="auto"/>
              </w:rPr>
            </w:pPr>
            <w:r>
              <w:rPr>
                <w:rFonts w:ascii="Arial" w:cs="Arial" w:eastAsia="Arial" w:hAnsi="Arial"/>
                <w:sz w:val="16"/>
                <w:szCs w:val="16"/>
                <w:color w:val="00053B"/>
              </w:rPr>
              <w:t>$451,000</w:t>
            </w:r>
          </w:p>
        </w:tc>
        <w:tc>
          <w:tcPr>
            <w:tcW w:w="1860" w:type="dxa"/>
            <w:vAlign w:val="bottom"/>
            <w:vMerge w:val="restart"/>
          </w:tcPr>
          <w:p>
            <w:pPr>
              <w:jc w:val="right"/>
              <w:ind w:right="381"/>
              <w:spacing w:after="0"/>
              <w:rPr>
                <w:sz w:val="20"/>
                <w:szCs w:val="20"/>
                <w:color w:val="auto"/>
              </w:rPr>
            </w:pPr>
            <w:r>
              <w:rPr>
                <w:rFonts w:ascii="Arial" w:cs="Arial" w:eastAsia="Arial" w:hAnsi="Arial"/>
                <w:sz w:val="16"/>
                <w:szCs w:val="16"/>
                <w:color w:val="00053B"/>
              </w:rPr>
              <w:t>$410,000</w:t>
            </w:r>
          </w:p>
        </w:tc>
        <w:tc>
          <w:tcPr>
            <w:tcW w:w="1700" w:type="dxa"/>
            <w:vAlign w:val="bottom"/>
            <w:vMerge w:val="restart"/>
          </w:tcPr>
          <w:p>
            <w:pPr>
              <w:jc w:val="right"/>
              <w:ind w:right="21"/>
              <w:spacing w:after="0"/>
              <w:rPr>
                <w:sz w:val="20"/>
                <w:szCs w:val="20"/>
                <w:color w:val="auto"/>
              </w:rPr>
            </w:pPr>
            <w:r>
              <w:rPr>
                <w:rFonts w:ascii="Arial" w:cs="Arial" w:eastAsia="Arial" w:hAnsi="Arial"/>
                <w:sz w:val="16"/>
                <w:szCs w:val="16"/>
                <w:color w:val="00053B"/>
              </w:rPr>
              <w:t>10%</w:t>
            </w:r>
          </w:p>
        </w:tc>
        <w:tc>
          <w:tcPr>
            <w:tcW w:w="0" w:type="dxa"/>
            <w:vAlign w:val="bottom"/>
          </w:tcPr>
          <w:p>
            <w:pPr>
              <w:spacing w:after="0"/>
              <w:rPr>
                <w:sz w:val="1"/>
                <w:szCs w:val="1"/>
                <w:color w:val="auto"/>
              </w:rPr>
            </w:pPr>
          </w:p>
        </w:tc>
      </w:tr>
      <w:tr>
        <w:trPr>
          <w:trHeight w:val="133"/>
        </w:trPr>
        <w:tc>
          <w:tcPr>
            <w:tcW w:w="4500" w:type="dxa"/>
            <w:vAlign w:val="bottom"/>
            <w:vMerge w:val="restart"/>
          </w:tcPr>
          <w:p>
            <w:pPr>
              <w:ind w:left="120"/>
              <w:spacing w:after="0"/>
              <w:rPr>
                <w:sz w:val="20"/>
                <w:szCs w:val="20"/>
                <w:color w:val="auto"/>
              </w:rPr>
            </w:pPr>
            <w:r>
              <w:rPr>
                <w:rFonts w:ascii="Arial" w:cs="Arial" w:eastAsia="Arial" w:hAnsi="Arial"/>
                <w:sz w:val="16"/>
                <w:szCs w:val="16"/>
                <w:color w:val="00053B"/>
              </w:rPr>
              <w:t>Chief Financial Officer</w:t>
            </w:r>
          </w:p>
        </w:tc>
        <w:tc>
          <w:tcPr>
            <w:tcW w:w="3180" w:type="dxa"/>
            <w:vAlign w:val="bottom"/>
            <w:vMerge w:val="continue"/>
          </w:tcPr>
          <w:p>
            <w:pPr>
              <w:spacing w:after="0"/>
              <w:rPr>
                <w:sz w:val="11"/>
                <w:szCs w:val="11"/>
                <w:color w:val="auto"/>
              </w:rPr>
            </w:pPr>
          </w:p>
        </w:tc>
        <w:tc>
          <w:tcPr>
            <w:tcW w:w="186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4500" w:type="dxa"/>
            <w:vAlign w:val="bottom"/>
            <w:vMerge w:val="continue"/>
          </w:tcPr>
          <w:p>
            <w:pPr>
              <w:spacing w:after="0"/>
              <w:rPr>
                <w:sz w:val="7"/>
                <w:szCs w:val="7"/>
                <w:color w:val="auto"/>
              </w:rPr>
            </w:pPr>
          </w:p>
        </w:tc>
        <w:tc>
          <w:tcPr>
            <w:tcW w:w="318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4500" w:type="dxa"/>
            <w:vAlign w:val="bottom"/>
            <w:shd w:val="clear" w:color="auto" w:fill="EAEAEA"/>
          </w:tcPr>
          <w:p>
            <w:pPr>
              <w:ind w:left="120"/>
              <w:spacing w:after="0" w:line="170" w:lineRule="exact"/>
              <w:rPr>
                <w:sz w:val="20"/>
                <w:szCs w:val="20"/>
                <w:color w:val="auto"/>
              </w:rPr>
            </w:pPr>
            <w:r>
              <w:rPr>
                <w:rFonts w:ascii="Arial" w:cs="Arial" w:eastAsia="Arial" w:hAnsi="Arial"/>
                <w:sz w:val="16"/>
                <w:szCs w:val="16"/>
                <w:b w:val="1"/>
                <w:bCs w:val="1"/>
                <w:color w:val="00053B"/>
              </w:rPr>
              <w:t>Riccardo Di Blasio</w:t>
            </w:r>
          </w:p>
        </w:tc>
        <w:tc>
          <w:tcPr>
            <w:tcW w:w="3180" w:type="dxa"/>
            <w:vAlign w:val="bottom"/>
            <w:vMerge w:val="restart"/>
            <w:shd w:val="clear" w:color="auto" w:fill="EAEAEA"/>
          </w:tcPr>
          <w:p>
            <w:pPr>
              <w:jc w:val="right"/>
              <w:ind w:right="301"/>
              <w:spacing w:after="0"/>
              <w:rPr>
                <w:sz w:val="20"/>
                <w:szCs w:val="20"/>
                <w:color w:val="auto"/>
              </w:rPr>
            </w:pPr>
            <w:r>
              <w:rPr>
                <w:rFonts w:ascii="Arial" w:cs="Arial" w:eastAsia="Arial" w:hAnsi="Arial"/>
                <w:sz w:val="16"/>
                <w:szCs w:val="16"/>
                <w:color w:val="00053B"/>
              </w:rPr>
              <w:t>$475,000</w:t>
            </w:r>
          </w:p>
        </w:tc>
        <w:tc>
          <w:tcPr>
            <w:tcW w:w="1860" w:type="dxa"/>
            <w:vAlign w:val="bottom"/>
            <w:vMerge w:val="restart"/>
            <w:shd w:val="clear" w:color="auto" w:fill="EAEAEA"/>
          </w:tcPr>
          <w:p>
            <w:pPr>
              <w:jc w:val="right"/>
              <w:ind w:right="381"/>
              <w:spacing w:after="0"/>
              <w:rPr>
                <w:sz w:val="20"/>
                <w:szCs w:val="20"/>
                <w:color w:val="auto"/>
              </w:rPr>
            </w:pPr>
            <w:r>
              <w:rPr>
                <w:rFonts w:ascii="Arial" w:cs="Arial" w:eastAsia="Arial" w:hAnsi="Arial"/>
                <w:sz w:val="16"/>
                <w:szCs w:val="16"/>
                <w:color w:val="00053B"/>
              </w:rPr>
              <w:t>$475,000</w:t>
            </w:r>
          </w:p>
        </w:tc>
        <w:tc>
          <w:tcPr>
            <w:tcW w:w="1700" w:type="dxa"/>
            <w:vAlign w:val="bottom"/>
            <w:vMerge w:val="restart"/>
            <w:shd w:val="clear" w:color="auto" w:fill="EAEAEA"/>
          </w:tcPr>
          <w:p>
            <w:pPr>
              <w:jc w:val="right"/>
              <w:ind w:right="21"/>
              <w:spacing w:after="0"/>
              <w:rPr>
                <w:sz w:val="20"/>
                <w:szCs w:val="20"/>
                <w:color w:val="auto"/>
              </w:rPr>
            </w:pPr>
            <w:r>
              <w:rPr>
                <w:rFonts w:ascii="Arial" w:cs="Arial" w:eastAsia="Arial" w:hAnsi="Arial"/>
                <w:sz w:val="16"/>
                <w:szCs w:val="16"/>
                <w:color w:val="00053B"/>
              </w:rPr>
              <w:t>—%</w:t>
            </w:r>
          </w:p>
        </w:tc>
        <w:tc>
          <w:tcPr>
            <w:tcW w:w="0" w:type="dxa"/>
            <w:vAlign w:val="bottom"/>
          </w:tcPr>
          <w:p>
            <w:pPr>
              <w:spacing w:after="0"/>
              <w:rPr>
                <w:sz w:val="1"/>
                <w:szCs w:val="1"/>
                <w:color w:val="auto"/>
              </w:rPr>
            </w:pPr>
          </w:p>
        </w:tc>
      </w:tr>
      <w:tr>
        <w:trPr>
          <w:trHeight w:val="133"/>
        </w:trPr>
        <w:tc>
          <w:tcPr>
            <w:tcW w:w="4500" w:type="dxa"/>
            <w:vAlign w:val="bottom"/>
            <w:vMerge w:val="restart"/>
            <w:shd w:val="clear" w:color="auto" w:fill="EAEAEA"/>
          </w:tcPr>
          <w:p>
            <w:pPr>
              <w:ind w:left="120"/>
              <w:spacing w:after="0"/>
              <w:rPr>
                <w:sz w:val="20"/>
                <w:szCs w:val="20"/>
                <w:color w:val="auto"/>
              </w:rPr>
            </w:pPr>
            <w:r>
              <w:rPr>
                <w:rFonts w:ascii="Arial" w:cs="Arial" w:eastAsia="Arial" w:hAnsi="Arial"/>
                <w:sz w:val="16"/>
                <w:szCs w:val="16"/>
                <w:color w:val="00053B"/>
              </w:rPr>
              <w:t>Former Chief Revenue Officer</w:t>
            </w:r>
          </w:p>
        </w:tc>
        <w:tc>
          <w:tcPr>
            <w:tcW w:w="3180" w:type="dxa"/>
            <w:vAlign w:val="bottom"/>
            <w:vMerge w:val="continue"/>
            <w:shd w:val="clear" w:color="auto" w:fill="EAEAEA"/>
          </w:tcPr>
          <w:p>
            <w:pPr>
              <w:spacing w:after="0"/>
              <w:rPr>
                <w:sz w:val="11"/>
                <w:szCs w:val="11"/>
                <w:color w:val="auto"/>
              </w:rPr>
            </w:pPr>
          </w:p>
        </w:tc>
        <w:tc>
          <w:tcPr>
            <w:tcW w:w="1860" w:type="dxa"/>
            <w:vAlign w:val="bottom"/>
            <w:vMerge w:val="continue"/>
            <w:shd w:val="clear" w:color="auto" w:fill="EAEAEA"/>
          </w:tcPr>
          <w:p>
            <w:pPr>
              <w:spacing w:after="0"/>
              <w:rPr>
                <w:sz w:val="11"/>
                <w:szCs w:val="11"/>
                <w:color w:val="auto"/>
              </w:rPr>
            </w:pPr>
          </w:p>
        </w:tc>
        <w:tc>
          <w:tcPr>
            <w:tcW w:w="1700" w:type="dxa"/>
            <w:vAlign w:val="bottom"/>
            <w:vMerge w:val="continue"/>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500" w:type="dxa"/>
            <w:vAlign w:val="bottom"/>
            <w:vMerge w:val="continue"/>
            <w:shd w:val="clear" w:color="auto" w:fill="EAEAEA"/>
          </w:tcPr>
          <w:p>
            <w:pPr>
              <w:spacing w:after="0"/>
              <w:rPr>
                <w:sz w:val="8"/>
                <w:szCs w:val="8"/>
                <w:color w:val="auto"/>
              </w:rPr>
            </w:pPr>
          </w:p>
        </w:tc>
        <w:tc>
          <w:tcPr>
            <w:tcW w:w="3180" w:type="dxa"/>
            <w:vAlign w:val="bottom"/>
            <w:shd w:val="clear" w:color="auto" w:fill="EAEAEA"/>
          </w:tcPr>
          <w:p>
            <w:pPr>
              <w:spacing w:after="0"/>
              <w:rPr>
                <w:sz w:val="8"/>
                <w:szCs w:val="8"/>
                <w:color w:val="auto"/>
              </w:rPr>
            </w:pPr>
          </w:p>
        </w:tc>
        <w:tc>
          <w:tcPr>
            <w:tcW w:w="1860" w:type="dxa"/>
            <w:vAlign w:val="bottom"/>
            <w:shd w:val="clear" w:color="auto" w:fill="EAEAEA"/>
          </w:tcPr>
          <w:p>
            <w:pPr>
              <w:spacing w:after="0"/>
              <w:rPr>
                <w:sz w:val="8"/>
                <w:szCs w:val="8"/>
                <w:color w:val="auto"/>
              </w:rPr>
            </w:pPr>
          </w:p>
        </w:tc>
        <w:tc>
          <w:tcPr>
            <w:tcW w:w="1700" w:type="dxa"/>
            <w:vAlign w:val="bottom"/>
            <w:shd w:val="clear" w:color="auto" w:fill="EAEAEA"/>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ANNUAL INCENTIVE PLAN</w:t>
      </w:r>
    </w:p>
    <w:p>
      <w:pPr>
        <w:spacing w:after="0" w:line="68"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00053B"/>
        </w:rPr>
        <w:t>During fiscal 2024, Messrs. Mirchandani, Merrill, and Di Blasio each participated in the Commvault Annual Incentive Plan (the “Fiscal 2024 AIP”), which made them eligible to earn a cash bonus based on achievement of pre-established corporate financial goals.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00053B"/>
        </w:rPr>
        <w:t>Target Annual Cash Incentive Opportunities</w:t>
      </w:r>
    </w:p>
    <w:p>
      <w:pPr>
        <w:spacing w:after="0" w:line="122"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00053B"/>
        </w:rPr>
        <w:t>The TMCC approved target cash incentive opportunities for the named executive officers in May 2023 after considering a competitive market analysis, the scope of, and accountability associated with, each executive officer’s position, the performance of each executive officer since the last annual performance review and the overall experience of each executive officer. Mr. Di Blasio was evaluated against certain quarterly (rather than annual) goals and had more upside potential for one metric (revenue), as discussed below. Mr. Di Blasio resigned effective January 12, 2024, and therefore only received quarterly incentive payments for the first three quarters of fiscal 2024.</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00053B"/>
        </w:rPr>
        <w:t>The target cash incentive opportunities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160" w:type="dxa"/>
            <w:vAlign w:val="bottom"/>
            <w:tcBorders>
              <w:bottom w:val="single" w:sz="8" w:color="844896"/>
            </w:tcBorders>
          </w:tcPr>
          <w:p>
            <w:pPr>
              <w:ind w:left="140"/>
              <w:spacing w:after="0"/>
              <w:rPr>
                <w:sz w:val="20"/>
                <w:szCs w:val="20"/>
                <w:color w:val="auto"/>
              </w:rPr>
            </w:pPr>
            <w:r>
              <w:rPr>
                <w:rFonts w:ascii="Arial" w:cs="Arial" w:eastAsia="Arial" w:hAnsi="Arial"/>
                <w:sz w:val="14"/>
                <w:szCs w:val="14"/>
                <w:color w:val="00053B"/>
              </w:rPr>
              <w:t>Executive</w:t>
            </w:r>
          </w:p>
        </w:tc>
        <w:tc>
          <w:tcPr>
            <w:tcW w:w="3080" w:type="dxa"/>
            <w:vAlign w:val="bottom"/>
            <w:tcBorders>
              <w:bottom w:val="single" w:sz="8" w:color="844896"/>
            </w:tcBorders>
          </w:tcPr>
          <w:p>
            <w:pPr>
              <w:jc w:val="right"/>
              <w:ind w:right="321"/>
              <w:spacing w:after="0"/>
              <w:rPr>
                <w:sz w:val="20"/>
                <w:szCs w:val="20"/>
                <w:color w:val="auto"/>
              </w:rPr>
            </w:pPr>
            <w:r>
              <w:rPr>
                <w:rFonts w:ascii="Arial" w:cs="Arial" w:eastAsia="Arial" w:hAnsi="Arial"/>
                <w:sz w:val="14"/>
                <w:szCs w:val="14"/>
                <w:color w:val="00053B"/>
              </w:rPr>
              <w:t>Fiscal 2024 Salary</w:t>
            </w:r>
          </w:p>
        </w:tc>
        <w:tc>
          <w:tcPr>
            <w:tcW w:w="2600" w:type="dxa"/>
            <w:vAlign w:val="bottom"/>
            <w:tcBorders>
              <w:bottom w:val="single" w:sz="8" w:color="844896"/>
            </w:tcBorders>
          </w:tcPr>
          <w:p>
            <w:pPr>
              <w:jc w:val="right"/>
              <w:ind w:right="261"/>
              <w:spacing w:after="0"/>
              <w:rPr>
                <w:sz w:val="20"/>
                <w:szCs w:val="20"/>
                <w:color w:val="auto"/>
              </w:rPr>
            </w:pPr>
            <w:r>
              <w:rPr>
                <w:rFonts w:ascii="Arial" w:cs="Arial" w:eastAsia="Arial" w:hAnsi="Arial"/>
                <w:sz w:val="14"/>
                <w:szCs w:val="14"/>
                <w:color w:val="00053B"/>
              </w:rPr>
              <w:t>Target Annual Cash Incentive</w:t>
            </w:r>
          </w:p>
        </w:tc>
        <w:tc>
          <w:tcPr>
            <w:tcW w:w="2400" w:type="dxa"/>
            <w:vAlign w:val="bottom"/>
            <w:tcBorders>
              <w:bottom w:val="single" w:sz="8" w:color="844896"/>
            </w:tcBorders>
          </w:tcPr>
          <w:p>
            <w:pPr>
              <w:jc w:val="right"/>
              <w:spacing w:after="0"/>
              <w:rPr>
                <w:sz w:val="20"/>
                <w:szCs w:val="20"/>
                <w:color w:val="auto"/>
              </w:rPr>
            </w:pPr>
            <w:r>
              <w:rPr>
                <w:rFonts w:ascii="Arial" w:cs="Arial" w:eastAsia="Arial" w:hAnsi="Arial"/>
                <w:sz w:val="14"/>
                <w:szCs w:val="14"/>
                <w:color w:val="00053B"/>
              </w:rPr>
              <w:t>Target Annual Cash Incentive(1)</w:t>
            </w:r>
          </w:p>
        </w:tc>
      </w:tr>
      <w:tr>
        <w:trPr>
          <w:trHeight w:val="213"/>
        </w:trPr>
        <w:tc>
          <w:tcPr>
            <w:tcW w:w="3160" w:type="dxa"/>
            <w:vAlign w:val="bottom"/>
            <w:shd w:val="clear" w:color="auto" w:fill="EAEAEA"/>
          </w:tcPr>
          <w:p>
            <w:pPr>
              <w:ind w:left="120"/>
              <w:spacing w:after="0"/>
              <w:rPr>
                <w:sz w:val="20"/>
                <w:szCs w:val="20"/>
                <w:color w:val="auto"/>
              </w:rPr>
            </w:pPr>
            <w:r>
              <w:rPr>
                <w:rFonts w:ascii="Arial" w:cs="Arial" w:eastAsia="Arial" w:hAnsi="Arial"/>
                <w:sz w:val="16"/>
                <w:szCs w:val="16"/>
                <w:b w:val="1"/>
                <w:bCs w:val="1"/>
                <w:color w:val="00053B"/>
              </w:rPr>
              <w:t>Sanjay Mirchandani</w:t>
            </w:r>
          </w:p>
        </w:tc>
        <w:tc>
          <w:tcPr>
            <w:tcW w:w="3080" w:type="dxa"/>
            <w:vAlign w:val="bottom"/>
            <w:shd w:val="clear" w:color="auto" w:fill="EAEAEA"/>
          </w:tcPr>
          <w:p>
            <w:pPr>
              <w:jc w:val="right"/>
              <w:ind w:right="401"/>
              <w:spacing w:after="0"/>
              <w:rPr>
                <w:sz w:val="20"/>
                <w:szCs w:val="20"/>
                <w:color w:val="auto"/>
              </w:rPr>
            </w:pPr>
            <w:r>
              <w:rPr>
                <w:rFonts w:ascii="Arial" w:cs="Arial" w:eastAsia="Arial" w:hAnsi="Arial"/>
                <w:sz w:val="16"/>
                <w:szCs w:val="16"/>
                <w:color w:val="00053B"/>
              </w:rPr>
              <w:t>$645,000</w:t>
            </w:r>
          </w:p>
        </w:tc>
        <w:tc>
          <w:tcPr>
            <w:tcW w:w="2600" w:type="dxa"/>
            <w:vAlign w:val="bottom"/>
            <w:shd w:val="clear" w:color="auto" w:fill="EAEAEA"/>
          </w:tcPr>
          <w:p>
            <w:pPr>
              <w:jc w:val="right"/>
              <w:ind w:right="341"/>
              <w:spacing w:after="0"/>
              <w:rPr>
                <w:sz w:val="20"/>
                <w:szCs w:val="20"/>
                <w:color w:val="auto"/>
              </w:rPr>
            </w:pPr>
            <w:r>
              <w:rPr>
                <w:rFonts w:ascii="Arial" w:cs="Arial" w:eastAsia="Arial" w:hAnsi="Arial"/>
                <w:sz w:val="16"/>
                <w:szCs w:val="16"/>
                <w:color w:val="00053B"/>
              </w:rPr>
              <w:t>100%</w:t>
            </w:r>
          </w:p>
        </w:tc>
        <w:tc>
          <w:tcPr>
            <w:tcW w:w="2400" w:type="dxa"/>
            <w:vAlign w:val="bottom"/>
            <w:shd w:val="clear" w:color="auto" w:fill="EAEAEA"/>
          </w:tcPr>
          <w:p>
            <w:pPr>
              <w:jc w:val="right"/>
              <w:ind w:right="21"/>
              <w:spacing w:after="0"/>
              <w:rPr>
                <w:sz w:val="20"/>
                <w:szCs w:val="20"/>
                <w:color w:val="auto"/>
              </w:rPr>
            </w:pPr>
            <w:r>
              <w:rPr>
                <w:rFonts w:ascii="Arial" w:cs="Arial" w:eastAsia="Arial" w:hAnsi="Arial"/>
                <w:sz w:val="16"/>
                <w:szCs w:val="16"/>
                <w:color w:val="00053B"/>
              </w:rPr>
              <w:t>$645,000</w:t>
            </w:r>
          </w:p>
        </w:tc>
      </w:tr>
      <w:tr>
        <w:trPr>
          <w:trHeight w:val="216"/>
        </w:trPr>
        <w:tc>
          <w:tcPr>
            <w:tcW w:w="3160" w:type="dxa"/>
            <w:vAlign w:val="bottom"/>
          </w:tcPr>
          <w:p>
            <w:pPr>
              <w:ind w:left="120"/>
              <w:spacing w:after="0"/>
              <w:rPr>
                <w:sz w:val="20"/>
                <w:szCs w:val="20"/>
                <w:color w:val="auto"/>
              </w:rPr>
            </w:pPr>
            <w:r>
              <w:rPr>
                <w:rFonts w:ascii="Arial" w:cs="Arial" w:eastAsia="Arial" w:hAnsi="Arial"/>
                <w:sz w:val="16"/>
                <w:szCs w:val="16"/>
                <w:b w:val="1"/>
                <w:bCs w:val="1"/>
                <w:color w:val="00053B"/>
              </w:rPr>
              <w:t>Gary Merrill</w:t>
            </w:r>
          </w:p>
        </w:tc>
        <w:tc>
          <w:tcPr>
            <w:tcW w:w="3080" w:type="dxa"/>
            <w:vAlign w:val="bottom"/>
          </w:tcPr>
          <w:p>
            <w:pPr>
              <w:jc w:val="right"/>
              <w:ind w:right="401"/>
              <w:spacing w:after="0"/>
              <w:rPr>
                <w:sz w:val="20"/>
                <w:szCs w:val="20"/>
                <w:color w:val="auto"/>
              </w:rPr>
            </w:pPr>
            <w:r>
              <w:rPr>
                <w:rFonts w:ascii="Arial" w:cs="Arial" w:eastAsia="Arial" w:hAnsi="Arial"/>
                <w:sz w:val="16"/>
                <w:szCs w:val="16"/>
                <w:color w:val="00053B"/>
              </w:rPr>
              <w:t>$451,000</w:t>
            </w:r>
          </w:p>
        </w:tc>
        <w:tc>
          <w:tcPr>
            <w:tcW w:w="2600" w:type="dxa"/>
            <w:vAlign w:val="bottom"/>
          </w:tcPr>
          <w:p>
            <w:pPr>
              <w:jc w:val="right"/>
              <w:ind w:right="341"/>
              <w:spacing w:after="0"/>
              <w:rPr>
                <w:sz w:val="20"/>
                <w:szCs w:val="20"/>
                <w:color w:val="auto"/>
              </w:rPr>
            </w:pPr>
            <w:r>
              <w:rPr>
                <w:rFonts w:ascii="Arial" w:cs="Arial" w:eastAsia="Arial" w:hAnsi="Arial"/>
                <w:sz w:val="16"/>
                <w:szCs w:val="16"/>
                <w:color w:val="00053B"/>
              </w:rPr>
              <w:t>70%</w:t>
            </w:r>
          </w:p>
        </w:tc>
        <w:tc>
          <w:tcPr>
            <w:tcW w:w="2400" w:type="dxa"/>
            <w:vAlign w:val="bottom"/>
          </w:tcPr>
          <w:p>
            <w:pPr>
              <w:jc w:val="right"/>
              <w:ind w:right="21"/>
              <w:spacing w:after="0"/>
              <w:rPr>
                <w:sz w:val="20"/>
                <w:szCs w:val="20"/>
                <w:color w:val="auto"/>
              </w:rPr>
            </w:pPr>
            <w:r>
              <w:rPr>
                <w:rFonts w:ascii="Arial" w:cs="Arial" w:eastAsia="Arial" w:hAnsi="Arial"/>
                <w:sz w:val="16"/>
                <w:szCs w:val="16"/>
                <w:color w:val="00053B"/>
              </w:rPr>
              <w:t>$315,700</w:t>
            </w:r>
          </w:p>
        </w:tc>
      </w:tr>
      <w:tr>
        <w:trPr>
          <w:trHeight w:val="216"/>
        </w:trPr>
        <w:tc>
          <w:tcPr>
            <w:tcW w:w="3160" w:type="dxa"/>
            <w:vAlign w:val="bottom"/>
            <w:shd w:val="clear" w:color="auto" w:fill="EAEAEA"/>
          </w:tcPr>
          <w:p>
            <w:pPr>
              <w:ind w:left="120"/>
              <w:spacing w:after="0"/>
              <w:rPr>
                <w:sz w:val="20"/>
                <w:szCs w:val="20"/>
                <w:color w:val="auto"/>
              </w:rPr>
            </w:pPr>
            <w:r>
              <w:rPr>
                <w:rFonts w:ascii="Arial" w:cs="Arial" w:eastAsia="Arial" w:hAnsi="Arial"/>
                <w:sz w:val="16"/>
                <w:szCs w:val="16"/>
                <w:b w:val="1"/>
                <w:bCs w:val="1"/>
                <w:color w:val="00053B"/>
              </w:rPr>
              <w:t>Riccardo Di Blasio</w:t>
            </w:r>
          </w:p>
        </w:tc>
        <w:tc>
          <w:tcPr>
            <w:tcW w:w="3080" w:type="dxa"/>
            <w:vAlign w:val="bottom"/>
            <w:shd w:val="clear" w:color="auto" w:fill="EAEAEA"/>
          </w:tcPr>
          <w:p>
            <w:pPr>
              <w:jc w:val="right"/>
              <w:ind w:right="401"/>
              <w:spacing w:after="0"/>
              <w:rPr>
                <w:sz w:val="20"/>
                <w:szCs w:val="20"/>
                <w:color w:val="auto"/>
              </w:rPr>
            </w:pPr>
            <w:r>
              <w:rPr>
                <w:rFonts w:ascii="Arial" w:cs="Arial" w:eastAsia="Arial" w:hAnsi="Arial"/>
                <w:sz w:val="16"/>
                <w:szCs w:val="16"/>
                <w:color w:val="00053B"/>
              </w:rPr>
              <w:t>$475,000</w:t>
            </w:r>
          </w:p>
        </w:tc>
        <w:tc>
          <w:tcPr>
            <w:tcW w:w="2600" w:type="dxa"/>
            <w:vAlign w:val="bottom"/>
            <w:shd w:val="clear" w:color="auto" w:fill="EAEAEA"/>
          </w:tcPr>
          <w:p>
            <w:pPr>
              <w:jc w:val="right"/>
              <w:ind w:right="341"/>
              <w:spacing w:after="0"/>
              <w:rPr>
                <w:sz w:val="20"/>
                <w:szCs w:val="20"/>
                <w:color w:val="auto"/>
              </w:rPr>
            </w:pPr>
            <w:r>
              <w:rPr>
                <w:rFonts w:ascii="Arial" w:cs="Arial" w:eastAsia="Arial" w:hAnsi="Arial"/>
                <w:sz w:val="16"/>
                <w:szCs w:val="16"/>
                <w:color w:val="00053B"/>
              </w:rPr>
              <w:t>100%</w:t>
            </w:r>
          </w:p>
        </w:tc>
        <w:tc>
          <w:tcPr>
            <w:tcW w:w="2400" w:type="dxa"/>
            <w:vAlign w:val="bottom"/>
            <w:shd w:val="clear" w:color="auto" w:fill="EAEAEA"/>
          </w:tcPr>
          <w:p>
            <w:pPr>
              <w:jc w:val="right"/>
              <w:ind w:right="21"/>
              <w:spacing w:after="0"/>
              <w:rPr>
                <w:sz w:val="20"/>
                <w:szCs w:val="20"/>
                <w:color w:val="auto"/>
              </w:rPr>
            </w:pPr>
            <w:r>
              <w:rPr>
                <w:rFonts w:ascii="Arial" w:cs="Arial" w:eastAsia="Arial" w:hAnsi="Arial"/>
                <w:sz w:val="16"/>
                <w:szCs w:val="16"/>
                <w:color w:val="00053B"/>
              </w:rPr>
              <w:t>$475,000</w:t>
            </w:r>
          </w:p>
        </w:tc>
      </w:tr>
    </w:tbl>
    <w:p>
      <w:pPr>
        <w:spacing w:after="0" w:line="77"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3"/>
          <w:szCs w:val="13"/>
          <w:color w:val="00053B"/>
        </w:rPr>
      </w:pPr>
      <w:r>
        <w:rPr>
          <w:rFonts w:ascii="Arial" w:cs="Arial" w:eastAsia="Arial" w:hAnsi="Arial"/>
          <w:sz w:val="13"/>
          <w:szCs w:val="13"/>
          <w:color w:val="00053B"/>
        </w:rPr>
        <w:t>Cash bonus payments under the Fiscal 2024 AIP could range from zero to 200% of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34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15175" cy="1028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CD&amp;A | </w:t>
      </w:r>
      <w:r>
        <w:rPr>
          <w:rFonts w:ascii="Arial" w:cs="Arial" w:eastAsia="Arial" w:hAnsi="Arial"/>
          <w:sz w:val="11"/>
          <w:szCs w:val="11"/>
          <w:b w:val="1"/>
          <w:bCs w:val="1"/>
          <w:color w:val="00053B"/>
        </w:rPr>
        <w:t>FISCAL YEAR 2024 COMPENSATION DECISIONS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00053B"/>
        </w:rPr>
        <w:t>Performance Measures</w:t>
      </w:r>
    </w:p>
    <w:p>
      <w:pPr>
        <w:spacing w:after="0" w:line="122" w:lineRule="exact"/>
        <w:rPr>
          <w:sz w:val="20"/>
          <w:szCs w:val="20"/>
          <w:color w:val="auto"/>
        </w:rPr>
      </w:pPr>
    </w:p>
    <w:p>
      <w:pPr>
        <w:ind w:right="280"/>
        <w:spacing w:after="0" w:line="261" w:lineRule="auto"/>
        <w:rPr>
          <w:sz w:val="20"/>
          <w:szCs w:val="20"/>
          <w:color w:val="auto"/>
        </w:rPr>
      </w:pPr>
      <w:r>
        <w:rPr>
          <w:rFonts w:ascii="Arial" w:cs="Arial" w:eastAsia="Arial" w:hAnsi="Arial"/>
          <w:sz w:val="16"/>
          <w:szCs w:val="16"/>
          <w:color w:val="00053B"/>
        </w:rPr>
        <w:t>In May 2023, the TMCC selected total revenue (weighted 60%) and non-GAAP EBIT (weighted 40%) as the performance metrics for the Fiscal 2024 AIP. These metrics were selected because the TMCC believes that, at this stage of our development, revenue growth and profitability are the most relevant measures of Commvault’s financial performance and the measures most closely correlated to increasing stockholder value. In fact, in the course of our regular stockholder engagements, stockholders often mention their approval of our revenue and non-GAAP EBIT performance measures. Further, in our public communications (including on earnings calls), our disclosures typically reference revenue and non-GAAP EBIT, in addition to GAAP performance metrics, as the primary means we use to evaluate our own performance. In other words, these metrics are closely tied to how we manage the business.</w:t>
      </w:r>
    </w:p>
    <w:p>
      <w:pPr>
        <w:spacing w:after="0" w:line="82" w:lineRule="exact"/>
        <w:rPr>
          <w:sz w:val="20"/>
          <w:szCs w:val="20"/>
          <w:color w:val="auto"/>
        </w:rPr>
      </w:pPr>
    </w:p>
    <w:p>
      <w:pPr>
        <w:ind w:right="720"/>
        <w:spacing w:after="0" w:line="286" w:lineRule="auto"/>
        <w:rPr>
          <w:sz w:val="20"/>
          <w:szCs w:val="20"/>
          <w:color w:val="auto"/>
        </w:rPr>
      </w:pPr>
      <w:r>
        <w:rPr>
          <w:rFonts w:ascii="Arial" w:cs="Arial" w:eastAsia="Arial" w:hAnsi="Arial"/>
          <w:sz w:val="16"/>
          <w:szCs w:val="16"/>
          <w:color w:val="00053B"/>
        </w:rPr>
        <w:t>For purposes of the Fiscal 2024 AIP, the TMCC set the various performance levels for these performance metrics and the payout amounts for each performance level as shown below.</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For Messrs. Mirchandani and Merrill</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vMerge w:val="restart"/>
          </w:tcPr>
          <w:p>
            <w:pPr>
              <w:ind w:left="140"/>
              <w:spacing w:after="0"/>
              <w:rPr>
                <w:sz w:val="20"/>
                <w:szCs w:val="20"/>
                <w:color w:val="auto"/>
              </w:rPr>
            </w:pPr>
            <w:r>
              <w:rPr>
                <w:rFonts w:ascii="Arial" w:cs="Arial" w:eastAsia="Arial" w:hAnsi="Arial"/>
                <w:sz w:val="14"/>
                <w:szCs w:val="14"/>
                <w:color w:val="00053B"/>
              </w:rPr>
              <w:t>Metric</w:t>
            </w:r>
          </w:p>
        </w:tc>
        <w:tc>
          <w:tcPr>
            <w:tcW w:w="3020" w:type="dxa"/>
            <w:vAlign w:val="bottom"/>
            <w:vMerge w:val="restart"/>
          </w:tcPr>
          <w:p>
            <w:pPr>
              <w:jc w:val="center"/>
              <w:ind w:left="1622"/>
              <w:spacing w:after="0"/>
              <w:rPr>
                <w:sz w:val="20"/>
                <w:szCs w:val="20"/>
                <w:color w:val="auto"/>
              </w:rPr>
            </w:pPr>
            <w:r>
              <w:rPr>
                <w:rFonts w:ascii="Arial" w:cs="Arial" w:eastAsia="Arial" w:hAnsi="Arial"/>
                <w:sz w:val="14"/>
                <w:szCs w:val="14"/>
                <w:color w:val="00053B"/>
              </w:rPr>
              <w:t>Weight</w:t>
            </w:r>
          </w:p>
        </w:tc>
        <w:tc>
          <w:tcPr>
            <w:tcW w:w="1580" w:type="dxa"/>
            <w:vAlign w:val="bottom"/>
          </w:tcPr>
          <w:p>
            <w:pPr>
              <w:jc w:val="right"/>
              <w:ind w:right="204"/>
              <w:spacing w:after="0"/>
              <w:rPr>
                <w:sz w:val="20"/>
                <w:szCs w:val="20"/>
                <w:color w:val="auto"/>
              </w:rPr>
            </w:pPr>
            <w:r>
              <w:rPr>
                <w:rFonts w:ascii="Arial" w:cs="Arial" w:eastAsia="Arial" w:hAnsi="Arial"/>
                <w:sz w:val="14"/>
                <w:szCs w:val="14"/>
                <w:color w:val="00053B"/>
              </w:rPr>
              <w:t>Threshold</w:t>
            </w:r>
          </w:p>
        </w:tc>
        <w:tc>
          <w:tcPr>
            <w:tcW w:w="1720" w:type="dxa"/>
            <w:vAlign w:val="bottom"/>
          </w:tcPr>
          <w:p>
            <w:pPr>
              <w:jc w:val="right"/>
              <w:ind w:right="444"/>
              <w:spacing w:after="0"/>
              <w:rPr>
                <w:sz w:val="20"/>
                <w:szCs w:val="20"/>
                <w:color w:val="auto"/>
              </w:rPr>
            </w:pPr>
            <w:r>
              <w:rPr>
                <w:rFonts w:ascii="Arial" w:cs="Arial" w:eastAsia="Arial" w:hAnsi="Arial"/>
                <w:sz w:val="14"/>
                <w:szCs w:val="14"/>
                <w:color w:val="00053B"/>
              </w:rPr>
              <w:t>Target</w:t>
            </w:r>
          </w:p>
        </w:tc>
        <w:tc>
          <w:tcPr>
            <w:tcW w:w="1440" w:type="dxa"/>
            <w:vAlign w:val="bottom"/>
          </w:tcPr>
          <w:p>
            <w:pPr>
              <w:jc w:val="right"/>
              <w:spacing w:after="0"/>
              <w:rPr>
                <w:sz w:val="20"/>
                <w:szCs w:val="20"/>
                <w:color w:val="auto"/>
              </w:rPr>
            </w:pPr>
            <w:r>
              <w:rPr>
                <w:rFonts w:ascii="Arial" w:cs="Arial" w:eastAsia="Arial" w:hAnsi="Arial"/>
                <w:sz w:val="14"/>
                <w:szCs w:val="14"/>
                <w:color w:val="00053B"/>
              </w:rPr>
              <w:t>Maximum</w:t>
            </w:r>
          </w:p>
        </w:tc>
        <w:tc>
          <w:tcPr>
            <w:tcW w:w="0" w:type="dxa"/>
            <w:vAlign w:val="bottom"/>
          </w:tcPr>
          <w:p>
            <w:pPr>
              <w:spacing w:after="0"/>
              <w:rPr>
                <w:sz w:val="1"/>
                <w:szCs w:val="1"/>
                <w:color w:val="auto"/>
              </w:rPr>
            </w:pPr>
          </w:p>
        </w:tc>
      </w:tr>
      <w:tr>
        <w:trPr>
          <w:trHeight w:val="189"/>
        </w:trPr>
        <w:tc>
          <w:tcPr>
            <w:tcW w:w="3480" w:type="dxa"/>
            <w:vAlign w:val="bottom"/>
            <w:tcBorders>
              <w:bottom w:val="single" w:sz="8" w:color="844896"/>
            </w:tcBorders>
            <w:vMerge w:val="continue"/>
          </w:tcPr>
          <w:p>
            <w:pPr>
              <w:spacing w:after="0"/>
              <w:rPr>
                <w:sz w:val="16"/>
                <w:szCs w:val="16"/>
                <w:color w:val="auto"/>
              </w:rPr>
            </w:pPr>
          </w:p>
        </w:tc>
        <w:tc>
          <w:tcPr>
            <w:tcW w:w="3020" w:type="dxa"/>
            <w:vAlign w:val="bottom"/>
            <w:tcBorders>
              <w:bottom w:val="single" w:sz="8" w:color="844896"/>
            </w:tcBorders>
            <w:vMerge w:val="continue"/>
          </w:tcPr>
          <w:p>
            <w:pPr>
              <w:spacing w:after="0"/>
              <w:rPr>
                <w:sz w:val="16"/>
                <w:szCs w:val="16"/>
                <w:color w:val="auto"/>
              </w:rPr>
            </w:pPr>
          </w:p>
        </w:tc>
        <w:tc>
          <w:tcPr>
            <w:tcW w:w="1580" w:type="dxa"/>
            <w:vAlign w:val="bottom"/>
            <w:tcBorders>
              <w:bottom w:val="single" w:sz="8" w:color="844896"/>
            </w:tcBorders>
          </w:tcPr>
          <w:p>
            <w:pPr>
              <w:jc w:val="right"/>
              <w:ind w:right="204"/>
              <w:spacing w:after="0"/>
              <w:rPr>
                <w:sz w:val="20"/>
                <w:szCs w:val="20"/>
                <w:color w:val="auto"/>
              </w:rPr>
            </w:pPr>
            <w:r>
              <w:rPr>
                <w:rFonts w:ascii="Arial" w:cs="Arial" w:eastAsia="Arial" w:hAnsi="Arial"/>
                <w:sz w:val="14"/>
                <w:szCs w:val="14"/>
                <w:color w:val="00053B"/>
              </w:rPr>
              <w:t>(50% payout)</w:t>
            </w:r>
          </w:p>
        </w:tc>
        <w:tc>
          <w:tcPr>
            <w:tcW w:w="1720" w:type="dxa"/>
            <w:vAlign w:val="bottom"/>
            <w:tcBorders>
              <w:bottom w:val="single" w:sz="8" w:color="844896"/>
            </w:tcBorders>
          </w:tcPr>
          <w:p>
            <w:pPr>
              <w:jc w:val="right"/>
              <w:ind w:right="404"/>
              <w:spacing w:after="0"/>
              <w:rPr>
                <w:sz w:val="20"/>
                <w:szCs w:val="20"/>
                <w:color w:val="auto"/>
              </w:rPr>
            </w:pPr>
            <w:r>
              <w:rPr>
                <w:rFonts w:ascii="Arial" w:cs="Arial" w:eastAsia="Arial" w:hAnsi="Arial"/>
                <w:sz w:val="14"/>
                <w:szCs w:val="14"/>
                <w:color w:val="00053B"/>
              </w:rPr>
              <w:t>(100% payout)</w:t>
            </w:r>
          </w:p>
        </w:tc>
        <w:tc>
          <w:tcPr>
            <w:tcW w:w="1440" w:type="dxa"/>
            <w:vAlign w:val="bottom"/>
            <w:tcBorders>
              <w:bottom w:val="single" w:sz="8" w:color="844896"/>
            </w:tcBorders>
          </w:tcPr>
          <w:p>
            <w:pPr>
              <w:jc w:val="right"/>
              <w:spacing w:after="0"/>
              <w:rPr>
                <w:sz w:val="20"/>
                <w:szCs w:val="20"/>
                <w:color w:val="auto"/>
              </w:rPr>
            </w:pPr>
            <w:r>
              <w:rPr>
                <w:rFonts w:ascii="Arial" w:cs="Arial" w:eastAsia="Arial" w:hAnsi="Arial"/>
                <w:sz w:val="14"/>
                <w:szCs w:val="14"/>
                <w:color w:val="00053B"/>
              </w:rPr>
              <w:t>(200% payout)</w:t>
            </w:r>
          </w:p>
        </w:tc>
        <w:tc>
          <w:tcPr>
            <w:tcW w:w="0" w:type="dxa"/>
            <w:vAlign w:val="bottom"/>
          </w:tcPr>
          <w:p>
            <w:pPr>
              <w:spacing w:after="0"/>
              <w:rPr>
                <w:sz w:val="1"/>
                <w:szCs w:val="1"/>
                <w:color w:val="auto"/>
              </w:rPr>
            </w:pPr>
          </w:p>
        </w:tc>
      </w:tr>
      <w:tr>
        <w:trPr>
          <w:trHeight w:val="210"/>
        </w:trPr>
        <w:tc>
          <w:tcPr>
            <w:tcW w:w="348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Revenue</w:t>
            </w:r>
          </w:p>
        </w:tc>
        <w:tc>
          <w:tcPr>
            <w:tcW w:w="3020" w:type="dxa"/>
            <w:vAlign w:val="bottom"/>
            <w:shd w:val="clear" w:color="auto" w:fill="EAEAEA"/>
          </w:tcPr>
          <w:p>
            <w:pPr>
              <w:jc w:val="center"/>
              <w:ind w:left="1582"/>
              <w:spacing w:after="0"/>
              <w:rPr>
                <w:sz w:val="20"/>
                <w:szCs w:val="20"/>
                <w:color w:val="auto"/>
              </w:rPr>
            </w:pPr>
            <w:r>
              <w:rPr>
                <w:rFonts w:ascii="Arial" w:cs="Arial" w:eastAsia="Arial" w:hAnsi="Arial"/>
                <w:sz w:val="16"/>
                <w:szCs w:val="16"/>
                <w:color w:val="00053B"/>
                <w:w w:val="99"/>
              </w:rPr>
              <w:t>60%</w:t>
            </w:r>
          </w:p>
        </w:tc>
        <w:tc>
          <w:tcPr>
            <w:tcW w:w="1580" w:type="dxa"/>
            <w:vAlign w:val="bottom"/>
            <w:shd w:val="clear" w:color="auto" w:fill="EAEAEA"/>
          </w:tcPr>
          <w:p>
            <w:pPr>
              <w:jc w:val="right"/>
              <w:ind w:right="284"/>
              <w:spacing w:after="0"/>
              <w:rPr>
                <w:sz w:val="20"/>
                <w:szCs w:val="20"/>
                <w:color w:val="auto"/>
              </w:rPr>
            </w:pPr>
            <w:r>
              <w:rPr>
                <w:rFonts w:ascii="Arial" w:cs="Arial" w:eastAsia="Arial" w:hAnsi="Arial"/>
                <w:sz w:val="16"/>
                <w:szCs w:val="16"/>
                <w:color w:val="00053B"/>
              </w:rPr>
              <w:t>93%</w:t>
            </w:r>
          </w:p>
        </w:tc>
        <w:tc>
          <w:tcPr>
            <w:tcW w:w="1720" w:type="dxa"/>
            <w:vAlign w:val="bottom"/>
            <w:shd w:val="clear" w:color="auto" w:fill="EAEAEA"/>
          </w:tcPr>
          <w:p>
            <w:pPr>
              <w:jc w:val="right"/>
              <w:ind w:right="484"/>
              <w:spacing w:after="0"/>
              <w:rPr>
                <w:sz w:val="20"/>
                <w:szCs w:val="20"/>
                <w:color w:val="auto"/>
              </w:rPr>
            </w:pPr>
            <w:r>
              <w:rPr>
                <w:rFonts w:ascii="Arial" w:cs="Arial" w:eastAsia="Arial" w:hAnsi="Arial"/>
                <w:sz w:val="16"/>
                <w:szCs w:val="16"/>
                <w:color w:val="00053B"/>
              </w:rPr>
              <w:t>100%</w:t>
            </w:r>
          </w:p>
        </w:tc>
        <w:tc>
          <w:tcPr>
            <w:tcW w:w="1440" w:type="dxa"/>
            <w:vAlign w:val="bottom"/>
            <w:shd w:val="clear" w:color="auto" w:fill="EAEAEA"/>
          </w:tcPr>
          <w:p>
            <w:pPr>
              <w:jc w:val="right"/>
              <w:ind w:right="24"/>
              <w:spacing w:after="0"/>
              <w:rPr>
                <w:sz w:val="20"/>
                <w:szCs w:val="20"/>
                <w:color w:val="auto"/>
              </w:rPr>
            </w:pPr>
            <w:r>
              <w:rPr>
                <w:rFonts w:ascii="Arial" w:cs="Arial" w:eastAsia="Arial" w:hAnsi="Arial"/>
                <w:sz w:val="16"/>
                <w:szCs w:val="16"/>
                <w:color w:val="00053B"/>
              </w:rPr>
              <w:t>104%</w:t>
            </w:r>
          </w:p>
        </w:tc>
        <w:tc>
          <w:tcPr>
            <w:tcW w:w="0" w:type="dxa"/>
            <w:vAlign w:val="bottom"/>
          </w:tcPr>
          <w:p>
            <w:pPr>
              <w:spacing w:after="0"/>
              <w:rPr>
                <w:sz w:val="1"/>
                <w:szCs w:val="1"/>
                <w:color w:val="auto"/>
              </w:rPr>
            </w:pPr>
          </w:p>
        </w:tc>
      </w:tr>
      <w:tr>
        <w:trPr>
          <w:trHeight w:val="215"/>
        </w:trPr>
        <w:tc>
          <w:tcPr>
            <w:tcW w:w="3480" w:type="dxa"/>
            <w:vAlign w:val="bottom"/>
          </w:tcPr>
          <w:p>
            <w:pPr>
              <w:ind w:left="120"/>
              <w:spacing w:after="0"/>
              <w:rPr>
                <w:sz w:val="20"/>
                <w:szCs w:val="20"/>
                <w:color w:val="auto"/>
              </w:rPr>
            </w:pPr>
            <w:r>
              <w:rPr>
                <w:rFonts w:ascii="Arial" w:cs="Arial" w:eastAsia="Arial" w:hAnsi="Arial"/>
                <w:sz w:val="16"/>
                <w:szCs w:val="16"/>
                <w:color w:val="00053B"/>
              </w:rPr>
              <w:t>Non-GAAP EBIT</w:t>
            </w:r>
          </w:p>
        </w:tc>
        <w:tc>
          <w:tcPr>
            <w:tcW w:w="3020" w:type="dxa"/>
            <w:vAlign w:val="bottom"/>
          </w:tcPr>
          <w:p>
            <w:pPr>
              <w:jc w:val="center"/>
              <w:ind w:left="1582"/>
              <w:spacing w:after="0"/>
              <w:rPr>
                <w:sz w:val="20"/>
                <w:szCs w:val="20"/>
                <w:color w:val="auto"/>
              </w:rPr>
            </w:pPr>
            <w:r>
              <w:rPr>
                <w:rFonts w:ascii="Arial" w:cs="Arial" w:eastAsia="Arial" w:hAnsi="Arial"/>
                <w:sz w:val="16"/>
                <w:szCs w:val="16"/>
                <w:color w:val="00053B"/>
                <w:w w:val="99"/>
              </w:rPr>
              <w:t>40%</w:t>
            </w:r>
          </w:p>
        </w:tc>
        <w:tc>
          <w:tcPr>
            <w:tcW w:w="1580" w:type="dxa"/>
            <w:vAlign w:val="bottom"/>
          </w:tcPr>
          <w:p>
            <w:pPr>
              <w:jc w:val="right"/>
              <w:ind w:right="284"/>
              <w:spacing w:after="0"/>
              <w:rPr>
                <w:sz w:val="20"/>
                <w:szCs w:val="20"/>
                <w:color w:val="auto"/>
              </w:rPr>
            </w:pPr>
            <w:r>
              <w:rPr>
                <w:rFonts w:ascii="Arial" w:cs="Arial" w:eastAsia="Arial" w:hAnsi="Arial"/>
                <w:sz w:val="16"/>
                <w:szCs w:val="16"/>
                <w:color w:val="00053B"/>
              </w:rPr>
              <w:t>89%</w:t>
            </w:r>
          </w:p>
        </w:tc>
        <w:tc>
          <w:tcPr>
            <w:tcW w:w="1720" w:type="dxa"/>
            <w:vAlign w:val="bottom"/>
          </w:tcPr>
          <w:p>
            <w:pPr>
              <w:jc w:val="right"/>
              <w:ind w:right="484"/>
              <w:spacing w:after="0"/>
              <w:rPr>
                <w:sz w:val="20"/>
                <w:szCs w:val="20"/>
                <w:color w:val="auto"/>
              </w:rPr>
            </w:pPr>
            <w:r>
              <w:rPr>
                <w:rFonts w:ascii="Arial" w:cs="Arial" w:eastAsia="Arial" w:hAnsi="Arial"/>
                <w:sz w:val="16"/>
                <w:szCs w:val="16"/>
                <w:color w:val="00053B"/>
              </w:rPr>
              <w:t>100%</w:t>
            </w:r>
          </w:p>
        </w:tc>
        <w:tc>
          <w:tcPr>
            <w:tcW w:w="1440" w:type="dxa"/>
            <w:vAlign w:val="bottom"/>
          </w:tcPr>
          <w:p>
            <w:pPr>
              <w:jc w:val="right"/>
              <w:ind w:right="24"/>
              <w:spacing w:after="0"/>
              <w:rPr>
                <w:sz w:val="20"/>
                <w:szCs w:val="20"/>
                <w:color w:val="auto"/>
              </w:rPr>
            </w:pPr>
            <w:r>
              <w:rPr>
                <w:rFonts w:ascii="Arial" w:cs="Arial" w:eastAsia="Arial" w:hAnsi="Arial"/>
                <w:sz w:val="16"/>
                <w:szCs w:val="16"/>
                <w:color w:val="00053B"/>
              </w:rPr>
              <w:t>108%</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00053B"/>
        </w:rPr>
        <w:t>If actual performance falls between the specified goals, the payout percentage is calculated on a linear basis.</w:t>
      </w:r>
    </w:p>
    <w:p>
      <w:pPr>
        <w:spacing w:after="0" w:line="113" w:lineRule="exact"/>
        <w:rPr>
          <w:sz w:val="20"/>
          <w:szCs w:val="20"/>
          <w:color w:val="auto"/>
        </w:rPr>
      </w:pPr>
    </w:p>
    <w:p>
      <w:pPr>
        <w:ind w:right="400"/>
        <w:spacing w:after="0" w:line="268" w:lineRule="auto"/>
        <w:rPr>
          <w:sz w:val="20"/>
          <w:szCs w:val="20"/>
          <w:color w:val="auto"/>
        </w:rPr>
      </w:pPr>
      <w:r>
        <w:rPr>
          <w:rFonts w:ascii="Arial" w:cs="Arial" w:eastAsia="Arial" w:hAnsi="Arial"/>
          <w:sz w:val="16"/>
          <w:szCs w:val="16"/>
          <w:color w:val="00053B"/>
        </w:rPr>
        <w:t>The actual bonus paid to an individual named executive officer, other than our CEO, is also subject to modification based on individual performance, +/-200% of achievement.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For Mr. Di Blasio</w:t>
      </w:r>
    </w:p>
    <w:p>
      <w:pPr>
        <w:spacing w:after="0" w:line="113"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00053B"/>
        </w:rPr>
        <w:t>Because Mr. Di Blasio is our Chief Revenue Officer, the TMCC believes he should have different targets and multipliers that emphasize the revenue metric. Specifically, Mr. Di Blasio had four independent quarterly revenue goals that, in the aggregate, were the same amount as the annual goal for the other named executive officers. Since Mr. Di Blasio could earn his incentive bonus incrementally—based on results for each individual quarter—and his payout percentage was potentially higher, the TMCC anticipated that the payout percentages for the revenue metric for the named executive officers might vary.</w:t>
      </w:r>
    </w:p>
    <w:p>
      <w:pPr>
        <w:spacing w:after="0" w:line="78"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00053B"/>
        </w:rPr>
        <w:t>In keeping with the quarterly schedule for Mr. Di Blasio’s incentive bonus, he also earned incremental amounts for the non-GAAP EBIT metric. His goal for non-GAAP EBIT was the same as the annual goal set for the other named executive officers. However, for each of the first three quarters of the AIP performance period, Mr. Di Blasio received an amount based on an assumed achievement of 80% of target for non-GAAP EBIT. At the end of the fourth quarter the payout associated with the non-GAAP EBIT metric would have been adjusted to reflect Commvault’s actual performance for the year. However, Mr. Di Blasio resigned effective January 12, 2024, and therefore only received quarterly incentive payments for the first three quarters of fiscal 2024.</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FISCAL 2024 ANNUAL CASH INCENTIVE PLAN DECISIONS</w:t>
      </w:r>
    </w:p>
    <w:p>
      <w:pPr>
        <w:spacing w:after="0" w:line="68"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00053B"/>
        </w:rPr>
        <w:t xml:space="preserve">In May </w:t>
      </w:r>
      <w:r>
        <w:rPr>
          <w:rFonts w:ascii="Arial" w:cs="Arial" w:eastAsia="Arial" w:hAnsi="Arial"/>
          <w:sz w:val="16"/>
          <w:szCs w:val="16"/>
          <w:color w:val="000000"/>
        </w:rPr>
        <w:t>2024</w:t>
      </w:r>
      <w:r>
        <w:rPr>
          <w:rFonts w:ascii="Arial" w:cs="Arial" w:eastAsia="Arial" w:hAnsi="Arial"/>
          <w:sz w:val="16"/>
          <w:szCs w:val="16"/>
          <w:color w:val="00053B"/>
        </w:rPr>
        <w:t>, the TMCC determined that our achievement for the revenue and non-GAAP EBIT portions of the Fiscal 2024 AIP resulted in a payout equal to 109% of target for Messrs. Mirchandani and Merrill.</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20" w:type="dxa"/>
            <w:vAlign w:val="bottom"/>
          </w:tcPr>
          <w:p>
            <w:pPr>
              <w:spacing w:after="0"/>
              <w:rPr>
                <w:sz w:val="14"/>
                <w:szCs w:val="14"/>
                <w:color w:val="auto"/>
              </w:rPr>
            </w:pPr>
          </w:p>
        </w:tc>
        <w:tc>
          <w:tcPr>
            <w:tcW w:w="2380" w:type="dxa"/>
            <w:vAlign w:val="bottom"/>
          </w:tcPr>
          <w:p>
            <w:pPr>
              <w:jc w:val="right"/>
              <w:ind w:right="204"/>
              <w:spacing w:after="0"/>
              <w:rPr>
                <w:sz w:val="20"/>
                <w:szCs w:val="20"/>
                <w:color w:val="auto"/>
              </w:rPr>
            </w:pPr>
            <w:r>
              <w:rPr>
                <w:rFonts w:ascii="Arial" w:cs="Arial" w:eastAsia="Arial" w:hAnsi="Arial"/>
                <w:sz w:val="14"/>
                <w:szCs w:val="14"/>
                <w:color w:val="00053B"/>
              </w:rPr>
              <w:t>Achievement</w:t>
            </w:r>
          </w:p>
        </w:tc>
        <w:tc>
          <w:tcPr>
            <w:tcW w:w="1360" w:type="dxa"/>
            <w:vAlign w:val="bottom"/>
          </w:tcPr>
          <w:p>
            <w:pPr>
              <w:jc w:val="right"/>
              <w:ind w:right="264"/>
              <w:spacing w:after="0"/>
              <w:rPr>
                <w:sz w:val="20"/>
                <w:szCs w:val="20"/>
                <w:color w:val="auto"/>
              </w:rPr>
            </w:pPr>
            <w:r>
              <w:rPr>
                <w:rFonts w:ascii="Arial" w:cs="Arial" w:eastAsia="Arial" w:hAnsi="Arial"/>
                <w:sz w:val="14"/>
                <w:szCs w:val="14"/>
                <w:color w:val="00053B"/>
              </w:rPr>
              <w:t>Target</w:t>
            </w:r>
          </w:p>
        </w:tc>
        <w:tc>
          <w:tcPr>
            <w:tcW w:w="1380" w:type="dxa"/>
            <w:vAlign w:val="bottom"/>
          </w:tcPr>
          <w:p>
            <w:pPr>
              <w:jc w:val="right"/>
              <w:ind w:right="124"/>
              <w:spacing w:after="0"/>
              <w:rPr>
                <w:sz w:val="20"/>
                <w:szCs w:val="20"/>
                <w:color w:val="auto"/>
              </w:rPr>
            </w:pPr>
            <w:r>
              <w:rPr>
                <w:rFonts w:ascii="Arial" w:cs="Arial" w:eastAsia="Arial" w:hAnsi="Arial"/>
                <w:sz w:val="14"/>
                <w:szCs w:val="14"/>
                <w:color w:val="00053B"/>
              </w:rPr>
              <w:t>Achievement</w:t>
            </w:r>
          </w:p>
        </w:tc>
        <w:tc>
          <w:tcPr>
            <w:tcW w:w="1180" w:type="dxa"/>
            <w:vAlign w:val="bottom"/>
          </w:tcPr>
          <w:p>
            <w:pPr>
              <w:jc w:val="right"/>
              <w:ind w:right="264"/>
              <w:spacing w:after="0"/>
              <w:rPr>
                <w:sz w:val="20"/>
                <w:szCs w:val="20"/>
                <w:color w:val="auto"/>
              </w:rPr>
            </w:pPr>
            <w:r>
              <w:rPr>
                <w:rFonts w:ascii="Arial" w:cs="Arial" w:eastAsia="Arial" w:hAnsi="Arial"/>
                <w:sz w:val="14"/>
                <w:szCs w:val="14"/>
                <w:color w:val="00053B"/>
              </w:rPr>
              <w:t>Payout</w:t>
            </w:r>
          </w:p>
        </w:tc>
        <w:tc>
          <w:tcPr>
            <w:tcW w:w="1320" w:type="dxa"/>
            <w:vAlign w:val="bottom"/>
            <w:vMerge w:val="restart"/>
          </w:tcPr>
          <w:p>
            <w:pPr>
              <w:jc w:val="right"/>
              <w:ind w:right="281"/>
              <w:spacing w:after="0"/>
              <w:rPr>
                <w:sz w:val="20"/>
                <w:szCs w:val="20"/>
                <w:color w:val="auto"/>
              </w:rPr>
            </w:pPr>
            <w:r>
              <w:rPr>
                <w:rFonts w:ascii="Arial" w:cs="Arial" w:eastAsia="Arial" w:hAnsi="Arial"/>
                <w:sz w:val="14"/>
                <w:szCs w:val="14"/>
                <w:color w:val="00053B"/>
              </w:rPr>
              <w:t>Weighting</w:t>
            </w:r>
          </w:p>
        </w:tc>
        <w:tc>
          <w:tcPr>
            <w:tcW w:w="1000" w:type="dxa"/>
            <w:vAlign w:val="bottom"/>
          </w:tcPr>
          <w:p>
            <w:pPr>
              <w:jc w:val="right"/>
              <w:spacing w:after="0"/>
              <w:rPr>
                <w:sz w:val="20"/>
                <w:szCs w:val="20"/>
                <w:color w:val="auto"/>
              </w:rPr>
            </w:pPr>
            <w:r>
              <w:rPr>
                <w:rFonts w:ascii="Arial" w:cs="Arial" w:eastAsia="Arial" w:hAnsi="Arial"/>
                <w:sz w:val="14"/>
                <w:szCs w:val="14"/>
                <w:color w:val="00053B"/>
              </w:rPr>
              <w:t>Weighted</w:t>
            </w:r>
          </w:p>
        </w:tc>
        <w:tc>
          <w:tcPr>
            <w:tcW w:w="0" w:type="dxa"/>
            <w:vAlign w:val="bottom"/>
          </w:tcPr>
          <w:p>
            <w:pPr>
              <w:spacing w:after="0"/>
              <w:rPr>
                <w:sz w:val="1"/>
                <w:szCs w:val="1"/>
                <w:color w:val="auto"/>
              </w:rPr>
            </w:pPr>
          </w:p>
        </w:tc>
      </w:tr>
      <w:tr>
        <w:trPr>
          <w:trHeight w:val="189"/>
        </w:trPr>
        <w:tc>
          <w:tcPr>
            <w:tcW w:w="2620" w:type="dxa"/>
            <w:vAlign w:val="bottom"/>
            <w:tcBorders>
              <w:bottom w:val="single" w:sz="8" w:color="844896"/>
            </w:tcBorders>
          </w:tcPr>
          <w:p>
            <w:pPr>
              <w:spacing w:after="0"/>
              <w:rPr>
                <w:sz w:val="16"/>
                <w:szCs w:val="16"/>
                <w:color w:val="auto"/>
              </w:rPr>
            </w:pPr>
          </w:p>
        </w:tc>
        <w:tc>
          <w:tcPr>
            <w:tcW w:w="2380" w:type="dxa"/>
            <w:vAlign w:val="bottom"/>
            <w:tcBorders>
              <w:bottom w:val="single" w:sz="8" w:color="844896"/>
            </w:tcBorders>
          </w:tcPr>
          <w:p>
            <w:pPr>
              <w:jc w:val="right"/>
              <w:ind w:right="204"/>
              <w:spacing w:after="0"/>
              <w:rPr>
                <w:sz w:val="20"/>
                <w:szCs w:val="20"/>
                <w:color w:val="auto"/>
              </w:rPr>
            </w:pPr>
            <w:r>
              <w:rPr>
                <w:rFonts w:ascii="Arial" w:cs="Arial" w:eastAsia="Arial" w:hAnsi="Arial"/>
                <w:sz w:val="14"/>
                <w:szCs w:val="14"/>
                <w:color w:val="00053B"/>
              </w:rPr>
              <w:t>(in millions)</w:t>
            </w:r>
          </w:p>
        </w:tc>
        <w:tc>
          <w:tcPr>
            <w:tcW w:w="1360" w:type="dxa"/>
            <w:vAlign w:val="bottom"/>
            <w:tcBorders>
              <w:bottom w:val="single" w:sz="8" w:color="844896"/>
            </w:tcBorders>
          </w:tcPr>
          <w:p>
            <w:pPr>
              <w:jc w:val="right"/>
              <w:ind w:right="264"/>
              <w:spacing w:after="0"/>
              <w:rPr>
                <w:sz w:val="20"/>
                <w:szCs w:val="20"/>
                <w:color w:val="auto"/>
              </w:rPr>
            </w:pPr>
            <w:r>
              <w:rPr>
                <w:rFonts w:ascii="Arial" w:cs="Arial" w:eastAsia="Arial" w:hAnsi="Arial"/>
                <w:sz w:val="14"/>
                <w:szCs w:val="14"/>
                <w:color w:val="00053B"/>
              </w:rPr>
              <w:t>(in millions)</w:t>
            </w:r>
          </w:p>
        </w:tc>
        <w:tc>
          <w:tcPr>
            <w:tcW w:w="1380" w:type="dxa"/>
            <w:vAlign w:val="bottom"/>
            <w:tcBorders>
              <w:bottom w:val="single" w:sz="8" w:color="844896"/>
            </w:tcBorders>
          </w:tcPr>
          <w:p>
            <w:pPr>
              <w:jc w:val="right"/>
              <w:ind w:right="124"/>
              <w:spacing w:after="0"/>
              <w:rPr>
                <w:sz w:val="20"/>
                <w:szCs w:val="20"/>
                <w:color w:val="auto"/>
              </w:rPr>
            </w:pPr>
            <w:r>
              <w:rPr>
                <w:rFonts w:ascii="Arial" w:cs="Arial" w:eastAsia="Arial" w:hAnsi="Arial"/>
                <w:sz w:val="14"/>
                <w:szCs w:val="14"/>
                <w:color w:val="00053B"/>
              </w:rPr>
              <w:t>vs. Target</w:t>
            </w:r>
          </w:p>
        </w:tc>
        <w:tc>
          <w:tcPr>
            <w:tcW w:w="1180" w:type="dxa"/>
            <w:vAlign w:val="bottom"/>
            <w:tcBorders>
              <w:bottom w:val="single" w:sz="8" w:color="844896"/>
            </w:tcBorders>
          </w:tcPr>
          <w:p>
            <w:pPr>
              <w:jc w:val="right"/>
              <w:ind w:right="264"/>
              <w:spacing w:after="0"/>
              <w:rPr>
                <w:sz w:val="20"/>
                <w:szCs w:val="20"/>
                <w:color w:val="auto"/>
              </w:rPr>
            </w:pPr>
            <w:r>
              <w:rPr>
                <w:rFonts w:ascii="Arial" w:cs="Arial" w:eastAsia="Arial" w:hAnsi="Arial"/>
                <w:sz w:val="14"/>
                <w:szCs w:val="14"/>
                <w:color w:val="00053B"/>
              </w:rPr>
              <w:t>Factor</w:t>
            </w:r>
          </w:p>
        </w:tc>
        <w:tc>
          <w:tcPr>
            <w:tcW w:w="1320" w:type="dxa"/>
            <w:vAlign w:val="bottom"/>
            <w:tcBorders>
              <w:bottom w:val="single" w:sz="8" w:color="844896"/>
            </w:tcBorders>
            <w:vMerge w:val="continue"/>
          </w:tcPr>
          <w:p>
            <w:pPr>
              <w:spacing w:after="0"/>
              <w:rPr>
                <w:sz w:val="16"/>
                <w:szCs w:val="16"/>
                <w:color w:val="auto"/>
              </w:rPr>
            </w:pPr>
          </w:p>
        </w:tc>
        <w:tc>
          <w:tcPr>
            <w:tcW w:w="1000" w:type="dxa"/>
            <w:vAlign w:val="bottom"/>
            <w:tcBorders>
              <w:bottom w:val="single" w:sz="8" w:color="844896"/>
            </w:tcBorders>
          </w:tcPr>
          <w:p>
            <w:pPr>
              <w:jc w:val="right"/>
              <w:spacing w:after="0"/>
              <w:rPr>
                <w:sz w:val="20"/>
                <w:szCs w:val="20"/>
                <w:color w:val="auto"/>
              </w:rPr>
            </w:pPr>
            <w:r>
              <w:rPr>
                <w:rFonts w:ascii="Arial" w:cs="Arial" w:eastAsia="Arial" w:hAnsi="Arial"/>
                <w:sz w:val="14"/>
                <w:szCs w:val="14"/>
                <w:color w:val="00053B"/>
              </w:rPr>
              <w:t>Payout</w:t>
            </w:r>
          </w:p>
        </w:tc>
        <w:tc>
          <w:tcPr>
            <w:tcW w:w="0" w:type="dxa"/>
            <w:vAlign w:val="bottom"/>
          </w:tcPr>
          <w:p>
            <w:pPr>
              <w:spacing w:after="0"/>
              <w:rPr>
                <w:sz w:val="1"/>
                <w:szCs w:val="1"/>
                <w:color w:val="auto"/>
              </w:rPr>
            </w:pPr>
          </w:p>
        </w:tc>
      </w:tr>
      <w:tr>
        <w:trPr>
          <w:trHeight w:val="209"/>
        </w:trPr>
        <w:tc>
          <w:tcPr>
            <w:tcW w:w="262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Annual Revenue</w:t>
            </w:r>
          </w:p>
        </w:tc>
        <w:tc>
          <w:tcPr>
            <w:tcW w:w="2380" w:type="dxa"/>
            <w:vAlign w:val="bottom"/>
            <w:shd w:val="clear" w:color="auto" w:fill="EAEAEA"/>
          </w:tcPr>
          <w:p>
            <w:pPr>
              <w:jc w:val="right"/>
              <w:ind w:right="284"/>
              <w:spacing w:after="0"/>
              <w:rPr>
                <w:sz w:val="20"/>
                <w:szCs w:val="20"/>
                <w:color w:val="auto"/>
              </w:rPr>
            </w:pPr>
            <w:r>
              <w:rPr>
                <w:rFonts w:ascii="Arial" w:cs="Arial" w:eastAsia="Arial" w:hAnsi="Arial"/>
                <w:sz w:val="16"/>
                <w:szCs w:val="16"/>
                <w:color w:val="00053B"/>
              </w:rPr>
              <w:t>$839</w:t>
            </w:r>
          </w:p>
        </w:tc>
        <w:tc>
          <w:tcPr>
            <w:tcW w:w="1360" w:type="dxa"/>
            <w:vAlign w:val="bottom"/>
            <w:shd w:val="clear" w:color="auto" w:fill="EAEAEA"/>
          </w:tcPr>
          <w:p>
            <w:pPr>
              <w:jc w:val="right"/>
              <w:ind w:right="364"/>
              <w:spacing w:after="0"/>
              <w:rPr>
                <w:sz w:val="20"/>
                <w:szCs w:val="20"/>
                <w:color w:val="auto"/>
              </w:rPr>
            </w:pPr>
            <w:r>
              <w:rPr>
                <w:rFonts w:ascii="Arial" w:cs="Arial" w:eastAsia="Arial" w:hAnsi="Arial"/>
                <w:sz w:val="16"/>
                <w:szCs w:val="16"/>
                <w:color w:val="00053B"/>
              </w:rPr>
              <w:t>$843</w:t>
            </w:r>
          </w:p>
        </w:tc>
        <w:tc>
          <w:tcPr>
            <w:tcW w:w="1380" w:type="dxa"/>
            <w:vAlign w:val="bottom"/>
            <w:shd w:val="clear" w:color="auto" w:fill="EAEAEA"/>
          </w:tcPr>
          <w:p>
            <w:pPr>
              <w:jc w:val="right"/>
              <w:ind w:right="204"/>
              <w:spacing w:after="0"/>
              <w:rPr>
                <w:sz w:val="20"/>
                <w:szCs w:val="20"/>
                <w:color w:val="auto"/>
              </w:rPr>
            </w:pPr>
            <w:r>
              <w:rPr>
                <w:rFonts w:ascii="Arial" w:cs="Arial" w:eastAsia="Arial" w:hAnsi="Arial"/>
                <w:sz w:val="16"/>
                <w:szCs w:val="16"/>
                <w:color w:val="00053B"/>
              </w:rPr>
              <w:t>99.5%</w:t>
            </w:r>
          </w:p>
        </w:tc>
        <w:tc>
          <w:tcPr>
            <w:tcW w:w="1180" w:type="dxa"/>
            <w:vAlign w:val="bottom"/>
            <w:shd w:val="clear" w:color="auto" w:fill="EAEAEA"/>
          </w:tcPr>
          <w:p>
            <w:pPr>
              <w:jc w:val="right"/>
              <w:ind w:right="344"/>
              <w:spacing w:after="0"/>
              <w:rPr>
                <w:sz w:val="20"/>
                <w:szCs w:val="20"/>
                <w:color w:val="auto"/>
              </w:rPr>
            </w:pPr>
            <w:r>
              <w:rPr>
                <w:rFonts w:ascii="Arial" w:cs="Arial" w:eastAsia="Arial" w:hAnsi="Arial"/>
                <w:sz w:val="16"/>
                <w:szCs w:val="16"/>
                <w:color w:val="00053B"/>
              </w:rPr>
              <w:t>97.1%</w:t>
            </w:r>
          </w:p>
        </w:tc>
        <w:tc>
          <w:tcPr>
            <w:tcW w:w="1320" w:type="dxa"/>
            <w:vAlign w:val="bottom"/>
            <w:shd w:val="clear" w:color="auto" w:fill="EAEAEA"/>
          </w:tcPr>
          <w:p>
            <w:pPr>
              <w:jc w:val="right"/>
              <w:ind w:right="361"/>
              <w:spacing w:after="0"/>
              <w:rPr>
                <w:sz w:val="20"/>
                <w:szCs w:val="20"/>
                <w:color w:val="auto"/>
              </w:rPr>
            </w:pPr>
            <w:r>
              <w:rPr>
                <w:rFonts w:ascii="Arial" w:cs="Arial" w:eastAsia="Arial" w:hAnsi="Arial"/>
                <w:sz w:val="16"/>
                <w:szCs w:val="16"/>
                <w:color w:val="00053B"/>
              </w:rPr>
              <w:t>60.0%</w:t>
            </w:r>
          </w:p>
        </w:tc>
        <w:tc>
          <w:tcPr>
            <w:tcW w:w="1000" w:type="dxa"/>
            <w:vAlign w:val="bottom"/>
            <w:shd w:val="clear" w:color="auto" w:fill="EAEAEA"/>
          </w:tcPr>
          <w:p>
            <w:pPr>
              <w:jc w:val="right"/>
              <w:ind w:right="23"/>
              <w:spacing w:after="0"/>
              <w:rPr>
                <w:sz w:val="20"/>
                <w:szCs w:val="20"/>
                <w:color w:val="auto"/>
              </w:rPr>
            </w:pPr>
            <w:r>
              <w:rPr>
                <w:rFonts w:ascii="Arial" w:cs="Arial" w:eastAsia="Arial" w:hAnsi="Arial"/>
                <w:sz w:val="16"/>
                <w:szCs w:val="16"/>
                <w:color w:val="00053B"/>
              </w:rPr>
              <w:t>58.4%</w:t>
            </w:r>
          </w:p>
        </w:tc>
        <w:tc>
          <w:tcPr>
            <w:tcW w:w="0" w:type="dxa"/>
            <w:vAlign w:val="bottom"/>
          </w:tcPr>
          <w:p>
            <w:pPr>
              <w:spacing w:after="0"/>
              <w:rPr>
                <w:sz w:val="1"/>
                <w:szCs w:val="1"/>
                <w:color w:val="auto"/>
              </w:rPr>
            </w:pPr>
          </w:p>
        </w:tc>
      </w:tr>
      <w:tr>
        <w:trPr>
          <w:trHeight w:val="215"/>
        </w:trPr>
        <w:tc>
          <w:tcPr>
            <w:tcW w:w="2620" w:type="dxa"/>
            <w:vAlign w:val="bottom"/>
          </w:tcPr>
          <w:p>
            <w:pPr>
              <w:ind w:left="120"/>
              <w:spacing w:after="0"/>
              <w:rPr>
                <w:sz w:val="20"/>
                <w:szCs w:val="20"/>
                <w:color w:val="auto"/>
              </w:rPr>
            </w:pPr>
            <w:r>
              <w:rPr>
                <w:rFonts w:ascii="Arial" w:cs="Arial" w:eastAsia="Arial" w:hAnsi="Arial"/>
                <w:sz w:val="16"/>
                <w:szCs w:val="16"/>
                <w:color w:val="00053B"/>
              </w:rPr>
              <w:t>Non-GAAP EBIT</w:t>
            </w:r>
          </w:p>
        </w:tc>
        <w:tc>
          <w:tcPr>
            <w:tcW w:w="2380" w:type="dxa"/>
            <w:vAlign w:val="bottom"/>
          </w:tcPr>
          <w:p>
            <w:pPr>
              <w:jc w:val="right"/>
              <w:ind w:right="284"/>
              <w:spacing w:after="0"/>
              <w:rPr>
                <w:sz w:val="20"/>
                <w:szCs w:val="20"/>
                <w:color w:val="auto"/>
              </w:rPr>
            </w:pPr>
            <w:r>
              <w:rPr>
                <w:rFonts w:ascii="Arial" w:cs="Arial" w:eastAsia="Arial" w:hAnsi="Arial"/>
                <w:sz w:val="16"/>
                <w:szCs w:val="16"/>
                <w:color w:val="00053B"/>
              </w:rPr>
              <w:t>$177</w:t>
            </w:r>
          </w:p>
        </w:tc>
        <w:tc>
          <w:tcPr>
            <w:tcW w:w="1360" w:type="dxa"/>
            <w:vAlign w:val="bottom"/>
          </w:tcPr>
          <w:p>
            <w:pPr>
              <w:jc w:val="right"/>
              <w:ind w:right="364"/>
              <w:spacing w:after="0"/>
              <w:rPr>
                <w:sz w:val="20"/>
                <w:szCs w:val="20"/>
                <w:color w:val="auto"/>
              </w:rPr>
            </w:pPr>
            <w:r>
              <w:rPr>
                <w:rFonts w:ascii="Arial" w:cs="Arial" w:eastAsia="Arial" w:hAnsi="Arial"/>
                <w:sz w:val="16"/>
                <w:szCs w:val="16"/>
                <w:color w:val="00053B"/>
              </w:rPr>
              <w:t>$174</w:t>
            </w:r>
          </w:p>
        </w:tc>
        <w:tc>
          <w:tcPr>
            <w:tcW w:w="1380" w:type="dxa"/>
            <w:vAlign w:val="bottom"/>
          </w:tcPr>
          <w:p>
            <w:pPr>
              <w:jc w:val="right"/>
              <w:ind w:right="204"/>
              <w:spacing w:after="0"/>
              <w:rPr>
                <w:sz w:val="20"/>
                <w:szCs w:val="20"/>
                <w:color w:val="auto"/>
              </w:rPr>
            </w:pPr>
            <w:r>
              <w:rPr>
                <w:rFonts w:ascii="Arial" w:cs="Arial" w:eastAsia="Arial" w:hAnsi="Arial"/>
                <w:sz w:val="16"/>
                <w:szCs w:val="16"/>
                <w:color w:val="00053B"/>
              </w:rPr>
              <w:t>102.1%</w:t>
            </w:r>
          </w:p>
        </w:tc>
        <w:tc>
          <w:tcPr>
            <w:tcW w:w="1180" w:type="dxa"/>
            <w:vAlign w:val="bottom"/>
          </w:tcPr>
          <w:p>
            <w:pPr>
              <w:jc w:val="right"/>
              <w:ind w:right="344"/>
              <w:spacing w:after="0"/>
              <w:rPr>
                <w:sz w:val="20"/>
                <w:szCs w:val="20"/>
                <w:color w:val="auto"/>
              </w:rPr>
            </w:pPr>
            <w:r>
              <w:rPr>
                <w:rFonts w:ascii="Arial" w:cs="Arial" w:eastAsia="Arial" w:hAnsi="Arial"/>
                <w:sz w:val="16"/>
                <w:szCs w:val="16"/>
                <w:color w:val="00053B"/>
              </w:rPr>
              <w:t>126.3%</w:t>
            </w:r>
          </w:p>
        </w:tc>
        <w:tc>
          <w:tcPr>
            <w:tcW w:w="1320" w:type="dxa"/>
            <w:vAlign w:val="bottom"/>
          </w:tcPr>
          <w:p>
            <w:pPr>
              <w:jc w:val="right"/>
              <w:ind w:right="361"/>
              <w:spacing w:after="0"/>
              <w:rPr>
                <w:sz w:val="20"/>
                <w:szCs w:val="20"/>
                <w:color w:val="auto"/>
              </w:rPr>
            </w:pPr>
            <w:r>
              <w:rPr>
                <w:rFonts w:ascii="Arial" w:cs="Arial" w:eastAsia="Arial" w:hAnsi="Arial"/>
                <w:sz w:val="16"/>
                <w:szCs w:val="16"/>
                <w:color w:val="00053B"/>
              </w:rPr>
              <w:t>40.0%</w:t>
            </w:r>
          </w:p>
        </w:tc>
        <w:tc>
          <w:tcPr>
            <w:tcW w:w="1000" w:type="dxa"/>
            <w:vAlign w:val="bottom"/>
          </w:tcPr>
          <w:p>
            <w:pPr>
              <w:jc w:val="right"/>
              <w:ind w:right="23"/>
              <w:spacing w:after="0"/>
              <w:rPr>
                <w:sz w:val="20"/>
                <w:szCs w:val="20"/>
                <w:color w:val="auto"/>
              </w:rPr>
            </w:pPr>
            <w:r>
              <w:rPr>
                <w:rFonts w:ascii="Arial" w:cs="Arial" w:eastAsia="Arial" w:hAnsi="Arial"/>
                <w:sz w:val="16"/>
                <w:szCs w:val="16"/>
                <w:color w:val="00053B"/>
              </w:rPr>
              <w:t>50.6%</w:t>
            </w:r>
          </w:p>
        </w:tc>
        <w:tc>
          <w:tcPr>
            <w:tcW w:w="0" w:type="dxa"/>
            <w:vAlign w:val="bottom"/>
          </w:tcPr>
          <w:p>
            <w:pPr>
              <w:spacing w:after="0"/>
              <w:rPr>
                <w:sz w:val="1"/>
                <w:szCs w:val="1"/>
                <w:color w:val="auto"/>
              </w:rPr>
            </w:pPr>
          </w:p>
        </w:tc>
      </w:tr>
      <w:tr>
        <w:trPr>
          <w:trHeight w:val="217"/>
        </w:trPr>
        <w:tc>
          <w:tcPr>
            <w:tcW w:w="262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Total</w:t>
            </w:r>
          </w:p>
        </w:tc>
        <w:tc>
          <w:tcPr>
            <w:tcW w:w="2380" w:type="dxa"/>
            <w:vAlign w:val="bottom"/>
            <w:shd w:val="clear" w:color="auto" w:fill="EAEAEA"/>
          </w:tcPr>
          <w:p>
            <w:pPr>
              <w:spacing w:after="0"/>
              <w:rPr>
                <w:sz w:val="18"/>
                <w:szCs w:val="18"/>
                <w:color w:val="auto"/>
              </w:rPr>
            </w:pPr>
          </w:p>
        </w:tc>
        <w:tc>
          <w:tcPr>
            <w:tcW w:w="1360" w:type="dxa"/>
            <w:vAlign w:val="bottom"/>
            <w:shd w:val="clear" w:color="auto" w:fill="EAEAEA"/>
          </w:tcPr>
          <w:p>
            <w:pPr>
              <w:spacing w:after="0"/>
              <w:rPr>
                <w:sz w:val="18"/>
                <w:szCs w:val="18"/>
                <w:color w:val="auto"/>
              </w:rPr>
            </w:pPr>
          </w:p>
        </w:tc>
        <w:tc>
          <w:tcPr>
            <w:tcW w:w="1380" w:type="dxa"/>
            <w:vAlign w:val="bottom"/>
            <w:shd w:val="clear" w:color="auto" w:fill="EAEAEA"/>
          </w:tcPr>
          <w:p>
            <w:pPr>
              <w:spacing w:after="0"/>
              <w:rPr>
                <w:sz w:val="18"/>
                <w:szCs w:val="18"/>
                <w:color w:val="auto"/>
              </w:rPr>
            </w:pPr>
          </w:p>
        </w:tc>
        <w:tc>
          <w:tcPr>
            <w:tcW w:w="1180" w:type="dxa"/>
            <w:vAlign w:val="bottom"/>
            <w:shd w:val="clear" w:color="auto" w:fill="EAEAEA"/>
          </w:tcPr>
          <w:p>
            <w:pPr>
              <w:spacing w:after="0"/>
              <w:rPr>
                <w:sz w:val="18"/>
                <w:szCs w:val="18"/>
                <w:color w:val="auto"/>
              </w:rPr>
            </w:pPr>
          </w:p>
        </w:tc>
        <w:tc>
          <w:tcPr>
            <w:tcW w:w="1320" w:type="dxa"/>
            <w:vAlign w:val="bottom"/>
            <w:shd w:val="clear" w:color="auto" w:fill="EAEAEA"/>
          </w:tcPr>
          <w:p>
            <w:pPr>
              <w:jc w:val="right"/>
              <w:ind w:right="361"/>
              <w:spacing w:after="0"/>
              <w:rPr>
                <w:sz w:val="20"/>
                <w:szCs w:val="20"/>
                <w:color w:val="auto"/>
              </w:rPr>
            </w:pPr>
            <w:r>
              <w:rPr>
                <w:rFonts w:ascii="Arial" w:cs="Arial" w:eastAsia="Arial" w:hAnsi="Arial"/>
                <w:sz w:val="16"/>
                <w:szCs w:val="16"/>
                <w:color w:val="00053B"/>
              </w:rPr>
              <w:t>100.0%</w:t>
            </w:r>
          </w:p>
        </w:tc>
        <w:tc>
          <w:tcPr>
            <w:tcW w:w="1000" w:type="dxa"/>
            <w:vAlign w:val="bottom"/>
            <w:shd w:val="clear" w:color="auto" w:fill="EAEAEA"/>
          </w:tcPr>
          <w:p>
            <w:pPr>
              <w:jc w:val="right"/>
              <w:ind w:right="23"/>
              <w:spacing w:after="0"/>
              <w:rPr>
                <w:sz w:val="20"/>
                <w:szCs w:val="20"/>
                <w:color w:val="auto"/>
              </w:rPr>
            </w:pPr>
            <w:r>
              <w:rPr>
                <w:rFonts w:ascii="Arial" w:cs="Arial" w:eastAsia="Arial" w:hAnsi="Arial"/>
                <w:sz w:val="16"/>
                <w:szCs w:val="16"/>
                <w:color w:val="00053B"/>
              </w:rPr>
              <w:t>109.0%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35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15175" cy="1028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CD&amp;A | </w:t>
      </w:r>
      <w:r>
        <w:rPr>
          <w:rFonts w:ascii="Arial" w:cs="Arial" w:eastAsia="Arial" w:hAnsi="Arial"/>
          <w:sz w:val="11"/>
          <w:szCs w:val="11"/>
          <w:b w:val="1"/>
          <w:bCs w:val="1"/>
          <w:color w:val="00053B"/>
        </w:rPr>
        <w:t>FISCAL YEAR 2024 COMPENSATION DECISIONS</w:t>
      </w:r>
    </w:p>
    <w:p>
      <w:pPr>
        <w:spacing w:after="0" w:line="251"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00053B"/>
        </w:rPr>
        <w:t>No individual performance multiplier was applied to the earned bonus for our named executive officers. As a result, the named executive officers received the annual incentive bonuses shown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800" w:type="dxa"/>
            <w:vAlign w:val="bottom"/>
          </w:tcPr>
          <w:p>
            <w:pPr>
              <w:jc w:val="right"/>
              <w:ind w:right="263"/>
              <w:spacing w:after="0"/>
              <w:rPr>
                <w:sz w:val="20"/>
                <w:szCs w:val="20"/>
                <w:color w:val="auto"/>
              </w:rPr>
            </w:pPr>
            <w:r>
              <w:rPr>
                <w:rFonts w:ascii="Arial" w:cs="Arial" w:eastAsia="Arial" w:hAnsi="Arial"/>
                <w:sz w:val="14"/>
                <w:szCs w:val="14"/>
                <w:color w:val="00053B"/>
              </w:rPr>
              <w:t>Target Annual Cash</w:t>
            </w:r>
          </w:p>
        </w:tc>
        <w:tc>
          <w:tcPr>
            <w:tcW w:w="2180" w:type="dxa"/>
            <w:vAlign w:val="bottom"/>
          </w:tcPr>
          <w:p>
            <w:pPr>
              <w:jc w:val="right"/>
              <w:ind w:right="223"/>
              <w:spacing w:after="0"/>
              <w:rPr>
                <w:sz w:val="20"/>
                <w:szCs w:val="20"/>
                <w:color w:val="auto"/>
              </w:rPr>
            </w:pPr>
            <w:r>
              <w:rPr>
                <w:rFonts w:ascii="Arial" w:cs="Arial" w:eastAsia="Arial" w:hAnsi="Arial"/>
                <w:sz w:val="14"/>
                <w:szCs w:val="14"/>
                <w:color w:val="00053B"/>
              </w:rPr>
              <w:t>Percentage of Target</w:t>
            </w:r>
          </w:p>
        </w:tc>
        <w:tc>
          <w:tcPr>
            <w:tcW w:w="1400" w:type="dxa"/>
            <w:vAlign w:val="bottom"/>
          </w:tcPr>
          <w:p>
            <w:pPr>
              <w:jc w:val="right"/>
              <w:spacing w:after="0"/>
              <w:rPr>
                <w:sz w:val="20"/>
                <w:szCs w:val="20"/>
                <w:color w:val="auto"/>
              </w:rPr>
            </w:pPr>
            <w:r>
              <w:rPr>
                <w:rFonts w:ascii="Arial" w:cs="Arial" w:eastAsia="Arial" w:hAnsi="Arial"/>
                <w:sz w:val="14"/>
                <w:szCs w:val="14"/>
                <w:color w:val="00053B"/>
              </w:rPr>
              <w:t>Actual Annual</w:t>
            </w:r>
          </w:p>
        </w:tc>
      </w:tr>
      <w:tr>
        <w:trPr>
          <w:trHeight w:val="185"/>
        </w:trPr>
        <w:tc>
          <w:tcPr>
            <w:tcW w:w="3860" w:type="dxa"/>
            <w:vAlign w:val="bottom"/>
            <w:tcBorders>
              <w:bottom w:val="single" w:sz="8" w:color="844896"/>
            </w:tcBorders>
          </w:tcPr>
          <w:p>
            <w:pPr>
              <w:spacing w:after="0"/>
              <w:rPr>
                <w:sz w:val="16"/>
                <w:szCs w:val="16"/>
                <w:color w:val="auto"/>
              </w:rPr>
            </w:pPr>
          </w:p>
        </w:tc>
        <w:tc>
          <w:tcPr>
            <w:tcW w:w="3800" w:type="dxa"/>
            <w:vAlign w:val="bottom"/>
            <w:tcBorders>
              <w:bottom w:val="single" w:sz="8" w:color="844896"/>
            </w:tcBorders>
          </w:tcPr>
          <w:p>
            <w:pPr>
              <w:jc w:val="right"/>
              <w:ind w:right="263"/>
              <w:spacing w:after="0"/>
              <w:rPr>
                <w:sz w:val="20"/>
                <w:szCs w:val="20"/>
                <w:color w:val="auto"/>
              </w:rPr>
            </w:pPr>
            <w:r>
              <w:rPr>
                <w:rFonts w:ascii="Arial" w:cs="Arial" w:eastAsia="Arial" w:hAnsi="Arial"/>
                <w:sz w:val="14"/>
                <w:szCs w:val="14"/>
                <w:color w:val="00053B"/>
              </w:rPr>
              <w:t>Incentive Opportunity</w:t>
            </w:r>
          </w:p>
        </w:tc>
        <w:tc>
          <w:tcPr>
            <w:tcW w:w="2180" w:type="dxa"/>
            <w:vAlign w:val="bottom"/>
            <w:tcBorders>
              <w:bottom w:val="single" w:sz="8" w:color="844896"/>
            </w:tcBorders>
          </w:tcPr>
          <w:p>
            <w:pPr>
              <w:jc w:val="right"/>
              <w:ind w:right="223"/>
              <w:spacing w:after="0"/>
              <w:rPr>
                <w:sz w:val="20"/>
                <w:szCs w:val="20"/>
                <w:color w:val="auto"/>
              </w:rPr>
            </w:pPr>
            <w:r>
              <w:rPr>
                <w:rFonts w:ascii="Arial" w:cs="Arial" w:eastAsia="Arial" w:hAnsi="Arial"/>
                <w:sz w:val="14"/>
                <w:szCs w:val="14"/>
                <w:color w:val="00053B"/>
              </w:rPr>
              <w:t>Annual Incentive Earned</w:t>
            </w:r>
          </w:p>
        </w:tc>
        <w:tc>
          <w:tcPr>
            <w:tcW w:w="1400" w:type="dxa"/>
            <w:vAlign w:val="bottom"/>
            <w:tcBorders>
              <w:bottom w:val="single" w:sz="8" w:color="844896"/>
            </w:tcBorders>
          </w:tcPr>
          <w:p>
            <w:pPr>
              <w:jc w:val="right"/>
              <w:spacing w:after="0"/>
              <w:rPr>
                <w:sz w:val="20"/>
                <w:szCs w:val="20"/>
                <w:color w:val="auto"/>
              </w:rPr>
            </w:pPr>
            <w:r>
              <w:rPr>
                <w:rFonts w:ascii="Arial" w:cs="Arial" w:eastAsia="Arial" w:hAnsi="Arial"/>
                <w:sz w:val="14"/>
                <w:szCs w:val="14"/>
                <w:color w:val="00053B"/>
              </w:rPr>
              <w:t>Incentive Earned</w:t>
            </w:r>
          </w:p>
        </w:tc>
      </w:tr>
      <w:tr>
        <w:trPr>
          <w:trHeight w:val="210"/>
        </w:trPr>
        <w:tc>
          <w:tcPr>
            <w:tcW w:w="3860" w:type="dxa"/>
            <w:vAlign w:val="bottom"/>
            <w:shd w:val="clear" w:color="auto" w:fill="EAEAEA"/>
          </w:tcPr>
          <w:p>
            <w:pPr>
              <w:ind w:left="120"/>
              <w:spacing w:after="0"/>
              <w:rPr>
                <w:sz w:val="20"/>
                <w:szCs w:val="20"/>
                <w:color w:val="auto"/>
              </w:rPr>
            </w:pPr>
            <w:r>
              <w:rPr>
                <w:rFonts w:ascii="Arial" w:cs="Arial" w:eastAsia="Arial" w:hAnsi="Arial"/>
                <w:sz w:val="16"/>
                <w:szCs w:val="16"/>
                <w:b w:val="1"/>
                <w:bCs w:val="1"/>
                <w:color w:val="00053B"/>
              </w:rPr>
              <w:t>Sanjay Mirchandani</w:t>
            </w:r>
          </w:p>
        </w:tc>
        <w:tc>
          <w:tcPr>
            <w:tcW w:w="3800" w:type="dxa"/>
            <w:vAlign w:val="bottom"/>
            <w:shd w:val="clear" w:color="auto" w:fill="EAEAEA"/>
          </w:tcPr>
          <w:p>
            <w:pPr>
              <w:jc w:val="right"/>
              <w:ind w:right="343"/>
              <w:spacing w:after="0"/>
              <w:rPr>
                <w:sz w:val="20"/>
                <w:szCs w:val="20"/>
                <w:color w:val="auto"/>
              </w:rPr>
            </w:pPr>
            <w:r>
              <w:rPr>
                <w:rFonts w:ascii="Arial" w:cs="Arial" w:eastAsia="Arial" w:hAnsi="Arial"/>
                <w:sz w:val="16"/>
                <w:szCs w:val="16"/>
                <w:color w:val="00053B"/>
              </w:rPr>
              <w:t>$645,000</w:t>
            </w:r>
          </w:p>
        </w:tc>
        <w:tc>
          <w:tcPr>
            <w:tcW w:w="2180" w:type="dxa"/>
            <w:vAlign w:val="bottom"/>
            <w:shd w:val="clear" w:color="auto" w:fill="EAEAEA"/>
          </w:tcPr>
          <w:p>
            <w:pPr>
              <w:jc w:val="right"/>
              <w:ind w:right="303"/>
              <w:spacing w:after="0"/>
              <w:rPr>
                <w:sz w:val="20"/>
                <w:szCs w:val="20"/>
                <w:color w:val="auto"/>
              </w:rPr>
            </w:pPr>
            <w:r>
              <w:rPr>
                <w:rFonts w:ascii="Arial" w:cs="Arial" w:eastAsia="Arial" w:hAnsi="Arial"/>
                <w:sz w:val="16"/>
                <w:szCs w:val="16"/>
                <w:color w:val="00053B"/>
              </w:rPr>
              <w:t>109.0%</w:t>
            </w:r>
          </w:p>
        </w:tc>
        <w:tc>
          <w:tcPr>
            <w:tcW w:w="1400" w:type="dxa"/>
            <w:vAlign w:val="bottom"/>
            <w:shd w:val="clear" w:color="auto" w:fill="EAEAEA"/>
          </w:tcPr>
          <w:p>
            <w:pPr>
              <w:jc w:val="right"/>
              <w:ind w:right="23"/>
              <w:spacing w:after="0"/>
              <w:rPr>
                <w:sz w:val="20"/>
                <w:szCs w:val="20"/>
                <w:color w:val="auto"/>
              </w:rPr>
            </w:pPr>
            <w:r>
              <w:rPr>
                <w:rFonts w:ascii="Arial" w:cs="Arial" w:eastAsia="Arial" w:hAnsi="Arial"/>
                <w:sz w:val="16"/>
                <w:szCs w:val="16"/>
                <w:color w:val="00053B"/>
              </w:rPr>
              <w:t>$703,050</w:t>
            </w:r>
          </w:p>
        </w:tc>
      </w:tr>
      <w:tr>
        <w:trPr>
          <w:trHeight w:val="216"/>
        </w:trPr>
        <w:tc>
          <w:tcPr>
            <w:tcW w:w="3860" w:type="dxa"/>
            <w:vAlign w:val="bottom"/>
          </w:tcPr>
          <w:p>
            <w:pPr>
              <w:ind w:left="120"/>
              <w:spacing w:after="0"/>
              <w:rPr>
                <w:sz w:val="20"/>
                <w:szCs w:val="20"/>
                <w:color w:val="auto"/>
              </w:rPr>
            </w:pPr>
            <w:r>
              <w:rPr>
                <w:rFonts w:ascii="Arial" w:cs="Arial" w:eastAsia="Arial" w:hAnsi="Arial"/>
                <w:sz w:val="16"/>
                <w:szCs w:val="16"/>
                <w:b w:val="1"/>
                <w:bCs w:val="1"/>
                <w:color w:val="00053B"/>
              </w:rPr>
              <w:t>Gary Merrill</w:t>
            </w:r>
          </w:p>
        </w:tc>
        <w:tc>
          <w:tcPr>
            <w:tcW w:w="3800" w:type="dxa"/>
            <w:vAlign w:val="bottom"/>
          </w:tcPr>
          <w:p>
            <w:pPr>
              <w:jc w:val="right"/>
              <w:ind w:right="343"/>
              <w:spacing w:after="0"/>
              <w:rPr>
                <w:sz w:val="20"/>
                <w:szCs w:val="20"/>
                <w:color w:val="auto"/>
              </w:rPr>
            </w:pPr>
            <w:r>
              <w:rPr>
                <w:rFonts w:ascii="Arial" w:cs="Arial" w:eastAsia="Arial" w:hAnsi="Arial"/>
                <w:sz w:val="16"/>
                <w:szCs w:val="16"/>
                <w:color w:val="00053B"/>
              </w:rPr>
              <w:t>$315,700</w:t>
            </w:r>
          </w:p>
        </w:tc>
        <w:tc>
          <w:tcPr>
            <w:tcW w:w="2180" w:type="dxa"/>
            <w:vAlign w:val="bottom"/>
          </w:tcPr>
          <w:p>
            <w:pPr>
              <w:jc w:val="right"/>
              <w:ind w:right="303"/>
              <w:spacing w:after="0"/>
              <w:rPr>
                <w:sz w:val="20"/>
                <w:szCs w:val="20"/>
                <w:color w:val="auto"/>
              </w:rPr>
            </w:pPr>
            <w:r>
              <w:rPr>
                <w:rFonts w:ascii="Arial" w:cs="Arial" w:eastAsia="Arial" w:hAnsi="Arial"/>
                <w:sz w:val="16"/>
                <w:szCs w:val="16"/>
                <w:color w:val="00053B"/>
              </w:rPr>
              <w:t>109.0%</w:t>
            </w:r>
          </w:p>
        </w:tc>
        <w:tc>
          <w:tcPr>
            <w:tcW w:w="1400" w:type="dxa"/>
            <w:vAlign w:val="bottom"/>
          </w:tcPr>
          <w:p>
            <w:pPr>
              <w:jc w:val="right"/>
              <w:ind w:right="23"/>
              <w:spacing w:after="0"/>
              <w:rPr>
                <w:sz w:val="20"/>
                <w:szCs w:val="20"/>
                <w:color w:val="auto"/>
              </w:rPr>
            </w:pPr>
            <w:r>
              <w:rPr>
                <w:rFonts w:ascii="Arial" w:cs="Arial" w:eastAsia="Arial" w:hAnsi="Arial"/>
                <w:sz w:val="16"/>
                <w:szCs w:val="16"/>
                <w:color w:val="00053B"/>
              </w:rPr>
              <w:t>$344,113</w:t>
            </w:r>
          </w:p>
        </w:tc>
      </w:tr>
      <w:tr>
        <w:trPr>
          <w:trHeight w:val="216"/>
        </w:trPr>
        <w:tc>
          <w:tcPr>
            <w:tcW w:w="3860" w:type="dxa"/>
            <w:vAlign w:val="bottom"/>
            <w:shd w:val="clear" w:color="auto" w:fill="EAEAEA"/>
          </w:tcPr>
          <w:p>
            <w:pPr>
              <w:ind w:left="120"/>
              <w:spacing w:after="0"/>
              <w:rPr>
                <w:sz w:val="20"/>
                <w:szCs w:val="20"/>
                <w:color w:val="auto"/>
              </w:rPr>
            </w:pPr>
            <w:r>
              <w:rPr>
                <w:rFonts w:ascii="Arial" w:cs="Arial" w:eastAsia="Arial" w:hAnsi="Arial"/>
                <w:sz w:val="16"/>
                <w:szCs w:val="16"/>
                <w:b w:val="1"/>
                <w:bCs w:val="1"/>
                <w:color w:val="00053B"/>
              </w:rPr>
              <w:t>Riccardo Di Blasio(1)</w:t>
            </w:r>
          </w:p>
        </w:tc>
        <w:tc>
          <w:tcPr>
            <w:tcW w:w="3800" w:type="dxa"/>
            <w:vAlign w:val="bottom"/>
            <w:shd w:val="clear" w:color="auto" w:fill="EAEAEA"/>
          </w:tcPr>
          <w:p>
            <w:pPr>
              <w:jc w:val="right"/>
              <w:ind w:right="343"/>
              <w:spacing w:after="0"/>
              <w:rPr>
                <w:sz w:val="20"/>
                <w:szCs w:val="20"/>
                <w:color w:val="auto"/>
              </w:rPr>
            </w:pPr>
            <w:r>
              <w:rPr>
                <w:rFonts w:ascii="Arial" w:cs="Arial" w:eastAsia="Arial" w:hAnsi="Arial"/>
                <w:sz w:val="16"/>
                <w:szCs w:val="16"/>
                <w:color w:val="00053B"/>
              </w:rPr>
              <w:t>$475,000</w:t>
            </w:r>
          </w:p>
        </w:tc>
        <w:tc>
          <w:tcPr>
            <w:tcW w:w="2180" w:type="dxa"/>
            <w:vAlign w:val="bottom"/>
            <w:shd w:val="clear" w:color="auto" w:fill="EAEAEA"/>
          </w:tcPr>
          <w:p>
            <w:pPr>
              <w:jc w:val="right"/>
              <w:ind w:right="303"/>
              <w:spacing w:after="0"/>
              <w:rPr>
                <w:sz w:val="20"/>
                <w:szCs w:val="20"/>
                <w:color w:val="auto"/>
              </w:rPr>
            </w:pPr>
            <w:r>
              <w:rPr>
                <w:rFonts w:ascii="Arial" w:cs="Arial" w:eastAsia="Arial" w:hAnsi="Arial"/>
                <w:sz w:val="16"/>
                <w:szCs w:val="16"/>
                <w:color w:val="00053B"/>
              </w:rPr>
              <w:t>88.2%</w:t>
            </w:r>
          </w:p>
        </w:tc>
        <w:tc>
          <w:tcPr>
            <w:tcW w:w="1400" w:type="dxa"/>
            <w:vAlign w:val="bottom"/>
            <w:shd w:val="clear" w:color="auto" w:fill="EAEAEA"/>
          </w:tcPr>
          <w:p>
            <w:pPr>
              <w:jc w:val="right"/>
              <w:ind w:right="23"/>
              <w:spacing w:after="0"/>
              <w:rPr>
                <w:sz w:val="20"/>
                <w:szCs w:val="20"/>
                <w:color w:val="auto"/>
              </w:rPr>
            </w:pPr>
            <w:r>
              <w:rPr>
                <w:rFonts w:ascii="Arial" w:cs="Arial" w:eastAsia="Arial" w:hAnsi="Arial"/>
                <w:sz w:val="16"/>
                <w:szCs w:val="16"/>
                <w:color w:val="00053B"/>
              </w:rPr>
              <w:t>$314,280</w:t>
            </w:r>
          </w:p>
        </w:tc>
      </w:tr>
    </w:tbl>
    <w:p>
      <w:pPr>
        <w:spacing w:after="0" w:line="131"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3"/>
          <w:szCs w:val="13"/>
          <w:color w:val="00053B"/>
        </w:rPr>
      </w:pPr>
      <w:r>
        <w:rPr>
          <w:rFonts w:ascii="Arial" w:cs="Arial" w:eastAsia="Arial" w:hAnsi="Arial"/>
          <w:sz w:val="13"/>
          <w:szCs w:val="13"/>
          <w:color w:val="00053B"/>
        </w:rPr>
        <w:t>Mr. Di Blasio resigned as CRO effective January 12, 2024, and therefore did not receive his fourth quarter bonus payment, impacting his overall incentive earned.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LONG-TERM EQUITY INCENTIVE AWARDS</w:t>
      </w:r>
    </w:p>
    <w:p>
      <w:pPr>
        <w:spacing w:after="0" w:line="12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00053B"/>
        </w:rPr>
        <w:t>We provide long-term equity incentive awards pursuant to our 2016 Incentive Plan, which is designed to provide plan participants with appropriate incentives to achieve long-range goals and to align participants’ interests with those of our stockholders. The 2016 Incentive Plan permits the grant of stock options, stock appreciation rights, restricted stock awards, performance stock awards, and other forms of equity based on, or related to, shares of our common stock, and cash incentive awards that are contingent on performance.</w:t>
      </w:r>
    </w:p>
    <w:p>
      <w:pPr>
        <w:spacing w:after="0" w:line="78"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00053B"/>
        </w:rPr>
        <w:t>Generally, new executive officers receive a significant equity award when they commence employment. The size of each equity award is set at a level that we believe is appropriate to create a meaningful opportunity for stock ownership based upon our equity award grant guidelines, the individual’s position with Commvault, and the individual’s potential for future responsibility and promotion. The relative weight given to each of these factors varies from individual to individual. All equity awards granted to our executive officers are approved by the TMCC.</w:t>
      </w:r>
    </w:p>
    <w:p>
      <w:pPr>
        <w:spacing w:after="0" w:line="65"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00053B"/>
        </w:rPr>
        <w:t>When annual equity awards are granted, typically in May of each year, the TMCC bases grants on an evaluation of each executive officer’s performance during the prior fiscal year, as well as our overall corporate financial performance. The terms of annual awards and the number and form of awards granted are designed to ensure the recipient has a meaningful incentive to remain a Commvault employee.</w:t>
      </w:r>
    </w:p>
    <w:p>
      <w:pPr>
        <w:spacing w:after="0" w:line="56"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00053B"/>
        </w:rPr>
        <w:t>In preparation for granting annual equity awards in May 2023, the TMCC reviewed a competitive market analysis prepared by Compensia to obtain data primarily related to the grant date fair value of the equity awards granted to similarly situated executives at companies in our compensation peer group. The awards granted to our named executive officers in May 2023 were provided in three forms, and subject to the terms and conditions shown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0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Time-Based RSU awards</w:t>
            </w:r>
          </w:p>
        </w:tc>
        <w:tc>
          <w:tcPr>
            <w:tcW w:w="8440" w:type="dxa"/>
            <w:vAlign w:val="bottom"/>
            <w:shd w:val="clear" w:color="auto" w:fill="EAEAEA"/>
          </w:tcPr>
          <w:p>
            <w:pPr>
              <w:ind w:left="800"/>
              <w:spacing w:after="0"/>
              <w:rPr>
                <w:sz w:val="20"/>
                <w:szCs w:val="20"/>
                <w:color w:val="auto"/>
              </w:rPr>
            </w:pPr>
            <w:r>
              <w:rPr>
                <w:rFonts w:ascii="Arial" w:cs="Arial" w:eastAsia="Arial" w:hAnsi="Arial"/>
                <w:sz w:val="16"/>
                <w:szCs w:val="16"/>
                <w:color w:val="00053B"/>
              </w:rPr>
              <w:t>These awards vest 33.3% on the first anniversary of the grant date and an additional 8.375% quarterly</w:t>
            </w:r>
          </w:p>
        </w:tc>
      </w:tr>
      <w:tr>
        <w:trPr>
          <w:trHeight w:val="224"/>
        </w:trPr>
        <w:tc>
          <w:tcPr>
            <w:tcW w:w="2800" w:type="dxa"/>
            <w:vAlign w:val="bottom"/>
            <w:tcBorders>
              <w:bottom w:val="single" w:sz="8" w:color="EAEAEA"/>
            </w:tcBorders>
            <w:shd w:val="clear" w:color="auto" w:fill="EAEAEA"/>
          </w:tcPr>
          <w:p>
            <w:pPr>
              <w:ind w:left="120"/>
              <w:spacing w:after="0"/>
              <w:rPr>
                <w:sz w:val="20"/>
                <w:szCs w:val="20"/>
                <w:color w:val="auto"/>
              </w:rPr>
            </w:pPr>
            <w:r>
              <w:rPr>
                <w:rFonts w:ascii="Arial" w:cs="Arial" w:eastAsia="Arial" w:hAnsi="Arial"/>
                <w:sz w:val="16"/>
                <w:szCs w:val="16"/>
                <w:color w:val="00053B"/>
              </w:rPr>
              <w:t>50%</w:t>
            </w:r>
          </w:p>
        </w:tc>
        <w:tc>
          <w:tcPr>
            <w:tcW w:w="8440" w:type="dxa"/>
            <w:vAlign w:val="bottom"/>
            <w:tcBorders>
              <w:bottom w:val="single" w:sz="8" w:color="EAEAEA"/>
            </w:tcBorders>
            <w:shd w:val="clear" w:color="auto" w:fill="EAEAEA"/>
          </w:tcPr>
          <w:p>
            <w:pPr>
              <w:ind w:left="800"/>
              <w:spacing w:after="0"/>
              <w:rPr>
                <w:sz w:val="20"/>
                <w:szCs w:val="20"/>
                <w:color w:val="auto"/>
              </w:rPr>
            </w:pPr>
            <w:r>
              <w:rPr>
                <w:rFonts w:ascii="Arial" w:cs="Arial" w:eastAsia="Arial" w:hAnsi="Arial"/>
                <w:sz w:val="16"/>
                <w:szCs w:val="16"/>
                <w:color w:val="00053B"/>
              </w:rPr>
              <w:t>thereafter until fully vested, generally subject to continued employment on the vesting date.</w:t>
            </w:r>
          </w:p>
        </w:tc>
      </w:tr>
      <w:tr>
        <w:trPr>
          <w:trHeight w:val="215"/>
        </w:trPr>
        <w:tc>
          <w:tcPr>
            <w:tcW w:w="2800" w:type="dxa"/>
            <w:vAlign w:val="bottom"/>
          </w:tcPr>
          <w:p>
            <w:pPr>
              <w:ind w:left="120"/>
              <w:spacing w:after="0"/>
              <w:rPr>
                <w:sz w:val="20"/>
                <w:szCs w:val="20"/>
                <w:color w:val="auto"/>
              </w:rPr>
            </w:pPr>
            <w:r>
              <w:rPr>
                <w:rFonts w:ascii="Arial" w:cs="Arial" w:eastAsia="Arial" w:hAnsi="Arial"/>
                <w:sz w:val="16"/>
                <w:szCs w:val="16"/>
                <w:color w:val="00053B"/>
              </w:rPr>
              <w:t>Relative TSR PSU awards</w:t>
            </w:r>
          </w:p>
        </w:tc>
        <w:tc>
          <w:tcPr>
            <w:tcW w:w="8440" w:type="dxa"/>
            <w:vAlign w:val="bottom"/>
          </w:tcPr>
          <w:p>
            <w:pPr>
              <w:ind w:left="800"/>
              <w:spacing w:after="0"/>
              <w:rPr>
                <w:sz w:val="20"/>
                <w:szCs w:val="20"/>
                <w:color w:val="auto"/>
              </w:rPr>
            </w:pPr>
            <w:r>
              <w:rPr>
                <w:rFonts w:ascii="Arial" w:cs="Arial" w:eastAsia="Arial" w:hAnsi="Arial"/>
                <w:sz w:val="16"/>
                <w:szCs w:val="16"/>
                <w:color w:val="00053B"/>
              </w:rPr>
              <w:t>Recipients may earn up to 200% of their target award based on Commvault’s TSR performance relative to</w:t>
            </w:r>
          </w:p>
        </w:tc>
      </w:tr>
      <w:tr>
        <w:trPr>
          <w:trHeight w:val="189"/>
        </w:trPr>
        <w:tc>
          <w:tcPr>
            <w:tcW w:w="2800" w:type="dxa"/>
            <w:vAlign w:val="bottom"/>
          </w:tcPr>
          <w:p>
            <w:pPr>
              <w:ind w:left="120"/>
              <w:spacing w:after="0"/>
              <w:rPr>
                <w:sz w:val="20"/>
                <w:szCs w:val="20"/>
                <w:color w:val="auto"/>
              </w:rPr>
            </w:pPr>
            <w:r>
              <w:rPr>
                <w:rFonts w:ascii="Arial" w:cs="Arial" w:eastAsia="Arial" w:hAnsi="Arial"/>
                <w:sz w:val="16"/>
                <w:szCs w:val="16"/>
                <w:color w:val="00053B"/>
              </w:rPr>
              <w:t>25%</w:t>
            </w:r>
          </w:p>
        </w:tc>
        <w:tc>
          <w:tcPr>
            <w:tcW w:w="8440" w:type="dxa"/>
            <w:vAlign w:val="bottom"/>
          </w:tcPr>
          <w:p>
            <w:pPr>
              <w:ind w:left="800"/>
              <w:spacing w:after="0"/>
              <w:rPr>
                <w:sz w:val="20"/>
                <w:szCs w:val="20"/>
                <w:color w:val="auto"/>
              </w:rPr>
            </w:pPr>
            <w:r>
              <w:rPr>
                <w:rFonts w:ascii="Arial" w:cs="Arial" w:eastAsia="Arial" w:hAnsi="Arial"/>
                <w:sz w:val="16"/>
                <w:szCs w:val="16"/>
                <w:color w:val="00053B"/>
              </w:rPr>
              <w:t>the components of the Russell 3000 Index over equally weighted one, two, and three-year performance</w:t>
            </w:r>
          </w:p>
        </w:tc>
      </w:tr>
      <w:tr>
        <w:trPr>
          <w:trHeight w:val="222"/>
        </w:trPr>
        <w:tc>
          <w:tcPr>
            <w:tcW w:w="2800" w:type="dxa"/>
            <w:vAlign w:val="bottom"/>
          </w:tcPr>
          <w:p>
            <w:pPr>
              <w:spacing w:after="0"/>
              <w:rPr>
                <w:sz w:val="19"/>
                <w:szCs w:val="19"/>
                <w:color w:val="auto"/>
              </w:rPr>
            </w:pPr>
          </w:p>
        </w:tc>
        <w:tc>
          <w:tcPr>
            <w:tcW w:w="8440" w:type="dxa"/>
            <w:vAlign w:val="bottom"/>
          </w:tcPr>
          <w:p>
            <w:pPr>
              <w:ind w:left="800"/>
              <w:spacing w:after="0"/>
              <w:rPr>
                <w:sz w:val="20"/>
                <w:szCs w:val="20"/>
                <w:color w:val="auto"/>
              </w:rPr>
            </w:pPr>
            <w:r>
              <w:rPr>
                <w:rFonts w:ascii="Arial" w:cs="Arial" w:eastAsia="Arial" w:hAnsi="Arial"/>
                <w:sz w:val="16"/>
                <w:szCs w:val="16"/>
                <w:color w:val="00053B"/>
              </w:rPr>
              <w:t>periods. Earned shares, if any, vest at the end of each applicable annual performance period.</w:t>
            </w:r>
          </w:p>
        </w:tc>
      </w:tr>
      <w:tr>
        <w:trPr>
          <w:trHeight w:val="223"/>
        </w:trPr>
        <w:tc>
          <w:tcPr>
            <w:tcW w:w="280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Financial PSU awards</w:t>
            </w:r>
          </w:p>
        </w:tc>
        <w:tc>
          <w:tcPr>
            <w:tcW w:w="8440" w:type="dxa"/>
            <w:vAlign w:val="bottom"/>
            <w:shd w:val="clear" w:color="auto" w:fill="EAEAEA"/>
          </w:tcPr>
          <w:p>
            <w:pPr>
              <w:ind w:left="800"/>
              <w:spacing w:after="0"/>
              <w:rPr>
                <w:sz w:val="20"/>
                <w:szCs w:val="20"/>
                <w:color w:val="auto"/>
              </w:rPr>
            </w:pPr>
            <w:r>
              <w:rPr>
                <w:rFonts w:ascii="Arial" w:cs="Arial" w:eastAsia="Arial" w:hAnsi="Arial"/>
                <w:sz w:val="16"/>
                <w:szCs w:val="16"/>
                <w:color w:val="00053B"/>
              </w:rPr>
              <w:t>Recipients may earn up to 200% of their target award based 100% on Commvault’s total annualized</w:t>
            </w:r>
          </w:p>
        </w:tc>
      </w:tr>
      <w:tr>
        <w:trPr>
          <w:trHeight w:val="189"/>
        </w:trPr>
        <w:tc>
          <w:tcPr>
            <w:tcW w:w="280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25%</w:t>
            </w:r>
          </w:p>
        </w:tc>
        <w:tc>
          <w:tcPr>
            <w:tcW w:w="8440" w:type="dxa"/>
            <w:vAlign w:val="bottom"/>
            <w:shd w:val="clear" w:color="auto" w:fill="EAEAEA"/>
          </w:tcPr>
          <w:p>
            <w:pPr>
              <w:ind w:left="800"/>
              <w:spacing w:after="0"/>
              <w:rPr>
                <w:sz w:val="20"/>
                <w:szCs w:val="20"/>
                <w:color w:val="auto"/>
              </w:rPr>
            </w:pPr>
            <w:r>
              <w:rPr>
                <w:rFonts w:ascii="Arial" w:cs="Arial" w:eastAsia="Arial" w:hAnsi="Arial"/>
                <w:sz w:val="16"/>
                <w:szCs w:val="16"/>
                <w:color w:val="00053B"/>
              </w:rPr>
              <w:t>recurring revenue (“ARR”) for fiscal 2024. Earned shares, if any, vest 33.3% on the first anniversary of the</w:t>
            </w:r>
          </w:p>
        </w:tc>
      </w:tr>
      <w:tr>
        <w:trPr>
          <w:trHeight w:val="203"/>
        </w:trPr>
        <w:tc>
          <w:tcPr>
            <w:tcW w:w="2800" w:type="dxa"/>
            <w:vAlign w:val="bottom"/>
            <w:shd w:val="clear" w:color="auto" w:fill="EAEAEA"/>
          </w:tcPr>
          <w:p>
            <w:pPr>
              <w:spacing w:after="0"/>
              <w:rPr>
                <w:sz w:val="17"/>
                <w:szCs w:val="17"/>
                <w:color w:val="auto"/>
              </w:rPr>
            </w:pPr>
          </w:p>
        </w:tc>
        <w:tc>
          <w:tcPr>
            <w:tcW w:w="8440" w:type="dxa"/>
            <w:vAlign w:val="bottom"/>
            <w:shd w:val="clear" w:color="auto" w:fill="EAEAEA"/>
          </w:tcPr>
          <w:p>
            <w:pPr>
              <w:ind w:left="800"/>
              <w:spacing w:after="0"/>
              <w:rPr>
                <w:sz w:val="20"/>
                <w:szCs w:val="20"/>
                <w:color w:val="auto"/>
              </w:rPr>
            </w:pPr>
            <w:r>
              <w:rPr>
                <w:rFonts w:ascii="Arial" w:cs="Arial" w:eastAsia="Arial" w:hAnsi="Arial"/>
                <w:sz w:val="16"/>
                <w:szCs w:val="16"/>
                <w:color w:val="00053B"/>
              </w:rPr>
              <w:t>grant date and an additional 8.375% quarterly thereafter until fully vested, generally subject to continued</w:t>
            </w:r>
          </w:p>
        </w:tc>
      </w:tr>
      <w:tr>
        <w:trPr>
          <w:trHeight w:val="230"/>
        </w:trPr>
        <w:tc>
          <w:tcPr>
            <w:tcW w:w="2800" w:type="dxa"/>
            <w:vAlign w:val="bottom"/>
            <w:shd w:val="clear" w:color="auto" w:fill="EAEAEA"/>
          </w:tcPr>
          <w:p>
            <w:pPr>
              <w:spacing w:after="0"/>
              <w:rPr>
                <w:sz w:val="20"/>
                <w:szCs w:val="20"/>
                <w:color w:val="auto"/>
              </w:rPr>
            </w:pPr>
          </w:p>
        </w:tc>
        <w:tc>
          <w:tcPr>
            <w:tcW w:w="8440" w:type="dxa"/>
            <w:vAlign w:val="bottom"/>
            <w:shd w:val="clear" w:color="auto" w:fill="EAEAEA"/>
          </w:tcPr>
          <w:p>
            <w:pPr>
              <w:ind w:left="800"/>
              <w:spacing w:after="0"/>
              <w:rPr>
                <w:sz w:val="20"/>
                <w:szCs w:val="20"/>
                <w:color w:val="auto"/>
              </w:rPr>
            </w:pPr>
            <w:r>
              <w:rPr>
                <w:rFonts w:ascii="Arial" w:cs="Arial" w:eastAsia="Arial" w:hAnsi="Arial"/>
                <w:sz w:val="16"/>
                <w:szCs w:val="16"/>
                <w:color w:val="00053B"/>
              </w:rPr>
              <w:t>employment on the vesting date.</w:t>
            </w:r>
          </w:p>
        </w:tc>
      </w:tr>
    </w:tbl>
    <w:p>
      <w:pPr>
        <w:spacing w:after="0" w:line="67"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00053B"/>
        </w:rPr>
        <w:t>Based on the competitive market analysis prepared by Compensia, Commvault’s long-term equity grants are more heavily weighted toward performance-based awards than is the norm within our compensation 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36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15175" cy="1028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CD&amp;A | </w:t>
      </w:r>
      <w:r>
        <w:rPr>
          <w:rFonts w:ascii="Arial" w:cs="Arial" w:eastAsia="Arial" w:hAnsi="Arial"/>
          <w:sz w:val="11"/>
          <w:szCs w:val="11"/>
          <w:b w:val="1"/>
          <w:bCs w:val="1"/>
          <w:color w:val="00053B"/>
        </w:rPr>
        <w:t>FISCAL YEAR 2024 COMPENSATION DECISIONS</w:t>
      </w:r>
    </w:p>
    <w:p>
      <w:pPr>
        <w:spacing w:after="0" w:line="278" w:lineRule="exact"/>
        <w:rPr>
          <w:sz w:val="20"/>
          <w:szCs w:val="20"/>
          <w:color w:val="auto"/>
        </w:rPr>
      </w:pPr>
    </w:p>
    <w:p>
      <w:pPr>
        <w:ind w:right="340"/>
        <w:spacing w:after="0" w:line="284" w:lineRule="auto"/>
        <w:rPr>
          <w:sz w:val="20"/>
          <w:szCs w:val="20"/>
          <w:color w:val="auto"/>
        </w:rPr>
      </w:pPr>
      <w:r>
        <w:rPr>
          <w:rFonts w:ascii="Arial" w:cs="Arial" w:eastAsia="Arial" w:hAnsi="Arial"/>
          <w:sz w:val="16"/>
          <w:szCs w:val="16"/>
          <w:color w:val="00053B"/>
        </w:rPr>
        <w:t>Taking into consideration market data and the performance of individual executive officers, the TMCC approved the following equity award grants for our named executive officers:</w:t>
      </w:r>
    </w:p>
    <w:tbl>
      <w:tblPr>
        <w:tblLayout w:type="fixed"/>
        <w:tblInd w:w="60" w:type="dxa"/>
        <w:tblCellMar>
          <w:top w:w="0" w:type="dxa"/>
          <w:left w:w="0" w:type="dxa"/>
          <w:bottom w:w="0" w:type="dxa"/>
          <w:right w:w="0" w:type="dxa"/>
        </w:tblCellMar>
      </w:tblPr>
      <w:tr>
        <w:trPr>
          <w:trHeight w:val="150"/>
        </w:trPr>
        <w:tc>
          <w:tcPr>
            <w:tcW w:w="3560" w:type="dxa"/>
            <w:vAlign w:val="bottom"/>
            <w:vMerge w:val="restart"/>
          </w:tcPr>
          <w:p>
            <w:pPr>
              <w:ind w:left="120"/>
              <w:spacing w:after="0"/>
              <w:rPr>
                <w:sz w:val="20"/>
                <w:szCs w:val="20"/>
                <w:color w:val="auto"/>
              </w:rPr>
            </w:pPr>
            <w:r>
              <w:rPr>
                <w:rFonts w:ascii="Arial" w:cs="Arial" w:eastAsia="Arial" w:hAnsi="Arial"/>
                <w:sz w:val="14"/>
                <w:szCs w:val="14"/>
                <w:color w:val="00053B"/>
              </w:rPr>
              <w:t>Executive</w:t>
            </w:r>
          </w:p>
        </w:tc>
        <w:tc>
          <w:tcPr>
            <w:tcW w:w="2920" w:type="dxa"/>
            <w:vAlign w:val="bottom"/>
          </w:tcPr>
          <w:p>
            <w:pPr>
              <w:jc w:val="right"/>
              <w:ind w:right="103"/>
              <w:spacing w:after="0" w:line="150" w:lineRule="exact"/>
              <w:rPr>
                <w:sz w:val="20"/>
                <w:szCs w:val="20"/>
                <w:color w:val="auto"/>
              </w:rPr>
            </w:pPr>
            <w:r>
              <w:rPr>
                <w:rFonts w:ascii="Arial" w:cs="Arial" w:eastAsia="Arial" w:hAnsi="Arial"/>
                <w:sz w:val="14"/>
                <w:szCs w:val="14"/>
                <w:color w:val="00053B"/>
              </w:rPr>
              <w:t>Aggregate</w:t>
            </w:r>
          </w:p>
        </w:tc>
        <w:tc>
          <w:tcPr>
            <w:tcW w:w="1840" w:type="dxa"/>
            <w:vAlign w:val="bottom"/>
          </w:tcPr>
          <w:p>
            <w:pPr>
              <w:jc w:val="right"/>
              <w:ind w:right="203"/>
              <w:spacing w:after="0" w:line="150" w:lineRule="exact"/>
              <w:rPr>
                <w:sz w:val="20"/>
                <w:szCs w:val="20"/>
                <w:color w:val="auto"/>
              </w:rPr>
            </w:pPr>
            <w:r>
              <w:rPr>
                <w:rFonts w:ascii="Arial" w:cs="Arial" w:eastAsia="Arial" w:hAnsi="Arial"/>
                <w:sz w:val="14"/>
                <w:szCs w:val="14"/>
                <w:color w:val="00053B"/>
              </w:rPr>
              <w:t>Time-based restricted</w:t>
            </w:r>
          </w:p>
        </w:tc>
        <w:tc>
          <w:tcPr>
            <w:tcW w:w="1600" w:type="dxa"/>
            <w:vAlign w:val="bottom"/>
          </w:tcPr>
          <w:p>
            <w:pPr>
              <w:jc w:val="right"/>
              <w:ind w:right="223"/>
              <w:spacing w:after="0" w:line="150" w:lineRule="exact"/>
              <w:rPr>
                <w:sz w:val="20"/>
                <w:szCs w:val="20"/>
                <w:color w:val="auto"/>
              </w:rPr>
            </w:pPr>
            <w:r>
              <w:rPr>
                <w:rFonts w:ascii="Arial" w:cs="Arial" w:eastAsia="Arial" w:hAnsi="Arial"/>
                <w:sz w:val="14"/>
                <w:szCs w:val="14"/>
                <w:color w:val="00053B"/>
              </w:rPr>
              <w:t>Relative TSR</w:t>
            </w:r>
          </w:p>
        </w:tc>
        <w:tc>
          <w:tcPr>
            <w:tcW w:w="1220" w:type="dxa"/>
            <w:vAlign w:val="bottom"/>
          </w:tcPr>
          <w:p>
            <w:pPr>
              <w:ind w:left="280"/>
              <w:spacing w:after="0" w:line="150" w:lineRule="exact"/>
              <w:rPr>
                <w:sz w:val="20"/>
                <w:szCs w:val="20"/>
                <w:color w:val="auto"/>
              </w:rPr>
            </w:pPr>
            <w:r>
              <w:rPr>
                <w:rFonts w:ascii="Arial" w:cs="Arial" w:eastAsia="Arial" w:hAnsi="Arial"/>
                <w:sz w:val="14"/>
                <w:szCs w:val="14"/>
                <w:color w:val="00053B"/>
              </w:rPr>
              <w:t>Financial PSU</w:t>
            </w:r>
          </w:p>
        </w:tc>
        <w:tc>
          <w:tcPr>
            <w:tcW w:w="0" w:type="dxa"/>
            <w:vAlign w:val="bottom"/>
          </w:tcPr>
          <w:p>
            <w:pPr>
              <w:spacing w:after="0"/>
              <w:rPr>
                <w:sz w:val="1"/>
                <w:szCs w:val="1"/>
                <w:color w:val="auto"/>
              </w:rPr>
            </w:pPr>
          </w:p>
        </w:tc>
      </w:tr>
      <w:tr>
        <w:trPr>
          <w:trHeight w:val="185"/>
        </w:trPr>
        <w:tc>
          <w:tcPr>
            <w:tcW w:w="3560" w:type="dxa"/>
            <w:vAlign w:val="bottom"/>
            <w:tcBorders>
              <w:bottom w:val="single" w:sz="8" w:color="844896"/>
            </w:tcBorders>
            <w:vMerge w:val="continue"/>
          </w:tcPr>
          <w:p>
            <w:pPr>
              <w:spacing w:after="0"/>
              <w:rPr>
                <w:sz w:val="16"/>
                <w:szCs w:val="16"/>
                <w:color w:val="auto"/>
              </w:rPr>
            </w:pPr>
          </w:p>
        </w:tc>
        <w:tc>
          <w:tcPr>
            <w:tcW w:w="2920" w:type="dxa"/>
            <w:vAlign w:val="bottom"/>
            <w:tcBorders>
              <w:bottom w:val="single" w:sz="8" w:color="844896"/>
            </w:tcBorders>
          </w:tcPr>
          <w:p>
            <w:pPr>
              <w:jc w:val="right"/>
              <w:ind w:right="103"/>
              <w:spacing w:after="0"/>
              <w:rPr>
                <w:sz w:val="20"/>
                <w:szCs w:val="20"/>
                <w:color w:val="auto"/>
              </w:rPr>
            </w:pPr>
            <w:r>
              <w:rPr>
                <w:rFonts w:ascii="Arial" w:cs="Arial" w:eastAsia="Arial" w:hAnsi="Arial"/>
                <w:sz w:val="14"/>
                <w:szCs w:val="14"/>
                <w:color w:val="00053B"/>
              </w:rPr>
              <w:t>target value</w:t>
            </w:r>
          </w:p>
        </w:tc>
        <w:tc>
          <w:tcPr>
            <w:tcW w:w="1840" w:type="dxa"/>
            <w:vAlign w:val="bottom"/>
            <w:tcBorders>
              <w:bottom w:val="single" w:sz="8" w:color="844896"/>
            </w:tcBorders>
          </w:tcPr>
          <w:p>
            <w:pPr>
              <w:jc w:val="right"/>
              <w:ind w:right="203"/>
              <w:spacing w:after="0"/>
              <w:rPr>
                <w:sz w:val="20"/>
                <w:szCs w:val="20"/>
                <w:color w:val="auto"/>
              </w:rPr>
            </w:pPr>
            <w:r>
              <w:rPr>
                <w:rFonts w:ascii="Arial" w:cs="Arial" w:eastAsia="Arial" w:hAnsi="Arial"/>
                <w:sz w:val="14"/>
                <w:szCs w:val="14"/>
                <w:color w:val="00053B"/>
              </w:rPr>
              <w:t>stock unit awards (#)</w:t>
            </w:r>
          </w:p>
        </w:tc>
        <w:tc>
          <w:tcPr>
            <w:tcW w:w="1600" w:type="dxa"/>
            <w:vAlign w:val="bottom"/>
            <w:tcBorders>
              <w:bottom w:val="single" w:sz="8" w:color="844896"/>
            </w:tcBorders>
          </w:tcPr>
          <w:p>
            <w:pPr>
              <w:jc w:val="right"/>
              <w:ind w:right="223"/>
              <w:spacing w:after="0"/>
              <w:rPr>
                <w:sz w:val="20"/>
                <w:szCs w:val="20"/>
                <w:color w:val="auto"/>
              </w:rPr>
            </w:pPr>
            <w:r>
              <w:rPr>
                <w:rFonts w:ascii="Arial" w:cs="Arial" w:eastAsia="Arial" w:hAnsi="Arial"/>
                <w:sz w:val="14"/>
                <w:szCs w:val="14"/>
                <w:color w:val="00053B"/>
              </w:rPr>
              <w:t>PSU awards (#)</w:t>
            </w:r>
          </w:p>
        </w:tc>
        <w:tc>
          <w:tcPr>
            <w:tcW w:w="1220" w:type="dxa"/>
            <w:vAlign w:val="bottom"/>
            <w:tcBorders>
              <w:bottom w:val="single" w:sz="8" w:color="844896"/>
            </w:tcBorders>
          </w:tcPr>
          <w:p>
            <w:pPr>
              <w:jc w:val="center"/>
              <w:ind w:left="423"/>
              <w:spacing w:after="0"/>
              <w:rPr>
                <w:sz w:val="20"/>
                <w:szCs w:val="20"/>
                <w:color w:val="auto"/>
              </w:rPr>
            </w:pPr>
            <w:r>
              <w:rPr>
                <w:rFonts w:ascii="Arial" w:cs="Arial" w:eastAsia="Arial" w:hAnsi="Arial"/>
                <w:sz w:val="14"/>
                <w:szCs w:val="14"/>
                <w:color w:val="00053B"/>
              </w:rPr>
              <w:t>awards (#)</w:t>
            </w:r>
          </w:p>
        </w:tc>
        <w:tc>
          <w:tcPr>
            <w:tcW w:w="0" w:type="dxa"/>
            <w:vAlign w:val="bottom"/>
          </w:tcPr>
          <w:p>
            <w:pPr>
              <w:spacing w:after="0"/>
              <w:rPr>
                <w:sz w:val="1"/>
                <w:szCs w:val="1"/>
                <w:color w:val="auto"/>
              </w:rPr>
            </w:pPr>
          </w:p>
        </w:tc>
      </w:tr>
      <w:tr>
        <w:trPr>
          <w:trHeight w:val="210"/>
        </w:trPr>
        <w:tc>
          <w:tcPr>
            <w:tcW w:w="3560" w:type="dxa"/>
            <w:vAlign w:val="bottom"/>
            <w:shd w:val="clear" w:color="auto" w:fill="EAEAEA"/>
          </w:tcPr>
          <w:p>
            <w:pPr>
              <w:ind w:left="100"/>
              <w:spacing w:after="0"/>
              <w:rPr>
                <w:sz w:val="20"/>
                <w:szCs w:val="20"/>
                <w:color w:val="auto"/>
              </w:rPr>
            </w:pPr>
            <w:r>
              <w:rPr>
                <w:rFonts w:ascii="Arial" w:cs="Arial" w:eastAsia="Arial" w:hAnsi="Arial"/>
                <w:sz w:val="16"/>
                <w:szCs w:val="16"/>
                <w:b w:val="1"/>
                <w:bCs w:val="1"/>
                <w:color w:val="00053B"/>
              </w:rPr>
              <w:t>Sanjay Mirchandani</w:t>
            </w:r>
          </w:p>
        </w:tc>
        <w:tc>
          <w:tcPr>
            <w:tcW w:w="2920" w:type="dxa"/>
            <w:vAlign w:val="bottom"/>
            <w:shd w:val="clear" w:color="auto" w:fill="EAEAEA"/>
          </w:tcPr>
          <w:p>
            <w:pPr>
              <w:jc w:val="right"/>
              <w:ind w:right="103"/>
              <w:spacing w:after="0"/>
              <w:rPr>
                <w:sz w:val="20"/>
                <w:szCs w:val="20"/>
                <w:color w:val="auto"/>
              </w:rPr>
            </w:pPr>
            <w:r>
              <w:rPr>
                <w:rFonts w:ascii="Arial" w:cs="Arial" w:eastAsia="Arial" w:hAnsi="Arial"/>
                <w:sz w:val="16"/>
                <w:szCs w:val="16"/>
                <w:color w:val="00053B"/>
              </w:rPr>
              <w:t>$9.7 million</w:t>
            </w:r>
          </w:p>
        </w:tc>
        <w:tc>
          <w:tcPr>
            <w:tcW w:w="1840" w:type="dxa"/>
            <w:vAlign w:val="bottom"/>
            <w:shd w:val="clear" w:color="auto" w:fill="EAEAEA"/>
          </w:tcPr>
          <w:p>
            <w:pPr>
              <w:jc w:val="right"/>
              <w:ind w:right="283"/>
              <w:spacing w:after="0"/>
              <w:rPr>
                <w:sz w:val="20"/>
                <w:szCs w:val="20"/>
                <w:color w:val="auto"/>
              </w:rPr>
            </w:pPr>
            <w:r>
              <w:rPr>
                <w:rFonts w:ascii="Arial" w:cs="Arial" w:eastAsia="Arial" w:hAnsi="Arial"/>
                <w:sz w:val="16"/>
                <w:szCs w:val="16"/>
                <w:color w:val="00053B"/>
              </w:rPr>
              <w:t>77,811</w:t>
            </w:r>
          </w:p>
        </w:tc>
        <w:tc>
          <w:tcPr>
            <w:tcW w:w="1600" w:type="dxa"/>
            <w:vAlign w:val="bottom"/>
            <w:shd w:val="clear" w:color="auto" w:fill="EAEAEA"/>
          </w:tcPr>
          <w:p>
            <w:pPr>
              <w:jc w:val="right"/>
              <w:ind w:right="303"/>
              <w:spacing w:after="0"/>
              <w:rPr>
                <w:sz w:val="20"/>
                <w:szCs w:val="20"/>
                <w:color w:val="auto"/>
              </w:rPr>
            </w:pPr>
            <w:r>
              <w:rPr>
                <w:rFonts w:ascii="Arial" w:cs="Arial" w:eastAsia="Arial" w:hAnsi="Arial"/>
                <w:sz w:val="16"/>
                <w:szCs w:val="16"/>
                <w:color w:val="00053B"/>
              </w:rPr>
              <w:t>38,905</w:t>
            </w:r>
          </w:p>
        </w:tc>
        <w:tc>
          <w:tcPr>
            <w:tcW w:w="1220" w:type="dxa"/>
            <w:vAlign w:val="bottom"/>
            <w:shd w:val="clear" w:color="auto" w:fill="EAEAEA"/>
          </w:tcPr>
          <w:p>
            <w:pPr>
              <w:jc w:val="center"/>
              <w:ind w:left="443"/>
              <w:spacing w:after="0"/>
              <w:rPr>
                <w:sz w:val="20"/>
                <w:szCs w:val="20"/>
                <w:color w:val="auto"/>
              </w:rPr>
            </w:pPr>
            <w:r>
              <w:rPr>
                <w:rFonts w:ascii="Arial" w:cs="Arial" w:eastAsia="Arial" w:hAnsi="Arial"/>
                <w:sz w:val="16"/>
                <w:szCs w:val="16"/>
                <w:color w:val="00053B"/>
              </w:rPr>
              <w:t>38,905</w:t>
            </w:r>
          </w:p>
        </w:tc>
        <w:tc>
          <w:tcPr>
            <w:tcW w:w="0" w:type="dxa"/>
            <w:vAlign w:val="bottom"/>
          </w:tcPr>
          <w:p>
            <w:pPr>
              <w:spacing w:after="0"/>
              <w:rPr>
                <w:sz w:val="1"/>
                <w:szCs w:val="1"/>
                <w:color w:val="auto"/>
              </w:rPr>
            </w:pPr>
          </w:p>
        </w:tc>
      </w:tr>
      <w:tr>
        <w:trPr>
          <w:trHeight w:val="216"/>
        </w:trPr>
        <w:tc>
          <w:tcPr>
            <w:tcW w:w="3560" w:type="dxa"/>
            <w:vAlign w:val="bottom"/>
          </w:tcPr>
          <w:p>
            <w:pPr>
              <w:ind w:left="100"/>
              <w:spacing w:after="0"/>
              <w:rPr>
                <w:sz w:val="20"/>
                <w:szCs w:val="20"/>
                <w:color w:val="auto"/>
              </w:rPr>
            </w:pPr>
            <w:r>
              <w:rPr>
                <w:rFonts w:ascii="Arial" w:cs="Arial" w:eastAsia="Arial" w:hAnsi="Arial"/>
                <w:sz w:val="16"/>
                <w:szCs w:val="16"/>
                <w:b w:val="1"/>
                <w:bCs w:val="1"/>
                <w:color w:val="00053B"/>
              </w:rPr>
              <w:t>Gary Merrill</w:t>
            </w:r>
          </w:p>
        </w:tc>
        <w:tc>
          <w:tcPr>
            <w:tcW w:w="2920" w:type="dxa"/>
            <w:vAlign w:val="bottom"/>
          </w:tcPr>
          <w:p>
            <w:pPr>
              <w:jc w:val="right"/>
              <w:ind w:right="103"/>
              <w:spacing w:after="0"/>
              <w:rPr>
                <w:sz w:val="20"/>
                <w:szCs w:val="20"/>
                <w:color w:val="auto"/>
              </w:rPr>
            </w:pPr>
            <w:r>
              <w:rPr>
                <w:rFonts w:ascii="Arial" w:cs="Arial" w:eastAsia="Arial" w:hAnsi="Arial"/>
                <w:sz w:val="16"/>
                <w:szCs w:val="16"/>
                <w:color w:val="00053B"/>
              </w:rPr>
              <w:t>$3.2 million</w:t>
            </w:r>
          </w:p>
        </w:tc>
        <w:tc>
          <w:tcPr>
            <w:tcW w:w="1840" w:type="dxa"/>
            <w:vAlign w:val="bottom"/>
          </w:tcPr>
          <w:p>
            <w:pPr>
              <w:jc w:val="right"/>
              <w:ind w:right="283"/>
              <w:spacing w:after="0"/>
              <w:rPr>
                <w:sz w:val="20"/>
                <w:szCs w:val="20"/>
                <w:color w:val="auto"/>
              </w:rPr>
            </w:pPr>
            <w:r>
              <w:rPr>
                <w:rFonts w:ascii="Arial" w:cs="Arial" w:eastAsia="Arial" w:hAnsi="Arial"/>
                <w:sz w:val="16"/>
                <w:szCs w:val="16"/>
                <w:color w:val="00053B"/>
              </w:rPr>
              <w:t>25,669</w:t>
            </w:r>
          </w:p>
        </w:tc>
        <w:tc>
          <w:tcPr>
            <w:tcW w:w="1600" w:type="dxa"/>
            <w:vAlign w:val="bottom"/>
          </w:tcPr>
          <w:p>
            <w:pPr>
              <w:jc w:val="right"/>
              <w:ind w:right="303"/>
              <w:spacing w:after="0"/>
              <w:rPr>
                <w:sz w:val="20"/>
                <w:szCs w:val="20"/>
                <w:color w:val="auto"/>
              </w:rPr>
            </w:pPr>
            <w:r>
              <w:rPr>
                <w:rFonts w:ascii="Arial" w:cs="Arial" w:eastAsia="Arial" w:hAnsi="Arial"/>
                <w:sz w:val="16"/>
                <w:szCs w:val="16"/>
                <w:color w:val="00053B"/>
              </w:rPr>
              <w:t>12,834</w:t>
            </w:r>
          </w:p>
        </w:tc>
        <w:tc>
          <w:tcPr>
            <w:tcW w:w="1220" w:type="dxa"/>
            <w:vAlign w:val="bottom"/>
          </w:tcPr>
          <w:p>
            <w:pPr>
              <w:jc w:val="center"/>
              <w:ind w:left="443"/>
              <w:spacing w:after="0"/>
              <w:rPr>
                <w:sz w:val="20"/>
                <w:szCs w:val="20"/>
                <w:color w:val="auto"/>
              </w:rPr>
            </w:pPr>
            <w:r>
              <w:rPr>
                <w:rFonts w:ascii="Arial" w:cs="Arial" w:eastAsia="Arial" w:hAnsi="Arial"/>
                <w:sz w:val="16"/>
                <w:szCs w:val="16"/>
                <w:color w:val="00053B"/>
              </w:rPr>
              <w:t>12,834</w:t>
            </w:r>
          </w:p>
        </w:tc>
        <w:tc>
          <w:tcPr>
            <w:tcW w:w="0" w:type="dxa"/>
            <w:vAlign w:val="bottom"/>
          </w:tcPr>
          <w:p>
            <w:pPr>
              <w:spacing w:after="0"/>
              <w:rPr>
                <w:sz w:val="1"/>
                <w:szCs w:val="1"/>
                <w:color w:val="auto"/>
              </w:rPr>
            </w:pPr>
          </w:p>
        </w:tc>
      </w:tr>
      <w:tr>
        <w:trPr>
          <w:trHeight w:val="216"/>
        </w:trPr>
        <w:tc>
          <w:tcPr>
            <w:tcW w:w="3560" w:type="dxa"/>
            <w:vAlign w:val="bottom"/>
            <w:shd w:val="clear" w:color="auto" w:fill="EAEAEA"/>
          </w:tcPr>
          <w:p>
            <w:pPr>
              <w:ind w:left="100"/>
              <w:spacing w:after="0"/>
              <w:rPr>
                <w:sz w:val="20"/>
                <w:szCs w:val="20"/>
                <w:color w:val="auto"/>
              </w:rPr>
            </w:pPr>
            <w:r>
              <w:rPr>
                <w:rFonts w:ascii="Arial" w:cs="Arial" w:eastAsia="Arial" w:hAnsi="Arial"/>
                <w:sz w:val="16"/>
                <w:szCs w:val="16"/>
                <w:b w:val="1"/>
                <w:bCs w:val="1"/>
                <w:color w:val="00053B"/>
              </w:rPr>
              <w:t>Riccardo Di Blasio</w:t>
            </w:r>
          </w:p>
        </w:tc>
        <w:tc>
          <w:tcPr>
            <w:tcW w:w="2920" w:type="dxa"/>
            <w:vAlign w:val="bottom"/>
            <w:shd w:val="clear" w:color="auto" w:fill="EAEAEA"/>
          </w:tcPr>
          <w:p>
            <w:pPr>
              <w:jc w:val="right"/>
              <w:ind w:right="103"/>
              <w:spacing w:after="0"/>
              <w:rPr>
                <w:sz w:val="20"/>
                <w:szCs w:val="20"/>
                <w:color w:val="auto"/>
              </w:rPr>
            </w:pPr>
            <w:r>
              <w:rPr>
                <w:rFonts w:ascii="Arial" w:cs="Arial" w:eastAsia="Arial" w:hAnsi="Arial"/>
                <w:sz w:val="16"/>
                <w:szCs w:val="16"/>
                <w:color w:val="00053B"/>
              </w:rPr>
              <w:t>$2.5 million</w:t>
            </w:r>
          </w:p>
        </w:tc>
        <w:tc>
          <w:tcPr>
            <w:tcW w:w="1840" w:type="dxa"/>
            <w:vAlign w:val="bottom"/>
            <w:shd w:val="clear" w:color="auto" w:fill="EAEAEA"/>
          </w:tcPr>
          <w:p>
            <w:pPr>
              <w:jc w:val="right"/>
              <w:ind w:right="283"/>
              <w:spacing w:after="0"/>
              <w:rPr>
                <w:sz w:val="20"/>
                <w:szCs w:val="20"/>
                <w:color w:val="auto"/>
              </w:rPr>
            </w:pPr>
            <w:r>
              <w:rPr>
                <w:rFonts w:ascii="Arial" w:cs="Arial" w:eastAsia="Arial" w:hAnsi="Arial"/>
                <w:sz w:val="16"/>
                <w:szCs w:val="16"/>
                <w:color w:val="00053B"/>
              </w:rPr>
              <w:t>20,054</w:t>
            </w:r>
          </w:p>
        </w:tc>
        <w:tc>
          <w:tcPr>
            <w:tcW w:w="1600" w:type="dxa"/>
            <w:vAlign w:val="bottom"/>
            <w:shd w:val="clear" w:color="auto" w:fill="EAEAEA"/>
          </w:tcPr>
          <w:p>
            <w:pPr>
              <w:jc w:val="right"/>
              <w:ind w:right="303"/>
              <w:spacing w:after="0"/>
              <w:rPr>
                <w:sz w:val="20"/>
                <w:szCs w:val="20"/>
                <w:color w:val="auto"/>
              </w:rPr>
            </w:pPr>
            <w:r>
              <w:rPr>
                <w:rFonts w:ascii="Arial" w:cs="Arial" w:eastAsia="Arial" w:hAnsi="Arial"/>
                <w:sz w:val="16"/>
                <w:szCs w:val="16"/>
                <w:color w:val="00053B"/>
              </w:rPr>
              <w:t>10,027</w:t>
            </w:r>
          </w:p>
        </w:tc>
        <w:tc>
          <w:tcPr>
            <w:tcW w:w="1220" w:type="dxa"/>
            <w:vAlign w:val="bottom"/>
            <w:shd w:val="clear" w:color="auto" w:fill="EAEAEA"/>
          </w:tcPr>
          <w:p>
            <w:pPr>
              <w:jc w:val="center"/>
              <w:ind w:left="443"/>
              <w:spacing w:after="0"/>
              <w:rPr>
                <w:sz w:val="20"/>
                <w:szCs w:val="20"/>
                <w:color w:val="auto"/>
              </w:rPr>
            </w:pPr>
            <w:r>
              <w:rPr>
                <w:rFonts w:ascii="Arial" w:cs="Arial" w:eastAsia="Arial" w:hAnsi="Arial"/>
                <w:sz w:val="16"/>
                <w:szCs w:val="16"/>
                <w:color w:val="00053B"/>
              </w:rPr>
              <w:t>10,027</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00053B"/>
        </w:rPr>
        <w:t>In determining the number of shares granted to each named executive officer, the TMCC converted the target value of each award to a number of units based on the 5-trading day average closing price of our common stock prior to the grant 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0053B"/>
        </w:rPr>
        <w:t>Relative TSR PSU Awards</w:t>
      </w:r>
    </w:p>
    <w:p>
      <w:pPr>
        <w:spacing w:after="0" w:line="122"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00053B"/>
        </w:rPr>
        <w:t>The Relative TSR PSU awards granted to our named executive officers in fiscal 2024 will be earned (or not) based on our TSR measured relative to the components of the Russell 3000 Index over three equally weighted overlapping one-year, two-year, and three-year performance periods. The payout opportunities for the Relative TSR PSU awards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Borders>
              <w:bottom w:val="single" w:sz="8" w:color="844896"/>
              <w:right w:val="single" w:sz="8" w:color="B6B6B6"/>
            </w:tcBorders>
          </w:tcPr>
          <w:p>
            <w:pPr>
              <w:ind w:left="140"/>
              <w:spacing w:after="0"/>
              <w:rPr>
                <w:sz w:val="20"/>
                <w:szCs w:val="20"/>
                <w:color w:val="auto"/>
              </w:rPr>
            </w:pPr>
            <w:r>
              <w:rPr>
                <w:rFonts w:ascii="Arial" w:cs="Arial" w:eastAsia="Arial" w:hAnsi="Arial"/>
                <w:sz w:val="14"/>
                <w:szCs w:val="14"/>
                <w:b w:val="1"/>
                <w:bCs w:val="1"/>
                <w:color w:val="0B2E44"/>
              </w:rPr>
              <w:t>Relative TSR Percentile Rank</w:t>
            </w:r>
          </w:p>
        </w:tc>
        <w:tc>
          <w:tcPr>
            <w:tcW w:w="5440" w:type="dxa"/>
            <w:vAlign w:val="bottom"/>
            <w:tcBorders>
              <w:bottom w:val="single" w:sz="8" w:color="844896"/>
            </w:tcBorders>
          </w:tcPr>
          <w:p>
            <w:pPr>
              <w:ind w:left="120"/>
              <w:spacing w:after="0"/>
              <w:rPr>
                <w:sz w:val="20"/>
                <w:szCs w:val="20"/>
                <w:color w:val="auto"/>
              </w:rPr>
            </w:pPr>
            <w:r>
              <w:rPr>
                <w:rFonts w:ascii="Arial" w:cs="Arial" w:eastAsia="Arial" w:hAnsi="Arial"/>
                <w:sz w:val="14"/>
                <w:szCs w:val="14"/>
                <w:b w:val="1"/>
                <w:bCs w:val="1"/>
                <w:color w:val="0B2E44"/>
              </w:rPr>
              <w:t>% of Target PSU Earned</w:t>
            </w:r>
          </w:p>
        </w:tc>
      </w:tr>
      <w:tr>
        <w:trPr>
          <w:trHeight w:val="210"/>
        </w:trPr>
        <w:tc>
          <w:tcPr>
            <w:tcW w:w="5800" w:type="dxa"/>
            <w:vAlign w:val="bottom"/>
            <w:tcBorders>
              <w:right w:val="single" w:sz="8" w:color="B6B6B6"/>
            </w:tcBorders>
            <w:shd w:val="clear" w:color="auto" w:fill="EAEAEA"/>
          </w:tcPr>
          <w:p>
            <w:pPr>
              <w:ind w:left="120"/>
              <w:spacing w:after="0"/>
              <w:rPr>
                <w:sz w:val="20"/>
                <w:szCs w:val="20"/>
                <w:color w:val="auto"/>
              </w:rPr>
            </w:pPr>
            <w:r>
              <w:rPr>
                <w:rFonts w:ascii="Arial" w:cs="Arial" w:eastAsia="Arial" w:hAnsi="Arial"/>
                <w:sz w:val="16"/>
                <w:szCs w:val="16"/>
                <w:color w:val="00053B"/>
              </w:rPr>
              <w:t>&lt; 25</w:t>
            </w:r>
            <w:r>
              <w:rPr>
                <w:rFonts w:ascii="Arial" w:cs="Arial" w:eastAsia="Arial" w:hAnsi="Arial"/>
                <w:sz w:val="8"/>
                <w:szCs w:val="8"/>
                <w:color w:val="00053B"/>
              </w:rPr>
              <w:t>th</w:t>
            </w:r>
          </w:p>
        </w:tc>
        <w:tc>
          <w:tcPr>
            <w:tcW w:w="544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0%</w:t>
            </w:r>
          </w:p>
        </w:tc>
      </w:tr>
      <w:tr>
        <w:trPr>
          <w:trHeight w:val="215"/>
        </w:trPr>
        <w:tc>
          <w:tcPr>
            <w:tcW w:w="5800" w:type="dxa"/>
            <w:vAlign w:val="bottom"/>
            <w:tcBorders>
              <w:right w:val="single" w:sz="8" w:color="B6B6B6"/>
            </w:tcBorders>
          </w:tcPr>
          <w:p>
            <w:pPr>
              <w:ind w:left="120"/>
              <w:spacing w:after="0"/>
              <w:rPr>
                <w:sz w:val="20"/>
                <w:szCs w:val="20"/>
                <w:color w:val="auto"/>
              </w:rPr>
            </w:pPr>
            <w:r>
              <w:rPr>
                <w:rFonts w:ascii="Arial" w:cs="Arial" w:eastAsia="Arial" w:hAnsi="Arial"/>
                <w:sz w:val="16"/>
                <w:szCs w:val="16"/>
                <w:color w:val="00053B"/>
              </w:rPr>
              <w:t>25</w:t>
            </w:r>
            <w:r>
              <w:rPr>
                <w:rFonts w:ascii="Arial" w:cs="Arial" w:eastAsia="Arial" w:hAnsi="Arial"/>
                <w:sz w:val="8"/>
                <w:szCs w:val="8"/>
                <w:color w:val="00053B"/>
              </w:rPr>
              <w:t>th</w:t>
            </w:r>
          </w:p>
        </w:tc>
        <w:tc>
          <w:tcPr>
            <w:tcW w:w="5440" w:type="dxa"/>
            <w:vAlign w:val="bottom"/>
          </w:tcPr>
          <w:p>
            <w:pPr>
              <w:ind w:left="120"/>
              <w:spacing w:after="0"/>
              <w:rPr>
                <w:sz w:val="20"/>
                <w:szCs w:val="20"/>
                <w:color w:val="auto"/>
              </w:rPr>
            </w:pPr>
            <w:r>
              <w:rPr>
                <w:rFonts w:ascii="Arial" w:cs="Arial" w:eastAsia="Arial" w:hAnsi="Arial"/>
                <w:sz w:val="16"/>
                <w:szCs w:val="16"/>
                <w:color w:val="00053B"/>
              </w:rPr>
              <w:t>50%</w:t>
            </w:r>
          </w:p>
        </w:tc>
      </w:tr>
      <w:tr>
        <w:trPr>
          <w:trHeight w:val="217"/>
        </w:trPr>
        <w:tc>
          <w:tcPr>
            <w:tcW w:w="5800" w:type="dxa"/>
            <w:vAlign w:val="bottom"/>
            <w:tcBorders>
              <w:right w:val="single" w:sz="8" w:color="B6B6B6"/>
            </w:tcBorders>
            <w:shd w:val="clear" w:color="auto" w:fill="EAEAEA"/>
          </w:tcPr>
          <w:p>
            <w:pPr>
              <w:ind w:left="120"/>
              <w:spacing w:after="0" w:line="216" w:lineRule="exact"/>
              <w:rPr>
                <w:sz w:val="20"/>
                <w:szCs w:val="20"/>
                <w:color w:val="auto"/>
              </w:rPr>
            </w:pPr>
            <w:r>
              <w:rPr>
                <w:rFonts w:ascii="Arial" w:cs="Arial" w:eastAsia="Arial" w:hAnsi="Arial"/>
                <w:sz w:val="25"/>
                <w:szCs w:val="25"/>
                <w:color w:val="00053B"/>
                <w:vertAlign w:val="subscript"/>
              </w:rPr>
              <w:t>50</w:t>
            </w:r>
            <w:r>
              <w:rPr>
                <w:rFonts w:ascii="Arial" w:cs="Arial" w:eastAsia="Arial" w:hAnsi="Arial"/>
                <w:sz w:val="8"/>
                <w:szCs w:val="8"/>
                <w:color w:val="00053B"/>
              </w:rPr>
              <w:t>th</w:t>
            </w:r>
          </w:p>
        </w:tc>
        <w:tc>
          <w:tcPr>
            <w:tcW w:w="544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100%</w:t>
            </w:r>
          </w:p>
        </w:tc>
      </w:tr>
      <w:tr>
        <w:trPr>
          <w:trHeight w:val="215"/>
        </w:trPr>
        <w:tc>
          <w:tcPr>
            <w:tcW w:w="5800" w:type="dxa"/>
            <w:vAlign w:val="bottom"/>
            <w:tcBorders>
              <w:right w:val="single" w:sz="8" w:color="B6B6B6"/>
            </w:tcBorders>
          </w:tcPr>
          <w:p>
            <w:pPr>
              <w:ind w:left="120"/>
              <w:spacing w:after="0"/>
              <w:rPr>
                <w:sz w:val="20"/>
                <w:szCs w:val="20"/>
                <w:color w:val="auto"/>
              </w:rPr>
            </w:pPr>
            <w:r>
              <w:rPr>
                <w:rFonts w:ascii="Arial" w:cs="Arial" w:eastAsia="Arial" w:hAnsi="Arial"/>
                <w:sz w:val="16"/>
                <w:szCs w:val="16"/>
                <w:color w:val="00053B"/>
              </w:rPr>
              <w:t>75</w:t>
            </w:r>
            <w:r>
              <w:rPr>
                <w:rFonts w:ascii="Arial" w:cs="Arial" w:eastAsia="Arial" w:hAnsi="Arial"/>
                <w:sz w:val="8"/>
                <w:szCs w:val="8"/>
                <w:color w:val="00053B"/>
              </w:rPr>
              <w:t>th</w:t>
            </w:r>
          </w:p>
        </w:tc>
        <w:tc>
          <w:tcPr>
            <w:tcW w:w="5440" w:type="dxa"/>
            <w:vAlign w:val="bottom"/>
          </w:tcPr>
          <w:p>
            <w:pPr>
              <w:ind w:left="120"/>
              <w:spacing w:after="0"/>
              <w:rPr>
                <w:sz w:val="20"/>
                <w:szCs w:val="20"/>
                <w:color w:val="auto"/>
              </w:rPr>
            </w:pPr>
            <w:r>
              <w:rPr>
                <w:rFonts w:ascii="Arial" w:cs="Arial" w:eastAsia="Arial" w:hAnsi="Arial"/>
                <w:sz w:val="16"/>
                <w:szCs w:val="16"/>
                <w:color w:val="00053B"/>
              </w:rPr>
              <w:t>150%</w:t>
            </w:r>
          </w:p>
        </w:tc>
      </w:tr>
      <w:tr>
        <w:trPr>
          <w:trHeight w:val="217"/>
        </w:trPr>
        <w:tc>
          <w:tcPr>
            <w:tcW w:w="5800" w:type="dxa"/>
            <w:vAlign w:val="bottom"/>
            <w:tcBorders>
              <w:right w:val="single" w:sz="8" w:color="B6B6B6"/>
            </w:tcBorders>
            <w:shd w:val="clear" w:color="auto" w:fill="EAEAEA"/>
          </w:tcPr>
          <w:p>
            <w:pPr>
              <w:ind w:left="120"/>
              <w:spacing w:after="0"/>
              <w:rPr>
                <w:sz w:val="20"/>
                <w:szCs w:val="20"/>
                <w:color w:val="auto"/>
              </w:rPr>
            </w:pPr>
            <w:r>
              <w:rPr>
                <w:rFonts w:ascii="Arial" w:cs="Arial" w:eastAsia="Arial" w:hAnsi="Arial"/>
                <w:sz w:val="16"/>
                <w:szCs w:val="16"/>
                <w:color w:val="00053B"/>
              </w:rPr>
              <w:t>85</w:t>
            </w:r>
            <w:r>
              <w:rPr>
                <w:rFonts w:ascii="Arial" w:cs="Arial" w:eastAsia="Arial" w:hAnsi="Arial"/>
                <w:sz w:val="16"/>
                <w:szCs w:val="16"/>
                <w:color w:val="00053B"/>
                <w:vertAlign w:val="superscript"/>
              </w:rPr>
              <w:t>th</w:t>
            </w:r>
          </w:p>
        </w:tc>
        <w:tc>
          <w:tcPr>
            <w:tcW w:w="544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200% (max)</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00053B"/>
        </w:rPr>
        <w:t>Scale is linear between shown points.</w:t>
      </w:r>
    </w:p>
    <w:p>
      <w:pPr>
        <w:spacing w:after="0" w:line="11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00053B"/>
        </w:rPr>
        <w:t>Regardless of Commvault’s relative TSR performance, earned shares cannot exceed 100% of target if the Company’s stock price is lower at the end of the performance period than it was at the beginning.</w:t>
      </w:r>
    </w:p>
    <w:p>
      <w:pPr>
        <w:spacing w:after="0" w:line="6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00053B"/>
        </w:rPr>
        <w:t>The TMCC regularly considers the appropriate time horizon for the performance measures used in the compensation plan for our named executive officers. The TMCC believes that using multiple-year vesting for the Relative TSR PSUs appropriately balances the one-year performance period for the annual bonus and the three-year vesting period for the time-based RSUs and Financial PSUs.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053B"/>
        </w:rPr>
        <w:t>Relative TSR PSU Awards - Performance Vesting</w:t>
      </w:r>
    </w:p>
    <w:p>
      <w:pPr>
        <w:spacing w:after="0" w:line="15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380" w:type="dxa"/>
            <w:vAlign w:val="bottom"/>
            <w:vMerge w:val="restart"/>
          </w:tcPr>
          <w:p>
            <w:pPr>
              <w:ind w:left="120"/>
              <w:spacing w:after="0"/>
              <w:rPr>
                <w:sz w:val="20"/>
                <w:szCs w:val="20"/>
                <w:color w:val="auto"/>
              </w:rPr>
            </w:pPr>
            <w:r>
              <w:rPr>
                <w:rFonts w:ascii="Arial" w:cs="Arial" w:eastAsia="Arial" w:hAnsi="Arial"/>
                <w:sz w:val="14"/>
                <w:szCs w:val="14"/>
                <w:color w:val="00053B"/>
              </w:rPr>
              <w:t>Grant</w:t>
            </w:r>
          </w:p>
        </w:tc>
        <w:tc>
          <w:tcPr>
            <w:tcW w:w="3200" w:type="dxa"/>
            <w:vAlign w:val="bottom"/>
          </w:tcPr>
          <w:p>
            <w:pPr>
              <w:jc w:val="right"/>
              <w:ind w:right="103"/>
              <w:spacing w:after="0"/>
              <w:rPr>
                <w:sz w:val="20"/>
                <w:szCs w:val="20"/>
                <w:color w:val="auto"/>
              </w:rPr>
            </w:pPr>
            <w:r>
              <w:rPr>
                <w:rFonts w:ascii="Arial" w:cs="Arial" w:eastAsia="Arial" w:hAnsi="Arial"/>
                <w:sz w:val="14"/>
                <w:szCs w:val="14"/>
                <w:color w:val="00053B"/>
              </w:rPr>
              <w:t>May</w:t>
            </w:r>
          </w:p>
        </w:tc>
        <w:tc>
          <w:tcPr>
            <w:tcW w:w="900" w:type="dxa"/>
            <w:vAlign w:val="bottom"/>
          </w:tcPr>
          <w:p>
            <w:pPr>
              <w:jc w:val="right"/>
              <w:ind w:right="123"/>
              <w:spacing w:after="0"/>
              <w:rPr>
                <w:sz w:val="20"/>
                <w:szCs w:val="20"/>
                <w:color w:val="auto"/>
              </w:rPr>
            </w:pPr>
            <w:r>
              <w:rPr>
                <w:rFonts w:ascii="Arial" w:cs="Arial" w:eastAsia="Arial" w:hAnsi="Arial"/>
                <w:sz w:val="14"/>
                <w:szCs w:val="14"/>
                <w:color w:val="00053B"/>
              </w:rPr>
              <w:t>May</w:t>
            </w:r>
          </w:p>
        </w:tc>
        <w:tc>
          <w:tcPr>
            <w:tcW w:w="880" w:type="dxa"/>
            <w:vAlign w:val="bottom"/>
          </w:tcPr>
          <w:p>
            <w:pPr>
              <w:jc w:val="right"/>
              <w:ind w:right="103"/>
              <w:spacing w:after="0"/>
              <w:rPr>
                <w:sz w:val="20"/>
                <w:szCs w:val="20"/>
                <w:color w:val="auto"/>
              </w:rPr>
            </w:pPr>
            <w:r>
              <w:rPr>
                <w:rFonts w:ascii="Arial" w:cs="Arial" w:eastAsia="Arial" w:hAnsi="Arial"/>
                <w:sz w:val="14"/>
                <w:szCs w:val="14"/>
                <w:color w:val="00053B"/>
              </w:rPr>
              <w:t>May</w:t>
            </w:r>
          </w:p>
        </w:tc>
        <w:tc>
          <w:tcPr>
            <w:tcW w:w="900" w:type="dxa"/>
            <w:vAlign w:val="bottom"/>
          </w:tcPr>
          <w:p>
            <w:pPr>
              <w:jc w:val="right"/>
              <w:ind w:right="123"/>
              <w:spacing w:after="0"/>
              <w:rPr>
                <w:sz w:val="20"/>
                <w:szCs w:val="20"/>
                <w:color w:val="auto"/>
              </w:rPr>
            </w:pPr>
            <w:r>
              <w:rPr>
                <w:rFonts w:ascii="Arial" w:cs="Arial" w:eastAsia="Arial" w:hAnsi="Arial"/>
                <w:sz w:val="14"/>
                <w:szCs w:val="14"/>
                <w:color w:val="00053B"/>
              </w:rPr>
              <w:t>May</w:t>
            </w:r>
          </w:p>
        </w:tc>
        <w:tc>
          <w:tcPr>
            <w:tcW w:w="720" w:type="dxa"/>
            <w:vAlign w:val="bottom"/>
          </w:tcPr>
          <w:p>
            <w:pPr>
              <w:jc w:val="right"/>
              <w:spacing w:after="0"/>
              <w:rPr>
                <w:sz w:val="20"/>
                <w:szCs w:val="20"/>
                <w:color w:val="auto"/>
              </w:rPr>
            </w:pPr>
            <w:r>
              <w:rPr>
                <w:rFonts w:ascii="Arial" w:cs="Arial" w:eastAsia="Arial" w:hAnsi="Arial"/>
                <w:sz w:val="14"/>
                <w:szCs w:val="14"/>
                <w:color w:val="00053B"/>
              </w:rPr>
              <w:t>May</w:t>
            </w:r>
          </w:p>
        </w:tc>
        <w:tc>
          <w:tcPr>
            <w:tcW w:w="0" w:type="dxa"/>
            <w:vAlign w:val="bottom"/>
          </w:tcPr>
          <w:p>
            <w:pPr>
              <w:spacing w:after="0"/>
              <w:rPr>
                <w:sz w:val="1"/>
                <w:szCs w:val="1"/>
                <w:color w:val="auto"/>
              </w:rPr>
            </w:pPr>
          </w:p>
        </w:tc>
      </w:tr>
      <w:tr>
        <w:trPr>
          <w:trHeight w:val="185"/>
        </w:trPr>
        <w:tc>
          <w:tcPr>
            <w:tcW w:w="4380" w:type="dxa"/>
            <w:vAlign w:val="bottom"/>
            <w:tcBorders>
              <w:bottom w:val="single" w:sz="8" w:color="844896"/>
            </w:tcBorders>
            <w:vMerge w:val="continue"/>
          </w:tcPr>
          <w:p>
            <w:pPr>
              <w:spacing w:after="0"/>
              <w:rPr>
                <w:sz w:val="16"/>
                <w:szCs w:val="16"/>
                <w:color w:val="auto"/>
              </w:rPr>
            </w:pPr>
          </w:p>
        </w:tc>
        <w:tc>
          <w:tcPr>
            <w:tcW w:w="3200" w:type="dxa"/>
            <w:vAlign w:val="bottom"/>
            <w:tcBorders>
              <w:bottom w:val="single" w:sz="8" w:color="844896"/>
            </w:tcBorders>
          </w:tcPr>
          <w:p>
            <w:pPr>
              <w:jc w:val="right"/>
              <w:ind w:right="123"/>
              <w:spacing w:after="0"/>
              <w:rPr>
                <w:sz w:val="20"/>
                <w:szCs w:val="20"/>
                <w:color w:val="auto"/>
              </w:rPr>
            </w:pPr>
            <w:r>
              <w:rPr>
                <w:rFonts w:ascii="Arial" w:cs="Arial" w:eastAsia="Arial" w:hAnsi="Arial"/>
                <w:sz w:val="14"/>
                <w:szCs w:val="14"/>
                <w:color w:val="00053B"/>
              </w:rPr>
              <w:t>2019</w:t>
            </w:r>
          </w:p>
        </w:tc>
        <w:tc>
          <w:tcPr>
            <w:tcW w:w="900" w:type="dxa"/>
            <w:vAlign w:val="bottom"/>
            <w:tcBorders>
              <w:bottom w:val="single" w:sz="8" w:color="844896"/>
            </w:tcBorders>
          </w:tcPr>
          <w:p>
            <w:pPr>
              <w:jc w:val="right"/>
              <w:ind w:right="123"/>
              <w:spacing w:after="0"/>
              <w:rPr>
                <w:sz w:val="20"/>
                <w:szCs w:val="20"/>
                <w:color w:val="auto"/>
              </w:rPr>
            </w:pPr>
            <w:r>
              <w:rPr>
                <w:rFonts w:ascii="Arial" w:cs="Arial" w:eastAsia="Arial" w:hAnsi="Arial"/>
                <w:sz w:val="14"/>
                <w:szCs w:val="14"/>
                <w:color w:val="00053B"/>
              </w:rPr>
              <w:t>2020</w:t>
            </w:r>
          </w:p>
        </w:tc>
        <w:tc>
          <w:tcPr>
            <w:tcW w:w="880" w:type="dxa"/>
            <w:vAlign w:val="bottom"/>
            <w:tcBorders>
              <w:bottom w:val="single" w:sz="8" w:color="844896"/>
            </w:tcBorders>
          </w:tcPr>
          <w:p>
            <w:pPr>
              <w:jc w:val="right"/>
              <w:ind w:right="103"/>
              <w:spacing w:after="0"/>
              <w:rPr>
                <w:sz w:val="20"/>
                <w:szCs w:val="20"/>
                <w:color w:val="auto"/>
              </w:rPr>
            </w:pPr>
            <w:r>
              <w:rPr>
                <w:rFonts w:ascii="Arial" w:cs="Arial" w:eastAsia="Arial" w:hAnsi="Arial"/>
                <w:sz w:val="14"/>
                <w:szCs w:val="14"/>
                <w:color w:val="00053B"/>
              </w:rPr>
              <w:t>2021</w:t>
            </w:r>
          </w:p>
        </w:tc>
        <w:tc>
          <w:tcPr>
            <w:tcW w:w="900" w:type="dxa"/>
            <w:vAlign w:val="bottom"/>
            <w:tcBorders>
              <w:bottom w:val="single" w:sz="8" w:color="844896"/>
            </w:tcBorders>
          </w:tcPr>
          <w:p>
            <w:pPr>
              <w:jc w:val="right"/>
              <w:ind w:right="123"/>
              <w:spacing w:after="0"/>
              <w:rPr>
                <w:sz w:val="20"/>
                <w:szCs w:val="20"/>
                <w:color w:val="auto"/>
              </w:rPr>
            </w:pPr>
            <w:r>
              <w:rPr>
                <w:rFonts w:ascii="Arial" w:cs="Arial" w:eastAsia="Arial" w:hAnsi="Arial"/>
                <w:sz w:val="14"/>
                <w:szCs w:val="14"/>
                <w:color w:val="00053B"/>
              </w:rPr>
              <w:t>2022</w:t>
            </w:r>
          </w:p>
        </w:tc>
        <w:tc>
          <w:tcPr>
            <w:tcW w:w="720" w:type="dxa"/>
            <w:vAlign w:val="bottom"/>
            <w:tcBorders>
              <w:bottom w:val="single" w:sz="8" w:color="844896"/>
            </w:tcBorders>
          </w:tcPr>
          <w:p>
            <w:pPr>
              <w:jc w:val="right"/>
              <w:spacing w:after="0"/>
              <w:rPr>
                <w:sz w:val="20"/>
                <w:szCs w:val="20"/>
                <w:color w:val="auto"/>
              </w:rPr>
            </w:pPr>
            <w:r>
              <w:rPr>
                <w:rFonts w:ascii="Arial" w:cs="Arial" w:eastAsia="Arial" w:hAnsi="Arial"/>
                <w:sz w:val="14"/>
                <w:szCs w:val="14"/>
                <w:color w:val="00053B"/>
              </w:rPr>
              <w:t>2023</w:t>
            </w:r>
          </w:p>
        </w:tc>
        <w:tc>
          <w:tcPr>
            <w:tcW w:w="0" w:type="dxa"/>
            <w:vAlign w:val="bottom"/>
          </w:tcPr>
          <w:p>
            <w:pPr>
              <w:spacing w:after="0"/>
              <w:rPr>
                <w:sz w:val="1"/>
                <w:szCs w:val="1"/>
                <w:color w:val="auto"/>
              </w:rPr>
            </w:pPr>
          </w:p>
        </w:tc>
      </w:tr>
      <w:tr>
        <w:trPr>
          <w:trHeight w:val="209"/>
        </w:trPr>
        <w:tc>
          <w:tcPr>
            <w:tcW w:w="4380" w:type="dxa"/>
            <w:vAlign w:val="bottom"/>
          </w:tcPr>
          <w:p>
            <w:pPr>
              <w:ind w:left="100"/>
              <w:spacing w:after="0"/>
              <w:rPr>
                <w:sz w:val="20"/>
                <w:szCs w:val="20"/>
                <w:color w:val="auto"/>
              </w:rPr>
            </w:pPr>
            <w:r>
              <w:rPr>
                <w:rFonts w:ascii="Arial" w:cs="Arial" w:eastAsia="Arial" w:hAnsi="Arial"/>
                <w:sz w:val="16"/>
                <w:szCs w:val="16"/>
                <w:color w:val="00053B"/>
              </w:rPr>
              <w:t>Actual Vest %:</w:t>
            </w:r>
          </w:p>
        </w:tc>
        <w:tc>
          <w:tcPr>
            <w:tcW w:w="3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EAEAEA"/>
          </w:tcPr>
          <w:p>
            <w:pPr>
              <w:ind w:left="100"/>
              <w:spacing w:after="0"/>
              <w:rPr>
                <w:sz w:val="20"/>
                <w:szCs w:val="20"/>
                <w:color w:val="auto"/>
              </w:rPr>
            </w:pPr>
            <w:r>
              <w:rPr>
                <w:rFonts w:ascii="Arial" w:cs="Arial" w:eastAsia="Arial" w:hAnsi="Arial"/>
                <w:sz w:val="16"/>
                <w:szCs w:val="16"/>
                <w:color w:val="00053B"/>
              </w:rPr>
              <w:t>First annual tranche</w:t>
            </w:r>
          </w:p>
        </w:tc>
        <w:tc>
          <w:tcPr>
            <w:tcW w:w="3200" w:type="dxa"/>
            <w:vAlign w:val="bottom"/>
            <w:shd w:val="clear" w:color="auto" w:fill="EAEAEA"/>
          </w:tcPr>
          <w:p>
            <w:pPr>
              <w:jc w:val="right"/>
              <w:ind w:right="203"/>
              <w:spacing w:after="0"/>
              <w:rPr>
                <w:sz w:val="20"/>
                <w:szCs w:val="20"/>
                <w:color w:val="auto"/>
              </w:rPr>
            </w:pPr>
            <w:r>
              <w:rPr>
                <w:rFonts w:ascii="Arial" w:cs="Arial" w:eastAsia="Arial" w:hAnsi="Arial"/>
                <w:sz w:val="16"/>
                <w:szCs w:val="16"/>
                <w:color w:val="00053B"/>
              </w:rPr>
              <w:t>96%</w:t>
            </w:r>
          </w:p>
        </w:tc>
        <w:tc>
          <w:tcPr>
            <w:tcW w:w="900" w:type="dxa"/>
            <w:vAlign w:val="bottom"/>
            <w:shd w:val="clear" w:color="auto" w:fill="EAEAEA"/>
          </w:tcPr>
          <w:p>
            <w:pPr>
              <w:jc w:val="right"/>
              <w:ind w:right="203"/>
              <w:spacing w:after="0"/>
              <w:rPr>
                <w:sz w:val="20"/>
                <w:szCs w:val="20"/>
                <w:color w:val="auto"/>
              </w:rPr>
            </w:pPr>
            <w:r>
              <w:rPr>
                <w:rFonts w:ascii="Arial" w:cs="Arial" w:eastAsia="Arial" w:hAnsi="Arial"/>
                <w:sz w:val="16"/>
                <w:szCs w:val="16"/>
                <w:color w:val="00053B"/>
              </w:rPr>
              <w:t>105%</w:t>
            </w:r>
          </w:p>
        </w:tc>
        <w:tc>
          <w:tcPr>
            <w:tcW w:w="880" w:type="dxa"/>
            <w:vAlign w:val="bottom"/>
            <w:shd w:val="clear" w:color="auto" w:fill="EAEAEA"/>
          </w:tcPr>
          <w:p>
            <w:pPr>
              <w:jc w:val="right"/>
              <w:ind w:right="203"/>
              <w:spacing w:after="0"/>
              <w:rPr>
                <w:sz w:val="20"/>
                <w:szCs w:val="20"/>
                <w:color w:val="auto"/>
              </w:rPr>
            </w:pPr>
            <w:r>
              <w:rPr>
                <w:rFonts w:ascii="Arial" w:cs="Arial" w:eastAsia="Arial" w:hAnsi="Arial"/>
                <w:sz w:val="16"/>
                <w:szCs w:val="16"/>
                <w:color w:val="00053B"/>
              </w:rPr>
              <w:t>98%</w:t>
            </w:r>
          </w:p>
        </w:tc>
        <w:tc>
          <w:tcPr>
            <w:tcW w:w="900" w:type="dxa"/>
            <w:vAlign w:val="bottom"/>
            <w:shd w:val="clear" w:color="auto" w:fill="EAEAEA"/>
          </w:tcPr>
          <w:p>
            <w:pPr>
              <w:jc w:val="right"/>
              <w:ind w:right="203"/>
              <w:spacing w:after="0"/>
              <w:rPr>
                <w:sz w:val="20"/>
                <w:szCs w:val="20"/>
                <w:color w:val="auto"/>
              </w:rPr>
            </w:pPr>
            <w:r>
              <w:rPr>
                <w:rFonts w:ascii="Arial" w:cs="Arial" w:eastAsia="Arial" w:hAnsi="Arial"/>
                <w:sz w:val="16"/>
                <w:szCs w:val="16"/>
                <w:color w:val="00053B"/>
              </w:rPr>
              <w:t>100%</w:t>
            </w:r>
          </w:p>
        </w:tc>
        <w:tc>
          <w:tcPr>
            <w:tcW w:w="720" w:type="dxa"/>
            <w:vAlign w:val="bottom"/>
            <w:shd w:val="clear" w:color="auto" w:fill="EAEAEA"/>
          </w:tcPr>
          <w:p>
            <w:pPr>
              <w:jc w:val="right"/>
              <w:ind w:right="23"/>
              <w:spacing w:after="0"/>
              <w:rPr>
                <w:sz w:val="20"/>
                <w:szCs w:val="20"/>
                <w:color w:val="auto"/>
              </w:rPr>
            </w:pPr>
            <w:r>
              <w:rPr>
                <w:rFonts w:ascii="Arial" w:cs="Arial" w:eastAsia="Arial" w:hAnsi="Arial"/>
                <w:sz w:val="16"/>
                <w:szCs w:val="16"/>
                <w:color w:val="00053B"/>
              </w:rPr>
              <w:t>200%</w:t>
            </w:r>
          </w:p>
        </w:tc>
        <w:tc>
          <w:tcPr>
            <w:tcW w:w="0" w:type="dxa"/>
            <w:vAlign w:val="bottom"/>
          </w:tcPr>
          <w:p>
            <w:pPr>
              <w:spacing w:after="0"/>
              <w:rPr>
                <w:sz w:val="1"/>
                <w:szCs w:val="1"/>
                <w:color w:val="auto"/>
              </w:rPr>
            </w:pPr>
          </w:p>
        </w:tc>
      </w:tr>
      <w:tr>
        <w:trPr>
          <w:trHeight w:val="215"/>
        </w:trPr>
        <w:tc>
          <w:tcPr>
            <w:tcW w:w="4380" w:type="dxa"/>
            <w:vAlign w:val="bottom"/>
          </w:tcPr>
          <w:p>
            <w:pPr>
              <w:ind w:left="100"/>
              <w:spacing w:after="0"/>
              <w:rPr>
                <w:sz w:val="20"/>
                <w:szCs w:val="20"/>
                <w:color w:val="auto"/>
              </w:rPr>
            </w:pPr>
            <w:r>
              <w:rPr>
                <w:rFonts w:ascii="Arial" w:cs="Arial" w:eastAsia="Arial" w:hAnsi="Arial"/>
                <w:sz w:val="16"/>
                <w:szCs w:val="16"/>
                <w:color w:val="00053B"/>
              </w:rPr>
              <w:t>Second annual tranche</w:t>
            </w:r>
          </w:p>
        </w:tc>
        <w:tc>
          <w:tcPr>
            <w:tcW w:w="3200" w:type="dxa"/>
            <w:vAlign w:val="bottom"/>
          </w:tcPr>
          <w:p>
            <w:pPr>
              <w:jc w:val="right"/>
              <w:ind w:right="203"/>
              <w:spacing w:after="0"/>
              <w:rPr>
                <w:sz w:val="20"/>
                <w:szCs w:val="20"/>
                <w:color w:val="auto"/>
              </w:rPr>
            </w:pPr>
            <w:r>
              <w:rPr>
                <w:rFonts w:ascii="Arial" w:cs="Arial" w:eastAsia="Arial" w:hAnsi="Arial"/>
                <w:sz w:val="16"/>
                <w:szCs w:val="16"/>
                <w:color w:val="00053B"/>
              </w:rPr>
              <w:t>95%</w:t>
            </w:r>
          </w:p>
        </w:tc>
        <w:tc>
          <w:tcPr>
            <w:tcW w:w="900" w:type="dxa"/>
            <w:vAlign w:val="bottom"/>
          </w:tcPr>
          <w:p>
            <w:pPr>
              <w:jc w:val="right"/>
              <w:ind w:right="203"/>
              <w:spacing w:after="0"/>
              <w:rPr>
                <w:sz w:val="20"/>
                <w:szCs w:val="20"/>
                <w:color w:val="auto"/>
              </w:rPr>
            </w:pPr>
            <w:r>
              <w:rPr>
                <w:rFonts w:ascii="Arial" w:cs="Arial" w:eastAsia="Arial" w:hAnsi="Arial"/>
                <w:sz w:val="16"/>
                <w:szCs w:val="16"/>
                <w:color w:val="00053B"/>
              </w:rPr>
              <w:t>101%</w:t>
            </w:r>
          </w:p>
        </w:tc>
        <w:tc>
          <w:tcPr>
            <w:tcW w:w="880" w:type="dxa"/>
            <w:vAlign w:val="bottom"/>
          </w:tcPr>
          <w:p>
            <w:pPr>
              <w:jc w:val="right"/>
              <w:ind w:right="203"/>
              <w:spacing w:after="0"/>
              <w:rPr>
                <w:sz w:val="20"/>
                <w:szCs w:val="20"/>
                <w:color w:val="auto"/>
              </w:rPr>
            </w:pPr>
            <w:r>
              <w:rPr>
                <w:rFonts w:ascii="Arial" w:cs="Arial" w:eastAsia="Arial" w:hAnsi="Arial"/>
                <w:sz w:val="16"/>
                <w:szCs w:val="16"/>
                <w:color w:val="00053B"/>
              </w:rPr>
              <w:t>100%</w:t>
            </w:r>
          </w:p>
        </w:tc>
        <w:tc>
          <w:tcPr>
            <w:tcW w:w="900" w:type="dxa"/>
            <w:vAlign w:val="bottom"/>
          </w:tcPr>
          <w:p>
            <w:pPr>
              <w:jc w:val="right"/>
              <w:ind w:right="203"/>
              <w:spacing w:after="0"/>
              <w:rPr>
                <w:sz w:val="20"/>
                <w:szCs w:val="20"/>
                <w:color w:val="auto"/>
              </w:rPr>
            </w:pPr>
            <w:r>
              <w:rPr>
                <w:rFonts w:ascii="Arial" w:cs="Arial" w:eastAsia="Arial" w:hAnsi="Arial"/>
                <w:sz w:val="16"/>
                <w:szCs w:val="16"/>
                <w:color w:val="00053B"/>
              </w:rPr>
              <w:t>200%</w:t>
            </w:r>
          </w:p>
        </w:tc>
        <w:tc>
          <w:tcPr>
            <w:tcW w:w="720" w:type="dxa"/>
            <w:vAlign w:val="bottom"/>
          </w:tcPr>
          <w:p>
            <w:pPr>
              <w:jc w:val="right"/>
              <w:ind w:right="23"/>
              <w:spacing w:after="0"/>
              <w:rPr>
                <w:sz w:val="20"/>
                <w:szCs w:val="20"/>
                <w:color w:val="auto"/>
              </w:rPr>
            </w:pPr>
            <w:r>
              <w:rPr>
                <w:rFonts w:ascii="Arial" w:cs="Arial" w:eastAsia="Arial" w:hAnsi="Arial"/>
                <w:sz w:val="16"/>
                <w:szCs w:val="16"/>
                <w:color w:val="00053B"/>
              </w:rPr>
              <w:t>TBD</w:t>
            </w:r>
          </w:p>
        </w:tc>
        <w:tc>
          <w:tcPr>
            <w:tcW w:w="0" w:type="dxa"/>
            <w:vAlign w:val="bottom"/>
          </w:tcPr>
          <w:p>
            <w:pPr>
              <w:spacing w:after="0"/>
              <w:rPr>
                <w:sz w:val="1"/>
                <w:szCs w:val="1"/>
                <w:color w:val="auto"/>
              </w:rPr>
            </w:pPr>
          </w:p>
        </w:tc>
      </w:tr>
      <w:tr>
        <w:trPr>
          <w:trHeight w:val="217"/>
        </w:trPr>
        <w:tc>
          <w:tcPr>
            <w:tcW w:w="4380" w:type="dxa"/>
            <w:vAlign w:val="bottom"/>
            <w:shd w:val="clear" w:color="auto" w:fill="EAEAEA"/>
          </w:tcPr>
          <w:p>
            <w:pPr>
              <w:ind w:left="100"/>
              <w:spacing w:after="0"/>
              <w:rPr>
                <w:sz w:val="20"/>
                <w:szCs w:val="20"/>
                <w:color w:val="auto"/>
              </w:rPr>
            </w:pPr>
            <w:r>
              <w:rPr>
                <w:rFonts w:ascii="Arial" w:cs="Arial" w:eastAsia="Arial" w:hAnsi="Arial"/>
                <w:sz w:val="16"/>
                <w:szCs w:val="16"/>
                <w:color w:val="00053B"/>
              </w:rPr>
              <w:t>Third annual tranche</w:t>
            </w:r>
          </w:p>
        </w:tc>
        <w:tc>
          <w:tcPr>
            <w:tcW w:w="3200" w:type="dxa"/>
            <w:vAlign w:val="bottom"/>
            <w:shd w:val="clear" w:color="auto" w:fill="EAEAEA"/>
          </w:tcPr>
          <w:p>
            <w:pPr>
              <w:jc w:val="right"/>
              <w:ind w:right="203"/>
              <w:spacing w:after="0"/>
              <w:rPr>
                <w:sz w:val="20"/>
                <w:szCs w:val="20"/>
                <w:color w:val="auto"/>
              </w:rPr>
            </w:pPr>
            <w:r>
              <w:rPr>
                <w:rFonts w:ascii="Arial" w:cs="Arial" w:eastAsia="Arial" w:hAnsi="Arial"/>
                <w:sz w:val="16"/>
                <w:szCs w:val="16"/>
                <w:color w:val="00053B"/>
              </w:rPr>
              <w:t>87%</w:t>
            </w:r>
          </w:p>
        </w:tc>
        <w:tc>
          <w:tcPr>
            <w:tcW w:w="900" w:type="dxa"/>
            <w:vAlign w:val="bottom"/>
            <w:shd w:val="clear" w:color="auto" w:fill="EAEAEA"/>
          </w:tcPr>
          <w:p>
            <w:pPr>
              <w:jc w:val="right"/>
              <w:ind w:right="203"/>
              <w:spacing w:after="0"/>
              <w:rPr>
                <w:sz w:val="20"/>
                <w:szCs w:val="20"/>
                <w:color w:val="auto"/>
              </w:rPr>
            </w:pPr>
            <w:r>
              <w:rPr>
                <w:rFonts w:ascii="Arial" w:cs="Arial" w:eastAsia="Arial" w:hAnsi="Arial"/>
                <w:sz w:val="16"/>
                <w:szCs w:val="16"/>
                <w:color w:val="00053B"/>
              </w:rPr>
              <w:t>117%</w:t>
            </w:r>
          </w:p>
        </w:tc>
        <w:tc>
          <w:tcPr>
            <w:tcW w:w="880" w:type="dxa"/>
            <w:vAlign w:val="bottom"/>
            <w:shd w:val="clear" w:color="auto" w:fill="EAEAEA"/>
          </w:tcPr>
          <w:p>
            <w:pPr>
              <w:jc w:val="right"/>
              <w:ind w:right="203"/>
              <w:spacing w:after="0"/>
              <w:rPr>
                <w:sz w:val="20"/>
                <w:szCs w:val="20"/>
                <w:color w:val="auto"/>
              </w:rPr>
            </w:pPr>
            <w:r>
              <w:rPr>
                <w:rFonts w:ascii="Arial" w:cs="Arial" w:eastAsia="Arial" w:hAnsi="Arial"/>
                <w:sz w:val="16"/>
                <w:szCs w:val="16"/>
                <w:color w:val="00053B"/>
              </w:rPr>
              <w:t>194%</w:t>
            </w:r>
          </w:p>
        </w:tc>
        <w:tc>
          <w:tcPr>
            <w:tcW w:w="900" w:type="dxa"/>
            <w:vAlign w:val="bottom"/>
            <w:shd w:val="clear" w:color="auto" w:fill="EAEAEA"/>
          </w:tcPr>
          <w:p>
            <w:pPr>
              <w:jc w:val="right"/>
              <w:ind w:right="203"/>
              <w:spacing w:after="0"/>
              <w:rPr>
                <w:sz w:val="20"/>
                <w:szCs w:val="20"/>
                <w:color w:val="auto"/>
              </w:rPr>
            </w:pPr>
            <w:r>
              <w:rPr>
                <w:rFonts w:ascii="Arial" w:cs="Arial" w:eastAsia="Arial" w:hAnsi="Arial"/>
                <w:sz w:val="16"/>
                <w:szCs w:val="16"/>
                <w:color w:val="00053B"/>
              </w:rPr>
              <w:t>TBD</w:t>
            </w:r>
          </w:p>
        </w:tc>
        <w:tc>
          <w:tcPr>
            <w:tcW w:w="720" w:type="dxa"/>
            <w:vAlign w:val="bottom"/>
            <w:shd w:val="clear" w:color="auto" w:fill="EAEAEA"/>
          </w:tcPr>
          <w:p>
            <w:pPr>
              <w:jc w:val="right"/>
              <w:ind w:right="23"/>
              <w:spacing w:after="0"/>
              <w:rPr>
                <w:sz w:val="20"/>
                <w:szCs w:val="20"/>
                <w:color w:val="auto"/>
              </w:rPr>
            </w:pPr>
            <w:r>
              <w:rPr>
                <w:rFonts w:ascii="Arial" w:cs="Arial" w:eastAsia="Arial" w:hAnsi="Arial"/>
                <w:sz w:val="16"/>
                <w:szCs w:val="16"/>
                <w:color w:val="00053B"/>
              </w:rPr>
              <w:t>TBD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00053B"/>
        </w:rPr>
        <w:t>Earned units for each performance period, if any, will vest following certification of our results by the TMCC.</w:t>
      </w:r>
    </w:p>
    <w:p>
      <w:pPr>
        <w:spacing w:after="0" w:line="167" w:lineRule="exact"/>
        <w:rPr>
          <w:sz w:val="20"/>
          <w:szCs w:val="20"/>
          <w:color w:val="auto"/>
        </w:rPr>
      </w:pPr>
    </w:p>
    <w:p>
      <w:pPr>
        <w:ind w:right="120"/>
        <w:spacing w:after="0" w:line="238" w:lineRule="auto"/>
        <w:rPr>
          <w:sz w:val="20"/>
          <w:szCs w:val="20"/>
          <w:color w:val="auto"/>
        </w:rPr>
      </w:pPr>
      <w:r>
        <w:rPr>
          <w:rFonts w:ascii="Arial" w:cs="Arial" w:eastAsia="Arial" w:hAnsi="Arial"/>
          <w:sz w:val="16"/>
          <w:szCs w:val="16"/>
          <w:color w:val="00053B"/>
        </w:rPr>
        <w:t>For the one-year performance period of the May 2023 award that ended May 15, 2024, our total stockholder return of 71.01% was positioned at the 90</w:t>
      </w:r>
      <w:r>
        <w:rPr>
          <w:rFonts w:ascii="Arial" w:cs="Arial" w:eastAsia="Arial" w:hAnsi="Arial"/>
          <w:sz w:val="21"/>
          <w:szCs w:val="21"/>
          <w:color w:val="00053B"/>
          <w:vertAlign w:val="superscript"/>
        </w:rPr>
        <w:t>th</w:t>
      </w:r>
      <w:r>
        <w:rPr>
          <w:rFonts w:ascii="Arial" w:cs="Arial" w:eastAsia="Arial" w:hAnsi="Arial"/>
          <w:sz w:val="16"/>
          <w:szCs w:val="16"/>
          <w:color w:val="00053B"/>
        </w:rPr>
        <w:t xml:space="preserve"> percentile of the benchmark. As a result, the TMCC certified a payout equal to 200% of target for the portion of the Relative TSR PSU awards related to the first annual tranche.</w:t>
      </w:r>
    </w:p>
    <w:p>
      <w:pPr>
        <w:spacing w:after="0" w:line="138" w:lineRule="exact"/>
        <w:rPr>
          <w:sz w:val="20"/>
          <w:szCs w:val="20"/>
          <w:color w:val="auto"/>
        </w:rPr>
      </w:pPr>
    </w:p>
    <w:p>
      <w:pPr>
        <w:ind w:right="120"/>
        <w:spacing w:after="0" w:line="238" w:lineRule="auto"/>
        <w:rPr>
          <w:sz w:val="20"/>
          <w:szCs w:val="20"/>
          <w:color w:val="auto"/>
        </w:rPr>
      </w:pPr>
      <w:r>
        <w:rPr>
          <w:rFonts w:ascii="Arial" w:cs="Arial" w:eastAsia="Arial" w:hAnsi="Arial"/>
          <w:sz w:val="16"/>
          <w:szCs w:val="16"/>
          <w:color w:val="00053B"/>
        </w:rPr>
        <w:t>For the two-year performance period of the May 2022 award that ended May 16, 2024, our total stockholder return of 68.89% was positioned at the 87</w:t>
      </w:r>
      <w:r>
        <w:rPr>
          <w:rFonts w:ascii="Arial" w:cs="Arial" w:eastAsia="Arial" w:hAnsi="Arial"/>
          <w:sz w:val="21"/>
          <w:szCs w:val="21"/>
          <w:color w:val="00053B"/>
          <w:vertAlign w:val="superscript"/>
        </w:rPr>
        <w:t>th</w:t>
      </w:r>
      <w:r>
        <w:rPr>
          <w:rFonts w:ascii="Arial" w:cs="Arial" w:eastAsia="Arial" w:hAnsi="Arial"/>
          <w:sz w:val="16"/>
          <w:szCs w:val="16"/>
          <w:color w:val="00053B"/>
        </w:rPr>
        <w:t xml:space="preserve"> percentile of the benchmark. As a result, the TMCC certified a payout equal to 200% of target for the portion of the Relative TSR PSU awards related to the second annual tranche.</w:t>
      </w:r>
    </w:p>
    <w:p>
      <w:pPr>
        <w:spacing w:after="0" w:line="138" w:lineRule="exact"/>
        <w:rPr>
          <w:sz w:val="20"/>
          <w:szCs w:val="20"/>
          <w:color w:val="auto"/>
        </w:rPr>
      </w:pPr>
    </w:p>
    <w:p>
      <w:pPr>
        <w:ind w:right="120"/>
        <w:spacing w:after="0" w:line="238" w:lineRule="auto"/>
        <w:rPr>
          <w:sz w:val="20"/>
          <w:szCs w:val="20"/>
          <w:color w:val="auto"/>
        </w:rPr>
      </w:pPr>
      <w:r>
        <w:rPr>
          <w:rFonts w:ascii="Arial" w:cs="Arial" w:eastAsia="Arial" w:hAnsi="Arial"/>
          <w:sz w:val="16"/>
          <w:szCs w:val="16"/>
          <w:color w:val="00053B"/>
        </w:rPr>
        <w:t>For the three-year performance period of the May 2021 award that ended May 17, 2024, our total stockholder return of 51.98% was positioned at the 84</w:t>
      </w:r>
      <w:r>
        <w:rPr>
          <w:rFonts w:ascii="Arial" w:cs="Arial" w:eastAsia="Arial" w:hAnsi="Arial"/>
          <w:sz w:val="21"/>
          <w:szCs w:val="21"/>
          <w:color w:val="00053B"/>
          <w:vertAlign w:val="superscript"/>
        </w:rPr>
        <w:t>th</w:t>
      </w:r>
      <w:r>
        <w:rPr>
          <w:rFonts w:ascii="Arial" w:cs="Arial" w:eastAsia="Arial" w:hAnsi="Arial"/>
          <w:sz w:val="16"/>
          <w:szCs w:val="16"/>
          <w:color w:val="00053B"/>
        </w:rPr>
        <w:t xml:space="preserve"> percentile of the benchmark. As a result, the TMCC certified a payout equal to 194% of target for the portion of the Relative TSR PSU awards related to the third annual tranche.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37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15175" cy="1028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CD&amp;A | </w:t>
      </w:r>
      <w:r>
        <w:rPr>
          <w:rFonts w:ascii="Arial" w:cs="Arial" w:eastAsia="Arial" w:hAnsi="Arial"/>
          <w:sz w:val="11"/>
          <w:szCs w:val="11"/>
          <w:b w:val="1"/>
          <w:bCs w:val="1"/>
          <w:color w:val="00053B"/>
        </w:rPr>
        <w:t>FISCAL YEAR 2024 COMPENSATION DECISIONS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00053B"/>
        </w:rPr>
        <w:t>Financial PSU awards</w:t>
      </w:r>
    </w:p>
    <w:p>
      <w:pPr>
        <w:spacing w:after="0" w:line="68" w:lineRule="exact"/>
        <w:rPr>
          <w:sz w:val="20"/>
          <w:szCs w:val="20"/>
          <w:color w:val="auto"/>
        </w:rPr>
      </w:pPr>
    </w:p>
    <w:p>
      <w:pPr>
        <w:ind w:right="580"/>
        <w:spacing w:after="0" w:line="284" w:lineRule="auto"/>
        <w:rPr>
          <w:sz w:val="20"/>
          <w:szCs w:val="20"/>
          <w:color w:val="auto"/>
        </w:rPr>
      </w:pPr>
      <w:r>
        <w:rPr>
          <w:rFonts w:ascii="Arial" w:cs="Arial" w:eastAsia="Arial" w:hAnsi="Arial"/>
          <w:sz w:val="16"/>
          <w:szCs w:val="16"/>
          <w:color w:val="00053B"/>
        </w:rPr>
        <w:t>The Financial PSUs granted to our named executive officers in fiscal 2024 were eligible to be earned based on our level of achievement against total annualized recurring revenue (“ARR”) goals established at the beginning of fiscal 2024 and measured over a one-year performance period.</w:t>
      </w:r>
    </w:p>
    <w:tbl>
      <w:tblPr>
        <w:tblLayout w:type="fixed"/>
        <w:tblInd w:w="80" w:type="dxa"/>
        <w:tblCellMar>
          <w:top w:w="0" w:type="dxa"/>
          <w:left w:w="0" w:type="dxa"/>
          <w:bottom w:w="0" w:type="dxa"/>
          <w:right w:w="0" w:type="dxa"/>
        </w:tblCellMar>
      </w:tblPr>
      <w:tr>
        <w:trPr>
          <w:trHeight w:val="150"/>
        </w:trPr>
        <w:tc>
          <w:tcPr>
            <w:tcW w:w="2860" w:type="dxa"/>
            <w:vAlign w:val="bottom"/>
            <w:vMerge w:val="restart"/>
          </w:tcPr>
          <w:p>
            <w:pPr>
              <w:ind w:left="140"/>
              <w:spacing w:after="0"/>
              <w:rPr>
                <w:sz w:val="20"/>
                <w:szCs w:val="20"/>
                <w:color w:val="auto"/>
              </w:rPr>
            </w:pPr>
            <w:r>
              <w:rPr>
                <w:rFonts w:ascii="Arial" w:cs="Arial" w:eastAsia="Arial" w:hAnsi="Arial"/>
                <w:sz w:val="14"/>
                <w:szCs w:val="14"/>
                <w:color w:val="00053B"/>
              </w:rPr>
              <w:t>Achievement</w:t>
            </w:r>
          </w:p>
        </w:tc>
        <w:tc>
          <w:tcPr>
            <w:tcW w:w="3500" w:type="dxa"/>
            <w:vAlign w:val="bottom"/>
            <w:vMerge w:val="restart"/>
          </w:tcPr>
          <w:p>
            <w:pPr>
              <w:jc w:val="right"/>
              <w:ind w:right="701"/>
              <w:spacing w:after="0"/>
              <w:rPr>
                <w:sz w:val="20"/>
                <w:szCs w:val="20"/>
                <w:color w:val="auto"/>
              </w:rPr>
            </w:pPr>
            <w:r>
              <w:rPr>
                <w:rFonts w:ascii="Arial" w:cs="Arial" w:eastAsia="Arial" w:hAnsi="Arial"/>
                <w:sz w:val="14"/>
                <w:szCs w:val="14"/>
                <w:color w:val="00053B"/>
              </w:rPr>
              <w:t>ARR Achievement</w:t>
            </w:r>
          </w:p>
        </w:tc>
        <w:tc>
          <w:tcPr>
            <w:tcW w:w="2540" w:type="dxa"/>
            <w:vAlign w:val="bottom"/>
          </w:tcPr>
          <w:p>
            <w:pPr>
              <w:jc w:val="right"/>
              <w:ind w:right="503"/>
              <w:spacing w:after="0" w:line="150" w:lineRule="exact"/>
              <w:rPr>
                <w:sz w:val="20"/>
                <w:szCs w:val="20"/>
                <w:color w:val="auto"/>
              </w:rPr>
            </w:pPr>
            <w:r>
              <w:rPr>
                <w:rFonts w:ascii="Arial" w:cs="Arial" w:eastAsia="Arial" w:hAnsi="Arial"/>
                <w:sz w:val="14"/>
                <w:szCs w:val="14"/>
                <w:color w:val="00053B"/>
              </w:rPr>
              <w:t>ARR Achievement</w:t>
            </w:r>
          </w:p>
        </w:tc>
        <w:tc>
          <w:tcPr>
            <w:tcW w:w="2180" w:type="dxa"/>
            <w:vAlign w:val="bottom"/>
            <w:vMerge w:val="restart"/>
          </w:tcPr>
          <w:p>
            <w:pPr>
              <w:jc w:val="right"/>
              <w:spacing w:after="0"/>
              <w:rPr>
                <w:sz w:val="20"/>
                <w:szCs w:val="20"/>
                <w:color w:val="auto"/>
              </w:rPr>
            </w:pPr>
            <w:r>
              <w:rPr>
                <w:rFonts w:ascii="Arial" w:cs="Arial" w:eastAsia="Arial" w:hAnsi="Arial"/>
                <w:sz w:val="14"/>
                <w:szCs w:val="14"/>
                <w:color w:val="00053B"/>
              </w:rPr>
              <w:t>% of Target PSU Earned</w:t>
            </w:r>
          </w:p>
        </w:tc>
        <w:tc>
          <w:tcPr>
            <w:tcW w:w="0" w:type="dxa"/>
            <w:vAlign w:val="bottom"/>
          </w:tcPr>
          <w:p>
            <w:pPr>
              <w:spacing w:after="0"/>
              <w:rPr>
                <w:sz w:val="1"/>
                <w:szCs w:val="1"/>
                <w:color w:val="auto"/>
              </w:rPr>
            </w:pPr>
          </w:p>
        </w:tc>
      </w:tr>
      <w:tr>
        <w:trPr>
          <w:trHeight w:val="185"/>
        </w:trPr>
        <w:tc>
          <w:tcPr>
            <w:tcW w:w="2860" w:type="dxa"/>
            <w:vAlign w:val="bottom"/>
            <w:tcBorders>
              <w:bottom w:val="single" w:sz="8" w:color="844896"/>
            </w:tcBorders>
            <w:vMerge w:val="continue"/>
          </w:tcPr>
          <w:p>
            <w:pPr>
              <w:spacing w:after="0"/>
              <w:rPr>
                <w:sz w:val="16"/>
                <w:szCs w:val="16"/>
                <w:color w:val="auto"/>
              </w:rPr>
            </w:pPr>
          </w:p>
        </w:tc>
        <w:tc>
          <w:tcPr>
            <w:tcW w:w="3500" w:type="dxa"/>
            <w:vAlign w:val="bottom"/>
            <w:tcBorders>
              <w:bottom w:val="single" w:sz="8" w:color="844896"/>
            </w:tcBorders>
            <w:vMerge w:val="continue"/>
          </w:tcPr>
          <w:p>
            <w:pPr>
              <w:spacing w:after="0"/>
              <w:rPr>
                <w:sz w:val="16"/>
                <w:szCs w:val="16"/>
                <w:color w:val="auto"/>
              </w:rPr>
            </w:pPr>
          </w:p>
        </w:tc>
        <w:tc>
          <w:tcPr>
            <w:tcW w:w="2540" w:type="dxa"/>
            <w:vAlign w:val="bottom"/>
            <w:tcBorders>
              <w:bottom w:val="single" w:sz="8" w:color="844896"/>
            </w:tcBorders>
          </w:tcPr>
          <w:p>
            <w:pPr>
              <w:jc w:val="right"/>
              <w:ind w:right="503"/>
              <w:spacing w:after="0"/>
              <w:rPr>
                <w:sz w:val="20"/>
                <w:szCs w:val="20"/>
                <w:color w:val="auto"/>
              </w:rPr>
            </w:pPr>
            <w:r>
              <w:rPr>
                <w:rFonts w:ascii="Arial" w:cs="Arial" w:eastAsia="Arial" w:hAnsi="Arial"/>
                <w:sz w:val="14"/>
                <w:szCs w:val="14"/>
                <w:color w:val="00053B"/>
              </w:rPr>
              <w:t>(% of Target)</w:t>
            </w:r>
          </w:p>
        </w:tc>
        <w:tc>
          <w:tcPr>
            <w:tcW w:w="2180" w:type="dxa"/>
            <w:vAlign w:val="bottom"/>
            <w:tcBorders>
              <w:bottom w:val="single" w:sz="8" w:color="844896"/>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Below Threshold</w:t>
            </w:r>
          </w:p>
        </w:tc>
        <w:tc>
          <w:tcPr>
            <w:tcW w:w="3500" w:type="dxa"/>
            <w:vAlign w:val="bottom"/>
            <w:shd w:val="clear" w:color="auto" w:fill="EAEAEA"/>
          </w:tcPr>
          <w:p>
            <w:pPr>
              <w:jc w:val="right"/>
              <w:ind w:right="781"/>
              <w:spacing w:after="0"/>
              <w:rPr>
                <w:sz w:val="20"/>
                <w:szCs w:val="20"/>
                <w:color w:val="auto"/>
              </w:rPr>
            </w:pPr>
            <w:r>
              <w:rPr>
                <w:rFonts w:ascii="Arial" w:cs="Arial" w:eastAsia="Arial" w:hAnsi="Arial"/>
                <w:sz w:val="16"/>
                <w:szCs w:val="16"/>
                <w:color w:val="00053B"/>
              </w:rPr>
              <w:t>&lt; $668 million</w:t>
            </w:r>
          </w:p>
        </w:tc>
        <w:tc>
          <w:tcPr>
            <w:tcW w:w="2540" w:type="dxa"/>
            <w:vAlign w:val="bottom"/>
            <w:shd w:val="clear" w:color="auto" w:fill="EAEAEA"/>
          </w:tcPr>
          <w:p>
            <w:pPr>
              <w:jc w:val="right"/>
              <w:ind w:right="583"/>
              <w:spacing w:after="0"/>
              <w:rPr>
                <w:sz w:val="20"/>
                <w:szCs w:val="20"/>
                <w:color w:val="auto"/>
              </w:rPr>
            </w:pPr>
            <w:r>
              <w:rPr>
                <w:rFonts w:ascii="Arial" w:cs="Arial" w:eastAsia="Arial" w:hAnsi="Arial"/>
                <w:sz w:val="16"/>
                <w:szCs w:val="16"/>
                <w:color w:val="00053B"/>
              </w:rPr>
              <w:t>&lt;88%</w:t>
            </w:r>
          </w:p>
        </w:tc>
        <w:tc>
          <w:tcPr>
            <w:tcW w:w="2180" w:type="dxa"/>
            <w:vAlign w:val="bottom"/>
            <w:shd w:val="clear" w:color="auto" w:fill="EAEAEA"/>
          </w:tcPr>
          <w:p>
            <w:pPr>
              <w:jc w:val="right"/>
              <w:ind w:right="21"/>
              <w:spacing w:after="0"/>
              <w:rPr>
                <w:sz w:val="20"/>
                <w:szCs w:val="20"/>
                <w:color w:val="auto"/>
              </w:rPr>
            </w:pPr>
            <w:r>
              <w:rPr>
                <w:rFonts w:ascii="Arial" w:cs="Arial" w:eastAsia="Arial" w:hAnsi="Arial"/>
                <w:sz w:val="16"/>
                <w:szCs w:val="16"/>
                <w:color w:val="00053B"/>
              </w:rPr>
              <w:t>—%</w:t>
            </w:r>
          </w:p>
        </w:tc>
        <w:tc>
          <w:tcPr>
            <w:tcW w:w="0" w:type="dxa"/>
            <w:vAlign w:val="bottom"/>
          </w:tcPr>
          <w:p>
            <w:pPr>
              <w:spacing w:after="0"/>
              <w:rPr>
                <w:sz w:val="1"/>
                <w:szCs w:val="1"/>
                <w:color w:val="auto"/>
              </w:rPr>
            </w:pPr>
          </w:p>
        </w:tc>
      </w:tr>
      <w:tr>
        <w:trPr>
          <w:trHeight w:val="215"/>
        </w:trPr>
        <w:tc>
          <w:tcPr>
            <w:tcW w:w="2860" w:type="dxa"/>
            <w:vAlign w:val="bottom"/>
          </w:tcPr>
          <w:p>
            <w:pPr>
              <w:ind w:left="120"/>
              <w:spacing w:after="0"/>
              <w:rPr>
                <w:sz w:val="20"/>
                <w:szCs w:val="20"/>
                <w:color w:val="auto"/>
              </w:rPr>
            </w:pPr>
            <w:r>
              <w:rPr>
                <w:rFonts w:ascii="Arial" w:cs="Arial" w:eastAsia="Arial" w:hAnsi="Arial"/>
                <w:sz w:val="16"/>
                <w:szCs w:val="16"/>
                <w:color w:val="00053B"/>
              </w:rPr>
              <w:t>Threshold</w:t>
            </w:r>
          </w:p>
        </w:tc>
        <w:tc>
          <w:tcPr>
            <w:tcW w:w="3500" w:type="dxa"/>
            <w:vAlign w:val="bottom"/>
          </w:tcPr>
          <w:p>
            <w:pPr>
              <w:jc w:val="right"/>
              <w:ind w:right="781"/>
              <w:spacing w:after="0"/>
              <w:rPr>
                <w:sz w:val="20"/>
                <w:szCs w:val="20"/>
                <w:color w:val="auto"/>
              </w:rPr>
            </w:pPr>
            <w:r>
              <w:rPr>
                <w:rFonts w:ascii="Arial" w:cs="Arial" w:eastAsia="Arial" w:hAnsi="Arial"/>
                <w:sz w:val="16"/>
                <w:szCs w:val="16"/>
                <w:color w:val="00053B"/>
              </w:rPr>
              <w:t>$668 million</w:t>
            </w:r>
          </w:p>
        </w:tc>
        <w:tc>
          <w:tcPr>
            <w:tcW w:w="2540" w:type="dxa"/>
            <w:vAlign w:val="bottom"/>
          </w:tcPr>
          <w:p>
            <w:pPr>
              <w:jc w:val="right"/>
              <w:ind w:right="583"/>
              <w:spacing w:after="0"/>
              <w:rPr>
                <w:sz w:val="20"/>
                <w:szCs w:val="20"/>
                <w:color w:val="auto"/>
              </w:rPr>
            </w:pPr>
            <w:r>
              <w:rPr>
                <w:rFonts w:ascii="Arial" w:cs="Arial" w:eastAsia="Arial" w:hAnsi="Arial"/>
                <w:sz w:val="16"/>
                <w:szCs w:val="16"/>
                <w:color w:val="00053B"/>
              </w:rPr>
              <w:t>88%</w:t>
            </w:r>
          </w:p>
        </w:tc>
        <w:tc>
          <w:tcPr>
            <w:tcW w:w="2180" w:type="dxa"/>
            <w:vAlign w:val="bottom"/>
          </w:tcPr>
          <w:p>
            <w:pPr>
              <w:jc w:val="right"/>
              <w:ind w:right="21"/>
              <w:spacing w:after="0"/>
              <w:rPr>
                <w:sz w:val="20"/>
                <w:szCs w:val="20"/>
                <w:color w:val="auto"/>
              </w:rPr>
            </w:pPr>
            <w:r>
              <w:rPr>
                <w:rFonts w:ascii="Arial" w:cs="Arial" w:eastAsia="Arial" w:hAnsi="Arial"/>
                <w:sz w:val="16"/>
                <w:szCs w:val="16"/>
                <w:color w:val="00053B"/>
              </w:rPr>
              <w:t>50%</w:t>
            </w:r>
          </w:p>
        </w:tc>
        <w:tc>
          <w:tcPr>
            <w:tcW w:w="0" w:type="dxa"/>
            <w:vAlign w:val="bottom"/>
          </w:tcPr>
          <w:p>
            <w:pPr>
              <w:spacing w:after="0"/>
              <w:rPr>
                <w:sz w:val="1"/>
                <w:szCs w:val="1"/>
                <w:color w:val="auto"/>
              </w:rPr>
            </w:pPr>
          </w:p>
        </w:tc>
      </w:tr>
      <w:tr>
        <w:trPr>
          <w:trHeight w:val="217"/>
        </w:trPr>
        <w:tc>
          <w:tcPr>
            <w:tcW w:w="2860" w:type="dxa"/>
            <w:vAlign w:val="bottom"/>
            <w:shd w:val="clear" w:color="auto" w:fill="EAEAEA"/>
          </w:tcPr>
          <w:p>
            <w:pPr>
              <w:ind w:left="120"/>
              <w:spacing w:after="0"/>
              <w:rPr>
                <w:sz w:val="20"/>
                <w:szCs w:val="20"/>
                <w:color w:val="auto"/>
              </w:rPr>
            </w:pPr>
            <w:r>
              <w:rPr>
                <w:rFonts w:ascii="Arial" w:cs="Arial" w:eastAsia="Arial" w:hAnsi="Arial"/>
                <w:sz w:val="16"/>
                <w:szCs w:val="16"/>
                <w:color w:val="00053B"/>
              </w:rPr>
              <w:t>Target</w:t>
            </w:r>
          </w:p>
        </w:tc>
        <w:tc>
          <w:tcPr>
            <w:tcW w:w="3500" w:type="dxa"/>
            <w:vAlign w:val="bottom"/>
            <w:shd w:val="clear" w:color="auto" w:fill="EAEAEA"/>
          </w:tcPr>
          <w:p>
            <w:pPr>
              <w:jc w:val="right"/>
              <w:ind w:right="781"/>
              <w:spacing w:after="0"/>
              <w:rPr>
                <w:sz w:val="20"/>
                <w:szCs w:val="20"/>
                <w:color w:val="auto"/>
              </w:rPr>
            </w:pPr>
            <w:r>
              <w:rPr>
                <w:rFonts w:ascii="Arial" w:cs="Arial" w:eastAsia="Arial" w:hAnsi="Arial"/>
                <w:sz w:val="16"/>
                <w:szCs w:val="16"/>
                <w:color w:val="00053B"/>
              </w:rPr>
              <w:t>$760 million</w:t>
            </w:r>
          </w:p>
        </w:tc>
        <w:tc>
          <w:tcPr>
            <w:tcW w:w="2540" w:type="dxa"/>
            <w:vAlign w:val="bottom"/>
            <w:shd w:val="clear" w:color="auto" w:fill="EAEAEA"/>
          </w:tcPr>
          <w:p>
            <w:pPr>
              <w:jc w:val="right"/>
              <w:ind w:right="583"/>
              <w:spacing w:after="0"/>
              <w:rPr>
                <w:sz w:val="20"/>
                <w:szCs w:val="20"/>
                <w:color w:val="auto"/>
              </w:rPr>
            </w:pPr>
            <w:r>
              <w:rPr>
                <w:rFonts w:ascii="Arial" w:cs="Arial" w:eastAsia="Arial" w:hAnsi="Arial"/>
                <w:sz w:val="16"/>
                <w:szCs w:val="16"/>
                <w:color w:val="00053B"/>
              </w:rPr>
              <w:t>100%</w:t>
            </w:r>
          </w:p>
        </w:tc>
        <w:tc>
          <w:tcPr>
            <w:tcW w:w="2180" w:type="dxa"/>
            <w:vAlign w:val="bottom"/>
            <w:shd w:val="clear" w:color="auto" w:fill="EAEAEA"/>
          </w:tcPr>
          <w:p>
            <w:pPr>
              <w:jc w:val="right"/>
              <w:ind w:right="21"/>
              <w:spacing w:after="0"/>
              <w:rPr>
                <w:sz w:val="20"/>
                <w:szCs w:val="20"/>
                <w:color w:val="auto"/>
              </w:rPr>
            </w:pPr>
            <w:r>
              <w:rPr>
                <w:rFonts w:ascii="Arial" w:cs="Arial" w:eastAsia="Arial" w:hAnsi="Arial"/>
                <w:sz w:val="16"/>
                <w:szCs w:val="16"/>
                <w:color w:val="00053B"/>
              </w:rPr>
              <w:t>100%</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color w:val="00053B"/>
        </w:rPr>
        <w:t>In the event that our actual performance exceeds target, the payout expressed as a percent of target will increase by 6% of each 1% of incremental ARR performance above target up to a maximum payout equal to 200%.</w:t>
      </w:r>
    </w:p>
    <w:p>
      <w:pPr>
        <w:spacing w:after="0" w:line="21"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00053B"/>
        </w:rPr>
        <w:t>Our actual ARR achievement for fiscal 2024 was equal to 101.3% of target. As a result, the TMCC certified a payout equal to 108% of the target number of shares. Any shares earned based on our actual one-year financial performance were to vest 33.3% on the first anniversary of the grant date and an additional 8.375% quarterly thereafter until fully vested.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OTHER BENEFITS</w:t>
      </w:r>
    </w:p>
    <w:p>
      <w:pPr>
        <w:spacing w:after="0" w:line="122"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00053B"/>
        </w:rPr>
        <w:t>Our executive officers participate in retirement, health and welfare benefit programs that are substantially the same as the benefits for all other eligible Commvault employees. These benefits include a 50% matching contribution on the first 4% of eligible pay contributed to our 401(k) plan.</w:t>
      </w:r>
    </w:p>
    <w:p>
      <w:pPr>
        <w:spacing w:after="0" w:line="61" w:lineRule="exact"/>
        <w:rPr>
          <w:sz w:val="20"/>
          <w:szCs w:val="20"/>
          <w:color w:val="auto"/>
        </w:rPr>
      </w:pPr>
    </w:p>
    <w:p>
      <w:pPr>
        <w:spacing w:after="0" w:line="262" w:lineRule="auto"/>
        <w:rPr>
          <w:sz w:val="20"/>
          <w:szCs w:val="20"/>
          <w:color w:val="auto"/>
        </w:rPr>
      </w:pPr>
      <w:r>
        <w:rPr>
          <w:rFonts w:ascii="Arial" w:cs="Arial" w:eastAsia="Arial" w:hAnsi="Arial"/>
          <w:sz w:val="16"/>
          <w:szCs w:val="16"/>
          <w:color w:val="00053B"/>
        </w:rPr>
        <w:t>Our executive officers also are eligible to participate in our Employee Stock Purchase Plan (the “ESPP”). The ESPP is a stockholder approved plan under which substantially all employees may purchase the Company’s common stock through payroll deductions at a price equal to 85% of the lower of the fair market value of the common stock as of the beginning or the end of six-month offering periods. An employee’s payroll deductions under the ESPP are limited to 10% of salary, and employees may not purchase more than $25,000 of common stock during any calendar year. Messrs. Mirchandani, Merrill and Di Blasio participated in the ESPP in fiscal 2024 and received nominal benefits related to the 15% discount on the purchase price of the Company’s common stock.</w:t>
      </w:r>
    </w:p>
    <w:p>
      <w:pPr>
        <w:spacing w:after="0" w:line="265"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00053B"/>
        </w:rPr>
        <w:t>Our executive officers are generally not provided any perquisite or other benefits not available to our other employees. As disclosed in the Summary Compensation Table below, we do provide our Chief Executive Officer with a car service in connection with business travel. In addition, Mr. Mirchandani and Mr. Merrill are provided access to financial and estate planning support.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COMPENSATION RISK ASSESSMENT</w:t>
      </w:r>
    </w:p>
    <w:p>
      <w:pPr>
        <w:spacing w:after="0" w:line="122"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00053B"/>
        </w:rPr>
        <w:t>We have reviewed our compensation policies and practices for all employees and concluded that any risks arising from our policies and practices are not reasonably likely to have a material adverse effect on us.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INDIVIDUAL AGREEMENTS</w:t>
      </w:r>
    </w:p>
    <w:p>
      <w:pPr>
        <w:spacing w:after="0" w:line="122" w:lineRule="exact"/>
        <w:rPr>
          <w:sz w:val="20"/>
          <w:szCs w:val="20"/>
          <w:color w:val="auto"/>
        </w:rPr>
      </w:pPr>
    </w:p>
    <w:p>
      <w:pPr>
        <w:spacing w:after="0" w:line="261" w:lineRule="auto"/>
        <w:rPr>
          <w:sz w:val="20"/>
          <w:szCs w:val="20"/>
          <w:color w:val="auto"/>
        </w:rPr>
      </w:pPr>
      <w:r>
        <w:rPr>
          <w:rFonts w:ascii="Arial" w:cs="Arial" w:eastAsia="Arial" w:hAnsi="Arial"/>
          <w:sz w:val="16"/>
          <w:szCs w:val="16"/>
          <w:color w:val="00053B"/>
        </w:rPr>
        <w:t>We have entered into individual agreements with each of our named executive officers. Mr. Mirchandani has entered into an employment agreement with the Company, and all other named executive officers have entered into executive retention and severance agreements. We entered into these arrangements to acknowledge each executive’s importance to Commvault and our stockholders and to attempt to avoid the distraction and loss of key management personnel that may occur in connection with rumored or actual fundamental corporate organizational changes. As more fully described in the section entitled “Individual Agreements”, these agreements entitle a named executive officer to payments and benefits if employment is terminated by the Company without “cause,” or by him with “good reason,” within the two-year period following a change in control of the Company.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STOCK OWNERSHIP GUIDELINES FOR THE CEO</w:t>
      </w:r>
    </w:p>
    <w:p>
      <w:pPr>
        <w:spacing w:after="0" w:line="10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00053B"/>
        </w:rPr>
        <w:t>We currently require our CEO to acquire an equity ownership interest in Commvault common stock that is equal to five times his current annual base salary, to align his interests with those of our stockholders. As of March 31, 2024, Mr. Mirchandani’s equity ownership exceeded this required level of ownership.</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38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15175" cy="1028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CD&amp;A | </w:t>
      </w:r>
      <w:r>
        <w:rPr>
          <w:rFonts w:ascii="Arial" w:cs="Arial" w:eastAsia="Arial" w:hAnsi="Arial"/>
          <w:sz w:val="11"/>
          <w:szCs w:val="11"/>
          <w:b w:val="1"/>
          <w:bCs w:val="1"/>
          <w:color w:val="00053B"/>
        </w:rPr>
        <w:t>FISCAL YEAR 2024 COMPENSATION DECISIONS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HEDGING PROHIBITION</w:t>
      </w:r>
    </w:p>
    <w:p>
      <w:pPr>
        <w:spacing w:after="0" w:line="95" w:lineRule="exact"/>
        <w:rPr>
          <w:sz w:val="20"/>
          <w:szCs w:val="20"/>
          <w:color w:val="auto"/>
        </w:rPr>
      </w:pPr>
    </w:p>
    <w:p>
      <w:pPr>
        <w:spacing w:after="0" w:line="261" w:lineRule="auto"/>
        <w:rPr>
          <w:sz w:val="20"/>
          <w:szCs w:val="20"/>
          <w:color w:val="auto"/>
        </w:rPr>
      </w:pPr>
      <w:r>
        <w:rPr>
          <w:rFonts w:ascii="Arial" w:cs="Arial" w:eastAsia="Arial" w:hAnsi="Arial"/>
          <w:sz w:val="16"/>
          <w:szCs w:val="16"/>
          <w:color w:val="00053B"/>
        </w:rPr>
        <w:t>We have a policy that prohibits our employees (including officers) and directors from engaging in any hedging transactions with regard to Commvault common stock, including: short sales; purchases or sales of puts, calls, or other derivative securities; and purchases of financial instruments (such as prepaid variable forward contracts, equity swaps, collars, and exchange funds) or other transactions that hedge or offset, or are designed to hedge or offset, any decrease in the market value of Commvault securities. Hedging transactions enable the holder to continue to own shares of our common stock, but without the full risks and rewards of ownership. The Board believes these transactions are inadvisable because a holder who no longer has the full risks and rewards of ownership may not have the same objectives as the Company and our other stockholders.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PLEDGING PROHIBITION</w:t>
      </w:r>
    </w:p>
    <w:p>
      <w:pPr>
        <w:spacing w:after="0" w:line="122"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00053B"/>
        </w:rPr>
        <w:t>We have a policy that prohibits our employees (including officers) and directors from pledging Commvault securities as collateral to secure a personal loan. The Board believes these transactions are inadvisable because the practice may put the stock price at risk due to an employee’s personal decision and create misalignment of employee interests.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CLAWBACK POLICY</w:t>
      </w:r>
    </w:p>
    <w:p>
      <w:pPr>
        <w:spacing w:after="0" w:line="122" w:lineRule="exact"/>
        <w:rPr>
          <w:sz w:val="20"/>
          <w:szCs w:val="20"/>
          <w:color w:val="auto"/>
        </w:rPr>
      </w:pPr>
    </w:p>
    <w:p>
      <w:pPr>
        <w:ind w:right="60"/>
        <w:spacing w:after="0" w:line="258" w:lineRule="auto"/>
        <w:rPr>
          <w:rFonts w:ascii="Arial" w:cs="Arial" w:eastAsia="Arial" w:hAnsi="Arial"/>
          <w:sz w:val="16"/>
          <w:szCs w:val="16"/>
          <w:color w:val="00053B"/>
        </w:rPr>
      </w:pPr>
      <w:r>
        <w:rPr>
          <w:rFonts w:ascii="Arial" w:cs="Arial" w:eastAsia="Arial" w:hAnsi="Arial"/>
          <w:sz w:val="16"/>
          <w:szCs w:val="16"/>
          <w:color w:val="00053B"/>
        </w:rPr>
        <w:t xml:space="preserve">We have a “clawback” policy that permits the TMCC to seek to recover cash or equity incentive awards from certain senior leaders, in the event Commvault is required to prepare a financial restatement, without regard to whether the restatement is caused by wrongdoing, negligence, or misconduct. In October 2023 we adopted an additional </w:t>
      </w:r>
      <w:hyperlink r:id="rId37">
        <w:r>
          <w:rPr>
            <w:rFonts w:ascii="Arial" w:cs="Arial" w:eastAsia="Arial" w:hAnsi="Arial"/>
            <w:sz w:val="16"/>
            <w:szCs w:val="16"/>
            <w:u w:val="single" w:color="auto"/>
            <w:color w:val="844896"/>
          </w:rPr>
          <w:t>Clawback Policy</w:t>
        </w:r>
        <w:r>
          <w:rPr>
            <w:rFonts w:ascii="Arial" w:cs="Arial" w:eastAsia="Arial" w:hAnsi="Arial"/>
            <w:sz w:val="16"/>
            <w:szCs w:val="16"/>
            <w:u w:val="single" w:color="auto"/>
            <w:color w:val="00053B"/>
          </w:rPr>
          <w:t xml:space="preserve"> </w:t>
        </w:r>
      </w:hyperlink>
      <w:r>
        <w:rPr>
          <w:rFonts w:ascii="Arial" w:cs="Arial" w:eastAsia="Arial" w:hAnsi="Arial"/>
          <w:sz w:val="16"/>
          <w:szCs w:val="16"/>
          <w:color w:val="00053B"/>
        </w:rPr>
        <w:t>for executive officers that complies with the SEC rules promulgated under the Dodd-Frank Act and the Nasdaq listing standards. This policy applies to all incentive-based compensation (including cash bonus payments) received by our current and former Section 16 officers on or after October 2, 2023, the effective date specified in the Nasdaq listing standards. Under this policy, “Incentive-based compensation” means any compensation that is granted, earned, or vested based wholly or in part upon the attainment of a financial reporting measure. In the event of an accounting restatement that impacts the financial reporting measures on which incentive-based compensation is calculated, this policy will require the clawback of the amount by which the compensation actually received exceeds the amount that otherwise would have been received based on the restated financial results.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844896"/>
        </w:rPr>
        <w:t>TAX AND ACCOUNTING CONSIDERATIONS</w:t>
      </w:r>
    </w:p>
    <w:p>
      <w:pPr>
        <w:spacing w:after="0" w:line="122"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00053B"/>
        </w:rPr>
        <w:t>Section 162(m) of the Internal Revenue Code places a limit of $1 million on the amount of compensation that we may deduct as a business expense in any year with respect to certain of our most highly paid executive officers. While the TMCC considers the deductibility of compensation as one factor in determining executive compensation, the TMCC believes it is in the best interests of our stockholders to maintain flexibility in our approach to executive compensation and to structure a program that we consider to be the most effective in attracting, motivating, and retaining key executives.</w:t>
      </w:r>
    </w:p>
    <w:p>
      <w:pPr>
        <w:spacing w:after="0" w:line="7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00053B"/>
        </w:rPr>
        <w:t>We account for the equity awards granted to all of our employees under ASC 718, Compensation—Stock Compensation, which requires us to estimate and record compensation expense over the service period of the award. All equity awards to our employees, including our executive officers, and to the non-employee members of our Board of Directors, are reflected in our consolidated financial statements, based upon the applicable accounting guidance, at fair value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39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6995160" cy="17399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The Talent Management and Compensation Committee has reviewed and discussed with management the disclosures contained in the foregoing “Compensation Discussion and Analysis.” Based on this review and discussion, the Talent Management and Compensation Committee recommended to the Board that the section entitled “Compensation Discussion and Analysis” be included in this Proxy Statement for the Annual Meeting.</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844896"/>
        </w:rPr>
        <w:t>Members of the Talent Management and Compensation Committee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Vivie “YY” Lee—Chair</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Keith Geeslin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Shane Sanders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Arlen Shenkman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40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6995160" cy="17399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Fiscal 2024 Summary Compensation Table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00053B"/>
        </w:rPr>
        <w:t>The following table summarizes the compensation earned by the named executive officers during the fiscal years ended March 31, 2024, 2023, and 2022.</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vMerge w:val="restart"/>
          </w:tcPr>
          <w:p>
            <w:pPr>
              <w:jc w:val="right"/>
              <w:ind w:right="110"/>
              <w:spacing w:after="0"/>
              <w:rPr>
                <w:sz w:val="20"/>
                <w:szCs w:val="20"/>
                <w:color w:val="auto"/>
              </w:rPr>
            </w:pPr>
            <w:r>
              <w:rPr>
                <w:rFonts w:ascii="Arial" w:cs="Arial" w:eastAsia="Arial" w:hAnsi="Arial"/>
                <w:sz w:val="13"/>
                <w:szCs w:val="13"/>
                <w:color w:val="00053B"/>
              </w:rPr>
              <w:t>Stock</w:t>
            </w:r>
          </w:p>
        </w:tc>
        <w:tc>
          <w:tcPr>
            <w:tcW w:w="1180" w:type="dxa"/>
            <w:vAlign w:val="bottom"/>
          </w:tcPr>
          <w:p>
            <w:pPr>
              <w:jc w:val="right"/>
              <w:ind w:right="111"/>
              <w:spacing w:after="0"/>
              <w:rPr>
                <w:sz w:val="20"/>
                <w:szCs w:val="20"/>
                <w:color w:val="auto"/>
              </w:rPr>
            </w:pPr>
            <w:r>
              <w:rPr>
                <w:rFonts w:ascii="Arial" w:cs="Arial" w:eastAsia="Arial" w:hAnsi="Arial"/>
                <w:sz w:val="13"/>
                <w:szCs w:val="13"/>
                <w:color w:val="00053B"/>
              </w:rPr>
              <w:t>Non-Equity</w:t>
            </w:r>
          </w:p>
        </w:tc>
        <w:tc>
          <w:tcPr>
            <w:tcW w:w="1180" w:type="dxa"/>
            <w:vAlign w:val="bottom"/>
            <w:vMerge w:val="restart"/>
          </w:tcPr>
          <w:p>
            <w:pPr>
              <w:jc w:val="right"/>
              <w:ind w:right="130"/>
              <w:spacing w:after="0"/>
              <w:rPr>
                <w:sz w:val="20"/>
                <w:szCs w:val="20"/>
                <w:color w:val="auto"/>
              </w:rPr>
            </w:pPr>
            <w:r>
              <w:rPr>
                <w:rFonts w:ascii="Arial" w:cs="Arial" w:eastAsia="Arial" w:hAnsi="Arial"/>
                <w:sz w:val="13"/>
                <w:szCs w:val="13"/>
                <w:color w:val="00053B"/>
              </w:rPr>
              <w:t>All Other</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180" w:type="dxa"/>
            <w:vAlign w:val="bottom"/>
          </w:tcPr>
          <w:p>
            <w:pPr>
              <w:jc w:val="right"/>
              <w:ind w:right="111"/>
              <w:spacing w:after="0" w:line="126" w:lineRule="exact"/>
              <w:rPr>
                <w:sz w:val="20"/>
                <w:szCs w:val="20"/>
                <w:color w:val="auto"/>
              </w:rPr>
            </w:pPr>
            <w:r>
              <w:rPr>
                <w:rFonts w:ascii="Arial" w:cs="Arial" w:eastAsia="Arial" w:hAnsi="Arial"/>
                <w:sz w:val="13"/>
                <w:szCs w:val="13"/>
                <w:color w:val="00053B"/>
              </w:rPr>
              <w:t>Incentive Plan</w:t>
            </w:r>
          </w:p>
        </w:tc>
        <w:tc>
          <w:tcPr>
            <w:tcW w:w="11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20" w:type="dxa"/>
            <w:vAlign w:val="bottom"/>
            <w:vMerge w:val="restart"/>
          </w:tcPr>
          <w:p>
            <w:pPr>
              <w:ind w:left="160"/>
              <w:spacing w:after="0"/>
              <w:rPr>
                <w:sz w:val="20"/>
                <w:szCs w:val="20"/>
                <w:color w:val="auto"/>
              </w:rPr>
            </w:pPr>
            <w:r>
              <w:rPr>
                <w:rFonts w:ascii="Arial" w:cs="Arial" w:eastAsia="Arial" w:hAnsi="Arial"/>
                <w:sz w:val="13"/>
                <w:szCs w:val="13"/>
                <w:color w:val="00053B"/>
              </w:rPr>
              <w:t>Name and Principal Position</w:t>
            </w:r>
          </w:p>
        </w:tc>
        <w:tc>
          <w:tcPr>
            <w:tcW w:w="1120" w:type="dxa"/>
            <w:vAlign w:val="bottom"/>
            <w:vMerge w:val="restart"/>
          </w:tcPr>
          <w:p>
            <w:pPr>
              <w:jc w:val="right"/>
              <w:ind w:right="229"/>
              <w:spacing w:after="0"/>
              <w:rPr>
                <w:sz w:val="20"/>
                <w:szCs w:val="20"/>
                <w:color w:val="auto"/>
              </w:rPr>
            </w:pPr>
            <w:r>
              <w:rPr>
                <w:rFonts w:ascii="Arial" w:cs="Arial" w:eastAsia="Arial" w:hAnsi="Arial"/>
                <w:sz w:val="13"/>
                <w:szCs w:val="13"/>
                <w:color w:val="00053B"/>
              </w:rPr>
              <w:t>Year</w:t>
            </w:r>
          </w:p>
        </w:tc>
        <w:tc>
          <w:tcPr>
            <w:tcW w:w="1180" w:type="dxa"/>
            <w:vAlign w:val="bottom"/>
            <w:vMerge w:val="restart"/>
          </w:tcPr>
          <w:p>
            <w:pPr>
              <w:jc w:val="right"/>
              <w:ind w:right="249"/>
              <w:spacing w:after="0"/>
              <w:rPr>
                <w:sz w:val="20"/>
                <w:szCs w:val="20"/>
                <w:color w:val="auto"/>
              </w:rPr>
            </w:pPr>
            <w:r>
              <w:rPr>
                <w:rFonts w:ascii="Arial" w:cs="Arial" w:eastAsia="Arial" w:hAnsi="Arial"/>
                <w:sz w:val="13"/>
                <w:szCs w:val="13"/>
                <w:color w:val="00053B"/>
              </w:rPr>
              <w:t>Salary ($)</w:t>
            </w:r>
          </w:p>
        </w:tc>
        <w:tc>
          <w:tcPr>
            <w:tcW w:w="1060" w:type="dxa"/>
            <w:vAlign w:val="bottom"/>
            <w:vMerge w:val="restart"/>
          </w:tcPr>
          <w:p>
            <w:pPr>
              <w:ind w:left="320"/>
              <w:spacing w:after="0"/>
              <w:rPr>
                <w:sz w:val="20"/>
                <w:szCs w:val="20"/>
                <w:color w:val="auto"/>
              </w:rPr>
            </w:pPr>
            <w:r>
              <w:rPr>
                <w:rFonts w:ascii="Arial" w:cs="Arial" w:eastAsia="Arial" w:hAnsi="Arial"/>
                <w:sz w:val="13"/>
                <w:szCs w:val="13"/>
                <w:color w:val="00053B"/>
              </w:rPr>
              <w:t>Bonus ($)</w:t>
            </w:r>
          </w:p>
        </w:tc>
        <w:tc>
          <w:tcPr>
            <w:tcW w:w="1160" w:type="dxa"/>
            <w:vAlign w:val="bottom"/>
          </w:tcPr>
          <w:p>
            <w:pPr>
              <w:jc w:val="right"/>
              <w:ind w:right="110"/>
              <w:spacing w:after="0" w:line="122" w:lineRule="exact"/>
              <w:rPr>
                <w:sz w:val="20"/>
                <w:szCs w:val="20"/>
                <w:color w:val="auto"/>
              </w:rPr>
            </w:pPr>
            <w:r>
              <w:rPr>
                <w:rFonts w:ascii="Arial" w:cs="Arial" w:eastAsia="Arial" w:hAnsi="Arial"/>
                <w:sz w:val="13"/>
                <w:szCs w:val="13"/>
                <w:color w:val="00053B"/>
              </w:rPr>
              <w:t>Awards</w:t>
            </w:r>
          </w:p>
        </w:tc>
        <w:tc>
          <w:tcPr>
            <w:tcW w:w="1180" w:type="dxa"/>
            <w:vAlign w:val="bottom"/>
          </w:tcPr>
          <w:p>
            <w:pPr>
              <w:jc w:val="right"/>
              <w:ind w:right="111"/>
              <w:spacing w:after="0" w:line="122" w:lineRule="exact"/>
              <w:rPr>
                <w:sz w:val="20"/>
                <w:szCs w:val="20"/>
                <w:color w:val="auto"/>
              </w:rPr>
            </w:pPr>
            <w:r>
              <w:rPr>
                <w:rFonts w:ascii="Arial" w:cs="Arial" w:eastAsia="Arial" w:hAnsi="Arial"/>
                <w:sz w:val="13"/>
                <w:szCs w:val="13"/>
                <w:color w:val="00053B"/>
              </w:rPr>
              <w:t>Compensation</w:t>
            </w:r>
          </w:p>
        </w:tc>
        <w:tc>
          <w:tcPr>
            <w:tcW w:w="1180" w:type="dxa"/>
            <w:vAlign w:val="bottom"/>
          </w:tcPr>
          <w:p>
            <w:pPr>
              <w:jc w:val="right"/>
              <w:ind w:right="130"/>
              <w:spacing w:after="0" w:line="122" w:lineRule="exact"/>
              <w:rPr>
                <w:sz w:val="20"/>
                <w:szCs w:val="20"/>
                <w:color w:val="auto"/>
              </w:rPr>
            </w:pPr>
            <w:r>
              <w:rPr>
                <w:rFonts w:ascii="Arial" w:cs="Arial" w:eastAsia="Arial" w:hAnsi="Arial"/>
                <w:sz w:val="13"/>
                <w:szCs w:val="13"/>
                <w:color w:val="00053B"/>
              </w:rPr>
              <w:t>Compensation</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00053B"/>
              </w:rPr>
              <w:t>Total ($)</w:t>
            </w:r>
          </w:p>
        </w:tc>
        <w:tc>
          <w:tcPr>
            <w:tcW w:w="0" w:type="dxa"/>
            <w:vAlign w:val="bottom"/>
          </w:tcPr>
          <w:p>
            <w:pPr>
              <w:spacing w:after="0"/>
              <w:rPr>
                <w:sz w:val="1"/>
                <w:szCs w:val="1"/>
                <w:color w:val="auto"/>
              </w:rPr>
            </w:pPr>
          </w:p>
        </w:tc>
      </w:tr>
      <w:tr>
        <w:trPr>
          <w:trHeight w:val="171"/>
        </w:trPr>
        <w:tc>
          <w:tcPr>
            <w:tcW w:w="3120" w:type="dxa"/>
            <w:vAlign w:val="bottom"/>
            <w:tcBorders>
              <w:bottom w:val="single" w:sz="8" w:color="844896"/>
            </w:tcBorders>
            <w:vMerge w:val="continue"/>
          </w:tcPr>
          <w:p>
            <w:pPr>
              <w:spacing w:after="0"/>
              <w:rPr>
                <w:sz w:val="14"/>
                <w:szCs w:val="14"/>
                <w:color w:val="auto"/>
              </w:rPr>
            </w:pPr>
          </w:p>
        </w:tc>
        <w:tc>
          <w:tcPr>
            <w:tcW w:w="1120" w:type="dxa"/>
            <w:vAlign w:val="bottom"/>
            <w:tcBorders>
              <w:bottom w:val="single" w:sz="8" w:color="844896"/>
            </w:tcBorders>
            <w:vMerge w:val="continue"/>
          </w:tcPr>
          <w:p>
            <w:pPr>
              <w:spacing w:after="0"/>
              <w:rPr>
                <w:sz w:val="14"/>
                <w:szCs w:val="14"/>
                <w:color w:val="auto"/>
              </w:rPr>
            </w:pPr>
          </w:p>
        </w:tc>
        <w:tc>
          <w:tcPr>
            <w:tcW w:w="1180" w:type="dxa"/>
            <w:vAlign w:val="bottom"/>
            <w:tcBorders>
              <w:bottom w:val="single" w:sz="8" w:color="844896"/>
            </w:tcBorders>
            <w:vMerge w:val="continue"/>
          </w:tcPr>
          <w:p>
            <w:pPr>
              <w:spacing w:after="0"/>
              <w:rPr>
                <w:sz w:val="14"/>
                <w:szCs w:val="14"/>
                <w:color w:val="auto"/>
              </w:rPr>
            </w:pPr>
          </w:p>
        </w:tc>
        <w:tc>
          <w:tcPr>
            <w:tcW w:w="1060" w:type="dxa"/>
            <w:vAlign w:val="bottom"/>
            <w:tcBorders>
              <w:bottom w:val="single" w:sz="8" w:color="844896"/>
            </w:tcBorders>
            <w:vMerge w:val="continue"/>
          </w:tcPr>
          <w:p>
            <w:pPr>
              <w:spacing w:after="0"/>
              <w:rPr>
                <w:sz w:val="14"/>
                <w:szCs w:val="14"/>
                <w:color w:val="auto"/>
              </w:rPr>
            </w:pPr>
          </w:p>
        </w:tc>
        <w:tc>
          <w:tcPr>
            <w:tcW w:w="1160" w:type="dxa"/>
            <w:vAlign w:val="bottom"/>
            <w:tcBorders>
              <w:bottom w:val="single" w:sz="8" w:color="844896"/>
            </w:tcBorders>
          </w:tcPr>
          <w:p>
            <w:pPr>
              <w:jc w:val="right"/>
              <w:ind w:right="110"/>
              <w:spacing w:after="0"/>
              <w:rPr>
                <w:sz w:val="20"/>
                <w:szCs w:val="20"/>
                <w:color w:val="auto"/>
              </w:rPr>
            </w:pPr>
            <w:r>
              <w:rPr>
                <w:rFonts w:ascii="Arial" w:cs="Arial" w:eastAsia="Arial" w:hAnsi="Arial"/>
                <w:sz w:val="13"/>
                <w:szCs w:val="13"/>
                <w:color w:val="00053B"/>
              </w:rPr>
              <w:t>($)(1)</w:t>
            </w:r>
          </w:p>
        </w:tc>
        <w:tc>
          <w:tcPr>
            <w:tcW w:w="1180" w:type="dxa"/>
            <w:vAlign w:val="bottom"/>
            <w:tcBorders>
              <w:bottom w:val="single" w:sz="8" w:color="844896"/>
            </w:tcBorders>
          </w:tcPr>
          <w:p>
            <w:pPr>
              <w:jc w:val="right"/>
              <w:ind w:right="111"/>
              <w:spacing w:after="0"/>
              <w:rPr>
                <w:sz w:val="20"/>
                <w:szCs w:val="20"/>
                <w:color w:val="auto"/>
              </w:rPr>
            </w:pPr>
            <w:r>
              <w:rPr>
                <w:rFonts w:ascii="Arial" w:cs="Arial" w:eastAsia="Arial" w:hAnsi="Arial"/>
                <w:sz w:val="13"/>
                <w:szCs w:val="13"/>
                <w:color w:val="00053B"/>
              </w:rPr>
              <w:t>($)(2)</w:t>
            </w:r>
          </w:p>
        </w:tc>
        <w:tc>
          <w:tcPr>
            <w:tcW w:w="1180" w:type="dxa"/>
            <w:vAlign w:val="bottom"/>
            <w:tcBorders>
              <w:bottom w:val="single" w:sz="8" w:color="844896"/>
            </w:tcBorders>
          </w:tcPr>
          <w:p>
            <w:pPr>
              <w:jc w:val="right"/>
              <w:ind w:right="130"/>
              <w:spacing w:after="0"/>
              <w:rPr>
                <w:sz w:val="20"/>
                <w:szCs w:val="20"/>
                <w:color w:val="auto"/>
              </w:rPr>
            </w:pPr>
            <w:r>
              <w:rPr>
                <w:rFonts w:ascii="Arial" w:cs="Arial" w:eastAsia="Arial" w:hAnsi="Arial"/>
                <w:sz w:val="13"/>
                <w:szCs w:val="13"/>
                <w:color w:val="00053B"/>
              </w:rPr>
              <w:t>($)</w:t>
            </w:r>
          </w:p>
        </w:tc>
        <w:tc>
          <w:tcPr>
            <w:tcW w:w="1000" w:type="dxa"/>
            <w:vAlign w:val="bottom"/>
            <w:tcBorders>
              <w:bottom w:val="single" w:sz="8" w:color="844896"/>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120" w:type="dxa"/>
            <w:vAlign w:val="bottom"/>
          </w:tcPr>
          <w:p>
            <w:pPr>
              <w:ind w:left="140"/>
              <w:spacing w:after="0"/>
              <w:rPr>
                <w:sz w:val="20"/>
                <w:szCs w:val="20"/>
                <w:color w:val="auto"/>
              </w:rPr>
            </w:pPr>
            <w:r>
              <w:rPr>
                <w:rFonts w:ascii="Arial" w:cs="Arial" w:eastAsia="Arial" w:hAnsi="Arial"/>
                <w:sz w:val="14"/>
                <w:szCs w:val="14"/>
                <w:b w:val="1"/>
                <w:bCs w:val="1"/>
                <w:color w:val="00053B"/>
              </w:rPr>
              <w:t>Sanjay Mirchandani</w:t>
            </w:r>
          </w:p>
        </w:tc>
        <w:tc>
          <w:tcPr>
            <w:tcW w:w="1120" w:type="dxa"/>
            <w:vAlign w:val="bottom"/>
          </w:tcPr>
          <w:p>
            <w:pPr>
              <w:jc w:val="right"/>
              <w:ind w:right="229"/>
              <w:spacing w:after="0"/>
              <w:rPr>
                <w:sz w:val="20"/>
                <w:szCs w:val="20"/>
                <w:color w:val="auto"/>
              </w:rPr>
            </w:pPr>
            <w:r>
              <w:rPr>
                <w:rFonts w:ascii="Arial" w:cs="Arial" w:eastAsia="Arial" w:hAnsi="Arial"/>
                <w:sz w:val="14"/>
                <w:szCs w:val="14"/>
                <w:color w:val="00053B"/>
              </w:rPr>
              <w:t>2024</w:t>
            </w:r>
          </w:p>
        </w:tc>
        <w:tc>
          <w:tcPr>
            <w:tcW w:w="1180" w:type="dxa"/>
            <w:vAlign w:val="bottom"/>
          </w:tcPr>
          <w:p>
            <w:pPr>
              <w:jc w:val="right"/>
              <w:ind w:right="289"/>
              <w:spacing w:after="0"/>
              <w:rPr>
                <w:sz w:val="20"/>
                <w:szCs w:val="20"/>
                <w:color w:val="auto"/>
              </w:rPr>
            </w:pPr>
            <w:r>
              <w:rPr>
                <w:rFonts w:ascii="Arial" w:cs="Arial" w:eastAsia="Arial" w:hAnsi="Arial"/>
                <w:sz w:val="14"/>
                <w:szCs w:val="14"/>
                <w:color w:val="00053B"/>
              </w:rPr>
              <w:t>645,000</w:t>
            </w:r>
          </w:p>
        </w:tc>
        <w:tc>
          <w:tcPr>
            <w:tcW w:w="1060" w:type="dxa"/>
            <w:vAlign w:val="bottom"/>
          </w:tcPr>
          <w:p>
            <w:pPr>
              <w:ind w:left="660"/>
              <w:spacing w:after="0"/>
              <w:rPr>
                <w:sz w:val="20"/>
                <w:szCs w:val="20"/>
                <w:color w:val="auto"/>
              </w:rPr>
            </w:pPr>
            <w:r>
              <w:rPr>
                <w:rFonts w:ascii="Arial" w:cs="Arial" w:eastAsia="Arial" w:hAnsi="Arial"/>
                <w:sz w:val="14"/>
                <w:szCs w:val="14"/>
                <w:color w:val="00053B"/>
              </w:rPr>
              <w:t>—</w:t>
            </w:r>
          </w:p>
        </w:tc>
        <w:tc>
          <w:tcPr>
            <w:tcW w:w="1160" w:type="dxa"/>
            <w:vAlign w:val="bottom"/>
          </w:tcPr>
          <w:p>
            <w:pPr>
              <w:jc w:val="right"/>
              <w:ind w:right="170"/>
              <w:spacing w:after="0"/>
              <w:rPr>
                <w:sz w:val="20"/>
                <w:szCs w:val="20"/>
                <w:color w:val="auto"/>
              </w:rPr>
            </w:pPr>
            <w:r>
              <w:rPr>
                <w:rFonts w:ascii="Arial" w:cs="Arial" w:eastAsia="Arial" w:hAnsi="Arial"/>
                <w:sz w:val="14"/>
                <w:szCs w:val="14"/>
                <w:color w:val="00053B"/>
              </w:rPr>
              <w:t>10,694,658</w:t>
            </w:r>
          </w:p>
        </w:tc>
        <w:tc>
          <w:tcPr>
            <w:tcW w:w="1180" w:type="dxa"/>
            <w:vAlign w:val="bottom"/>
          </w:tcPr>
          <w:p>
            <w:pPr>
              <w:jc w:val="right"/>
              <w:ind w:right="171"/>
              <w:spacing w:after="0"/>
              <w:rPr>
                <w:sz w:val="20"/>
                <w:szCs w:val="20"/>
                <w:color w:val="auto"/>
              </w:rPr>
            </w:pPr>
            <w:r>
              <w:rPr>
                <w:rFonts w:ascii="Arial" w:cs="Arial" w:eastAsia="Arial" w:hAnsi="Arial"/>
                <w:sz w:val="14"/>
                <w:szCs w:val="14"/>
                <w:color w:val="00053B"/>
              </w:rPr>
              <w:t>703,050</w:t>
            </w:r>
          </w:p>
        </w:tc>
        <w:tc>
          <w:tcPr>
            <w:tcW w:w="1180" w:type="dxa"/>
            <w:vAlign w:val="bottom"/>
          </w:tcPr>
          <w:p>
            <w:pPr>
              <w:jc w:val="right"/>
              <w:ind w:right="130"/>
              <w:spacing w:after="0"/>
              <w:rPr>
                <w:sz w:val="20"/>
                <w:szCs w:val="20"/>
                <w:color w:val="auto"/>
              </w:rPr>
            </w:pPr>
            <w:r>
              <w:rPr>
                <w:rFonts w:ascii="Arial" w:cs="Arial" w:eastAsia="Arial" w:hAnsi="Arial"/>
                <w:sz w:val="14"/>
                <w:szCs w:val="14"/>
                <w:color w:val="00053B"/>
              </w:rPr>
              <w:t>65,052(4)</w:t>
            </w:r>
          </w:p>
        </w:tc>
        <w:tc>
          <w:tcPr>
            <w:tcW w:w="1000" w:type="dxa"/>
            <w:vAlign w:val="bottom"/>
          </w:tcPr>
          <w:p>
            <w:pPr>
              <w:jc w:val="right"/>
              <w:spacing w:after="0"/>
              <w:rPr>
                <w:sz w:val="20"/>
                <w:szCs w:val="20"/>
                <w:color w:val="auto"/>
              </w:rPr>
            </w:pPr>
            <w:r>
              <w:rPr>
                <w:rFonts w:ascii="Arial" w:cs="Arial" w:eastAsia="Arial" w:hAnsi="Arial"/>
                <w:sz w:val="14"/>
                <w:szCs w:val="14"/>
                <w:color w:val="00053B"/>
              </w:rPr>
              <w:t>12,107,760</w:t>
            </w:r>
          </w:p>
        </w:tc>
        <w:tc>
          <w:tcPr>
            <w:tcW w:w="0" w:type="dxa"/>
            <w:vAlign w:val="bottom"/>
          </w:tcPr>
          <w:p>
            <w:pPr>
              <w:spacing w:after="0"/>
              <w:rPr>
                <w:sz w:val="1"/>
                <w:szCs w:val="1"/>
                <w:color w:val="auto"/>
              </w:rPr>
            </w:pPr>
          </w:p>
        </w:tc>
      </w:tr>
      <w:tr>
        <w:trPr>
          <w:trHeight w:val="197"/>
        </w:trPr>
        <w:tc>
          <w:tcPr>
            <w:tcW w:w="3120" w:type="dxa"/>
            <w:vAlign w:val="bottom"/>
          </w:tcPr>
          <w:p>
            <w:pPr>
              <w:ind w:left="140"/>
              <w:spacing w:after="0"/>
              <w:rPr>
                <w:sz w:val="20"/>
                <w:szCs w:val="20"/>
                <w:color w:val="auto"/>
              </w:rPr>
            </w:pPr>
            <w:r>
              <w:rPr>
                <w:rFonts w:ascii="Arial" w:cs="Arial" w:eastAsia="Arial" w:hAnsi="Arial"/>
                <w:sz w:val="14"/>
                <w:szCs w:val="14"/>
                <w:color w:val="00053B"/>
              </w:rPr>
              <w:t>President and Chief Executive Officer</w:t>
            </w:r>
          </w:p>
        </w:tc>
        <w:tc>
          <w:tcPr>
            <w:tcW w:w="1120" w:type="dxa"/>
            <w:vAlign w:val="bottom"/>
          </w:tcPr>
          <w:p>
            <w:pPr>
              <w:jc w:val="right"/>
              <w:ind w:right="229"/>
              <w:spacing w:after="0"/>
              <w:rPr>
                <w:sz w:val="20"/>
                <w:szCs w:val="20"/>
                <w:color w:val="auto"/>
              </w:rPr>
            </w:pPr>
            <w:r>
              <w:rPr>
                <w:rFonts w:ascii="Arial" w:cs="Arial" w:eastAsia="Arial" w:hAnsi="Arial"/>
                <w:sz w:val="14"/>
                <w:szCs w:val="14"/>
                <w:color w:val="00053B"/>
              </w:rPr>
              <w:t>2023</w:t>
            </w:r>
          </w:p>
        </w:tc>
        <w:tc>
          <w:tcPr>
            <w:tcW w:w="1180" w:type="dxa"/>
            <w:vAlign w:val="bottom"/>
          </w:tcPr>
          <w:p>
            <w:pPr>
              <w:jc w:val="right"/>
              <w:ind w:right="289"/>
              <w:spacing w:after="0"/>
              <w:rPr>
                <w:sz w:val="20"/>
                <w:szCs w:val="20"/>
                <w:color w:val="auto"/>
              </w:rPr>
            </w:pPr>
            <w:r>
              <w:rPr>
                <w:rFonts w:ascii="Arial" w:cs="Arial" w:eastAsia="Arial" w:hAnsi="Arial"/>
                <w:sz w:val="14"/>
                <w:szCs w:val="14"/>
                <w:color w:val="00053B"/>
              </w:rPr>
              <w:t>645,000</w:t>
            </w:r>
          </w:p>
        </w:tc>
        <w:tc>
          <w:tcPr>
            <w:tcW w:w="1060" w:type="dxa"/>
            <w:vAlign w:val="bottom"/>
          </w:tcPr>
          <w:p>
            <w:pPr>
              <w:ind w:left="660"/>
              <w:spacing w:after="0"/>
              <w:rPr>
                <w:sz w:val="20"/>
                <w:szCs w:val="20"/>
                <w:color w:val="auto"/>
              </w:rPr>
            </w:pPr>
            <w:r>
              <w:rPr>
                <w:rFonts w:ascii="Arial" w:cs="Arial" w:eastAsia="Arial" w:hAnsi="Arial"/>
                <w:sz w:val="14"/>
                <w:szCs w:val="14"/>
                <w:color w:val="00053B"/>
              </w:rPr>
              <w:t>—</w:t>
            </w:r>
          </w:p>
        </w:tc>
        <w:tc>
          <w:tcPr>
            <w:tcW w:w="1160" w:type="dxa"/>
            <w:vAlign w:val="bottom"/>
          </w:tcPr>
          <w:p>
            <w:pPr>
              <w:jc w:val="right"/>
              <w:ind w:right="170"/>
              <w:spacing w:after="0"/>
              <w:rPr>
                <w:sz w:val="20"/>
                <w:szCs w:val="20"/>
                <w:color w:val="auto"/>
              </w:rPr>
            </w:pPr>
            <w:r>
              <w:rPr>
                <w:rFonts w:ascii="Arial" w:cs="Arial" w:eastAsia="Arial" w:hAnsi="Arial"/>
                <w:sz w:val="14"/>
                <w:szCs w:val="14"/>
                <w:color w:val="00053B"/>
              </w:rPr>
              <w:t>9,722,388</w:t>
            </w:r>
          </w:p>
        </w:tc>
        <w:tc>
          <w:tcPr>
            <w:tcW w:w="1180" w:type="dxa"/>
            <w:vAlign w:val="bottom"/>
          </w:tcPr>
          <w:p>
            <w:pPr>
              <w:jc w:val="right"/>
              <w:ind w:right="171"/>
              <w:spacing w:after="0"/>
              <w:rPr>
                <w:sz w:val="20"/>
                <w:szCs w:val="20"/>
                <w:color w:val="auto"/>
              </w:rPr>
            </w:pPr>
            <w:r>
              <w:rPr>
                <w:rFonts w:ascii="Arial" w:cs="Arial" w:eastAsia="Arial" w:hAnsi="Arial"/>
                <w:sz w:val="14"/>
                <w:szCs w:val="14"/>
                <w:color w:val="00053B"/>
              </w:rPr>
              <w:t>462,465</w:t>
            </w:r>
          </w:p>
        </w:tc>
        <w:tc>
          <w:tcPr>
            <w:tcW w:w="1180" w:type="dxa"/>
            <w:vAlign w:val="bottom"/>
          </w:tcPr>
          <w:p>
            <w:pPr>
              <w:jc w:val="right"/>
              <w:ind w:right="170"/>
              <w:spacing w:after="0"/>
              <w:rPr>
                <w:sz w:val="20"/>
                <w:szCs w:val="20"/>
                <w:color w:val="auto"/>
              </w:rPr>
            </w:pPr>
            <w:r>
              <w:rPr>
                <w:rFonts w:ascii="Arial" w:cs="Arial" w:eastAsia="Arial" w:hAnsi="Arial"/>
                <w:sz w:val="14"/>
                <w:szCs w:val="14"/>
                <w:color w:val="00053B"/>
              </w:rPr>
              <w:t>22,950</w:t>
            </w:r>
          </w:p>
        </w:tc>
        <w:tc>
          <w:tcPr>
            <w:tcW w:w="1000" w:type="dxa"/>
            <w:vAlign w:val="bottom"/>
          </w:tcPr>
          <w:p>
            <w:pPr>
              <w:jc w:val="right"/>
              <w:spacing w:after="0"/>
              <w:rPr>
                <w:sz w:val="20"/>
                <w:szCs w:val="20"/>
                <w:color w:val="auto"/>
              </w:rPr>
            </w:pPr>
            <w:r>
              <w:rPr>
                <w:rFonts w:ascii="Arial" w:cs="Arial" w:eastAsia="Arial" w:hAnsi="Arial"/>
                <w:sz w:val="14"/>
                <w:szCs w:val="14"/>
                <w:color w:val="00053B"/>
              </w:rPr>
              <w:t>10,852,803</w:t>
            </w:r>
          </w:p>
        </w:tc>
        <w:tc>
          <w:tcPr>
            <w:tcW w:w="0" w:type="dxa"/>
            <w:vAlign w:val="bottom"/>
          </w:tcPr>
          <w:p>
            <w:pPr>
              <w:spacing w:after="0"/>
              <w:rPr>
                <w:sz w:val="1"/>
                <w:szCs w:val="1"/>
                <w:color w:val="auto"/>
              </w:rPr>
            </w:pPr>
          </w:p>
        </w:tc>
      </w:tr>
      <w:tr>
        <w:trPr>
          <w:trHeight w:val="207"/>
        </w:trPr>
        <w:tc>
          <w:tcPr>
            <w:tcW w:w="3120" w:type="dxa"/>
            <w:vAlign w:val="bottom"/>
          </w:tcPr>
          <w:p>
            <w:pPr>
              <w:spacing w:after="0"/>
              <w:rPr>
                <w:sz w:val="17"/>
                <w:szCs w:val="17"/>
                <w:color w:val="auto"/>
              </w:rPr>
            </w:pPr>
          </w:p>
        </w:tc>
        <w:tc>
          <w:tcPr>
            <w:tcW w:w="1120" w:type="dxa"/>
            <w:vAlign w:val="bottom"/>
          </w:tcPr>
          <w:p>
            <w:pPr>
              <w:jc w:val="right"/>
              <w:ind w:right="229"/>
              <w:spacing w:after="0"/>
              <w:rPr>
                <w:sz w:val="20"/>
                <w:szCs w:val="20"/>
                <w:color w:val="auto"/>
              </w:rPr>
            </w:pPr>
            <w:r>
              <w:rPr>
                <w:rFonts w:ascii="Arial" w:cs="Arial" w:eastAsia="Arial" w:hAnsi="Arial"/>
                <w:sz w:val="14"/>
                <w:szCs w:val="14"/>
                <w:color w:val="00053B"/>
              </w:rPr>
              <w:t>2022</w:t>
            </w:r>
          </w:p>
        </w:tc>
        <w:tc>
          <w:tcPr>
            <w:tcW w:w="1180" w:type="dxa"/>
            <w:vAlign w:val="bottom"/>
          </w:tcPr>
          <w:p>
            <w:pPr>
              <w:jc w:val="right"/>
              <w:ind w:right="289"/>
              <w:spacing w:after="0"/>
              <w:rPr>
                <w:sz w:val="20"/>
                <w:szCs w:val="20"/>
                <w:color w:val="auto"/>
              </w:rPr>
            </w:pPr>
            <w:r>
              <w:rPr>
                <w:rFonts w:ascii="Arial" w:cs="Arial" w:eastAsia="Arial" w:hAnsi="Arial"/>
                <w:sz w:val="14"/>
                <w:szCs w:val="14"/>
                <w:color w:val="00053B"/>
              </w:rPr>
              <w:t>634,038</w:t>
            </w:r>
          </w:p>
        </w:tc>
        <w:tc>
          <w:tcPr>
            <w:tcW w:w="1060" w:type="dxa"/>
            <w:vAlign w:val="bottom"/>
          </w:tcPr>
          <w:p>
            <w:pPr>
              <w:ind w:left="660"/>
              <w:spacing w:after="0"/>
              <w:rPr>
                <w:sz w:val="20"/>
                <w:szCs w:val="20"/>
                <w:color w:val="auto"/>
              </w:rPr>
            </w:pPr>
            <w:r>
              <w:rPr>
                <w:rFonts w:ascii="Arial" w:cs="Arial" w:eastAsia="Arial" w:hAnsi="Arial"/>
                <w:sz w:val="14"/>
                <w:szCs w:val="14"/>
                <w:color w:val="00053B"/>
              </w:rPr>
              <w:t>—</w:t>
            </w:r>
          </w:p>
        </w:tc>
        <w:tc>
          <w:tcPr>
            <w:tcW w:w="1160" w:type="dxa"/>
            <w:vAlign w:val="bottom"/>
          </w:tcPr>
          <w:p>
            <w:pPr>
              <w:jc w:val="right"/>
              <w:ind w:right="170"/>
              <w:spacing w:after="0"/>
              <w:rPr>
                <w:sz w:val="20"/>
                <w:szCs w:val="20"/>
                <w:color w:val="auto"/>
              </w:rPr>
            </w:pPr>
            <w:r>
              <w:rPr>
                <w:rFonts w:ascii="Arial" w:cs="Arial" w:eastAsia="Arial" w:hAnsi="Arial"/>
                <w:sz w:val="14"/>
                <w:szCs w:val="14"/>
                <w:color w:val="00053B"/>
              </w:rPr>
              <w:t>9,413,382</w:t>
            </w:r>
          </w:p>
        </w:tc>
        <w:tc>
          <w:tcPr>
            <w:tcW w:w="1180" w:type="dxa"/>
            <w:vAlign w:val="bottom"/>
          </w:tcPr>
          <w:p>
            <w:pPr>
              <w:jc w:val="right"/>
              <w:ind w:right="171"/>
              <w:spacing w:after="0"/>
              <w:rPr>
                <w:sz w:val="20"/>
                <w:szCs w:val="20"/>
                <w:color w:val="auto"/>
              </w:rPr>
            </w:pPr>
            <w:r>
              <w:rPr>
                <w:rFonts w:ascii="Arial" w:cs="Arial" w:eastAsia="Arial" w:hAnsi="Arial"/>
                <w:sz w:val="14"/>
                <w:szCs w:val="14"/>
                <w:color w:val="00053B"/>
              </w:rPr>
              <w:t>652,224</w:t>
            </w:r>
          </w:p>
        </w:tc>
        <w:tc>
          <w:tcPr>
            <w:tcW w:w="1180" w:type="dxa"/>
            <w:vAlign w:val="bottom"/>
          </w:tcPr>
          <w:p>
            <w:pPr>
              <w:jc w:val="right"/>
              <w:ind w:right="170"/>
              <w:spacing w:after="0"/>
              <w:rPr>
                <w:sz w:val="20"/>
                <w:szCs w:val="20"/>
                <w:color w:val="auto"/>
              </w:rPr>
            </w:pPr>
            <w:r>
              <w:rPr>
                <w:rFonts w:ascii="Arial" w:cs="Arial" w:eastAsia="Arial" w:hAnsi="Arial"/>
                <w:sz w:val="14"/>
                <w:szCs w:val="14"/>
                <w:color w:val="00053B"/>
              </w:rPr>
              <w:t>60,568</w:t>
            </w:r>
          </w:p>
        </w:tc>
        <w:tc>
          <w:tcPr>
            <w:tcW w:w="1000" w:type="dxa"/>
            <w:vAlign w:val="bottom"/>
          </w:tcPr>
          <w:p>
            <w:pPr>
              <w:jc w:val="right"/>
              <w:spacing w:after="0"/>
              <w:rPr>
                <w:sz w:val="20"/>
                <w:szCs w:val="20"/>
                <w:color w:val="auto"/>
              </w:rPr>
            </w:pPr>
            <w:r>
              <w:rPr>
                <w:rFonts w:ascii="Arial" w:cs="Arial" w:eastAsia="Arial" w:hAnsi="Arial"/>
                <w:sz w:val="14"/>
                <w:szCs w:val="14"/>
                <w:color w:val="00053B"/>
              </w:rPr>
              <w:t>10,760,212</w:t>
            </w:r>
          </w:p>
        </w:tc>
        <w:tc>
          <w:tcPr>
            <w:tcW w:w="0" w:type="dxa"/>
            <w:vAlign w:val="bottom"/>
          </w:tcPr>
          <w:p>
            <w:pPr>
              <w:spacing w:after="0"/>
              <w:rPr>
                <w:sz w:val="1"/>
                <w:szCs w:val="1"/>
                <w:color w:val="auto"/>
              </w:rPr>
            </w:pPr>
          </w:p>
        </w:tc>
      </w:tr>
      <w:tr>
        <w:trPr>
          <w:trHeight w:val="204"/>
        </w:trPr>
        <w:tc>
          <w:tcPr>
            <w:tcW w:w="3120" w:type="dxa"/>
            <w:vAlign w:val="bottom"/>
            <w:shd w:val="clear" w:color="auto" w:fill="EAEAEA"/>
          </w:tcPr>
          <w:p>
            <w:pPr>
              <w:ind w:left="140"/>
              <w:spacing w:after="0"/>
              <w:rPr>
                <w:sz w:val="20"/>
                <w:szCs w:val="20"/>
                <w:color w:val="auto"/>
              </w:rPr>
            </w:pPr>
            <w:r>
              <w:rPr>
                <w:rFonts w:ascii="Arial" w:cs="Arial" w:eastAsia="Arial" w:hAnsi="Arial"/>
                <w:sz w:val="14"/>
                <w:szCs w:val="14"/>
                <w:b w:val="1"/>
                <w:bCs w:val="1"/>
                <w:color w:val="00053B"/>
              </w:rPr>
              <w:t>Gary Merrill(3)</w:t>
            </w:r>
          </w:p>
        </w:tc>
        <w:tc>
          <w:tcPr>
            <w:tcW w:w="1120" w:type="dxa"/>
            <w:vAlign w:val="bottom"/>
            <w:shd w:val="clear" w:color="auto" w:fill="EAEAEA"/>
          </w:tcPr>
          <w:p>
            <w:pPr>
              <w:jc w:val="right"/>
              <w:ind w:right="229"/>
              <w:spacing w:after="0"/>
              <w:rPr>
                <w:sz w:val="20"/>
                <w:szCs w:val="20"/>
                <w:color w:val="auto"/>
              </w:rPr>
            </w:pPr>
            <w:r>
              <w:rPr>
                <w:rFonts w:ascii="Arial" w:cs="Arial" w:eastAsia="Arial" w:hAnsi="Arial"/>
                <w:sz w:val="14"/>
                <w:szCs w:val="14"/>
                <w:color w:val="00053B"/>
              </w:rPr>
              <w:t>2024</w:t>
            </w:r>
          </w:p>
        </w:tc>
        <w:tc>
          <w:tcPr>
            <w:tcW w:w="1180" w:type="dxa"/>
            <w:vAlign w:val="bottom"/>
            <w:shd w:val="clear" w:color="auto" w:fill="EAEAEA"/>
          </w:tcPr>
          <w:p>
            <w:pPr>
              <w:jc w:val="right"/>
              <w:ind w:right="289"/>
              <w:spacing w:after="0"/>
              <w:rPr>
                <w:sz w:val="20"/>
                <w:szCs w:val="20"/>
                <w:color w:val="auto"/>
              </w:rPr>
            </w:pPr>
            <w:r>
              <w:rPr>
                <w:rFonts w:ascii="Arial" w:cs="Arial" w:eastAsia="Arial" w:hAnsi="Arial"/>
                <w:sz w:val="14"/>
                <w:szCs w:val="14"/>
                <w:color w:val="00053B"/>
              </w:rPr>
              <w:t>451,000</w:t>
            </w:r>
          </w:p>
        </w:tc>
        <w:tc>
          <w:tcPr>
            <w:tcW w:w="1060" w:type="dxa"/>
            <w:vAlign w:val="bottom"/>
            <w:shd w:val="clear" w:color="auto" w:fill="EAEAEA"/>
          </w:tcPr>
          <w:p>
            <w:pPr>
              <w:ind w:left="660"/>
              <w:spacing w:after="0"/>
              <w:rPr>
                <w:sz w:val="20"/>
                <w:szCs w:val="20"/>
                <w:color w:val="auto"/>
              </w:rPr>
            </w:pPr>
            <w:r>
              <w:rPr>
                <w:rFonts w:ascii="Arial" w:cs="Arial" w:eastAsia="Arial" w:hAnsi="Arial"/>
                <w:sz w:val="14"/>
                <w:szCs w:val="14"/>
                <w:color w:val="00053B"/>
              </w:rPr>
              <w:t>—</w:t>
            </w:r>
          </w:p>
        </w:tc>
        <w:tc>
          <w:tcPr>
            <w:tcW w:w="1160" w:type="dxa"/>
            <w:vAlign w:val="bottom"/>
            <w:shd w:val="clear" w:color="auto" w:fill="EAEAEA"/>
          </w:tcPr>
          <w:p>
            <w:pPr>
              <w:jc w:val="right"/>
              <w:ind w:right="170"/>
              <w:spacing w:after="0"/>
              <w:rPr>
                <w:sz w:val="20"/>
                <w:szCs w:val="20"/>
                <w:color w:val="auto"/>
              </w:rPr>
            </w:pPr>
            <w:r>
              <w:rPr>
                <w:rFonts w:ascii="Arial" w:cs="Arial" w:eastAsia="Arial" w:hAnsi="Arial"/>
                <w:sz w:val="14"/>
                <w:szCs w:val="14"/>
                <w:color w:val="00053B"/>
              </w:rPr>
              <w:t>3,528,001</w:t>
            </w:r>
          </w:p>
        </w:tc>
        <w:tc>
          <w:tcPr>
            <w:tcW w:w="1180" w:type="dxa"/>
            <w:vAlign w:val="bottom"/>
            <w:shd w:val="clear" w:color="auto" w:fill="EAEAEA"/>
          </w:tcPr>
          <w:p>
            <w:pPr>
              <w:jc w:val="right"/>
              <w:ind w:right="171"/>
              <w:spacing w:after="0"/>
              <w:rPr>
                <w:sz w:val="20"/>
                <w:szCs w:val="20"/>
                <w:color w:val="auto"/>
              </w:rPr>
            </w:pPr>
            <w:r>
              <w:rPr>
                <w:rFonts w:ascii="Arial" w:cs="Arial" w:eastAsia="Arial" w:hAnsi="Arial"/>
                <w:sz w:val="14"/>
                <w:szCs w:val="14"/>
                <w:color w:val="00053B"/>
              </w:rPr>
              <w:t>344,113</w:t>
            </w:r>
          </w:p>
        </w:tc>
        <w:tc>
          <w:tcPr>
            <w:tcW w:w="1180" w:type="dxa"/>
            <w:vAlign w:val="bottom"/>
            <w:shd w:val="clear" w:color="auto" w:fill="EAEAEA"/>
          </w:tcPr>
          <w:p>
            <w:pPr>
              <w:jc w:val="right"/>
              <w:ind w:right="130"/>
              <w:spacing w:after="0"/>
              <w:rPr>
                <w:sz w:val="20"/>
                <w:szCs w:val="20"/>
                <w:color w:val="auto"/>
              </w:rPr>
            </w:pPr>
            <w:r>
              <w:rPr>
                <w:rFonts w:ascii="Arial" w:cs="Arial" w:eastAsia="Arial" w:hAnsi="Arial"/>
                <w:sz w:val="14"/>
                <w:szCs w:val="14"/>
                <w:color w:val="00053B"/>
              </w:rPr>
              <w:t>20,455(5)</w:t>
            </w:r>
          </w:p>
        </w:tc>
        <w:tc>
          <w:tcPr>
            <w:tcW w:w="1000" w:type="dxa"/>
            <w:vAlign w:val="bottom"/>
            <w:shd w:val="clear" w:color="auto" w:fill="EAEAEA"/>
          </w:tcPr>
          <w:p>
            <w:pPr>
              <w:jc w:val="right"/>
              <w:spacing w:after="0"/>
              <w:rPr>
                <w:sz w:val="20"/>
                <w:szCs w:val="20"/>
                <w:color w:val="auto"/>
              </w:rPr>
            </w:pPr>
            <w:r>
              <w:rPr>
                <w:rFonts w:ascii="Arial" w:cs="Arial" w:eastAsia="Arial" w:hAnsi="Arial"/>
                <w:sz w:val="14"/>
                <w:szCs w:val="14"/>
                <w:color w:val="00053B"/>
              </w:rPr>
              <w:t>4,343,569</w:t>
            </w:r>
          </w:p>
        </w:tc>
        <w:tc>
          <w:tcPr>
            <w:tcW w:w="0" w:type="dxa"/>
            <w:vAlign w:val="bottom"/>
          </w:tcPr>
          <w:p>
            <w:pPr>
              <w:spacing w:after="0"/>
              <w:rPr>
                <w:sz w:val="1"/>
                <w:szCs w:val="1"/>
                <w:color w:val="auto"/>
              </w:rPr>
            </w:pPr>
          </w:p>
        </w:tc>
      </w:tr>
      <w:tr>
        <w:trPr>
          <w:trHeight w:val="205"/>
        </w:trPr>
        <w:tc>
          <w:tcPr>
            <w:tcW w:w="3120" w:type="dxa"/>
            <w:vAlign w:val="bottom"/>
            <w:shd w:val="clear" w:color="auto" w:fill="EAEAEA"/>
          </w:tcPr>
          <w:p>
            <w:pPr>
              <w:ind w:left="140"/>
              <w:spacing w:after="0"/>
              <w:rPr>
                <w:sz w:val="20"/>
                <w:szCs w:val="20"/>
                <w:color w:val="auto"/>
              </w:rPr>
            </w:pPr>
            <w:r>
              <w:rPr>
                <w:rFonts w:ascii="Arial" w:cs="Arial" w:eastAsia="Arial" w:hAnsi="Arial"/>
                <w:sz w:val="14"/>
                <w:szCs w:val="14"/>
                <w:color w:val="00053B"/>
              </w:rPr>
              <w:t>Chief Financial Officer</w:t>
            </w:r>
          </w:p>
        </w:tc>
        <w:tc>
          <w:tcPr>
            <w:tcW w:w="1120" w:type="dxa"/>
            <w:vAlign w:val="bottom"/>
            <w:shd w:val="clear" w:color="auto" w:fill="EAEAEA"/>
          </w:tcPr>
          <w:p>
            <w:pPr>
              <w:jc w:val="right"/>
              <w:ind w:right="229"/>
              <w:spacing w:after="0"/>
              <w:rPr>
                <w:sz w:val="20"/>
                <w:szCs w:val="20"/>
                <w:color w:val="auto"/>
              </w:rPr>
            </w:pPr>
            <w:r>
              <w:rPr>
                <w:rFonts w:ascii="Arial" w:cs="Arial" w:eastAsia="Arial" w:hAnsi="Arial"/>
                <w:sz w:val="14"/>
                <w:szCs w:val="14"/>
                <w:color w:val="00053B"/>
              </w:rPr>
              <w:t>2023</w:t>
            </w:r>
          </w:p>
        </w:tc>
        <w:tc>
          <w:tcPr>
            <w:tcW w:w="1180" w:type="dxa"/>
            <w:vAlign w:val="bottom"/>
            <w:shd w:val="clear" w:color="auto" w:fill="EAEAEA"/>
          </w:tcPr>
          <w:p>
            <w:pPr>
              <w:jc w:val="right"/>
              <w:ind w:right="289"/>
              <w:spacing w:after="0"/>
              <w:rPr>
                <w:sz w:val="20"/>
                <w:szCs w:val="20"/>
                <w:color w:val="auto"/>
              </w:rPr>
            </w:pPr>
            <w:r>
              <w:rPr>
                <w:rFonts w:ascii="Arial" w:cs="Arial" w:eastAsia="Arial" w:hAnsi="Arial"/>
                <w:sz w:val="14"/>
                <w:szCs w:val="14"/>
                <w:color w:val="00053B"/>
              </w:rPr>
              <w:t>408,846</w:t>
            </w:r>
          </w:p>
        </w:tc>
        <w:tc>
          <w:tcPr>
            <w:tcW w:w="1060" w:type="dxa"/>
            <w:vAlign w:val="bottom"/>
            <w:shd w:val="clear" w:color="auto" w:fill="EAEAEA"/>
          </w:tcPr>
          <w:p>
            <w:pPr>
              <w:ind w:left="660"/>
              <w:spacing w:after="0"/>
              <w:rPr>
                <w:sz w:val="20"/>
                <w:szCs w:val="20"/>
                <w:color w:val="auto"/>
              </w:rPr>
            </w:pPr>
            <w:r>
              <w:rPr>
                <w:rFonts w:ascii="Arial" w:cs="Arial" w:eastAsia="Arial" w:hAnsi="Arial"/>
                <w:sz w:val="14"/>
                <w:szCs w:val="14"/>
                <w:color w:val="00053B"/>
              </w:rPr>
              <w:t>—</w:t>
            </w:r>
          </w:p>
        </w:tc>
        <w:tc>
          <w:tcPr>
            <w:tcW w:w="1160" w:type="dxa"/>
            <w:vAlign w:val="bottom"/>
            <w:shd w:val="clear" w:color="auto" w:fill="EAEAEA"/>
          </w:tcPr>
          <w:p>
            <w:pPr>
              <w:jc w:val="right"/>
              <w:ind w:right="170"/>
              <w:spacing w:after="0"/>
              <w:rPr>
                <w:sz w:val="20"/>
                <w:szCs w:val="20"/>
                <w:color w:val="auto"/>
              </w:rPr>
            </w:pPr>
            <w:r>
              <w:rPr>
                <w:rFonts w:ascii="Arial" w:cs="Arial" w:eastAsia="Arial" w:hAnsi="Arial"/>
                <w:sz w:val="14"/>
                <w:szCs w:val="14"/>
                <w:color w:val="00053B"/>
              </w:rPr>
              <w:t>1,890,383</w:t>
            </w:r>
          </w:p>
        </w:tc>
        <w:tc>
          <w:tcPr>
            <w:tcW w:w="1180" w:type="dxa"/>
            <w:vAlign w:val="bottom"/>
            <w:shd w:val="clear" w:color="auto" w:fill="EAEAEA"/>
          </w:tcPr>
          <w:p>
            <w:pPr>
              <w:jc w:val="right"/>
              <w:ind w:right="171"/>
              <w:spacing w:after="0"/>
              <w:rPr>
                <w:sz w:val="20"/>
                <w:szCs w:val="20"/>
                <w:color w:val="auto"/>
              </w:rPr>
            </w:pPr>
            <w:r>
              <w:rPr>
                <w:rFonts w:ascii="Arial" w:cs="Arial" w:eastAsia="Arial" w:hAnsi="Arial"/>
                <w:sz w:val="14"/>
                <w:szCs w:val="14"/>
                <w:color w:val="00053B"/>
              </w:rPr>
              <w:t>176,382</w:t>
            </w:r>
          </w:p>
        </w:tc>
        <w:tc>
          <w:tcPr>
            <w:tcW w:w="1180" w:type="dxa"/>
            <w:vAlign w:val="bottom"/>
            <w:shd w:val="clear" w:color="auto" w:fill="EAEAEA"/>
          </w:tcPr>
          <w:p>
            <w:pPr>
              <w:jc w:val="right"/>
              <w:ind w:right="170"/>
              <w:spacing w:after="0"/>
              <w:rPr>
                <w:sz w:val="20"/>
                <w:szCs w:val="20"/>
                <w:color w:val="auto"/>
              </w:rPr>
            </w:pPr>
            <w:r>
              <w:rPr>
                <w:rFonts w:ascii="Arial" w:cs="Arial" w:eastAsia="Arial" w:hAnsi="Arial"/>
                <w:sz w:val="14"/>
                <w:szCs w:val="14"/>
                <w:color w:val="00053B"/>
              </w:rPr>
              <w:t>6,146</w:t>
            </w:r>
          </w:p>
        </w:tc>
        <w:tc>
          <w:tcPr>
            <w:tcW w:w="1000" w:type="dxa"/>
            <w:vAlign w:val="bottom"/>
            <w:shd w:val="clear" w:color="auto" w:fill="EAEAEA"/>
          </w:tcPr>
          <w:p>
            <w:pPr>
              <w:jc w:val="right"/>
              <w:spacing w:after="0"/>
              <w:rPr>
                <w:sz w:val="20"/>
                <w:szCs w:val="20"/>
                <w:color w:val="auto"/>
              </w:rPr>
            </w:pPr>
            <w:r>
              <w:rPr>
                <w:rFonts w:ascii="Arial" w:cs="Arial" w:eastAsia="Arial" w:hAnsi="Arial"/>
                <w:sz w:val="14"/>
                <w:szCs w:val="14"/>
                <w:color w:val="00053B"/>
              </w:rPr>
              <w:t>2,481,757</w:t>
            </w:r>
          </w:p>
        </w:tc>
        <w:tc>
          <w:tcPr>
            <w:tcW w:w="0" w:type="dxa"/>
            <w:vAlign w:val="bottom"/>
          </w:tcPr>
          <w:p>
            <w:pPr>
              <w:spacing w:after="0"/>
              <w:rPr>
                <w:sz w:val="1"/>
                <w:szCs w:val="1"/>
                <w:color w:val="auto"/>
              </w:rPr>
            </w:pPr>
          </w:p>
        </w:tc>
      </w:tr>
      <w:tr>
        <w:trPr>
          <w:trHeight w:val="200"/>
        </w:trPr>
        <w:tc>
          <w:tcPr>
            <w:tcW w:w="3120" w:type="dxa"/>
            <w:vAlign w:val="bottom"/>
          </w:tcPr>
          <w:p>
            <w:pPr>
              <w:ind w:left="140"/>
              <w:spacing w:after="0"/>
              <w:rPr>
                <w:sz w:val="20"/>
                <w:szCs w:val="20"/>
                <w:color w:val="auto"/>
              </w:rPr>
            </w:pPr>
            <w:r>
              <w:rPr>
                <w:rFonts w:ascii="Arial" w:cs="Arial" w:eastAsia="Arial" w:hAnsi="Arial"/>
                <w:sz w:val="14"/>
                <w:szCs w:val="14"/>
                <w:b w:val="1"/>
                <w:bCs w:val="1"/>
                <w:color w:val="00053B"/>
              </w:rPr>
              <w:t>Riccardo Di Blasio</w:t>
            </w:r>
          </w:p>
        </w:tc>
        <w:tc>
          <w:tcPr>
            <w:tcW w:w="1120" w:type="dxa"/>
            <w:vAlign w:val="bottom"/>
          </w:tcPr>
          <w:p>
            <w:pPr>
              <w:jc w:val="right"/>
              <w:ind w:right="229"/>
              <w:spacing w:after="0"/>
              <w:rPr>
                <w:sz w:val="20"/>
                <w:szCs w:val="20"/>
                <w:color w:val="auto"/>
              </w:rPr>
            </w:pPr>
            <w:r>
              <w:rPr>
                <w:rFonts w:ascii="Arial" w:cs="Arial" w:eastAsia="Arial" w:hAnsi="Arial"/>
                <w:sz w:val="14"/>
                <w:szCs w:val="14"/>
                <w:color w:val="00053B"/>
              </w:rPr>
              <w:t>2024</w:t>
            </w:r>
          </w:p>
        </w:tc>
        <w:tc>
          <w:tcPr>
            <w:tcW w:w="1180" w:type="dxa"/>
            <w:vAlign w:val="bottom"/>
          </w:tcPr>
          <w:p>
            <w:pPr>
              <w:jc w:val="right"/>
              <w:ind w:right="289"/>
              <w:spacing w:after="0"/>
              <w:rPr>
                <w:sz w:val="20"/>
                <w:szCs w:val="20"/>
                <w:color w:val="auto"/>
              </w:rPr>
            </w:pPr>
            <w:r>
              <w:rPr>
                <w:rFonts w:ascii="Arial" w:cs="Arial" w:eastAsia="Arial" w:hAnsi="Arial"/>
                <w:sz w:val="14"/>
                <w:szCs w:val="14"/>
                <w:color w:val="00053B"/>
              </w:rPr>
              <w:t>383,654</w:t>
            </w:r>
          </w:p>
        </w:tc>
        <w:tc>
          <w:tcPr>
            <w:tcW w:w="1060" w:type="dxa"/>
            <w:vAlign w:val="bottom"/>
          </w:tcPr>
          <w:p>
            <w:pPr>
              <w:ind w:left="660"/>
              <w:spacing w:after="0"/>
              <w:rPr>
                <w:sz w:val="20"/>
                <w:szCs w:val="20"/>
                <w:color w:val="auto"/>
              </w:rPr>
            </w:pPr>
            <w:r>
              <w:rPr>
                <w:rFonts w:ascii="Arial" w:cs="Arial" w:eastAsia="Arial" w:hAnsi="Arial"/>
                <w:sz w:val="14"/>
                <w:szCs w:val="14"/>
                <w:color w:val="00053B"/>
              </w:rPr>
              <w:t>—</w:t>
            </w:r>
          </w:p>
        </w:tc>
        <w:tc>
          <w:tcPr>
            <w:tcW w:w="1160" w:type="dxa"/>
            <w:vAlign w:val="bottom"/>
          </w:tcPr>
          <w:p>
            <w:pPr>
              <w:jc w:val="right"/>
              <w:ind w:right="170"/>
              <w:spacing w:after="0"/>
              <w:rPr>
                <w:sz w:val="20"/>
                <w:szCs w:val="20"/>
                <w:color w:val="auto"/>
              </w:rPr>
            </w:pPr>
            <w:r>
              <w:rPr>
                <w:rFonts w:ascii="Arial" w:cs="Arial" w:eastAsia="Arial" w:hAnsi="Arial"/>
                <w:sz w:val="14"/>
                <w:szCs w:val="14"/>
                <w:color w:val="00053B"/>
              </w:rPr>
              <w:t>2,756,322</w:t>
            </w:r>
          </w:p>
        </w:tc>
        <w:tc>
          <w:tcPr>
            <w:tcW w:w="1180" w:type="dxa"/>
            <w:vAlign w:val="bottom"/>
          </w:tcPr>
          <w:p>
            <w:pPr>
              <w:jc w:val="right"/>
              <w:ind w:right="171"/>
              <w:spacing w:after="0"/>
              <w:rPr>
                <w:sz w:val="20"/>
                <w:szCs w:val="20"/>
                <w:color w:val="auto"/>
              </w:rPr>
            </w:pPr>
            <w:r>
              <w:rPr>
                <w:rFonts w:ascii="Arial" w:cs="Arial" w:eastAsia="Arial" w:hAnsi="Arial"/>
                <w:sz w:val="14"/>
                <w:szCs w:val="14"/>
                <w:color w:val="00053B"/>
              </w:rPr>
              <w:t>314,280</w:t>
            </w:r>
          </w:p>
        </w:tc>
        <w:tc>
          <w:tcPr>
            <w:tcW w:w="1180" w:type="dxa"/>
            <w:vAlign w:val="bottom"/>
          </w:tcPr>
          <w:p>
            <w:pPr>
              <w:jc w:val="right"/>
              <w:ind w:right="130"/>
              <w:spacing w:after="0"/>
              <w:rPr>
                <w:sz w:val="20"/>
                <w:szCs w:val="20"/>
                <w:color w:val="auto"/>
              </w:rPr>
            </w:pPr>
            <w:r>
              <w:rPr>
                <w:rFonts w:ascii="Arial" w:cs="Arial" w:eastAsia="Arial" w:hAnsi="Arial"/>
                <w:sz w:val="14"/>
                <w:szCs w:val="14"/>
                <w:color w:val="00053B"/>
              </w:rPr>
              <w:t>5,081(6)</w:t>
            </w:r>
          </w:p>
        </w:tc>
        <w:tc>
          <w:tcPr>
            <w:tcW w:w="1000" w:type="dxa"/>
            <w:vAlign w:val="bottom"/>
          </w:tcPr>
          <w:p>
            <w:pPr>
              <w:jc w:val="right"/>
              <w:spacing w:after="0"/>
              <w:rPr>
                <w:sz w:val="20"/>
                <w:szCs w:val="20"/>
                <w:color w:val="auto"/>
              </w:rPr>
            </w:pPr>
            <w:r>
              <w:rPr>
                <w:rFonts w:ascii="Arial" w:cs="Arial" w:eastAsia="Arial" w:hAnsi="Arial"/>
                <w:sz w:val="14"/>
                <w:szCs w:val="14"/>
                <w:color w:val="00053B"/>
              </w:rPr>
              <w:t>3,459,337</w:t>
            </w:r>
          </w:p>
        </w:tc>
        <w:tc>
          <w:tcPr>
            <w:tcW w:w="0" w:type="dxa"/>
            <w:vAlign w:val="bottom"/>
          </w:tcPr>
          <w:p>
            <w:pPr>
              <w:spacing w:after="0"/>
              <w:rPr>
                <w:sz w:val="1"/>
                <w:szCs w:val="1"/>
                <w:color w:val="auto"/>
              </w:rPr>
            </w:pPr>
          </w:p>
        </w:tc>
      </w:tr>
      <w:tr>
        <w:trPr>
          <w:trHeight w:val="197"/>
        </w:trPr>
        <w:tc>
          <w:tcPr>
            <w:tcW w:w="3120" w:type="dxa"/>
            <w:vAlign w:val="bottom"/>
          </w:tcPr>
          <w:p>
            <w:pPr>
              <w:ind w:left="140"/>
              <w:spacing w:after="0"/>
              <w:rPr>
                <w:sz w:val="20"/>
                <w:szCs w:val="20"/>
                <w:color w:val="auto"/>
              </w:rPr>
            </w:pPr>
            <w:r>
              <w:rPr>
                <w:rFonts w:ascii="Arial" w:cs="Arial" w:eastAsia="Arial" w:hAnsi="Arial"/>
                <w:sz w:val="14"/>
                <w:szCs w:val="14"/>
                <w:color w:val="00053B"/>
              </w:rPr>
              <w:t>Former Chief Revenue Officer</w:t>
            </w:r>
          </w:p>
        </w:tc>
        <w:tc>
          <w:tcPr>
            <w:tcW w:w="1120" w:type="dxa"/>
            <w:vAlign w:val="bottom"/>
          </w:tcPr>
          <w:p>
            <w:pPr>
              <w:jc w:val="right"/>
              <w:ind w:right="229"/>
              <w:spacing w:after="0"/>
              <w:rPr>
                <w:sz w:val="20"/>
                <w:szCs w:val="20"/>
                <w:color w:val="auto"/>
              </w:rPr>
            </w:pPr>
            <w:r>
              <w:rPr>
                <w:rFonts w:ascii="Arial" w:cs="Arial" w:eastAsia="Arial" w:hAnsi="Arial"/>
                <w:sz w:val="14"/>
                <w:szCs w:val="14"/>
                <w:color w:val="00053B"/>
              </w:rPr>
              <w:t>2023</w:t>
            </w:r>
          </w:p>
        </w:tc>
        <w:tc>
          <w:tcPr>
            <w:tcW w:w="1180" w:type="dxa"/>
            <w:vAlign w:val="bottom"/>
          </w:tcPr>
          <w:p>
            <w:pPr>
              <w:jc w:val="right"/>
              <w:ind w:right="289"/>
              <w:spacing w:after="0"/>
              <w:rPr>
                <w:sz w:val="20"/>
                <w:szCs w:val="20"/>
                <w:color w:val="auto"/>
              </w:rPr>
            </w:pPr>
            <w:r>
              <w:rPr>
                <w:rFonts w:ascii="Arial" w:cs="Arial" w:eastAsia="Arial" w:hAnsi="Arial"/>
                <w:sz w:val="14"/>
                <w:szCs w:val="14"/>
                <w:color w:val="00053B"/>
              </w:rPr>
              <w:t>472,115</w:t>
            </w:r>
          </w:p>
        </w:tc>
        <w:tc>
          <w:tcPr>
            <w:tcW w:w="1060" w:type="dxa"/>
            <w:vAlign w:val="bottom"/>
          </w:tcPr>
          <w:p>
            <w:pPr>
              <w:ind w:left="660"/>
              <w:spacing w:after="0"/>
              <w:rPr>
                <w:sz w:val="20"/>
                <w:szCs w:val="20"/>
                <w:color w:val="auto"/>
              </w:rPr>
            </w:pPr>
            <w:r>
              <w:rPr>
                <w:rFonts w:ascii="Arial" w:cs="Arial" w:eastAsia="Arial" w:hAnsi="Arial"/>
                <w:sz w:val="14"/>
                <w:szCs w:val="14"/>
                <w:color w:val="00053B"/>
              </w:rPr>
              <w:t>—</w:t>
            </w:r>
          </w:p>
        </w:tc>
        <w:tc>
          <w:tcPr>
            <w:tcW w:w="1160" w:type="dxa"/>
            <w:vAlign w:val="bottom"/>
          </w:tcPr>
          <w:p>
            <w:pPr>
              <w:jc w:val="right"/>
              <w:ind w:right="170"/>
              <w:spacing w:after="0"/>
              <w:rPr>
                <w:sz w:val="20"/>
                <w:szCs w:val="20"/>
                <w:color w:val="auto"/>
              </w:rPr>
            </w:pPr>
            <w:r>
              <w:rPr>
                <w:rFonts w:ascii="Arial" w:cs="Arial" w:eastAsia="Arial" w:hAnsi="Arial"/>
                <w:sz w:val="14"/>
                <w:szCs w:val="14"/>
                <w:color w:val="00053B"/>
              </w:rPr>
              <w:t>3,024,622</w:t>
            </w:r>
          </w:p>
        </w:tc>
        <w:tc>
          <w:tcPr>
            <w:tcW w:w="1180" w:type="dxa"/>
            <w:vAlign w:val="bottom"/>
          </w:tcPr>
          <w:p>
            <w:pPr>
              <w:jc w:val="right"/>
              <w:ind w:right="171"/>
              <w:spacing w:after="0"/>
              <w:rPr>
                <w:sz w:val="20"/>
                <w:szCs w:val="20"/>
                <w:color w:val="auto"/>
              </w:rPr>
            </w:pPr>
            <w:r>
              <w:rPr>
                <w:rFonts w:ascii="Arial" w:cs="Arial" w:eastAsia="Arial" w:hAnsi="Arial"/>
                <w:sz w:val="14"/>
                <w:szCs w:val="14"/>
                <w:color w:val="00053B"/>
              </w:rPr>
              <w:t>356,250</w:t>
            </w:r>
          </w:p>
        </w:tc>
        <w:tc>
          <w:tcPr>
            <w:tcW w:w="1180" w:type="dxa"/>
            <w:vAlign w:val="bottom"/>
          </w:tcPr>
          <w:p>
            <w:pPr>
              <w:jc w:val="right"/>
              <w:ind w:right="170"/>
              <w:spacing w:after="0"/>
              <w:rPr>
                <w:sz w:val="20"/>
                <w:szCs w:val="20"/>
                <w:color w:val="auto"/>
              </w:rPr>
            </w:pPr>
            <w:r>
              <w:rPr>
                <w:rFonts w:ascii="Arial" w:cs="Arial" w:eastAsia="Arial" w:hAnsi="Arial"/>
                <w:sz w:val="14"/>
                <w:szCs w:val="14"/>
                <w:color w:val="00053B"/>
              </w:rPr>
              <w:t>5,812</w:t>
            </w:r>
          </w:p>
        </w:tc>
        <w:tc>
          <w:tcPr>
            <w:tcW w:w="1000" w:type="dxa"/>
            <w:vAlign w:val="bottom"/>
          </w:tcPr>
          <w:p>
            <w:pPr>
              <w:jc w:val="right"/>
              <w:spacing w:after="0"/>
              <w:rPr>
                <w:sz w:val="20"/>
                <w:szCs w:val="20"/>
                <w:color w:val="auto"/>
              </w:rPr>
            </w:pPr>
            <w:r>
              <w:rPr>
                <w:rFonts w:ascii="Arial" w:cs="Arial" w:eastAsia="Arial" w:hAnsi="Arial"/>
                <w:sz w:val="14"/>
                <w:szCs w:val="14"/>
                <w:color w:val="00053B"/>
              </w:rPr>
              <w:t>3,858,799</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120" w:type="dxa"/>
            <w:vAlign w:val="bottom"/>
          </w:tcPr>
          <w:p>
            <w:pPr>
              <w:jc w:val="right"/>
              <w:ind w:right="229"/>
              <w:spacing w:after="0"/>
              <w:rPr>
                <w:sz w:val="20"/>
                <w:szCs w:val="20"/>
                <w:color w:val="auto"/>
              </w:rPr>
            </w:pPr>
            <w:r>
              <w:rPr>
                <w:rFonts w:ascii="Arial" w:cs="Arial" w:eastAsia="Arial" w:hAnsi="Arial"/>
                <w:sz w:val="14"/>
                <w:szCs w:val="14"/>
                <w:color w:val="00053B"/>
              </w:rPr>
              <w:t>2022</w:t>
            </w:r>
          </w:p>
        </w:tc>
        <w:tc>
          <w:tcPr>
            <w:tcW w:w="1180" w:type="dxa"/>
            <w:vAlign w:val="bottom"/>
          </w:tcPr>
          <w:p>
            <w:pPr>
              <w:jc w:val="right"/>
              <w:ind w:right="289"/>
              <w:spacing w:after="0"/>
              <w:rPr>
                <w:sz w:val="20"/>
                <w:szCs w:val="20"/>
                <w:color w:val="auto"/>
              </w:rPr>
            </w:pPr>
            <w:r>
              <w:rPr>
                <w:rFonts w:ascii="Arial" w:cs="Arial" w:eastAsia="Arial" w:hAnsi="Arial"/>
                <w:sz w:val="14"/>
                <w:szCs w:val="14"/>
                <w:color w:val="00053B"/>
              </w:rPr>
              <w:t>449,423</w:t>
            </w:r>
          </w:p>
        </w:tc>
        <w:tc>
          <w:tcPr>
            <w:tcW w:w="1060" w:type="dxa"/>
            <w:vAlign w:val="bottom"/>
          </w:tcPr>
          <w:p>
            <w:pPr>
              <w:ind w:left="660"/>
              <w:spacing w:after="0"/>
              <w:rPr>
                <w:sz w:val="20"/>
                <w:szCs w:val="20"/>
                <w:color w:val="auto"/>
              </w:rPr>
            </w:pPr>
            <w:r>
              <w:rPr>
                <w:rFonts w:ascii="Arial" w:cs="Arial" w:eastAsia="Arial" w:hAnsi="Arial"/>
                <w:sz w:val="14"/>
                <w:szCs w:val="14"/>
                <w:color w:val="00053B"/>
              </w:rPr>
              <w:t>—</w:t>
            </w:r>
          </w:p>
        </w:tc>
        <w:tc>
          <w:tcPr>
            <w:tcW w:w="1160" w:type="dxa"/>
            <w:vAlign w:val="bottom"/>
          </w:tcPr>
          <w:p>
            <w:pPr>
              <w:jc w:val="right"/>
              <w:ind w:right="170"/>
              <w:spacing w:after="0"/>
              <w:rPr>
                <w:sz w:val="20"/>
                <w:szCs w:val="20"/>
                <w:color w:val="auto"/>
              </w:rPr>
            </w:pPr>
            <w:r>
              <w:rPr>
                <w:rFonts w:ascii="Arial" w:cs="Arial" w:eastAsia="Arial" w:hAnsi="Arial"/>
                <w:sz w:val="14"/>
                <w:szCs w:val="14"/>
                <w:color w:val="00053B"/>
              </w:rPr>
              <w:t>2,768,656</w:t>
            </w:r>
          </w:p>
        </w:tc>
        <w:tc>
          <w:tcPr>
            <w:tcW w:w="1180" w:type="dxa"/>
            <w:vAlign w:val="bottom"/>
          </w:tcPr>
          <w:p>
            <w:pPr>
              <w:jc w:val="right"/>
              <w:ind w:right="171"/>
              <w:spacing w:after="0"/>
              <w:rPr>
                <w:sz w:val="20"/>
                <w:szCs w:val="20"/>
                <w:color w:val="auto"/>
              </w:rPr>
            </w:pPr>
            <w:r>
              <w:rPr>
                <w:rFonts w:ascii="Arial" w:cs="Arial" w:eastAsia="Arial" w:hAnsi="Arial"/>
                <w:sz w:val="14"/>
                <w:szCs w:val="14"/>
                <w:color w:val="00053B"/>
              </w:rPr>
              <w:t>577,539</w:t>
            </w:r>
          </w:p>
        </w:tc>
        <w:tc>
          <w:tcPr>
            <w:tcW w:w="1180" w:type="dxa"/>
            <w:vAlign w:val="bottom"/>
          </w:tcPr>
          <w:p>
            <w:pPr>
              <w:jc w:val="right"/>
              <w:ind w:right="170"/>
              <w:spacing w:after="0"/>
              <w:rPr>
                <w:sz w:val="20"/>
                <w:szCs w:val="20"/>
                <w:color w:val="auto"/>
              </w:rPr>
            </w:pPr>
            <w:r>
              <w:rPr>
                <w:rFonts w:ascii="Arial" w:cs="Arial" w:eastAsia="Arial" w:hAnsi="Arial"/>
                <w:sz w:val="14"/>
                <w:szCs w:val="14"/>
                <w:color w:val="00053B"/>
              </w:rPr>
              <w:t>8,185</w:t>
            </w:r>
          </w:p>
        </w:tc>
        <w:tc>
          <w:tcPr>
            <w:tcW w:w="1000" w:type="dxa"/>
            <w:vAlign w:val="bottom"/>
          </w:tcPr>
          <w:p>
            <w:pPr>
              <w:jc w:val="right"/>
              <w:spacing w:after="0"/>
              <w:rPr>
                <w:sz w:val="20"/>
                <w:szCs w:val="20"/>
                <w:color w:val="auto"/>
              </w:rPr>
            </w:pPr>
            <w:r>
              <w:rPr>
                <w:rFonts w:ascii="Arial" w:cs="Arial" w:eastAsia="Arial" w:hAnsi="Arial"/>
                <w:sz w:val="14"/>
                <w:szCs w:val="14"/>
                <w:color w:val="00053B"/>
              </w:rPr>
              <w:t>3,803,803</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hanging="332"/>
        <w:spacing w:after="0" w:line="250" w:lineRule="auto"/>
        <w:tabs>
          <w:tab w:leader="none" w:pos="252" w:val="left"/>
        </w:tabs>
        <w:numPr>
          <w:ilvl w:val="0"/>
          <w:numId w:val="39"/>
        </w:numPr>
        <w:rPr>
          <w:rFonts w:ascii="Arial" w:cs="Arial" w:eastAsia="Arial" w:hAnsi="Arial"/>
          <w:sz w:val="13"/>
          <w:szCs w:val="13"/>
          <w:color w:val="00053B"/>
        </w:rPr>
      </w:pPr>
      <w:r>
        <w:rPr>
          <w:rFonts w:ascii="Arial" w:cs="Arial" w:eastAsia="Arial" w:hAnsi="Arial"/>
          <w:sz w:val="13"/>
          <w:szCs w:val="13"/>
          <w:color w:val="00053B"/>
        </w:rPr>
        <w:t>The amounts reported in this column represent the grant date fair value of the restricted stock unit awards and performance stock unit awards granted during the fiscal year indicated as computed in accordance with FASB ASC Topic 718. The amounts shown disregard estimated forfeitures related to service-based vesting conditions and assume performance stock units at target (100%). If the performance stock unit awards are achieved at the maximum (200%), this would result in stock award values of $16,539,356 (for Mr. Mirchandani), $5,456,052 (for Mr. Merrill), and $4,262,678 (for Mr. Di Blasio). See our consolidated financial statements contained in our Annual Report on Form 10-K for the year ended March 31, 2024, for a discussion of the assumptions we made in determining the grant date fair value of such awards.</w:t>
      </w:r>
    </w:p>
    <w:p>
      <w:pPr>
        <w:spacing w:after="0" w:line="31" w:lineRule="exact"/>
        <w:rPr>
          <w:rFonts w:ascii="Arial" w:cs="Arial" w:eastAsia="Arial" w:hAnsi="Arial"/>
          <w:sz w:val="13"/>
          <w:szCs w:val="13"/>
          <w:color w:val="00053B"/>
        </w:rPr>
      </w:pPr>
    </w:p>
    <w:p>
      <w:pPr>
        <w:ind w:left="340" w:right="60" w:hanging="332"/>
        <w:spacing w:after="0" w:line="264" w:lineRule="auto"/>
        <w:tabs>
          <w:tab w:leader="none" w:pos="252" w:val="left"/>
        </w:tabs>
        <w:numPr>
          <w:ilvl w:val="0"/>
          <w:numId w:val="39"/>
        </w:numPr>
        <w:rPr>
          <w:rFonts w:ascii="Arial" w:cs="Arial" w:eastAsia="Arial" w:hAnsi="Arial"/>
          <w:sz w:val="13"/>
          <w:szCs w:val="13"/>
          <w:color w:val="00053B"/>
        </w:rPr>
      </w:pPr>
      <w:r>
        <w:rPr>
          <w:rFonts w:ascii="Arial" w:cs="Arial" w:eastAsia="Arial" w:hAnsi="Arial"/>
          <w:sz w:val="13"/>
          <w:szCs w:val="13"/>
          <w:color w:val="00053B"/>
        </w:rPr>
        <w:t>The amounts reported in this column consist of annual cash incentive bonuses earned during the fiscal year indicated and are more fully described in section “Fiscal 2024 Compensation Decisions” under the heading “Annual Incentive Plan” in the Compensation Discussion and Analysis.</w:t>
      </w:r>
    </w:p>
    <w:p>
      <w:pPr>
        <w:spacing w:after="0" w:line="22" w:lineRule="exact"/>
        <w:rPr>
          <w:rFonts w:ascii="Arial" w:cs="Arial" w:eastAsia="Arial" w:hAnsi="Arial"/>
          <w:sz w:val="13"/>
          <w:szCs w:val="13"/>
          <w:color w:val="00053B"/>
        </w:rPr>
      </w:pPr>
    </w:p>
    <w:p>
      <w:pPr>
        <w:ind w:left="260" w:hanging="252"/>
        <w:spacing w:after="0"/>
        <w:tabs>
          <w:tab w:leader="none" w:pos="260" w:val="left"/>
        </w:tabs>
        <w:numPr>
          <w:ilvl w:val="0"/>
          <w:numId w:val="39"/>
        </w:numPr>
        <w:rPr>
          <w:rFonts w:ascii="Arial" w:cs="Arial" w:eastAsia="Arial" w:hAnsi="Arial"/>
          <w:sz w:val="13"/>
          <w:szCs w:val="13"/>
          <w:color w:val="00053B"/>
        </w:rPr>
      </w:pPr>
      <w:r>
        <w:rPr>
          <w:rFonts w:ascii="Arial" w:cs="Arial" w:eastAsia="Arial" w:hAnsi="Arial"/>
          <w:sz w:val="13"/>
          <w:szCs w:val="13"/>
          <w:color w:val="00053B"/>
        </w:rPr>
        <w:t>Mr. Merrill became a named executive officer effective July 1, 2022 and compensation information for fiscal 2022 has not been provided in accordance with SEC rules.</w:t>
      </w:r>
    </w:p>
    <w:p>
      <w:pPr>
        <w:spacing w:after="0" w:line="66" w:lineRule="exact"/>
        <w:rPr>
          <w:rFonts w:ascii="Arial" w:cs="Arial" w:eastAsia="Arial" w:hAnsi="Arial"/>
          <w:sz w:val="13"/>
          <w:szCs w:val="13"/>
          <w:color w:val="00053B"/>
        </w:rPr>
      </w:pPr>
    </w:p>
    <w:p>
      <w:pPr>
        <w:ind w:left="340" w:right="320" w:hanging="332"/>
        <w:spacing w:after="0" w:line="264" w:lineRule="auto"/>
        <w:tabs>
          <w:tab w:leader="none" w:pos="255" w:val="left"/>
        </w:tabs>
        <w:numPr>
          <w:ilvl w:val="0"/>
          <w:numId w:val="39"/>
        </w:numPr>
        <w:rPr>
          <w:rFonts w:ascii="Arial" w:cs="Arial" w:eastAsia="Arial" w:hAnsi="Arial"/>
          <w:sz w:val="13"/>
          <w:szCs w:val="13"/>
          <w:color w:val="00053B"/>
        </w:rPr>
      </w:pPr>
      <w:r>
        <w:rPr>
          <w:rFonts w:ascii="Arial" w:cs="Arial" w:eastAsia="Arial" w:hAnsi="Arial"/>
          <w:sz w:val="13"/>
          <w:szCs w:val="13"/>
          <w:color w:val="00053B"/>
        </w:rPr>
        <w:t>Mr. Mirchandani’ s other annual compensation in fiscal 2024 included $6,100 related to his 401(k) plan company matching contributions, $12,000 for financial and estate planning, and $46,952 related to the use of a corporate car, which includes $13,077 related to personnel transportation service costs.</w:t>
      </w:r>
    </w:p>
    <w:p>
      <w:pPr>
        <w:spacing w:after="0" w:line="22" w:lineRule="exact"/>
        <w:rPr>
          <w:rFonts w:ascii="Arial" w:cs="Arial" w:eastAsia="Arial" w:hAnsi="Arial"/>
          <w:sz w:val="13"/>
          <w:szCs w:val="13"/>
          <w:color w:val="00053B"/>
        </w:rPr>
      </w:pPr>
    </w:p>
    <w:p>
      <w:pPr>
        <w:ind w:left="260" w:hanging="252"/>
        <w:spacing w:after="0"/>
        <w:tabs>
          <w:tab w:leader="none" w:pos="260" w:val="left"/>
        </w:tabs>
        <w:numPr>
          <w:ilvl w:val="0"/>
          <w:numId w:val="39"/>
        </w:numPr>
        <w:rPr>
          <w:rFonts w:ascii="Arial" w:cs="Arial" w:eastAsia="Arial" w:hAnsi="Arial"/>
          <w:sz w:val="13"/>
          <w:szCs w:val="13"/>
          <w:color w:val="00053B"/>
        </w:rPr>
      </w:pPr>
      <w:r>
        <w:rPr>
          <w:rFonts w:ascii="Arial" w:cs="Arial" w:eastAsia="Arial" w:hAnsi="Arial"/>
          <w:sz w:val="13"/>
          <w:szCs w:val="13"/>
          <w:color w:val="00053B"/>
        </w:rPr>
        <w:t>Mr. Merrill’s other annual compensation in fiscal 2024 included $6,359 related to his 401(k) plan company matching contributions, and $14,096 for financial and estate planning.</w:t>
      </w:r>
    </w:p>
    <w:p>
      <w:pPr>
        <w:spacing w:after="0" w:line="53" w:lineRule="exact"/>
        <w:rPr>
          <w:rFonts w:ascii="Arial" w:cs="Arial" w:eastAsia="Arial" w:hAnsi="Arial"/>
          <w:sz w:val="13"/>
          <w:szCs w:val="13"/>
          <w:color w:val="00053B"/>
        </w:rPr>
      </w:pPr>
    </w:p>
    <w:p>
      <w:pPr>
        <w:ind w:left="260" w:hanging="252"/>
        <w:spacing w:after="0"/>
        <w:tabs>
          <w:tab w:leader="none" w:pos="260" w:val="left"/>
        </w:tabs>
        <w:numPr>
          <w:ilvl w:val="0"/>
          <w:numId w:val="39"/>
        </w:numPr>
        <w:rPr>
          <w:rFonts w:ascii="Arial" w:cs="Arial" w:eastAsia="Arial" w:hAnsi="Arial"/>
          <w:sz w:val="13"/>
          <w:szCs w:val="13"/>
          <w:color w:val="00053B"/>
        </w:rPr>
      </w:pPr>
      <w:r>
        <w:rPr>
          <w:rFonts w:ascii="Arial" w:cs="Arial" w:eastAsia="Arial" w:hAnsi="Arial"/>
          <w:sz w:val="13"/>
          <w:szCs w:val="13"/>
          <w:color w:val="00053B"/>
        </w:rPr>
        <w:t>Mr. Di Blasio’s other annual compensation in fiscal 2024 included his 401(k) plan company matching contributions of $5,081.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41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15175" cy="1028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COMPENSATION TABLES | </w:t>
      </w:r>
      <w:r>
        <w:rPr>
          <w:rFonts w:ascii="Arial" w:cs="Arial" w:eastAsia="Arial" w:hAnsi="Arial"/>
          <w:sz w:val="11"/>
          <w:szCs w:val="11"/>
          <w:b w:val="1"/>
          <w:bCs w:val="1"/>
          <w:color w:val="00053B"/>
        </w:rPr>
        <w:t>FISCAL 2024 GRANTS OF PLAN-BASED AWARDS TABLE</w:t>
      </w:r>
    </w:p>
    <w:p>
      <w:pPr>
        <w:spacing w:after="0" w:line="348"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844896"/>
        </w:rPr>
        <w:t>Fiscal 2024 Grants of Plan-Based Awards Table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00053B"/>
        </w:rPr>
        <w:t>The following table sets forth information as to grants of plan-based awards to our named executive officers in fiscal 2024:</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1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300" w:type="dxa"/>
            <w:vAlign w:val="bottom"/>
            <w:gridSpan w:val="3"/>
          </w:tcPr>
          <w:p>
            <w:pPr>
              <w:jc w:val="center"/>
              <w:ind w:right="97"/>
              <w:spacing w:after="0"/>
              <w:rPr>
                <w:sz w:val="20"/>
                <w:szCs w:val="20"/>
                <w:color w:val="auto"/>
              </w:rPr>
            </w:pPr>
            <w:r>
              <w:rPr>
                <w:rFonts w:ascii="Arial" w:cs="Arial" w:eastAsia="Arial" w:hAnsi="Arial"/>
                <w:sz w:val="13"/>
                <w:szCs w:val="13"/>
                <w:color w:val="00053B"/>
                <w:w w:val="97"/>
              </w:rPr>
              <w:t>Estimated future payouts under non-equity</w:t>
            </w:r>
          </w:p>
        </w:tc>
        <w:tc>
          <w:tcPr>
            <w:tcW w:w="3000" w:type="dxa"/>
            <w:vAlign w:val="bottom"/>
            <w:gridSpan w:val="3"/>
          </w:tcPr>
          <w:p>
            <w:pPr>
              <w:ind w:left="540"/>
              <w:spacing w:after="0"/>
              <w:rPr>
                <w:sz w:val="20"/>
                <w:szCs w:val="20"/>
                <w:color w:val="auto"/>
              </w:rPr>
            </w:pPr>
            <w:r>
              <w:rPr>
                <w:rFonts w:ascii="Arial" w:cs="Arial" w:eastAsia="Arial" w:hAnsi="Arial"/>
                <w:sz w:val="13"/>
                <w:szCs w:val="13"/>
                <w:color w:val="00053B"/>
              </w:rPr>
              <w:t>Estimated future payouts under</w:t>
            </w:r>
          </w:p>
        </w:tc>
        <w:tc>
          <w:tcPr>
            <w:tcW w:w="0" w:type="dxa"/>
            <w:vAlign w:val="bottom"/>
          </w:tcPr>
          <w:p>
            <w:pPr>
              <w:spacing w:after="0"/>
              <w:rPr>
                <w:sz w:val="1"/>
                <w:szCs w:val="1"/>
                <w:color w:val="auto"/>
              </w:rPr>
            </w:pPr>
          </w:p>
        </w:tc>
      </w:tr>
      <w:tr>
        <w:trPr>
          <w:trHeight w:val="166"/>
        </w:trPr>
        <w:tc>
          <w:tcPr>
            <w:tcW w:w="128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3"/>
                <w:szCs w:val="13"/>
                <w:color w:val="00053B"/>
              </w:rPr>
              <w:t>Grant &amp;</w:t>
            </w:r>
          </w:p>
        </w:tc>
        <w:tc>
          <w:tcPr>
            <w:tcW w:w="2340" w:type="dxa"/>
            <w:vAlign w:val="bottom"/>
            <w:gridSpan w:val="2"/>
          </w:tcPr>
          <w:p>
            <w:pPr>
              <w:jc w:val="center"/>
              <w:ind w:left="757"/>
              <w:spacing w:after="0"/>
              <w:rPr>
                <w:sz w:val="20"/>
                <w:szCs w:val="20"/>
                <w:color w:val="auto"/>
              </w:rPr>
            </w:pPr>
            <w:r>
              <w:rPr>
                <w:rFonts w:ascii="Arial" w:cs="Arial" w:eastAsia="Arial" w:hAnsi="Arial"/>
                <w:sz w:val="13"/>
                <w:szCs w:val="13"/>
                <w:color w:val="00053B"/>
                <w:w w:val="96"/>
              </w:rPr>
              <w:t>incentive plan awards ($)</w:t>
            </w:r>
          </w:p>
        </w:tc>
        <w:tc>
          <w:tcPr>
            <w:tcW w:w="960" w:type="dxa"/>
            <w:vAlign w:val="bottom"/>
          </w:tcPr>
          <w:p>
            <w:pPr>
              <w:spacing w:after="0"/>
              <w:rPr>
                <w:sz w:val="14"/>
                <w:szCs w:val="14"/>
                <w:color w:val="auto"/>
              </w:rPr>
            </w:pPr>
          </w:p>
        </w:tc>
        <w:tc>
          <w:tcPr>
            <w:tcW w:w="3000" w:type="dxa"/>
            <w:vAlign w:val="bottom"/>
            <w:gridSpan w:val="3"/>
          </w:tcPr>
          <w:p>
            <w:pPr>
              <w:ind w:left="540"/>
              <w:spacing w:after="0"/>
              <w:rPr>
                <w:sz w:val="20"/>
                <w:szCs w:val="20"/>
                <w:color w:val="auto"/>
              </w:rPr>
            </w:pPr>
            <w:r>
              <w:rPr>
                <w:rFonts w:ascii="Arial" w:cs="Arial" w:eastAsia="Arial" w:hAnsi="Arial"/>
                <w:sz w:val="13"/>
                <w:szCs w:val="13"/>
                <w:color w:val="00053B"/>
              </w:rPr>
              <w:t>equity incentive plan awards (#)</w:t>
            </w:r>
          </w:p>
        </w:tc>
        <w:tc>
          <w:tcPr>
            <w:tcW w:w="0" w:type="dxa"/>
            <w:vAlign w:val="bottom"/>
          </w:tcPr>
          <w:p>
            <w:pPr>
              <w:spacing w:after="0"/>
              <w:rPr>
                <w:sz w:val="1"/>
                <w:szCs w:val="1"/>
                <w:color w:val="auto"/>
              </w:rPr>
            </w:pPr>
          </w:p>
        </w:tc>
      </w:tr>
      <w:tr>
        <w:trPr>
          <w:trHeight w:val="118"/>
        </w:trPr>
        <w:tc>
          <w:tcPr>
            <w:tcW w:w="128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1300" w:type="dxa"/>
            <w:vAlign w:val="bottom"/>
            <w:tcBorders>
              <w:bottom w:val="single" w:sz="8" w:color="844896"/>
            </w:tcBorders>
          </w:tcPr>
          <w:p>
            <w:pPr>
              <w:spacing w:after="0"/>
              <w:rPr>
                <w:sz w:val="10"/>
                <w:szCs w:val="10"/>
                <w:color w:val="auto"/>
              </w:rPr>
            </w:pPr>
          </w:p>
        </w:tc>
        <w:tc>
          <w:tcPr>
            <w:tcW w:w="1040" w:type="dxa"/>
            <w:vAlign w:val="bottom"/>
            <w:tcBorders>
              <w:bottom w:val="single" w:sz="8" w:color="844896"/>
            </w:tcBorders>
          </w:tcPr>
          <w:p>
            <w:pPr>
              <w:spacing w:after="0"/>
              <w:rPr>
                <w:sz w:val="10"/>
                <w:szCs w:val="10"/>
                <w:color w:val="auto"/>
              </w:rPr>
            </w:pPr>
          </w:p>
        </w:tc>
        <w:tc>
          <w:tcPr>
            <w:tcW w:w="960" w:type="dxa"/>
            <w:vAlign w:val="bottom"/>
            <w:tcBorders>
              <w:bottom w:val="single" w:sz="8" w:color="844896"/>
            </w:tcBorders>
          </w:tcPr>
          <w:p>
            <w:pPr>
              <w:spacing w:after="0"/>
              <w:rPr>
                <w:sz w:val="10"/>
                <w:szCs w:val="10"/>
                <w:color w:val="auto"/>
              </w:rPr>
            </w:pPr>
          </w:p>
        </w:tc>
        <w:tc>
          <w:tcPr>
            <w:tcW w:w="1160" w:type="dxa"/>
            <w:vAlign w:val="bottom"/>
            <w:tcBorders>
              <w:bottom w:val="single" w:sz="8" w:color="844896"/>
            </w:tcBorders>
          </w:tcPr>
          <w:p>
            <w:pPr>
              <w:spacing w:after="0"/>
              <w:rPr>
                <w:sz w:val="10"/>
                <w:szCs w:val="10"/>
                <w:color w:val="auto"/>
              </w:rPr>
            </w:pPr>
          </w:p>
        </w:tc>
        <w:tc>
          <w:tcPr>
            <w:tcW w:w="940" w:type="dxa"/>
            <w:vAlign w:val="bottom"/>
            <w:tcBorders>
              <w:bottom w:val="single" w:sz="8" w:color="844896"/>
            </w:tcBorders>
          </w:tcPr>
          <w:p>
            <w:pPr>
              <w:spacing w:after="0"/>
              <w:rPr>
                <w:sz w:val="10"/>
                <w:szCs w:val="10"/>
                <w:color w:val="auto"/>
              </w:rPr>
            </w:pPr>
          </w:p>
        </w:tc>
        <w:tc>
          <w:tcPr>
            <w:tcW w:w="900" w:type="dxa"/>
            <w:vAlign w:val="bottom"/>
            <w:tcBorders>
              <w:bottom w:val="single" w:sz="8" w:color="844896"/>
            </w:tcBorders>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280" w:type="dxa"/>
            <w:vAlign w:val="bottom"/>
          </w:tcPr>
          <w:p>
            <w:pPr>
              <w:spacing w:after="0"/>
              <w:rPr>
                <w:sz w:val="8"/>
                <w:szCs w:val="8"/>
                <w:color w:val="auto"/>
              </w:rPr>
            </w:pPr>
          </w:p>
        </w:tc>
        <w:tc>
          <w:tcPr>
            <w:tcW w:w="1480" w:type="dxa"/>
            <w:vAlign w:val="bottom"/>
          </w:tcPr>
          <w:p>
            <w:pPr>
              <w:jc w:val="right"/>
              <w:spacing w:after="0" w:line="102" w:lineRule="exact"/>
              <w:rPr>
                <w:sz w:val="20"/>
                <w:szCs w:val="20"/>
                <w:color w:val="auto"/>
              </w:rPr>
            </w:pPr>
            <w:r>
              <w:rPr>
                <w:rFonts w:ascii="Arial" w:cs="Arial" w:eastAsia="Arial" w:hAnsi="Arial"/>
                <w:sz w:val="10"/>
                <w:szCs w:val="10"/>
                <w:color w:val="00053B"/>
              </w:rPr>
              <w:t>Approval</w:t>
            </w:r>
          </w:p>
        </w:tc>
        <w:tc>
          <w:tcPr>
            <w:tcW w:w="1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20"/>
                <w:szCs w:val="20"/>
                <w:color w:val="auto"/>
              </w:rPr>
            </w:pPr>
            <w:r>
              <w:rPr>
                <w:rFonts w:ascii="Arial" w:cs="Arial" w:eastAsia="Arial" w:hAnsi="Arial"/>
                <w:sz w:val="13"/>
                <w:szCs w:val="13"/>
                <w:color w:val="00053B"/>
              </w:rPr>
              <w:t>Name</w:t>
            </w:r>
          </w:p>
        </w:tc>
        <w:tc>
          <w:tcPr>
            <w:tcW w:w="1480" w:type="dxa"/>
            <w:vAlign w:val="bottom"/>
          </w:tcPr>
          <w:p>
            <w:pPr>
              <w:jc w:val="right"/>
              <w:spacing w:after="0"/>
              <w:rPr>
                <w:sz w:val="20"/>
                <w:szCs w:val="20"/>
                <w:color w:val="auto"/>
              </w:rPr>
            </w:pPr>
            <w:r>
              <w:rPr>
                <w:rFonts w:ascii="Arial" w:cs="Arial" w:eastAsia="Arial" w:hAnsi="Arial"/>
                <w:sz w:val="13"/>
                <w:szCs w:val="13"/>
                <w:color w:val="00053B"/>
              </w:rPr>
              <w:t>Date</w:t>
            </w:r>
          </w:p>
        </w:tc>
        <w:tc>
          <w:tcPr>
            <w:tcW w:w="1300" w:type="dxa"/>
            <w:vAlign w:val="bottom"/>
          </w:tcPr>
          <w:p>
            <w:pPr>
              <w:ind w:left="300"/>
              <w:spacing w:after="0"/>
              <w:rPr>
                <w:sz w:val="20"/>
                <w:szCs w:val="20"/>
                <w:color w:val="auto"/>
              </w:rPr>
            </w:pPr>
            <w:r>
              <w:rPr>
                <w:rFonts w:ascii="Arial" w:cs="Arial" w:eastAsia="Arial" w:hAnsi="Arial"/>
                <w:sz w:val="13"/>
                <w:szCs w:val="13"/>
                <w:color w:val="00053B"/>
              </w:rPr>
              <w:t>Threshold(1)</w:t>
            </w:r>
          </w:p>
        </w:tc>
        <w:tc>
          <w:tcPr>
            <w:tcW w:w="1040" w:type="dxa"/>
            <w:vAlign w:val="bottom"/>
          </w:tcPr>
          <w:p>
            <w:pPr>
              <w:ind w:left="260"/>
              <w:spacing w:after="0"/>
              <w:rPr>
                <w:sz w:val="20"/>
                <w:szCs w:val="20"/>
                <w:color w:val="auto"/>
              </w:rPr>
            </w:pPr>
            <w:r>
              <w:rPr>
                <w:rFonts w:ascii="Arial" w:cs="Arial" w:eastAsia="Arial" w:hAnsi="Arial"/>
                <w:sz w:val="13"/>
                <w:szCs w:val="13"/>
                <w:color w:val="00053B"/>
              </w:rPr>
              <w:t>Target(2)</w:t>
            </w:r>
          </w:p>
        </w:tc>
        <w:tc>
          <w:tcPr>
            <w:tcW w:w="960" w:type="dxa"/>
            <w:vAlign w:val="bottom"/>
          </w:tcPr>
          <w:p>
            <w:pPr>
              <w:ind w:left="80"/>
              <w:spacing w:after="0"/>
              <w:rPr>
                <w:sz w:val="20"/>
                <w:szCs w:val="20"/>
                <w:color w:val="auto"/>
              </w:rPr>
            </w:pPr>
            <w:r>
              <w:rPr>
                <w:rFonts w:ascii="Arial" w:cs="Arial" w:eastAsia="Arial" w:hAnsi="Arial"/>
                <w:sz w:val="13"/>
                <w:szCs w:val="13"/>
                <w:color w:val="00053B"/>
              </w:rPr>
              <w:t>Maximum(3)</w:t>
            </w:r>
          </w:p>
        </w:tc>
        <w:tc>
          <w:tcPr>
            <w:tcW w:w="1160" w:type="dxa"/>
            <w:vAlign w:val="bottom"/>
          </w:tcPr>
          <w:p>
            <w:pPr>
              <w:ind w:left="160"/>
              <w:spacing w:after="0"/>
              <w:rPr>
                <w:sz w:val="20"/>
                <w:szCs w:val="20"/>
                <w:color w:val="auto"/>
              </w:rPr>
            </w:pPr>
            <w:r>
              <w:rPr>
                <w:rFonts w:ascii="Arial" w:cs="Arial" w:eastAsia="Arial" w:hAnsi="Arial"/>
                <w:sz w:val="13"/>
                <w:szCs w:val="13"/>
                <w:color w:val="00053B"/>
              </w:rPr>
              <w:t>Threshold(4)</w:t>
            </w:r>
          </w:p>
        </w:tc>
        <w:tc>
          <w:tcPr>
            <w:tcW w:w="940" w:type="dxa"/>
            <w:vAlign w:val="bottom"/>
          </w:tcPr>
          <w:p>
            <w:pPr>
              <w:ind w:left="260"/>
              <w:spacing w:after="0"/>
              <w:rPr>
                <w:sz w:val="20"/>
                <w:szCs w:val="20"/>
                <w:color w:val="auto"/>
              </w:rPr>
            </w:pPr>
            <w:r>
              <w:rPr>
                <w:rFonts w:ascii="Arial" w:cs="Arial" w:eastAsia="Arial" w:hAnsi="Arial"/>
                <w:sz w:val="13"/>
                <w:szCs w:val="13"/>
                <w:color w:val="00053B"/>
              </w:rPr>
              <w:t>Target(5)</w:t>
            </w:r>
          </w:p>
        </w:tc>
        <w:tc>
          <w:tcPr>
            <w:tcW w:w="900" w:type="dxa"/>
            <w:vAlign w:val="bottom"/>
          </w:tcPr>
          <w:p>
            <w:pPr>
              <w:ind w:left="180"/>
              <w:spacing w:after="0"/>
              <w:rPr>
                <w:sz w:val="20"/>
                <w:szCs w:val="20"/>
                <w:color w:val="auto"/>
              </w:rPr>
            </w:pPr>
            <w:r>
              <w:rPr>
                <w:rFonts w:ascii="Arial" w:cs="Arial" w:eastAsia="Arial" w:hAnsi="Arial"/>
                <w:sz w:val="13"/>
                <w:szCs w:val="13"/>
                <w:color w:val="00053B"/>
                <w:w w:val="96"/>
              </w:rPr>
              <w:t>Maximum(6)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0" w:type="dxa"/>
            <w:vAlign w:val="bottom"/>
          </w:tcPr>
          <w:p>
            <w:pPr>
              <w:jc w:val="right"/>
              <w:ind w:right="137"/>
              <w:spacing w:after="0"/>
              <w:rPr>
                <w:sz w:val="20"/>
                <w:szCs w:val="20"/>
                <w:color w:val="auto"/>
              </w:rPr>
            </w:pPr>
            <w:r>
              <w:rPr>
                <w:rFonts w:ascii="Arial" w:cs="Arial" w:eastAsia="Arial" w:hAnsi="Arial"/>
                <w:sz w:val="13"/>
                <w:szCs w:val="13"/>
                <w:color w:val="00053B"/>
              </w:rPr>
              <w:t>All Other</w:t>
            </w:r>
          </w:p>
        </w:tc>
        <w:tc>
          <w:tcPr>
            <w:tcW w:w="840" w:type="dxa"/>
            <w:vAlign w:val="bottom"/>
          </w:tcPr>
          <w:p>
            <w:pPr>
              <w:spacing w:after="0"/>
              <w:rPr>
                <w:sz w:val="13"/>
                <w:szCs w:val="13"/>
                <w:color w:val="auto"/>
              </w:rPr>
            </w:pPr>
          </w:p>
        </w:tc>
      </w:tr>
      <w:tr>
        <w:trPr>
          <w:trHeight w:val="122"/>
        </w:trPr>
        <w:tc>
          <w:tcPr>
            <w:tcW w:w="800" w:type="dxa"/>
            <w:vAlign w:val="bottom"/>
          </w:tcPr>
          <w:p>
            <w:pPr>
              <w:jc w:val="right"/>
              <w:ind w:right="137"/>
              <w:spacing w:after="0" w:line="122" w:lineRule="exact"/>
              <w:rPr>
                <w:sz w:val="20"/>
                <w:szCs w:val="20"/>
                <w:color w:val="auto"/>
              </w:rPr>
            </w:pPr>
            <w:r>
              <w:rPr>
                <w:rFonts w:ascii="Arial" w:cs="Arial" w:eastAsia="Arial" w:hAnsi="Arial"/>
                <w:sz w:val="13"/>
                <w:szCs w:val="13"/>
                <w:color w:val="00053B"/>
              </w:rPr>
              <w:t>Stock</w:t>
            </w:r>
          </w:p>
        </w:tc>
        <w:tc>
          <w:tcPr>
            <w:tcW w:w="840" w:type="dxa"/>
            <w:vAlign w:val="bottom"/>
          </w:tcPr>
          <w:p>
            <w:pPr>
              <w:spacing w:after="0"/>
              <w:rPr>
                <w:sz w:val="10"/>
                <w:szCs w:val="10"/>
                <w:color w:val="auto"/>
              </w:rPr>
            </w:pPr>
          </w:p>
        </w:tc>
      </w:tr>
      <w:tr>
        <w:trPr>
          <w:trHeight w:val="135"/>
        </w:trPr>
        <w:tc>
          <w:tcPr>
            <w:tcW w:w="800" w:type="dxa"/>
            <w:vAlign w:val="bottom"/>
          </w:tcPr>
          <w:p>
            <w:pPr>
              <w:jc w:val="right"/>
              <w:ind w:right="137"/>
              <w:spacing w:after="0" w:line="135" w:lineRule="exact"/>
              <w:rPr>
                <w:sz w:val="20"/>
                <w:szCs w:val="20"/>
                <w:color w:val="auto"/>
              </w:rPr>
            </w:pPr>
            <w:r>
              <w:rPr>
                <w:rFonts w:ascii="Arial" w:cs="Arial" w:eastAsia="Arial" w:hAnsi="Arial"/>
                <w:sz w:val="13"/>
                <w:szCs w:val="13"/>
                <w:color w:val="00053B"/>
              </w:rPr>
              <w:t>Awards:</w:t>
            </w: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00053B"/>
              </w:rPr>
              <w:t>Grant Date</w:t>
            </w:r>
          </w:p>
        </w:tc>
      </w:tr>
      <w:tr>
        <w:trPr>
          <w:trHeight w:val="122"/>
        </w:trPr>
        <w:tc>
          <w:tcPr>
            <w:tcW w:w="800" w:type="dxa"/>
            <w:vAlign w:val="bottom"/>
          </w:tcPr>
          <w:p>
            <w:pPr>
              <w:jc w:val="right"/>
              <w:ind w:right="137"/>
              <w:spacing w:after="0" w:line="122" w:lineRule="exact"/>
              <w:rPr>
                <w:sz w:val="20"/>
                <w:szCs w:val="20"/>
                <w:color w:val="auto"/>
              </w:rPr>
            </w:pPr>
            <w:r>
              <w:rPr>
                <w:rFonts w:ascii="Arial" w:cs="Arial" w:eastAsia="Arial" w:hAnsi="Arial"/>
                <w:sz w:val="13"/>
                <w:szCs w:val="13"/>
                <w:color w:val="00053B"/>
                <w:w w:val="95"/>
              </w:rPr>
              <w:t>Number of</w:t>
            </w:r>
          </w:p>
        </w:tc>
        <w:tc>
          <w:tcPr>
            <w:tcW w:w="840" w:type="dxa"/>
            <w:vAlign w:val="bottom"/>
          </w:tcPr>
          <w:p>
            <w:pPr>
              <w:jc w:val="right"/>
              <w:spacing w:after="0" w:line="122" w:lineRule="exact"/>
              <w:rPr>
                <w:sz w:val="20"/>
                <w:szCs w:val="20"/>
                <w:color w:val="auto"/>
              </w:rPr>
            </w:pPr>
            <w:r>
              <w:rPr>
                <w:rFonts w:ascii="Arial" w:cs="Arial" w:eastAsia="Arial" w:hAnsi="Arial"/>
                <w:sz w:val="13"/>
                <w:szCs w:val="13"/>
                <w:color w:val="00053B"/>
              </w:rPr>
              <w:t>Fair Value</w:t>
            </w:r>
          </w:p>
        </w:tc>
      </w:tr>
      <w:tr>
        <w:trPr>
          <w:trHeight w:val="122"/>
        </w:trPr>
        <w:tc>
          <w:tcPr>
            <w:tcW w:w="800" w:type="dxa"/>
            <w:vAlign w:val="bottom"/>
          </w:tcPr>
          <w:p>
            <w:pPr>
              <w:jc w:val="right"/>
              <w:ind w:right="137"/>
              <w:spacing w:after="0" w:line="122" w:lineRule="exact"/>
              <w:rPr>
                <w:sz w:val="20"/>
                <w:szCs w:val="20"/>
                <w:color w:val="auto"/>
              </w:rPr>
            </w:pPr>
            <w:r>
              <w:rPr>
                <w:rFonts w:ascii="Arial" w:cs="Arial" w:eastAsia="Arial" w:hAnsi="Arial"/>
                <w:sz w:val="13"/>
                <w:szCs w:val="13"/>
                <w:color w:val="00053B"/>
              </w:rPr>
              <w:t>Shares of</w:t>
            </w:r>
          </w:p>
        </w:tc>
        <w:tc>
          <w:tcPr>
            <w:tcW w:w="840" w:type="dxa"/>
            <w:vAlign w:val="bottom"/>
          </w:tcPr>
          <w:p>
            <w:pPr>
              <w:jc w:val="right"/>
              <w:spacing w:after="0" w:line="122" w:lineRule="exact"/>
              <w:rPr>
                <w:sz w:val="20"/>
                <w:szCs w:val="20"/>
                <w:color w:val="auto"/>
              </w:rPr>
            </w:pPr>
            <w:r>
              <w:rPr>
                <w:rFonts w:ascii="Arial" w:cs="Arial" w:eastAsia="Arial" w:hAnsi="Arial"/>
                <w:sz w:val="13"/>
                <w:szCs w:val="13"/>
                <w:color w:val="00053B"/>
              </w:rPr>
              <w:t>of Stock</w:t>
            </w:r>
          </w:p>
        </w:tc>
      </w:tr>
      <w:tr>
        <w:trPr>
          <w:trHeight w:val="135"/>
        </w:trPr>
        <w:tc>
          <w:tcPr>
            <w:tcW w:w="800" w:type="dxa"/>
            <w:vAlign w:val="bottom"/>
          </w:tcPr>
          <w:p>
            <w:pPr>
              <w:jc w:val="right"/>
              <w:ind w:right="137"/>
              <w:spacing w:after="0" w:line="135" w:lineRule="exact"/>
              <w:rPr>
                <w:sz w:val="20"/>
                <w:szCs w:val="20"/>
                <w:color w:val="auto"/>
              </w:rPr>
            </w:pPr>
            <w:r>
              <w:rPr>
                <w:rFonts w:ascii="Arial" w:cs="Arial" w:eastAsia="Arial" w:hAnsi="Arial"/>
                <w:sz w:val="13"/>
                <w:szCs w:val="13"/>
                <w:color w:val="00053B"/>
              </w:rPr>
              <w:t>Stock or</w:t>
            </w: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00053B"/>
              </w:rPr>
              <w:t>and Option</w:t>
            </w:r>
          </w:p>
        </w:tc>
      </w:tr>
      <w:tr>
        <w:trPr>
          <w:trHeight w:val="122"/>
        </w:trPr>
        <w:tc>
          <w:tcPr>
            <w:tcW w:w="800" w:type="dxa"/>
            <w:vAlign w:val="bottom"/>
          </w:tcPr>
          <w:p>
            <w:pPr>
              <w:jc w:val="right"/>
              <w:ind w:right="137"/>
              <w:spacing w:after="0" w:line="122" w:lineRule="exact"/>
              <w:rPr>
                <w:sz w:val="20"/>
                <w:szCs w:val="20"/>
                <w:color w:val="auto"/>
              </w:rPr>
            </w:pPr>
            <w:r>
              <w:rPr>
                <w:rFonts w:ascii="Arial" w:cs="Arial" w:eastAsia="Arial" w:hAnsi="Arial"/>
                <w:sz w:val="13"/>
                <w:szCs w:val="13"/>
                <w:color w:val="00053B"/>
              </w:rPr>
              <w:t>Units</w:t>
            </w:r>
          </w:p>
        </w:tc>
        <w:tc>
          <w:tcPr>
            <w:tcW w:w="840" w:type="dxa"/>
            <w:vAlign w:val="bottom"/>
          </w:tcPr>
          <w:p>
            <w:pPr>
              <w:jc w:val="right"/>
              <w:spacing w:after="0" w:line="122" w:lineRule="exact"/>
              <w:rPr>
                <w:sz w:val="20"/>
                <w:szCs w:val="20"/>
                <w:color w:val="auto"/>
              </w:rPr>
            </w:pPr>
            <w:r>
              <w:rPr>
                <w:rFonts w:ascii="Arial" w:cs="Arial" w:eastAsia="Arial" w:hAnsi="Arial"/>
                <w:sz w:val="13"/>
                <w:szCs w:val="13"/>
                <w:color w:val="00053B"/>
              </w:rPr>
              <w:t>Awards</w:t>
            </w:r>
          </w:p>
        </w:tc>
      </w:tr>
      <w:tr>
        <w:trPr>
          <w:trHeight w:val="166"/>
        </w:trPr>
        <w:tc>
          <w:tcPr>
            <w:tcW w:w="800" w:type="dxa"/>
            <w:vAlign w:val="bottom"/>
          </w:tcPr>
          <w:p>
            <w:pPr>
              <w:jc w:val="right"/>
              <w:ind w:right="137"/>
              <w:spacing w:after="0"/>
              <w:rPr>
                <w:sz w:val="20"/>
                <w:szCs w:val="20"/>
                <w:color w:val="auto"/>
              </w:rPr>
            </w:pPr>
            <w:r>
              <w:rPr>
                <w:rFonts w:ascii="Arial" w:cs="Arial" w:eastAsia="Arial" w:hAnsi="Arial"/>
                <w:sz w:val="13"/>
                <w:szCs w:val="13"/>
                <w:color w:val="00053B"/>
              </w:rPr>
              <w:t>(#)(7)</w:t>
            </w:r>
          </w:p>
        </w:tc>
        <w:tc>
          <w:tcPr>
            <w:tcW w:w="840" w:type="dxa"/>
            <w:vAlign w:val="bottom"/>
          </w:tcPr>
          <w:p>
            <w:pPr>
              <w:jc w:val="right"/>
              <w:spacing w:after="0"/>
              <w:rPr>
                <w:sz w:val="20"/>
                <w:szCs w:val="20"/>
                <w:color w:val="auto"/>
              </w:rPr>
            </w:pPr>
            <w:r>
              <w:rPr>
                <w:rFonts w:ascii="Arial" w:cs="Arial" w:eastAsia="Arial" w:hAnsi="Arial"/>
                <w:sz w:val="13"/>
                <w:szCs w:val="13"/>
                <w:color w:val="00053B"/>
              </w:rPr>
              <w:t>($)(8)</w:t>
            </w:r>
          </w:p>
        </w:tc>
      </w:tr>
    </w:tbl>
    <w:p>
      <w:pPr>
        <w:spacing w:after="0" w:line="10" w:lineRule="exact"/>
        <w:rPr>
          <w:sz w:val="20"/>
          <w:szCs w:val="20"/>
          <w:color w:val="auto"/>
        </w:rPr>
      </w:pPr>
    </w:p>
    <w:p>
      <w:pPr>
        <w:sectPr>
          <w:pgSz w:w="11900" w:h="16838" w:orient="portrait"/>
          <w:cols w:equalWidth="0" w:num="2">
            <w:col w:w="9240" w:space="320"/>
            <w:col w:w="1660"/>
          </w:cols>
          <w:pgMar w:left="320" w:top="122" w:right="359" w:bottom="1440" w:gutter="0" w:footer="0" w:header="0"/>
        </w:sectPr>
      </w:pPr>
    </w:p>
    <w:tbl>
      <w:tblPr>
        <w:tblLayout w:type="fixed"/>
        <w:tblInd w:w="40" w:type="dxa"/>
        <w:tblCellMar>
          <w:top w:w="0" w:type="dxa"/>
          <w:left w:w="0" w:type="dxa"/>
          <w:bottom w:w="0" w:type="dxa"/>
          <w:right w:w="0" w:type="dxa"/>
        </w:tblCellMar>
      </w:tblPr>
      <w:tr>
        <w:trPr>
          <w:trHeight w:val="208"/>
        </w:trPr>
        <w:tc>
          <w:tcPr>
            <w:tcW w:w="1760" w:type="dxa"/>
            <w:vAlign w:val="bottom"/>
            <w:tcBorders>
              <w:top w:val="single" w:sz="8" w:color="844896"/>
            </w:tcBorders>
          </w:tcPr>
          <w:p>
            <w:pPr>
              <w:ind w:left="120"/>
              <w:spacing w:after="0"/>
              <w:rPr>
                <w:sz w:val="20"/>
                <w:szCs w:val="20"/>
                <w:color w:val="auto"/>
              </w:rPr>
            </w:pPr>
            <w:r>
              <w:rPr>
                <w:rFonts w:ascii="Arial" w:cs="Arial" w:eastAsia="Arial" w:hAnsi="Arial"/>
                <w:sz w:val="14"/>
                <w:szCs w:val="14"/>
                <w:b w:val="1"/>
                <w:bCs w:val="1"/>
                <w:color w:val="00053B"/>
              </w:rPr>
              <w:t>Sanjay Mirchandani</w:t>
            </w:r>
          </w:p>
        </w:tc>
        <w:tc>
          <w:tcPr>
            <w:tcW w:w="1140" w:type="dxa"/>
            <w:vAlign w:val="bottom"/>
            <w:tcBorders>
              <w:top w:val="single" w:sz="8" w:color="844896"/>
            </w:tcBorders>
          </w:tcPr>
          <w:p>
            <w:pPr>
              <w:jc w:val="right"/>
              <w:ind w:right="28"/>
              <w:spacing w:after="0"/>
              <w:rPr>
                <w:sz w:val="20"/>
                <w:szCs w:val="20"/>
                <w:color w:val="auto"/>
              </w:rPr>
            </w:pPr>
            <w:r>
              <w:rPr>
                <w:rFonts w:ascii="Arial" w:cs="Arial" w:eastAsia="Arial" w:hAnsi="Arial"/>
                <w:sz w:val="14"/>
                <w:szCs w:val="14"/>
                <w:color w:val="00053B"/>
              </w:rPr>
              <w:t>—</w:t>
            </w:r>
          </w:p>
        </w:tc>
        <w:tc>
          <w:tcPr>
            <w:tcW w:w="1000" w:type="dxa"/>
            <w:vAlign w:val="bottom"/>
            <w:tcBorders>
              <w:top w:val="single" w:sz="8" w:color="844896"/>
            </w:tcBorders>
          </w:tcPr>
          <w:p>
            <w:pPr>
              <w:jc w:val="right"/>
              <w:spacing w:after="0"/>
              <w:rPr>
                <w:sz w:val="20"/>
                <w:szCs w:val="20"/>
                <w:color w:val="auto"/>
              </w:rPr>
            </w:pPr>
            <w:r>
              <w:rPr>
                <w:rFonts w:ascii="Arial" w:cs="Arial" w:eastAsia="Arial" w:hAnsi="Arial"/>
                <w:sz w:val="14"/>
                <w:szCs w:val="14"/>
                <w:color w:val="00053B"/>
              </w:rPr>
              <w:t>322,500</w:t>
            </w:r>
          </w:p>
        </w:tc>
        <w:tc>
          <w:tcPr>
            <w:tcW w:w="1220" w:type="dxa"/>
            <w:vAlign w:val="bottom"/>
            <w:tcBorders>
              <w:top w:val="single" w:sz="8" w:color="844896"/>
            </w:tcBorders>
          </w:tcPr>
          <w:p>
            <w:pPr>
              <w:jc w:val="right"/>
              <w:ind w:right="128"/>
              <w:spacing w:after="0"/>
              <w:rPr>
                <w:sz w:val="20"/>
                <w:szCs w:val="20"/>
                <w:color w:val="auto"/>
              </w:rPr>
            </w:pPr>
            <w:r>
              <w:rPr>
                <w:rFonts w:ascii="Arial" w:cs="Arial" w:eastAsia="Arial" w:hAnsi="Arial"/>
                <w:sz w:val="14"/>
                <w:szCs w:val="14"/>
                <w:color w:val="00053B"/>
              </w:rPr>
              <w:t>645,000</w:t>
            </w:r>
          </w:p>
        </w:tc>
        <w:tc>
          <w:tcPr>
            <w:tcW w:w="1160" w:type="dxa"/>
            <w:vAlign w:val="bottom"/>
            <w:tcBorders>
              <w:top w:val="single" w:sz="8" w:color="844896"/>
            </w:tcBorders>
          </w:tcPr>
          <w:p>
            <w:pPr>
              <w:jc w:val="right"/>
              <w:ind w:right="228"/>
              <w:spacing w:after="0"/>
              <w:rPr>
                <w:sz w:val="20"/>
                <w:szCs w:val="20"/>
                <w:color w:val="auto"/>
              </w:rPr>
            </w:pPr>
            <w:r>
              <w:rPr>
                <w:rFonts w:ascii="Arial" w:cs="Arial" w:eastAsia="Arial" w:hAnsi="Arial"/>
                <w:sz w:val="14"/>
                <w:szCs w:val="14"/>
                <w:color w:val="00053B"/>
              </w:rPr>
              <w:t>1,290,000</w:t>
            </w:r>
          </w:p>
        </w:tc>
        <w:tc>
          <w:tcPr>
            <w:tcW w:w="1060" w:type="dxa"/>
            <w:vAlign w:val="bottom"/>
            <w:tcBorders>
              <w:top w:val="single" w:sz="8" w:color="844896"/>
            </w:tcBorders>
          </w:tcPr>
          <w:p>
            <w:pPr>
              <w:jc w:val="right"/>
              <w:ind w:right="248"/>
              <w:spacing w:after="0"/>
              <w:rPr>
                <w:sz w:val="20"/>
                <w:szCs w:val="20"/>
                <w:color w:val="auto"/>
              </w:rPr>
            </w:pPr>
            <w:r>
              <w:rPr>
                <w:rFonts w:ascii="Arial" w:cs="Arial" w:eastAsia="Arial" w:hAnsi="Arial"/>
                <w:sz w:val="14"/>
                <w:szCs w:val="14"/>
                <w:color w:val="00053B"/>
              </w:rPr>
              <w:t>—</w:t>
            </w:r>
          </w:p>
        </w:tc>
        <w:tc>
          <w:tcPr>
            <w:tcW w:w="1040" w:type="dxa"/>
            <w:vAlign w:val="bottom"/>
            <w:tcBorders>
              <w:top w:val="single" w:sz="8" w:color="844896"/>
            </w:tcBorders>
          </w:tcPr>
          <w:p>
            <w:pPr>
              <w:jc w:val="right"/>
              <w:ind w:right="228"/>
              <w:spacing w:after="0"/>
              <w:rPr>
                <w:sz w:val="20"/>
                <w:szCs w:val="20"/>
                <w:color w:val="auto"/>
              </w:rPr>
            </w:pPr>
            <w:r>
              <w:rPr>
                <w:rFonts w:ascii="Arial" w:cs="Arial" w:eastAsia="Arial" w:hAnsi="Arial"/>
                <w:sz w:val="14"/>
                <w:szCs w:val="14"/>
                <w:color w:val="00053B"/>
              </w:rPr>
              <w:t>—</w:t>
            </w:r>
          </w:p>
        </w:tc>
        <w:tc>
          <w:tcPr>
            <w:tcW w:w="1000" w:type="dxa"/>
            <w:vAlign w:val="bottom"/>
            <w:tcBorders>
              <w:top w:val="single" w:sz="8" w:color="844896"/>
            </w:tcBorders>
          </w:tcPr>
          <w:p>
            <w:pPr>
              <w:jc w:val="right"/>
              <w:ind w:right="168"/>
              <w:spacing w:after="0"/>
              <w:rPr>
                <w:sz w:val="20"/>
                <w:szCs w:val="20"/>
                <w:color w:val="auto"/>
              </w:rPr>
            </w:pPr>
            <w:r>
              <w:rPr>
                <w:rFonts w:ascii="Arial" w:cs="Arial" w:eastAsia="Arial" w:hAnsi="Arial"/>
                <w:sz w:val="14"/>
                <w:szCs w:val="14"/>
                <w:color w:val="00053B"/>
              </w:rPr>
              <w:t>—</w:t>
            </w:r>
          </w:p>
        </w:tc>
        <w:tc>
          <w:tcPr>
            <w:tcW w:w="880" w:type="dxa"/>
            <w:vAlign w:val="bottom"/>
            <w:tcBorders>
              <w:top w:val="single" w:sz="8" w:color="844896"/>
            </w:tcBorders>
          </w:tcPr>
          <w:p>
            <w:pPr>
              <w:jc w:val="right"/>
              <w:ind w:right="128"/>
              <w:spacing w:after="0"/>
              <w:rPr>
                <w:sz w:val="20"/>
                <w:szCs w:val="20"/>
                <w:color w:val="auto"/>
              </w:rPr>
            </w:pPr>
            <w:r>
              <w:rPr>
                <w:rFonts w:ascii="Arial" w:cs="Arial" w:eastAsia="Arial" w:hAnsi="Arial"/>
                <w:sz w:val="14"/>
                <w:szCs w:val="14"/>
                <w:color w:val="00053B"/>
              </w:rPr>
              <w:t>—</w:t>
            </w:r>
          </w:p>
        </w:tc>
        <w:tc>
          <w:tcPr>
            <w:tcW w:w="920" w:type="dxa"/>
            <w:vAlign w:val="bottom"/>
            <w:tcBorders>
              <w:top w:val="single" w:sz="8" w:color="844896"/>
            </w:tcBorders>
          </w:tcPr>
          <w:p>
            <w:pPr>
              <w:jc w:val="right"/>
              <w:ind w:right="8"/>
              <w:spacing w:after="0"/>
              <w:rPr>
                <w:sz w:val="20"/>
                <w:szCs w:val="20"/>
                <w:color w:val="auto"/>
              </w:rPr>
            </w:pPr>
            <w:r>
              <w:rPr>
                <w:rFonts w:ascii="Arial" w:cs="Arial" w:eastAsia="Arial" w:hAnsi="Arial"/>
                <w:sz w:val="14"/>
                <w:szCs w:val="14"/>
                <w:color w:val="00053B"/>
              </w:rPr>
              <w:t>—</w:t>
            </w:r>
          </w:p>
        </w:tc>
      </w:tr>
      <w:tr>
        <w:trPr>
          <w:trHeight w:val="197"/>
        </w:trPr>
        <w:tc>
          <w:tcPr>
            <w:tcW w:w="176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00053B"/>
              </w:rPr>
              <w:t>05/15/23</w:t>
            </w:r>
          </w:p>
        </w:tc>
        <w:tc>
          <w:tcPr>
            <w:tcW w:w="1000" w:type="dxa"/>
            <w:vAlign w:val="bottom"/>
          </w:tcPr>
          <w:p>
            <w:pPr>
              <w:jc w:val="right"/>
              <w:spacing w:after="0"/>
              <w:rPr>
                <w:sz w:val="20"/>
                <w:szCs w:val="20"/>
                <w:color w:val="auto"/>
              </w:rPr>
            </w:pPr>
            <w:r>
              <w:rPr>
                <w:rFonts w:ascii="Arial" w:cs="Arial" w:eastAsia="Arial" w:hAnsi="Arial"/>
                <w:sz w:val="14"/>
                <w:szCs w:val="14"/>
                <w:color w:val="00053B"/>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00053B"/>
              </w:rPr>
              <w:t>—</w:t>
            </w:r>
          </w:p>
        </w:tc>
        <w:tc>
          <w:tcPr>
            <w:tcW w:w="1160" w:type="dxa"/>
            <w:vAlign w:val="bottom"/>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tcPr>
          <w:p>
            <w:pPr>
              <w:jc w:val="right"/>
              <w:ind w:right="248"/>
              <w:spacing w:after="0"/>
              <w:rPr>
                <w:sz w:val="20"/>
                <w:szCs w:val="20"/>
                <w:color w:val="auto"/>
              </w:rPr>
            </w:pPr>
            <w:r>
              <w:rPr>
                <w:rFonts w:ascii="Arial" w:cs="Arial" w:eastAsia="Arial" w:hAnsi="Arial"/>
                <w:sz w:val="14"/>
                <w:szCs w:val="14"/>
                <w:color w:val="00053B"/>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00053B"/>
              </w:rPr>
              <w:t>—</w:t>
            </w:r>
          </w:p>
        </w:tc>
        <w:tc>
          <w:tcPr>
            <w:tcW w:w="1000" w:type="dxa"/>
            <w:vAlign w:val="bottom"/>
          </w:tcPr>
          <w:p>
            <w:pPr>
              <w:jc w:val="right"/>
              <w:ind w:right="168"/>
              <w:spacing w:after="0"/>
              <w:rPr>
                <w:sz w:val="20"/>
                <w:szCs w:val="20"/>
                <w:color w:val="auto"/>
              </w:rPr>
            </w:pPr>
            <w:r>
              <w:rPr>
                <w:rFonts w:ascii="Arial" w:cs="Arial" w:eastAsia="Arial" w:hAnsi="Arial"/>
                <w:sz w:val="14"/>
                <w:szCs w:val="14"/>
                <w:color w:val="00053B"/>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00053B"/>
              </w:rPr>
              <w:t>77,811</w:t>
            </w:r>
          </w:p>
        </w:tc>
        <w:tc>
          <w:tcPr>
            <w:tcW w:w="920" w:type="dxa"/>
            <w:vAlign w:val="bottom"/>
          </w:tcPr>
          <w:p>
            <w:pPr>
              <w:jc w:val="right"/>
              <w:ind w:right="8"/>
              <w:spacing w:after="0"/>
              <w:rPr>
                <w:sz w:val="20"/>
                <w:szCs w:val="20"/>
                <w:color w:val="auto"/>
              </w:rPr>
            </w:pPr>
            <w:r>
              <w:rPr>
                <w:rFonts w:ascii="Arial" w:cs="Arial" w:eastAsia="Arial" w:hAnsi="Arial"/>
                <w:sz w:val="14"/>
                <w:szCs w:val="14"/>
                <w:color w:val="00053B"/>
              </w:rPr>
              <w:t>4,849,960</w:t>
            </w:r>
          </w:p>
        </w:tc>
      </w:tr>
      <w:tr>
        <w:trPr>
          <w:trHeight w:val="203"/>
        </w:trPr>
        <w:tc>
          <w:tcPr>
            <w:tcW w:w="176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00053B"/>
              </w:rPr>
              <w:t>05/15/23</w:t>
            </w:r>
          </w:p>
        </w:tc>
        <w:tc>
          <w:tcPr>
            <w:tcW w:w="1000" w:type="dxa"/>
            <w:vAlign w:val="bottom"/>
          </w:tcPr>
          <w:p>
            <w:pPr>
              <w:jc w:val="right"/>
              <w:spacing w:after="0"/>
              <w:rPr>
                <w:sz w:val="20"/>
                <w:szCs w:val="20"/>
                <w:color w:val="auto"/>
              </w:rPr>
            </w:pPr>
            <w:r>
              <w:rPr>
                <w:rFonts w:ascii="Arial" w:cs="Arial" w:eastAsia="Arial" w:hAnsi="Arial"/>
                <w:sz w:val="14"/>
                <w:szCs w:val="14"/>
                <w:color w:val="00053B"/>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00053B"/>
              </w:rPr>
              <w:t>—</w:t>
            </w:r>
          </w:p>
        </w:tc>
        <w:tc>
          <w:tcPr>
            <w:tcW w:w="1160" w:type="dxa"/>
            <w:vAlign w:val="bottom"/>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tcPr>
          <w:p>
            <w:pPr>
              <w:jc w:val="right"/>
              <w:ind w:right="248"/>
              <w:spacing w:after="0"/>
              <w:rPr>
                <w:sz w:val="20"/>
                <w:szCs w:val="20"/>
                <w:color w:val="auto"/>
              </w:rPr>
            </w:pPr>
            <w:r>
              <w:rPr>
                <w:rFonts w:ascii="Arial" w:cs="Arial" w:eastAsia="Arial" w:hAnsi="Arial"/>
                <w:sz w:val="14"/>
                <w:szCs w:val="14"/>
                <w:color w:val="00053B"/>
              </w:rPr>
              <w:t>19,452</w:t>
            </w:r>
          </w:p>
        </w:tc>
        <w:tc>
          <w:tcPr>
            <w:tcW w:w="1040" w:type="dxa"/>
            <w:vAlign w:val="bottom"/>
          </w:tcPr>
          <w:p>
            <w:pPr>
              <w:jc w:val="right"/>
              <w:ind w:right="228"/>
              <w:spacing w:after="0"/>
              <w:rPr>
                <w:sz w:val="20"/>
                <w:szCs w:val="20"/>
                <w:color w:val="auto"/>
              </w:rPr>
            </w:pPr>
            <w:r>
              <w:rPr>
                <w:rFonts w:ascii="Arial" w:cs="Arial" w:eastAsia="Arial" w:hAnsi="Arial"/>
                <w:sz w:val="14"/>
                <w:szCs w:val="14"/>
                <w:color w:val="00053B"/>
              </w:rPr>
              <w:t>38,905</w:t>
            </w:r>
          </w:p>
        </w:tc>
        <w:tc>
          <w:tcPr>
            <w:tcW w:w="1000" w:type="dxa"/>
            <w:vAlign w:val="bottom"/>
          </w:tcPr>
          <w:p>
            <w:pPr>
              <w:jc w:val="right"/>
              <w:ind w:right="168"/>
              <w:spacing w:after="0"/>
              <w:rPr>
                <w:sz w:val="20"/>
                <w:szCs w:val="20"/>
                <w:color w:val="auto"/>
              </w:rPr>
            </w:pPr>
            <w:r>
              <w:rPr>
                <w:rFonts w:ascii="Arial" w:cs="Arial" w:eastAsia="Arial" w:hAnsi="Arial"/>
                <w:sz w:val="14"/>
                <w:szCs w:val="14"/>
                <w:color w:val="00053B"/>
              </w:rPr>
              <w:t>77,810</w:t>
            </w:r>
          </w:p>
        </w:tc>
        <w:tc>
          <w:tcPr>
            <w:tcW w:w="880" w:type="dxa"/>
            <w:vAlign w:val="bottom"/>
          </w:tcPr>
          <w:p>
            <w:pPr>
              <w:jc w:val="right"/>
              <w:ind w:right="128"/>
              <w:spacing w:after="0"/>
              <w:rPr>
                <w:sz w:val="20"/>
                <w:szCs w:val="20"/>
                <w:color w:val="auto"/>
              </w:rPr>
            </w:pPr>
            <w:r>
              <w:rPr>
                <w:rFonts w:ascii="Arial" w:cs="Arial" w:eastAsia="Arial" w:hAnsi="Arial"/>
                <w:sz w:val="14"/>
                <w:szCs w:val="14"/>
                <w:color w:val="00053B"/>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00053B"/>
              </w:rPr>
              <w:t>3,419,750</w:t>
            </w:r>
          </w:p>
        </w:tc>
      </w:tr>
      <w:tr>
        <w:trPr>
          <w:trHeight w:val="207"/>
        </w:trPr>
        <w:tc>
          <w:tcPr>
            <w:tcW w:w="176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00053B"/>
              </w:rPr>
              <w:t>05/15/23</w:t>
            </w:r>
          </w:p>
        </w:tc>
        <w:tc>
          <w:tcPr>
            <w:tcW w:w="1000" w:type="dxa"/>
            <w:vAlign w:val="bottom"/>
          </w:tcPr>
          <w:p>
            <w:pPr>
              <w:jc w:val="right"/>
              <w:spacing w:after="0"/>
              <w:rPr>
                <w:sz w:val="20"/>
                <w:szCs w:val="20"/>
                <w:color w:val="auto"/>
              </w:rPr>
            </w:pPr>
            <w:r>
              <w:rPr>
                <w:rFonts w:ascii="Arial" w:cs="Arial" w:eastAsia="Arial" w:hAnsi="Arial"/>
                <w:sz w:val="14"/>
                <w:szCs w:val="14"/>
                <w:color w:val="00053B"/>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00053B"/>
              </w:rPr>
              <w:t>—</w:t>
            </w:r>
          </w:p>
        </w:tc>
        <w:tc>
          <w:tcPr>
            <w:tcW w:w="1160" w:type="dxa"/>
            <w:vAlign w:val="bottom"/>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tcPr>
          <w:p>
            <w:pPr>
              <w:jc w:val="right"/>
              <w:ind w:right="248"/>
              <w:spacing w:after="0"/>
              <w:rPr>
                <w:sz w:val="20"/>
                <w:szCs w:val="20"/>
                <w:color w:val="auto"/>
              </w:rPr>
            </w:pPr>
            <w:r>
              <w:rPr>
                <w:rFonts w:ascii="Arial" w:cs="Arial" w:eastAsia="Arial" w:hAnsi="Arial"/>
                <w:sz w:val="14"/>
                <w:szCs w:val="14"/>
                <w:color w:val="00053B"/>
              </w:rPr>
              <w:t>19,452</w:t>
            </w:r>
          </w:p>
        </w:tc>
        <w:tc>
          <w:tcPr>
            <w:tcW w:w="1040" w:type="dxa"/>
            <w:vAlign w:val="bottom"/>
          </w:tcPr>
          <w:p>
            <w:pPr>
              <w:jc w:val="right"/>
              <w:ind w:right="228"/>
              <w:spacing w:after="0"/>
              <w:rPr>
                <w:sz w:val="20"/>
                <w:szCs w:val="20"/>
                <w:color w:val="auto"/>
              </w:rPr>
            </w:pPr>
            <w:r>
              <w:rPr>
                <w:rFonts w:ascii="Arial" w:cs="Arial" w:eastAsia="Arial" w:hAnsi="Arial"/>
                <w:sz w:val="14"/>
                <w:szCs w:val="14"/>
                <w:color w:val="00053B"/>
              </w:rPr>
              <w:t>38,905</w:t>
            </w:r>
          </w:p>
        </w:tc>
        <w:tc>
          <w:tcPr>
            <w:tcW w:w="1000" w:type="dxa"/>
            <w:vAlign w:val="bottom"/>
          </w:tcPr>
          <w:p>
            <w:pPr>
              <w:jc w:val="right"/>
              <w:ind w:right="168"/>
              <w:spacing w:after="0"/>
              <w:rPr>
                <w:sz w:val="20"/>
                <w:szCs w:val="20"/>
                <w:color w:val="auto"/>
              </w:rPr>
            </w:pPr>
            <w:r>
              <w:rPr>
                <w:rFonts w:ascii="Arial" w:cs="Arial" w:eastAsia="Arial" w:hAnsi="Arial"/>
                <w:sz w:val="14"/>
                <w:szCs w:val="14"/>
                <w:color w:val="00053B"/>
              </w:rPr>
              <w:t>77,810</w:t>
            </w:r>
          </w:p>
        </w:tc>
        <w:tc>
          <w:tcPr>
            <w:tcW w:w="880" w:type="dxa"/>
            <w:vAlign w:val="bottom"/>
          </w:tcPr>
          <w:p>
            <w:pPr>
              <w:jc w:val="right"/>
              <w:ind w:right="128"/>
              <w:spacing w:after="0"/>
              <w:rPr>
                <w:sz w:val="20"/>
                <w:szCs w:val="20"/>
                <w:color w:val="auto"/>
              </w:rPr>
            </w:pPr>
            <w:r>
              <w:rPr>
                <w:rFonts w:ascii="Arial" w:cs="Arial" w:eastAsia="Arial" w:hAnsi="Arial"/>
                <w:sz w:val="14"/>
                <w:szCs w:val="14"/>
                <w:color w:val="00053B"/>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00053B"/>
              </w:rPr>
              <w:t>2,424,948</w:t>
            </w:r>
          </w:p>
        </w:tc>
      </w:tr>
      <w:tr>
        <w:trPr>
          <w:trHeight w:val="204"/>
        </w:trPr>
        <w:tc>
          <w:tcPr>
            <w:tcW w:w="1760" w:type="dxa"/>
            <w:vAlign w:val="bottom"/>
            <w:shd w:val="clear" w:color="auto" w:fill="EAEAEA"/>
          </w:tcPr>
          <w:p>
            <w:pPr>
              <w:ind w:left="120"/>
              <w:spacing w:after="0"/>
              <w:rPr>
                <w:sz w:val="20"/>
                <w:szCs w:val="20"/>
                <w:color w:val="auto"/>
              </w:rPr>
            </w:pPr>
            <w:r>
              <w:rPr>
                <w:rFonts w:ascii="Arial" w:cs="Arial" w:eastAsia="Arial" w:hAnsi="Arial"/>
                <w:sz w:val="14"/>
                <w:szCs w:val="14"/>
                <w:b w:val="1"/>
                <w:bCs w:val="1"/>
                <w:color w:val="00053B"/>
              </w:rPr>
              <w:t>Gary Merrill</w:t>
            </w:r>
          </w:p>
        </w:tc>
        <w:tc>
          <w:tcPr>
            <w:tcW w:w="1140" w:type="dxa"/>
            <w:vAlign w:val="bottom"/>
            <w:shd w:val="clear" w:color="auto" w:fill="EAEAEA"/>
          </w:tcPr>
          <w:p>
            <w:pPr>
              <w:jc w:val="right"/>
              <w:ind w:right="28"/>
              <w:spacing w:after="0"/>
              <w:rPr>
                <w:sz w:val="20"/>
                <w:szCs w:val="20"/>
                <w:color w:val="auto"/>
              </w:rPr>
            </w:pPr>
            <w:r>
              <w:rPr>
                <w:rFonts w:ascii="Arial" w:cs="Arial" w:eastAsia="Arial" w:hAnsi="Arial"/>
                <w:sz w:val="14"/>
                <w:szCs w:val="14"/>
                <w:color w:val="00053B"/>
              </w:rPr>
              <w:t>—</w:t>
            </w:r>
          </w:p>
        </w:tc>
        <w:tc>
          <w:tcPr>
            <w:tcW w:w="1000" w:type="dxa"/>
            <w:vAlign w:val="bottom"/>
            <w:shd w:val="clear" w:color="auto" w:fill="EAEAEA"/>
          </w:tcPr>
          <w:p>
            <w:pPr>
              <w:jc w:val="right"/>
              <w:spacing w:after="0"/>
              <w:rPr>
                <w:sz w:val="20"/>
                <w:szCs w:val="20"/>
                <w:color w:val="auto"/>
              </w:rPr>
            </w:pPr>
            <w:r>
              <w:rPr>
                <w:rFonts w:ascii="Arial" w:cs="Arial" w:eastAsia="Arial" w:hAnsi="Arial"/>
                <w:sz w:val="14"/>
                <w:szCs w:val="14"/>
                <w:color w:val="00053B"/>
              </w:rPr>
              <w:t>157,850</w:t>
            </w:r>
          </w:p>
        </w:tc>
        <w:tc>
          <w:tcPr>
            <w:tcW w:w="1220" w:type="dxa"/>
            <w:vAlign w:val="bottom"/>
            <w:shd w:val="clear" w:color="auto" w:fill="EAEAEA"/>
          </w:tcPr>
          <w:p>
            <w:pPr>
              <w:jc w:val="right"/>
              <w:ind w:right="128"/>
              <w:spacing w:after="0"/>
              <w:rPr>
                <w:sz w:val="20"/>
                <w:szCs w:val="20"/>
                <w:color w:val="auto"/>
              </w:rPr>
            </w:pPr>
            <w:r>
              <w:rPr>
                <w:rFonts w:ascii="Arial" w:cs="Arial" w:eastAsia="Arial" w:hAnsi="Arial"/>
                <w:sz w:val="14"/>
                <w:szCs w:val="14"/>
                <w:color w:val="00053B"/>
              </w:rPr>
              <w:t>315,700</w:t>
            </w:r>
          </w:p>
        </w:tc>
        <w:tc>
          <w:tcPr>
            <w:tcW w:w="1160" w:type="dxa"/>
            <w:vAlign w:val="bottom"/>
            <w:shd w:val="clear" w:color="auto" w:fill="EAEAEA"/>
          </w:tcPr>
          <w:p>
            <w:pPr>
              <w:jc w:val="right"/>
              <w:ind w:right="228"/>
              <w:spacing w:after="0"/>
              <w:rPr>
                <w:sz w:val="20"/>
                <w:szCs w:val="20"/>
                <w:color w:val="auto"/>
              </w:rPr>
            </w:pPr>
            <w:r>
              <w:rPr>
                <w:rFonts w:ascii="Arial" w:cs="Arial" w:eastAsia="Arial" w:hAnsi="Arial"/>
                <w:sz w:val="14"/>
                <w:szCs w:val="14"/>
                <w:color w:val="00053B"/>
              </w:rPr>
              <w:t>631,400</w:t>
            </w:r>
          </w:p>
        </w:tc>
        <w:tc>
          <w:tcPr>
            <w:tcW w:w="1060" w:type="dxa"/>
            <w:vAlign w:val="bottom"/>
            <w:shd w:val="clear" w:color="auto" w:fill="EAEAEA"/>
          </w:tcPr>
          <w:p>
            <w:pPr>
              <w:jc w:val="right"/>
              <w:ind w:right="248"/>
              <w:spacing w:after="0"/>
              <w:rPr>
                <w:sz w:val="20"/>
                <w:szCs w:val="20"/>
                <w:color w:val="auto"/>
              </w:rPr>
            </w:pPr>
            <w:r>
              <w:rPr>
                <w:rFonts w:ascii="Arial" w:cs="Arial" w:eastAsia="Arial" w:hAnsi="Arial"/>
                <w:sz w:val="14"/>
                <w:szCs w:val="14"/>
                <w:color w:val="00053B"/>
              </w:rPr>
              <w:t>—</w:t>
            </w:r>
          </w:p>
        </w:tc>
        <w:tc>
          <w:tcPr>
            <w:tcW w:w="1040" w:type="dxa"/>
            <w:vAlign w:val="bottom"/>
            <w:shd w:val="clear" w:color="auto" w:fill="EAEAEA"/>
          </w:tcPr>
          <w:p>
            <w:pPr>
              <w:jc w:val="right"/>
              <w:ind w:right="228"/>
              <w:spacing w:after="0"/>
              <w:rPr>
                <w:sz w:val="20"/>
                <w:szCs w:val="20"/>
                <w:color w:val="auto"/>
              </w:rPr>
            </w:pPr>
            <w:r>
              <w:rPr>
                <w:rFonts w:ascii="Arial" w:cs="Arial" w:eastAsia="Arial" w:hAnsi="Arial"/>
                <w:sz w:val="14"/>
                <w:szCs w:val="14"/>
                <w:color w:val="00053B"/>
              </w:rPr>
              <w:t>—</w:t>
            </w:r>
          </w:p>
        </w:tc>
        <w:tc>
          <w:tcPr>
            <w:tcW w:w="1000" w:type="dxa"/>
            <w:vAlign w:val="bottom"/>
            <w:shd w:val="clear" w:color="auto" w:fill="EAEAEA"/>
          </w:tcPr>
          <w:p>
            <w:pPr>
              <w:jc w:val="right"/>
              <w:ind w:right="168"/>
              <w:spacing w:after="0"/>
              <w:rPr>
                <w:sz w:val="20"/>
                <w:szCs w:val="20"/>
                <w:color w:val="auto"/>
              </w:rPr>
            </w:pPr>
            <w:r>
              <w:rPr>
                <w:rFonts w:ascii="Arial" w:cs="Arial" w:eastAsia="Arial" w:hAnsi="Arial"/>
                <w:sz w:val="14"/>
                <w:szCs w:val="14"/>
                <w:color w:val="00053B"/>
              </w:rPr>
              <w:t>—</w:t>
            </w:r>
          </w:p>
        </w:tc>
        <w:tc>
          <w:tcPr>
            <w:tcW w:w="880" w:type="dxa"/>
            <w:vAlign w:val="bottom"/>
            <w:shd w:val="clear" w:color="auto" w:fill="EAEAEA"/>
          </w:tcPr>
          <w:p>
            <w:pPr>
              <w:jc w:val="right"/>
              <w:ind w:right="128"/>
              <w:spacing w:after="0"/>
              <w:rPr>
                <w:sz w:val="20"/>
                <w:szCs w:val="20"/>
                <w:color w:val="auto"/>
              </w:rPr>
            </w:pPr>
            <w:r>
              <w:rPr>
                <w:rFonts w:ascii="Arial" w:cs="Arial" w:eastAsia="Arial" w:hAnsi="Arial"/>
                <w:sz w:val="14"/>
                <w:szCs w:val="14"/>
                <w:color w:val="00053B"/>
              </w:rPr>
              <w:t>—</w:t>
            </w:r>
          </w:p>
        </w:tc>
        <w:tc>
          <w:tcPr>
            <w:tcW w:w="920" w:type="dxa"/>
            <w:vAlign w:val="bottom"/>
            <w:shd w:val="clear" w:color="auto" w:fill="EAEAEA"/>
          </w:tcPr>
          <w:p>
            <w:pPr>
              <w:jc w:val="right"/>
              <w:ind w:right="8"/>
              <w:spacing w:after="0"/>
              <w:rPr>
                <w:sz w:val="20"/>
                <w:szCs w:val="20"/>
                <w:color w:val="auto"/>
              </w:rPr>
            </w:pPr>
            <w:r>
              <w:rPr>
                <w:rFonts w:ascii="Arial" w:cs="Arial" w:eastAsia="Arial" w:hAnsi="Arial"/>
                <w:sz w:val="14"/>
                <w:szCs w:val="14"/>
                <w:color w:val="00053B"/>
              </w:rPr>
              <w:t>—</w:t>
            </w:r>
          </w:p>
        </w:tc>
      </w:tr>
      <w:tr>
        <w:trPr>
          <w:trHeight w:val="197"/>
        </w:trPr>
        <w:tc>
          <w:tcPr>
            <w:tcW w:w="1760" w:type="dxa"/>
            <w:vAlign w:val="bottom"/>
            <w:shd w:val="clear" w:color="auto" w:fill="EAEAEA"/>
          </w:tcPr>
          <w:p>
            <w:pPr>
              <w:spacing w:after="0"/>
              <w:rPr>
                <w:sz w:val="17"/>
                <w:szCs w:val="17"/>
                <w:color w:val="auto"/>
              </w:rPr>
            </w:pPr>
          </w:p>
        </w:tc>
        <w:tc>
          <w:tcPr>
            <w:tcW w:w="1140" w:type="dxa"/>
            <w:vAlign w:val="bottom"/>
            <w:shd w:val="clear" w:color="auto" w:fill="EAEAEA"/>
          </w:tcPr>
          <w:p>
            <w:pPr>
              <w:jc w:val="right"/>
              <w:ind w:right="28"/>
              <w:spacing w:after="0"/>
              <w:rPr>
                <w:sz w:val="20"/>
                <w:szCs w:val="20"/>
                <w:color w:val="auto"/>
              </w:rPr>
            </w:pPr>
            <w:r>
              <w:rPr>
                <w:rFonts w:ascii="Arial" w:cs="Arial" w:eastAsia="Arial" w:hAnsi="Arial"/>
                <w:sz w:val="14"/>
                <w:szCs w:val="14"/>
                <w:color w:val="00053B"/>
              </w:rPr>
              <w:t>05/15/23</w:t>
            </w:r>
          </w:p>
        </w:tc>
        <w:tc>
          <w:tcPr>
            <w:tcW w:w="1000" w:type="dxa"/>
            <w:vAlign w:val="bottom"/>
            <w:shd w:val="clear" w:color="auto" w:fill="EAEAEA"/>
          </w:tcPr>
          <w:p>
            <w:pPr>
              <w:jc w:val="right"/>
              <w:spacing w:after="0"/>
              <w:rPr>
                <w:sz w:val="20"/>
                <w:szCs w:val="20"/>
                <w:color w:val="auto"/>
              </w:rPr>
            </w:pPr>
            <w:r>
              <w:rPr>
                <w:rFonts w:ascii="Arial" w:cs="Arial" w:eastAsia="Arial" w:hAnsi="Arial"/>
                <w:sz w:val="14"/>
                <w:szCs w:val="14"/>
                <w:color w:val="00053B"/>
              </w:rPr>
              <w:t>—</w:t>
            </w:r>
          </w:p>
        </w:tc>
        <w:tc>
          <w:tcPr>
            <w:tcW w:w="1220" w:type="dxa"/>
            <w:vAlign w:val="bottom"/>
            <w:shd w:val="clear" w:color="auto" w:fill="EAEAEA"/>
          </w:tcPr>
          <w:p>
            <w:pPr>
              <w:jc w:val="right"/>
              <w:ind w:right="128"/>
              <w:spacing w:after="0"/>
              <w:rPr>
                <w:sz w:val="20"/>
                <w:szCs w:val="20"/>
                <w:color w:val="auto"/>
              </w:rPr>
            </w:pPr>
            <w:r>
              <w:rPr>
                <w:rFonts w:ascii="Arial" w:cs="Arial" w:eastAsia="Arial" w:hAnsi="Arial"/>
                <w:sz w:val="14"/>
                <w:szCs w:val="14"/>
                <w:color w:val="00053B"/>
              </w:rPr>
              <w:t>—</w:t>
            </w:r>
          </w:p>
        </w:tc>
        <w:tc>
          <w:tcPr>
            <w:tcW w:w="1160" w:type="dxa"/>
            <w:vAlign w:val="bottom"/>
            <w:shd w:val="clear" w:color="auto" w:fill="EAEAEA"/>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shd w:val="clear" w:color="auto" w:fill="EAEAEA"/>
          </w:tcPr>
          <w:p>
            <w:pPr>
              <w:jc w:val="right"/>
              <w:ind w:right="248"/>
              <w:spacing w:after="0"/>
              <w:rPr>
                <w:sz w:val="20"/>
                <w:szCs w:val="20"/>
                <w:color w:val="auto"/>
              </w:rPr>
            </w:pPr>
            <w:r>
              <w:rPr>
                <w:rFonts w:ascii="Arial" w:cs="Arial" w:eastAsia="Arial" w:hAnsi="Arial"/>
                <w:sz w:val="14"/>
                <w:szCs w:val="14"/>
                <w:color w:val="00053B"/>
              </w:rPr>
              <w:t>—</w:t>
            </w:r>
          </w:p>
        </w:tc>
        <w:tc>
          <w:tcPr>
            <w:tcW w:w="1040" w:type="dxa"/>
            <w:vAlign w:val="bottom"/>
            <w:shd w:val="clear" w:color="auto" w:fill="EAEAEA"/>
          </w:tcPr>
          <w:p>
            <w:pPr>
              <w:jc w:val="right"/>
              <w:ind w:right="228"/>
              <w:spacing w:after="0"/>
              <w:rPr>
                <w:sz w:val="20"/>
                <w:szCs w:val="20"/>
                <w:color w:val="auto"/>
              </w:rPr>
            </w:pPr>
            <w:r>
              <w:rPr>
                <w:rFonts w:ascii="Arial" w:cs="Arial" w:eastAsia="Arial" w:hAnsi="Arial"/>
                <w:sz w:val="14"/>
                <w:szCs w:val="14"/>
                <w:color w:val="00053B"/>
              </w:rPr>
              <w:t>—</w:t>
            </w:r>
          </w:p>
        </w:tc>
        <w:tc>
          <w:tcPr>
            <w:tcW w:w="1000" w:type="dxa"/>
            <w:vAlign w:val="bottom"/>
            <w:shd w:val="clear" w:color="auto" w:fill="EAEAEA"/>
          </w:tcPr>
          <w:p>
            <w:pPr>
              <w:jc w:val="right"/>
              <w:ind w:right="168"/>
              <w:spacing w:after="0"/>
              <w:rPr>
                <w:sz w:val="20"/>
                <w:szCs w:val="20"/>
                <w:color w:val="auto"/>
              </w:rPr>
            </w:pPr>
            <w:r>
              <w:rPr>
                <w:rFonts w:ascii="Arial" w:cs="Arial" w:eastAsia="Arial" w:hAnsi="Arial"/>
                <w:sz w:val="14"/>
                <w:szCs w:val="14"/>
                <w:color w:val="00053B"/>
              </w:rPr>
              <w:t>—</w:t>
            </w:r>
          </w:p>
        </w:tc>
        <w:tc>
          <w:tcPr>
            <w:tcW w:w="880" w:type="dxa"/>
            <w:vAlign w:val="bottom"/>
            <w:shd w:val="clear" w:color="auto" w:fill="EAEAEA"/>
          </w:tcPr>
          <w:p>
            <w:pPr>
              <w:jc w:val="right"/>
              <w:ind w:right="128"/>
              <w:spacing w:after="0"/>
              <w:rPr>
                <w:sz w:val="20"/>
                <w:szCs w:val="20"/>
                <w:color w:val="auto"/>
              </w:rPr>
            </w:pPr>
            <w:r>
              <w:rPr>
                <w:rFonts w:ascii="Arial" w:cs="Arial" w:eastAsia="Arial" w:hAnsi="Arial"/>
                <w:sz w:val="14"/>
                <w:szCs w:val="14"/>
                <w:color w:val="00053B"/>
              </w:rPr>
              <w:t>25,669</w:t>
            </w:r>
          </w:p>
        </w:tc>
        <w:tc>
          <w:tcPr>
            <w:tcW w:w="920" w:type="dxa"/>
            <w:vAlign w:val="bottom"/>
            <w:shd w:val="clear" w:color="auto" w:fill="EAEAEA"/>
          </w:tcPr>
          <w:p>
            <w:pPr>
              <w:jc w:val="right"/>
              <w:ind w:right="8"/>
              <w:spacing w:after="0"/>
              <w:rPr>
                <w:sz w:val="20"/>
                <w:szCs w:val="20"/>
                <w:color w:val="auto"/>
              </w:rPr>
            </w:pPr>
            <w:r>
              <w:rPr>
                <w:rFonts w:ascii="Arial" w:cs="Arial" w:eastAsia="Arial" w:hAnsi="Arial"/>
                <w:sz w:val="14"/>
                <w:szCs w:val="14"/>
                <w:color w:val="00053B"/>
              </w:rPr>
              <w:t>1,599,949</w:t>
            </w:r>
          </w:p>
        </w:tc>
      </w:tr>
      <w:tr>
        <w:trPr>
          <w:trHeight w:val="203"/>
        </w:trPr>
        <w:tc>
          <w:tcPr>
            <w:tcW w:w="1760" w:type="dxa"/>
            <w:vAlign w:val="bottom"/>
            <w:shd w:val="clear" w:color="auto" w:fill="EAEAEA"/>
          </w:tcPr>
          <w:p>
            <w:pPr>
              <w:spacing w:after="0"/>
              <w:rPr>
                <w:sz w:val="17"/>
                <w:szCs w:val="17"/>
                <w:color w:val="auto"/>
              </w:rPr>
            </w:pPr>
          </w:p>
        </w:tc>
        <w:tc>
          <w:tcPr>
            <w:tcW w:w="1140" w:type="dxa"/>
            <w:vAlign w:val="bottom"/>
            <w:shd w:val="clear" w:color="auto" w:fill="EAEAEA"/>
          </w:tcPr>
          <w:p>
            <w:pPr>
              <w:jc w:val="right"/>
              <w:ind w:right="28"/>
              <w:spacing w:after="0"/>
              <w:rPr>
                <w:sz w:val="20"/>
                <w:szCs w:val="20"/>
                <w:color w:val="auto"/>
              </w:rPr>
            </w:pPr>
            <w:r>
              <w:rPr>
                <w:rFonts w:ascii="Arial" w:cs="Arial" w:eastAsia="Arial" w:hAnsi="Arial"/>
                <w:sz w:val="14"/>
                <w:szCs w:val="14"/>
                <w:color w:val="00053B"/>
              </w:rPr>
              <w:t>05/15/23</w:t>
            </w:r>
          </w:p>
        </w:tc>
        <w:tc>
          <w:tcPr>
            <w:tcW w:w="1000" w:type="dxa"/>
            <w:vAlign w:val="bottom"/>
            <w:shd w:val="clear" w:color="auto" w:fill="EAEAEA"/>
          </w:tcPr>
          <w:p>
            <w:pPr>
              <w:jc w:val="right"/>
              <w:spacing w:after="0"/>
              <w:rPr>
                <w:sz w:val="20"/>
                <w:szCs w:val="20"/>
                <w:color w:val="auto"/>
              </w:rPr>
            </w:pPr>
            <w:r>
              <w:rPr>
                <w:rFonts w:ascii="Arial" w:cs="Arial" w:eastAsia="Arial" w:hAnsi="Arial"/>
                <w:sz w:val="14"/>
                <w:szCs w:val="14"/>
                <w:color w:val="00053B"/>
              </w:rPr>
              <w:t>—</w:t>
            </w:r>
          </w:p>
        </w:tc>
        <w:tc>
          <w:tcPr>
            <w:tcW w:w="1220" w:type="dxa"/>
            <w:vAlign w:val="bottom"/>
            <w:shd w:val="clear" w:color="auto" w:fill="EAEAEA"/>
          </w:tcPr>
          <w:p>
            <w:pPr>
              <w:jc w:val="right"/>
              <w:ind w:right="128"/>
              <w:spacing w:after="0"/>
              <w:rPr>
                <w:sz w:val="20"/>
                <w:szCs w:val="20"/>
                <w:color w:val="auto"/>
              </w:rPr>
            </w:pPr>
            <w:r>
              <w:rPr>
                <w:rFonts w:ascii="Arial" w:cs="Arial" w:eastAsia="Arial" w:hAnsi="Arial"/>
                <w:sz w:val="14"/>
                <w:szCs w:val="14"/>
                <w:color w:val="00053B"/>
              </w:rPr>
              <w:t>—</w:t>
            </w:r>
          </w:p>
        </w:tc>
        <w:tc>
          <w:tcPr>
            <w:tcW w:w="1160" w:type="dxa"/>
            <w:vAlign w:val="bottom"/>
            <w:shd w:val="clear" w:color="auto" w:fill="EAEAEA"/>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shd w:val="clear" w:color="auto" w:fill="EAEAEA"/>
          </w:tcPr>
          <w:p>
            <w:pPr>
              <w:jc w:val="right"/>
              <w:ind w:right="248"/>
              <w:spacing w:after="0"/>
              <w:rPr>
                <w:sz w:val="20"/>
                <w:szCs w:val="20"/>
                <w:color w:val="auto"/>
              </w:rPr>
            </w:pPr>
            <w:r>
              <w:rPr>
                <w:rFonts w:ascii="Arial" w:cs="Arial" w:eastAsia="Arial" w:hAnsi="Arial"/>
                <w:sz w:val="14"/>
                <w:szCs w:val="14"/>
                <w:color w:val="00053B"/>
              </w:rPr>
              <w:t>6,417</w:t>
            </w:r>
          </w:p>
        </w:tc>
        <w:tc>
          <w:tcPr>
            <w:tcW w:w="1040" w:type="dxa"/>
            <w:vAlign w:val="bottom"/>
            <w:shd w:val="clear" w:color="auto" w:fill="EAEAEA"/>
          </w:tcPr>
          <w:p>
            <w:pPr>
              <w:jc w:val="right"/>
              <w:ind w:right="228"/>
              <w:spacing w:after="0"/>
              <w:rPr>
                <w:sz w:val="20"/>
                <w:szCs w:val="20"/>
                <w:color w:val="auto"/>
              </w:rPr>
            </w:pPr>
            <w:r>
              <w:rPr>
                <w:rFonts w:ascii="Arial" w:cs="Arial" w:eastAsia="Arial" w:hAnsi="Arial"/>
                <w:sz w:val="14"/>
                <w:szCs w:val="14"/>
                <w:color w:val="00053B"/>
              </w:rPr>
              <w:t>12,834</w:t>
            </w:r>
          </w:p>
        </w:tc>
        <w:tc>
          <w:tcPr>
            <w:tcW w:w="1000" w:type="dxa"/>
            <w:vAlign w:val="bottom"/>
            <w:shd w:val="clear" w:color="auto" w:fill="EAEAEA"/>
          </w:tcPr>
          <w:p>
            <w:pPr>
              <w:jc w:val="right"/>
              <w:ind w:right="168"/>
              <w:spacing w:after="0"/>
              <w:rPr>
                <w:sz w:val="20"/>
                <w:szCs w:val="20"/>
                <w:color w:val="auto"/>
              </w:rPr>
            </w:pPr>
            <w:r>
              <w:rPr>
                <w:rFonts w:ascii="Arial" w:cs="Arial" w:eastAsia="Arial" w:hAnsi="Arial"/>
                <w:sz w:val="14"/>
                <w:szCs w:val="14"/>
                <w:color w:val="00053B"/>
              </w:rPr>
              <w:t>25,668</w:t>
            </w:r>
          </w:p>
        </w:tc>
        <w:tc>
          <w:tcPr>
            <w:tcW w:w="880" w:type="dxa"/>
            <w:vAlign w:val="bottom"/>
            <w:shd w:val="clear" w:color="auto" w:fill="EAEAEA"/>
          </w:tcPr>
          <w:p>
            <w:pPr>
              <w:jc w:val="right"/>
              <w:ind w:right="128"/>
              <w:spacing w:after="0"/>
              <w:rPr>
                <w:sz w:val="20"/>
                <w:szCs w:val="20"/>
                <w:color w:val="auto"/>
              </w:rPr>
            </w:pPr>
            <w:r>
              <w:rPr>
                <w:rFonts w:ascii="Arial" w:cs="Arial" w:eastAsia="Arial" w:hAnsi="Arial"/>
                <w:sz w:val="14"/>
                <w:szCs w:val="14"/>
                <w:color w:val="00053B"/>
              </w:rPr>
              <w:t>—</w:t>
            </w:r>
          </w:p>
        </w:tc>
        <w:tc>
          <w:tcPr>
            <w:tcW w:w="920" w:type="dxa"/>
            <w:vAlign w:val="bottom"/>
            <w:shd w:val="clear" w:color="auto" w:fill="EAEAEA"/>
          </w:tcPr>
          <w:p>
            <w:pPr>
              <w:jc w:val="right"/>
              <w:ind w:right="8"/>
              <w:spacing w:after="0"/>
              <w:rPr>
                <w:sz w:val="20"/>
                <w:szCs w:val="20"/>
                <w:color w:val="auto"/>
              </w:rPr>
            </w:pPr>
            <w:r>
              <w:rPr>
                <w:rFonts w:ascii="Arial" w:cs="Arial" w:eastAsia="Arial" w:hAnsi="Arial"/>
                <w:sz w:val="14"/>
                <w:szCs w:val="14"/>
                <w:color w:val="00053B"/>
              </w:rPr>
              <w:t>1,128,109</w:t>
            </w:r>
          </w:p>
        </w:tc>
      </w:tr>
      <w:tr>
        <w:trPr>
          <w:trHeight w:val="210"/>
        </w:trPr>
        <w:tc>
          <w:tcPr>
            <w:tcW w:w="1760" w:type="dxa"/>
            <w:vAlign w:val="bottom"/>
            <w:shd w:val="clear" w:color="auto" w:fill="EAEAEA"/>
          </w:tcPr>
          <w:p>
            <w:pPr>
              <w:spacing w:after="0"/>
              <w:rPr>
                <w:sz w:val="18"/>
                <w:szCs w:val="18"/>
                <w:color w:val="auto"/>
              </w:rPr>
            </w:pPr>
          </w:p>
        </w:tc>
        <w:tc>
          <w:tcPr>
            <w:tcW w:w="1140" w:type="dxa"/>
            <w:vAlign w:val="bottom"/>
            <w:shd w:val="clear" w:color="auto" w:fill="EAEAEA"/>
          </w:tcPr>
          <w:p>
            <w:pPr>
              <w:jc w:val="right"/>
              <w:ind w:right="28"/>
              <w:spacing w:after="0"/>
              <w:rPr>
                <w:sz w:val="20"/>
                <w:szCs w:val="20"/>
                <w:color w:val="auto"/>
              </w:rPr>
            </w:pPr>
            <w:r>
              <w:rPr>
                <w:rFonts w:ascii="Arial" w:cs="Arial" w:eastAsia="Arial" w:hAnsi="Arial"/>
                <w:sz w:val="14"/>
                <w:szCs w:val="14"/>
                <w:color w:val="00053B"/>
              </w:rPr>
              <w:t>05/15/23</w:t>
            </w:r>
          </w:p>
        </w:tc>
        <w:tc>
          <w:tcPr>
            <w:tcW w:w="1000" w:type="dxa"/>
            <w:vAlign w:val="bottom"/>
            <w:shd w:val="clear" w:color="auto" w:fill="EAEAEA"/>
          </w:tcPr>
          <w:p>
            <w:pPr>
              <w:jc w:val="right"/>
              <w:spacing w:after="0"/>
              <w:rPr>
                <w:sz w:val="20"/>
                <w:szCs w:val="20"/>
                <w:color w:val="auto"/>
              </w:rPr>
            </w:pPr>
            <w:r>
              <w:rPr>
                <w:rFonts w:ascii="Arial" w:cs="Arial" w:eastAsia="Arial" w:hAnsi="Arial"/>
                <w:sz w:val="14"/>
                <w:szCs w:val="14"/>
                <w:color w:val="00053B"/>
              </w:rPr>
              <w:t>—</w:t>
            </w:r>
          </w:p>
        </w:tc>
        <w:tc>
          <w:tcPr>
            <w:tcW w:w="1220" w:type="dxa"/>
            <w:vAlign w:val="bottom"/>
            <w:shd w:val="clear" w:color="auto" w:fill="EAEAEA"/>
          </w:tcPr>
          <w:p>
            <w:pPr>
              <w:jc w:val="right"/>
              <w:ind w:right="128"/>
              <w:spacing w:after="0"/>
              <w:rPr>
                <w:sz w:val="20"/>
                <w:szCs w:val="20"/>
                <w:color w:val="auto"/>
              </w:rPr>
            </w:pPr>
            <w:r>
              <w:rPr>
                <w:rFonts w:ascii="Arial" w:cs="Arial" w:eastAsia="Arial" w:hAnsi="Arial"/>
                <w:sz w:val="14"/>
                <w:szCs w:val="14"/>
                <w:color w:val="00053B"/>
              </w:rPr>
              <w:t>—</w:t>
            </w:r>
          </w:p>
        </w:tc>
        <w:tc>
          <w:tcPr>
            <w:tcW w:w="1160" w:type="dxa"/>
            <w:vAlign w:val="bottom"/>
            <w:shd w:val="clear" w:color="auto" w:fill="EAEAEA"/>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shd w:val="clear" w:color="auto" w:fill="EAEAEA"/>
          </w:tcPr>
          <w:p>
            <w:pPr>
              <w:jc w:val="right"/>
              <w:ind w:right="248"/>
              <w:spacing w:after="0"/>
              <w:rPr>
                <w:sz w:val="20"/>
                <w:szCs w:val="20"/>
                <w:color w:val="auto"/>
              </w:rPr>
            </w:pPr>
            <w:r>
              <w:rPr>
                <w:rFonts w:ascii="Arial" w:cs="Arial" w:eastAsia="Arial" w:hAnsi="Arial"/>
                <w:sz w:val="14"/>
                <w:szCs w:val="14"/>
                <w:color w:val="00053B"/>
              </w:rPr>
              <w:t>6,417</w:t>
            </w:r>
          </w:p>
        </w:tc>
        <w:tc>
          <w:tcPr>
            <w:tcW w:w="1040" w:type="dxa"/>
            <w:vAlign w:val="bottom"/>
            <w:shd w:val="clear" w:color="auto" w:fill="EAEAEA"/>
          </w:tcPr>
          <w:p>
            <w:pPr>
              <w:jc w:val="right"/>
              <w:ind w:right="228"/>
              <w:spacing w:after="0"/>
              <w:rPr>
                <w:sz w:val="20"/>
                <w:szCs w:val="20"/>
                <w:color w:val="auto"/>
              </w:rPr>
            </w:pPr>
            <w:r>
              <w:rPr>
                <w:rFonts w:ascii="Arial" w:cs="Arial" w:eastAsia="Arial" w:hAnsi="Arial"/>
                <w:sz w:val="14"/>
                <w:szCs w:val="14"/>
                <w:color w:val="00053B"/>
              </w:rPr>
              <w:t>12,834</w:t>
            </w:r>
          </w:p>
        </w:tc>
        <w:tc>
          <w:tcPr>
            <w:tcW w:w="1000" w:type="dxa"/>
            <w:vAlign w:val="bottom"/>
            <w:shd w:val="clear" w:color="auto" w:fill="EAEAEA"/>
          </w:tcPr>
          <w:p>
            <w:pPr>
              <w:jc w:val="right"/>
              <w:ind w:right="168"/>
              <w:spacing w:after="0"/>
              <w:rPr>
                <w:sz w:val="20"/>
                <w:szCs w:val="20"/>
                <w:color w:val="auto"/>
              </w:rPr>
            </w:pPr>
            <w:r>
              <w:rPr>
                <w:rFonts w:ascii="Arial" w:cs="Arial" w:eastAsia="Arial" w:hAnsi="Arial"/>
                <w:sz w:val="14"/>
                <w:szCs w:val="14"/>
                <w:color w:val="00053B"/>
              </w:rPr>
              <w:t>25,668</w:t>
            </w:r>
          </w:p>
        </w:tc>
        <w:tc>
          <w:tcPr>
            <w:tcW w:w="880" w:type="dxa"/>
            <w:vAlign w:val="bottom"/>
            <w:shd w:val="clear" w:color="auto" w:fill="EAEAEA"/>
          </w:tcPr>
          <w:p>
            <w:pPr>
              <w:jc w:val="right"/>
              <w:ind w:right="128"/>
              <w:spacing w:after="0"/>
              <w:rPr>
                <w:sz w:val="20"/>
                <w:szCs w:val="20"/>
                <w:color w:val="auto"/>
              </w:rPr>
            </w:pPr>
            <w:r>
              <w:rPr>
                <w:rFonts w:ascii="Arial" w:cs="Arial" w:eastAsia="Arial" w:hAnsi="Arial"/>
                <w:sz w:val="14"/>
                <w:szCs w:val="14"/>
                <w:color w:val="00053B"/>
              </w:rPr>
              <w:t>—</w:t>
            </w:r>
          </w:p>
        </w:tc>
        <w:tc>
          <w:tcPr>
            <w:tcW w:w="920" w:type="dxa"/>
            <w:vAlign w:val="bottom"/>
            <w:shd w:val="clear" w:color="auto" w:fill="EAEAEA"/>
          </w:tcPr>
          <w:p>
            <w:pPr>
              <w:jc w:val="right"/>
              <w:ind w:right="8"/>
              <w:spacing w:after="0"/>
              <w:rPr>
                <w:sz w:val="20"/>
                <w:szCs w:val="20"/>
                <w:color w:val="auto"/>
              </w:rPr>
            </w:pPr>
            <w:r>
              <w:rPr>
                <w:rFonts w:ascii="Arial" w:cs="Arial" w:eastAsia="Arial" w:hAnsi="Arial"/>
                <w:sz w:val="14"/>
                <w:szCs w:val="14"/>
                <w:color w:val="00053B"/>
              </w:rPr>
              <w:t>799,943</w:t>
            </w:r>
          </w:p>
        </w:tc>
      </w:tr>
      <w:tr>
        <w:trPr>
          <w:trHeight w:val="201"/>
        </w:trPr>
        <w:tc>
          <w:tcPr>
            <w:tcW w:w="1760" w:type="dxa"/>
            <w:vAlign w:val="bottom"/>
          </w:tcPr>
          <w:p>
            <w:pPr>
              <w:ind w:left="120"/>
              <w:spacing w:after="0"/>
              <w:rPr>
                <w:sz w:val="20"/>
                <w:szCs w:val="20"/>
                <w:color w:val="auto"/>
              </w:rPr>
            </w:pPr>
            <w:r>
              <w:rPr>
                <w:rFonts w:ascii="Arial" w:cs="Arial" w:eastAsia="Arial" w:hAnsi="Arial"/>
                <w:sz w:val="14"/>
                <w:szCs w:val="14"/>
                <w:b w:val="1"/>
                <w:bCs w:val="1"/>
                <w:color w:val="00053B"/>
              </w:rPr>
              <w:t>Riccardo Di Blasio</w:t>
            </w:r>
          </w:p>
        </w:tc>
        <w:tc>
          <w:tcPr>
            <w:tcW w:w="1140" w:type="dxa"/>
            <w:vAlign w:val="bottom"/>
          </w:tcPr>
          <w:p>
            <w:pPr>
              <w:jc w:val="right"/>
              <w:ind w:right="28"/>
              <w:spacing w:after="0"/>
              <w:rPr>
                <w:sz w:val="20"/>
                <w:szCs w:val="20"/>
                <w:color w:val="auto"/>
              </w:rPr>
            </w:pPr>
            <w:r>
              <w:rPr>
                <w:rFonts w:ascii="Arial" w:cs="Arial" w:eastAsia="Arial" w:hAnsi="Arial"/>
                <w:sz w:val="14"/>
                <w:szCs w:val="14"/>
                <w:color w:val="00053B"/>
              </w:rPr>
              <w:t>—</w:t>
            </w:r>
          </w:p>
        </w:tc>
        <w:tc>
          <w:tcPr>
            <w:tcW w:w="1000" w:type="dxa"/>
            <w:vAlign w:val="bottom"/>
          </w:tcPr>
          <w:p>
            <w:pPr>
              <w:jc w:val="right"/>
              <w:spacing w:after="0"/>
              <w:rPr>
                <w:sz w:val="20"/>
                <w:szCs w:val="20"/>
                <w:color w:val="auto"/>
              </w:rPr>
            </w:pPr>
            <w:r>
              <w:rPr>
                <w:rFonts w:ascii="Arial" w:cs="Arial" w:eastAsia="Arial" w:hAnsi="Arial"/>
                <w:sz w:val="14"/>
                <w:szCs w:val="14"/>
                <w:color w:val="00053B"/>
              </w:rPr>
              <w:t>237,500</w:t>
            </w:r>
          </w:p>
        </w:tc>
        <w:tc>
          <w:tcPr>
            <w:tcW w:w="1220" w:type="dxa"/>
            <w:vAlign w:val="bottom"/>
          </w:tcPr>
          <w:p>
            <w:pPr>
              <w:jc w:val="right"/>
              <w:ind w:right="128"/>
              <w:spacing w:after="0"/>
              <w:rPr>
                <w:sz w:val="20"/>
                <w:szCs w:val="20"/>
                <w:color w:val="auto"/>
              </w:rPr>
            </w:pPr>
            <w:r>
              <w:rPr>
                <w:rFonts w:ascii="Arial" w:cs="Arial" w:eastAsia="Arial" w:hAnsi="Arial"/>
                <w:sz w:val="14"/>
                <w:szCs w:val="14"/>
                <w:color w:val="00053B"/>
              </w:rPr>
              <w:t>475,000</w:t>
            </w:r>
          </w:p>
        </w:tc>
        <w:tc>
          <w:tcPr>
            <w:tcW w:w="1160" w:type="dxa"/>
            <w:vAlign w:val="bottom"/>
          </w:tcPr>
          <w:p>
            <w:pPr>
              <w:jc w:val="right"/>
              <w:ind w:right="228"/>
              <w:spacing w:after="0"/>
              <w:rPr>
                <w:sz w:val="20"/>
                <w:szCs w:val="20"/>
                <w:color w:val="auto"/>
              </w:rPr>
            </w:pPr>
            <w:r>
              <w:rPr>
                <w:rFonts w:ascii="Arial" w:cs="Arial" w:eastAsia="Arial" w:hAnsi="Arial"/>
                <w:sz w:val="14"/>
                <w:szCs w:val="14"/>
                <w:color w:val="00053B"/>
              </w:rPr>
              <w:t>950,000</w:t>
            </w:r>
          </w:p>
        </w:tc>
        <w:tc>
          <w:tcPr>
            <w:tcW w:w="1060" w:type="dxa"/>
            <w:vAlign w:val="bottom"/>
          </w:tcPr>
          <w:p>
            <w:pPr>
              <w:jc w:val="right"/>
              <w:ind w:right="248"/>
              <w:spacing w:after="0"/>
              <w:rPr>
                <w:sz w:val="20"/>
                <w:szCs w:val="20"/>
                <w:color w:val="auto"/>
              </w:rPr>
            </w:pPr>
            <w:r>
              <w:rPr>
                <w:rFonts w:ascii="Arial" w:cs="Arial" w:eastAsia="Arial" w:hAnsi="Arial"/>
                <w:sz w:val="14"/>
                <w:szCs w:val="14"/>
                <w:color w:val="00053B"/>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00053B"/>
              </w:rPr>
              <w:t>—</w:t>
            </w:r>
          </w:p>
        </w:tc>
        <w:tc>
          <w:tcPr>
            <w:tcW w:w="1000" w:type="dxa"/>
            <w:vAlign w:val="bottom"/>
          </w:tcPr>
          <w:p>
            <w:pPr>
              <w:jc w:val="right"/>
              <w:ind w:right="168"/>
              <w:spacing w:after="0"/>
              <w:rPr>
                <w:sz w:val="20"/>
                <w:szCs w:val="20"/>
                <w:color w:val="auto"/>
              </w:rPr>
            </w:pPr>
            <w:r>
              <w:rPr>
                <w:rFonts w:ascii="Arial" w:cs="Arial" w:eastAsia="Arial" w:hAnsi="Arial"/>
                <w:sz w:val="14"/>
                <w:szCs w:val="14"/>
                <w:color w:val="00053B"/>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00053B"/>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00053B"/>
              </w:rPr>
              <w:t>—</w:t>
            </w:r>
          </w:p>
        </w:tc>
      </w:tr>
      <w:tr>
        <w:trPr>
          <w:trHeight w:val="197"/>
        </w:trPr>
        <w:tc>
          <w:tcPr>
            <w:tcW w:w="176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00053B"/>
              </w:rPr>
              <w:t>5/15/23(9)</w:t>
            </w:r>
          </w:p>
        </w:tc>
        <w:tc>
          <w:tcPr>
            <w:tcW w:w="1000" w:type="dxa"/>
            <w:vAlign w:val="bottom"/>
          </w:tcPr>
          <w:p>
            <w:pPr>
              <w:jc w:val="right"/>
              <w:spacing w:after="0"/>
              <w:rPr>
                <w:sz w:val="20"/>
                <w:szCs w:val="20"/>
                <w:color w:val="auto"/>
              </w:rPr>
            </w:pPr>
            <w:r>
              <w:rPr>
                <w:rFonts w:ascii="Arial" w:cs="Arial" w:eastAsia="Arial" w:hAnsi="Arial"/>
                <w:sz w:val="14"/>
                <w:szCs w:val="14"/>
                <w:color w:val="00053B"/>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00053B"/>
              </w:rPr>
              <w:t>—</w:t>
            </w:r>
          </w:p>
        </w:tc>
        <w:tc>
          <w:tcPr>
            <w:tcW w:w="1160" w:type="dxa"/>
            <w:vAlign w:val="bottom"/>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tcPr>
          <w:p>
            <w:pPr>
              <w:jc w:val="right"/>
              <w:ind w:right="248"/>
              <w:spacing w:after="0"/>
              <w:rPr>
                <w:sz w:val="20"/>
                <w:szCs w:val="20"/>
                <w:color w:val="auto"/>
              </w:rPr>
            </w:pPr>
            <w:r>
              <w:rPr>
                <w:rFonts w:ascii="Arial" w:cs="Arial" w:eastAsia="Arial" w:hAnsi="Arial"/>
                <w:sz w:val="14"/>
                <w:szCs w:val="14"/>
                <w:color w:val="00053B"/>
              </w:rPr>
              <w:t>—</w:t>
            </w:r>
          </w:p>
        </w:tc>
        <w:tc>
          <w:tcPr>
            <w:tcW w:w="1040" w:type="dxa"/>
            <w:vAlign w:val="bottom"/>
          </w:tcPr>
          <w:p>
            <w:pPr>
              <w:jc w:val="right"/>
              <w:ind w:right="228"/>
              <w:spacing w:after="0"/>
              <w:rPr>
                <w:sz w:val="20"/>
                <w:szCs w:val="20"/>
                <w:color w:val="auto"/>
              </w:rPr>
            </w:pPr>
            <w:r>
              <w:rPr>
                <w:rFonts w:ascii="Arial" w:cs="Arial" w:eastAsia="Arial" w:hAnsi="Arial"/>
                <w:sz w:val="14"/>
                <w:szCs w:val="14"/>
                <w:color w:val="00053B"/>
              </w:rPr>
              <w:t>—</w:t>
            </w:r>
          </w:p>
        </w:tc>
        <w:tc>
          <w:tcPr>
            <w:tcW w:w="1000" w:type="dxa"/>
            <w:vAlign w:val="bottom"/>
          </w:tcPr>
          <w:p>
            <w:pPr>
              <w:jc w:val="right"/>
              <w:ind w:right="168"/>
              <w:spacing w:after="0"/>
              <w:rPr>
                <w:sz w:val="20"/>
                <w:szCs w:val="20"/>
                <w:color w:val="auto"/>
              </w:rPr>
            </w:pPr>
            <w:r>
              <w:rPr>
                <w:rFonts w:ascii="Arial" w:cs="Arial" w:eastAsia="Arial" w:hAnsi="Arial"/>
                <w:sz w:val="14"/>
                <w:szCs w:val="14"/>
                <w:color w:val="00053B"/>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00053B"/>
              </w:rPr>
              <w:t>20,054</w:t>
            </w:r>
          </w:p>
        </w:tc>
        <w:tc>
          <w:tcPr>
            <w:tcW w:w="920" w:type="dxa"/>
            <w:vAlign w:val="bottom"/>
          </w:tcPr>
          <w:p>
            <w:pPr>
              <w:jc w:val="right"/>
              <w:ind w:right="8"/>
              <w:spacing w:after="0"/>
              <w:rPr>
                <w:sz w:val="20"/>
                <w:szCs w:val="20"/>
                <w:color w:val="auto"/>
              </w:rPr>
            </w:pPr>
            <w:r>
              <w:rPr>
                <w:rFonts w:ascii="Arial" w:cs="Arial" w:eastAsia="Arial" w:hAnsi="Arial"/>
                <w:sz w:val="14"/>
                <w:szCs w:val="14"/>
                <w:color w:val="00053B"/>
              </w:rPr>
              <w:t>1,249,966</w:t>
            </w:r>
          </w:p>
        </w:tc>
      </w:tr>
      <w:tr>
        <w:trPr>
          <w:trHeight w:val="203"/>
        </w:trPr>
        <w:tc>
          <w:tcPr>
            <w:tcW w:w="176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00053B"/>
              </w:rPr>
              <w:t>5/15/23(9)</w:t>
            </w:r>
          </w:p>
        </w:tc>
        <w:tc>
          <w:tcPr>
            <w:tcW w:w="1000" w:type="dxa"/>
            <w:vAlign w:val="bottom"/>
          </w:tcPr>
          <w:p>
            <w:pPr>
              <w:jc w:val="right"/>
              <w:spacing w:after="0"/>
              <w:rPr>
                <w:sz w:val="20"/>
                <w:szCs w:val="20"/>
                <w:color w:val="auto"/>
              </w:rPr>
            </w:pPr>
            <w:r>
              <w:rPr>
                <w:rFonts w:ascii="Arial" w:cs="Arial" w:eastAsia="Arial" w:hAnsi="Arial"/>
                <w:sz w:val="14"/>
                <w:szCs w:val="14"/>
                <w:color w:val="00053B"/>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00053B"/>
              </w:rPr>
              <w:t>—</w:t>
            </w:r>
          </w:p>
        </w:tc>
        <w:tc>
          <w:tcPr>
            <w:tcW w:w="1160" w:type="dxa"/>
            <w:vAlign w:val="bottom"/>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tcPr>
          <w:p>
            <w:pPr>
              <w:jc w:val="right"/>
              <w:ind w:right="248"/>
              <w:spacing w:after="0"/>
              <w:rPr>
                <w:sz w:val="20"/>
                <w:szCs w:val="20"/>
                <w:color w:val="auto"/>
              </w:rPr>
            </w:pPr>
            <w:r>
              <w:rPr>
                <w:rFonts w:ascii="Arial" w:cs="Arial" w:eastAsia="Arial" w:hAnsi="Arial"/>
                <w:sz w:val="14"/>
                <w:szCs w:val="14"/>
                <w:color w:val="00053B"/>
              </w:rPr>
              <w:t>5,013</w:t>
            </w:r>
          </w:p>
        </w:tc>
        <w:tc>
          <w:tcPr>
            <w:tcW w:w="1040" w:type="dxa"/>
            <w:vAlign w:val="bottom"/>
          </w:tcPr>
          <w:p>
            <w:pPr>
              <w:jc w:val="right"/>
              <w:ind w:right="228"/>
              <w:spacing w:after="0"/>
              <w:rPr>
                <w:sz w:val="20"/>
                <w:szCs w:val="20"/>
                <w:color w:val="auto"/>
              </w:rPr>
            </w:pPr>
            <w:r>
              <w:rPr>
                <w:rFonts w:ascii="Arial" w:cs="Arial" w:eastAsia="Arial" w:hAnsi="Arial"/>
                <w:sz w:val="14"/>
                <w:szCs w:val="14"/>
                <w:color w:val="00053B"/>
              </w:rPr>
              <w:t>10,027</w:t>
            </w:r>
          </w:p>
        </w:tc>
        <w:tc>
          <w:tcPr>
            <w:tcW w:w="1000" w:type="dxa"/>
            <w:vAlign w:val="bottom"/>
          </w:tcPr>
          <w:p>
            <w:pPr>
              <w:jc w:val="right"/>
              <w:ind w:right="168"/>
              <w:spacing w:after="0"/>
              <w:rPr>
                <w:sz w:val="20"/>
                <w:szCs w:val="20"/>
                <w:color w:val="auto"/>
              </w:rPr>
            </w:pPr>
            <w:r>
              <w:rPr>
                <w:rFonts w:ascii="Arial" w:cs="Arial" w:eastAsia="Arial" w:hAnsi="Arial"/>
                <w:sz w:val="14"/>
                <w:szCs w:val="14"/>
                <w:color w:val="00053B"/>
              </w:rPr>
              <w:t>20,054</w:t>
            </w:r>
          </w:p>
        </w:tc>
        <w:tc>
          <w:tcPr>
            <w:tcW w:w="880" w:type="dxa"/>
            <w:vAlign w:val="bottom"/>
          </w:tcPr>
          <w:p>
            <w:pPr>
              <w:jc w:val="right"/>
              <w:ind w:right="128"/>
              <w:spacing w:after="0"/>
              <w:rPr>
                <w:sz w:val="20"/>
                <w:szCs w:val="20"/>
                <w:color w:val="auto"/>
              </w:rPr>
            </w:pPr>
            <w:r>
              <w:rPr>
                <w:rFonts w:ascii="Arial" w:cs="Arial" w:eastAsia="Arial" w:hAnsi="Arial"/>
                <w:sz w:val="14"/>
                <w:szCs w:val="14"/>
                <w:color w:val="00053B"/>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00053B"/>
              </w:rPr>
              <w:t>881,373</w:t>
            </w:r>
          </w:p>
        </w:tc>
      </w:tr>
      <w:tr>
        <w:trPr>
          <w:trHeight w:val="203"/>
        </w:trPr>
        <w:tc>
          <w:tcPr>
            <w:tcW w:w="176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00053B"/>
              </w:rPr>
              <w:t>5/15/23(9)</w:t>
            </w:r>
          </w:p>
        </w:tc>
        <w:tc>
          <w:tcPr>
            <w:tcW w:w="1000" w:type="dxa"/>
            <w:vAlign w:val="bottom"/>
          </w:tcPr>
          <w:p>
            <w:pPr>
              <w:jc w:val="right"/>
              <w:spacing w:after="0"/>
              <w:rPr>
                <w:sz w:val="20"/>
                <w:szCs w:val="20"/>
                <w:color w:val="auto"/>
              </w:rPr>
            </w:pPr>
            <w:r>
              <w:rPr>
                <w:rFonts w:ascii="Arial" w:cs="Arial" w:eastAsia="Arial" w:hAnsi="Arial"/>
                <w:sz w:val="14"/>
                <w:szCs w:val="14"/>
                <w:color w:val="00053B"/>
              </w:rPr>
              <w:t>—</w:t>
            </w:r>
          </w:p>
        </w:tc>
        <w:tc>
          <w:tcPr>
            <w:tcW w:w="1220" w:type="dxa"/>
            <w:vAlign w:val="bottom"/>
          </w:tcPr>
          <w:p>
            <w:pPr>
              <w:jc w:val="right"/>
              <w:ind w:right="128"/>
              <w:spacing w:after="0"/>
              <w:rPr>
                <w:sz w:val="20"/>
                <w:szCs w:val="20"/>
                <w:color w:val="auto"/>
              </w:rPr>
            </w:pPr>
            <w:r>
              <w:rPr>
                <w:rFonts w:ascii="Arial" w:cs="Arial" w:eastAsia="Arial" w:hAnsi="Arial"/>
                <w:sz w:val="14"/>
                <w:szCs w:val="14"/>
                <w:color w:val="00053B"/>
              </w:rPr>
              <w:t>—</w:t>
            </w:r>
          </w:p>
        </w:tc>
        <w:tc>
          <w:tcPr>
            <w:tcW w:w="1160" w:type="dxa"/>
            <w:vAlign w:val="bottom"/>
          </w:tcPr>
          <w:p>
            <w:pPr>
              <w:jc w:val="right"/>
              <w:ind w:right="228"/>
              <w:spacing w:after="0"/>
              <w:rPr>
                <w:sz w:val="20"/>
                <w:szCs w:val="20"/>
                <w:color w:val="auto"/>
              </w:rPr>
            </w:pPr>
            <w:r>
              <w:rPr>
                <w:rFonts w:ascii="Arial" w:cs="Arial" w:eastAsia="Arial" w:hAnsi="Arial"/>
                <w:sz w:val="14"/>
                <w:szCs w:val="14"/>
                <w:color w:val="00053B"/>
              </w:rPr>
              <w:t>—</w:t>
            </w:r>
          </w:p>
        </w:tc>
        <w:tc>
          <w:tcPr>
            <w:tcW w:w="1060" w:type="dxa"/>
            <w:vAlign w:val="bottom"/>
          </w:tcPr>
          <w:p>
            <w:pPr>
              <w:jc w:val="right"/>
              <w:ind w:right="248"/>
              <w:spacing w:after="0"/>
              <w:rPr>
                <w:sz w:val="20"/>
                <w:szCs w:val="20"/>
                <w:color w:val="auto"/>
              </w:rPr>
            </w:pPr>
            <w:r>
              <w:rPr>
                <w:rFonts w:ascii="Arial" w:cs="Arial" w:eastAsia="Arial" w:hAnsi="Arial"/>
                <w:sz w:val="14"/>
                <w:szCs w:val="14"/>
                <w:color w:val="00053B"/>
              </w:rPr>
              <w:t>5,013</w:t>
            </w:r>
          </w:p>
        </w:tc>
        <w:tc>
          <w:tcPr>
            <w:tcW w:w="1040" w:type="dxa"/>
            <w:vAlign w:val="bottom"/>
          </w:tcPr>
          <w:p>
            <w:pPr>
              <w:jc w:val="right"/>
              <w:ind w:right="228"/>
              <w:spacing w:after="0"/>
              <w:rPr>
                <w:sz w:val="20"/>
                <w:szCs w:val="20"/>
                <w:color w:val="auto"/>
              </w:rPr>
            </w:pPr>
            <w:r>
              <w:rPr>
                <w:rFonts w:ascii="Arial" w:cs="Arial" w:eastAsia="Arial" w:hAnsi="Arial"/>
                <w:sz w:val="14"/>
                <w:szCs w:val="14"/>
                <w:color w:val="00053B"/>
              </w:rPr>
              <w:t>10,027</w:t>
            </w:r>
          </w:p>
        </w:tc>
        <w:tc>
          <w:tcPr>
            <w:tcW w:w="1000" w:type="dxa"/>
            <w:vAlign w:val="bottom"/>
          </w:tcPr>
          <w:p>
            <w:pPr>
              <w:jc w:val="right"/>
              <w:ind w:right="168"/>
              <w:spacing w:after="0"/>
              <w:rPr>
                <w:sz w:val="20"/>
                <w:szCs w:val="20"/>
                <w:color w:val="auto"/>
              </w:rPr>
            </w:pPr>
            <w:r>
              <w:rPr>
                <w:rFonts w:ascii="Arial" w:cs="Arial" w:eastAsia="Arial" w:hAnsi="Arial"/>
                <w:sz w:val="14"/>
                <w:szCs w:val="14"/>
                <w:color w:val="00053B"/>
              </w:rPr>
              <w:t>20,054</w:t>
            </w:r>
          </w:p>
        </w:tc>
        <w:tc>
          <w:tcPr>
            <w:tcW w:w="880" w:type="dxa"/>
            <w:vAlign w:val="bottom"/>
          </w:tcPr>
          <w:p>
            <w:pPr>
              <w:jc w:val="right"/>
              <w:ind w:right="128"/>
              <w:spacing w:after="0"/>
              <w:rPr>
                <w:sz w:val="20"/>
                <w:szCs w:val="20"/>
                <w:color w:val="auto"/>
              </w:rPr>
            </w:pPr>
            <w:r>
              <w:rPr>
                <w:rFonts w:ascii="Arial" w:cs="Arial" w:eastAsia="Arial" w:hAnsi="Arial"/>
                <w:sz w:val="14"/>
                <w:szCs w:val="14"/>
                <w:color w:val="00053B"/>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00053B"/>
              </w:rPr>
              <w:t>624,983</w:t>
            </w:r>
          </w:p>
        </w:tc>
      </w:tr>
    </w:tbl>
    <w:p>
      <w:pPr>
        <w:spacing w:after="0" w:line="125" w:lineRule="exact"/>
        <w:rPr>
          <w:sz w:val="20"/>
          <w:szCs w:val="20"/>
          <w:color w:val="auto"/>
        </w:rPr>
      </w:pPr>
    </w:p>
    <w:p>
      <w:pPr>
        <w:ind w:left="340" w:right="40" w:hanging="332"/>
        <w:spacing w:after="0" w:line="262" w:lineRule="auto"/>
        <w:tabs>
          <w:tab w:leader="none" w:pos="255" w:val="left"/>
        </w:tabs>
        <w:numPr>
          <w:ilvl w:val="0"/>
          <w:numId w:val="40"/>
        </w:numPr>
        <w:rPr>
          <w:rFonts w:ascii="Arial" w:cs="Arial" w:eastAsia="Arial" w:hAnsi="Arial"/>
          <w:sz w:val="13"/>
          <w:szCs w:val="13"/>
          <w:color w:val="00053B"/>
        </w:rPr>
      </w:pPr>
      <w:r>
        <w:rPr>
          <w:rFonts w:ascii="Arial" w:cs="Arial" w:eastAsia="Arial" w:hAnsi="Arial"/>
          <w:sz w:val="13"/>
          <w:szCs w:val="13"/>
          <w:color w:val="00053B"/>
        </w:rPr>
        <w:t>Represents the threshold amount with respect to each applicable metric under the Fiscal 2024 AIP for each named executive officer. Actual total payouts may be less than the threshold amounts shown if threshold performance goals are not attained. See “Annual Incentive Plan” in section “Fiscal 2024 Compensation Decisions” for more information on the Fiscal 2024 AIP and performance objectives for each of our named executive officers.</w:t>
      </w:r>
    </w:p>
    <w:p>
      <w:pPr>
        <w:spacing w:after="0" w:line="23" w:lineRule="exact"/>
        <w:rPr>
          <w:rFonts w:ascii="Arial" w:cs="Arial" w:eastAsia="Arial" w:hAnsi="Arial"/>
          <w:sz w:val="13"/>
          <w:szCs w:val="13"/>
          <w:color w:val="00053B"/>
        </w:rPr>
      </w:pPr>
    </w:p>
    <w:p>
      <w:pPr>
        <w:ind w:left="340" w:right="640" w:hanging="332"/>
        <w:spacing w:after="0" w:line="264" w:lineRule="auto"/>
        <w:tabs>
          <w:tab w:leader="none" w:pos="255" w:val="left"/>
        </w:tabs>
        <w:numPr>
          <w:ilvl w:val="0"/>
          <w:numId w:val="40"/>
        </w:numPr>
        <w:rPr>
          <w:rFonts w:ascii="Arial" w:cs="Arial" w:eastAsia="Arial" w:hAnsi="Arial"/>
          <w:sz w:val="13"/>
          <w:szCs w:val="13"/>
          <w:color w:val="00053B"/>
        </w:rPr>
      </w:pPr>
      <w:r>
        <w:rPr>
          <w:rFonts w:ascii="Arial" w:cs="Arial" w:eastAsia="Arial" w:hAnsi="Arial"/>
          <w:sz w:val="13"/>
          <w:szCs w:val="13"/>
          <w:color w:val="00053B"/>
        </w:rPr>
        <w:t>Represents the total target amount with respect to each applicable metric under the Fiscal 2024 AIP for each named executive officer. See “Annual Incentive Plan” in section “Fiscal 2024 Compensation Decisions” for more information.</w:t>
      </w:r>
    </w:p>
    <w:p>
      <w:pPr>
        <w:spacing w:after="0" w:line="22" w:lineRule="exact"/>
        <w:rPr>
          <w:rFonts w:ascii="Arial" w:cs="Arial" w:eastAsia="Arial" w:hAnsi="Arial"/>
          <w:sz w:val="13"/>
          <w:szCs w:val="13"/>
          <w:color w:val="00053B"/>
        </w:rPr>
      </w:pPr>
    </w:p>
    <w:p>
      <w:pPr>
        <w:ind w:left="340" w:right="700" w:hanging="332"/>
        <w:spacing w:after="0" w:line="264" w:lineRule="auto"/>
        <w:tabs>
          <w:tab w:leader="none" w:pos="255" w:val="left"/>
        </w:tabs>
        <w:numPr>
          <w:ilvl w:val="0"/>
          <w:numId w:val="40"/>
        </w:numPr>
        <w:rPr>
          <w:rFonts w:ascii="Arial" w:cs="Arial" w:eastAsia="Arial" w:hAnsi="Arial"/>
          <w:sz w:val="13"/>
          <w:szCs w:val="13"/>
          <w:color w:val="00053B"/>
        </w:rPr>
      </w:pPr>
      <w:r>
        <w:rPr>
          <w:rFonts w:ascii="Arial" w:cs="Arial" w:eastAsia="Arial" w:hAnsi="Arial"/>
          <w:sz w:val="13"/>
          <w:szCs w:val="13"/>
          <w:color w:val="00053B"/>
        </w:rPr>
        <w:t>Represents the maximum amount with respect to each applicable metric under the Fiscal 2024 AIP for each named executive officer. See “Annual Incentive Plan” in section “Fiscal 2024 Compensation Decisions” for more information.</w:t>
      </w:r>
    </w:p>
    <w:p>
      <w:pPr>
        <w:spacing w:after="0" w:line="35" w:lineRule="exact"/>
        <w:rPr>
          <w:rFonts w:ascii="Arial" w:cs="Arial" w:eastAsia="Arial" w:hAnsi="Arial"/>
          <w:sz w:val="13"/>
          <w:szCs w:val="13"/>
          <w:color w:val="00053B"/>
        </w:rPr>
      </w:pPr>
    </w:p>
    <w:p>
      <w:pPr>
        <w:ind w:left="340" w:hanging="332"/>
        <w:spacing w:after="0" w:line="251" w:lineRule="auto"/>
        <w:tabs>
          <w:tab w:leader="none" w:pos="255" w:val="left"/>
        </w:tabs>
        <w:numPr>
          <w:ilvl w:val="0"/>
          <w:numId w:val="40"/>
        </w:numPr>
        <w:rPr>
          <w:rFonts w:ascii="Arial" w:cs="Arial" w:eastAsia="Arial" w:hAnsi="Arial"/>
          <w:sz w:val="13"/>
          <w:szCs w:val="13"/>
          <w:color w:val="00053B"/>
        </w:rPr>
      </w:pPr>
      <w:r>
        <w:rPr>
          <w:rFonts w:ascii="Arial" w:cs="Arial" w:eastAsia="Arial" w:hAnsi="Arial"/>
          <w:sz w:val="13"/>
          <w:szCs w:val="13"/>
          <w:color w:val="00053B"/>
        </w:rPr>
        <w:t>Represents the threshold amount for performance stock units granted, or 50% of the target amount, for each named executive officer under our 2016 Incentive Plan. If the threshold conditions for these awards are not met, the award value will be zero. See “Long-Term Equity Incentive Awards” in section “Fiscal 2024 Compensation Decisions” for more information on the plan and the related performance objectives.</w:t>
      </w:r>
    </w:p>
    <w:p>
      <w:pPr>
        <w:spacing w:after="0" w:line="30" w:lineRule="exact"/>
        <w:rPr>
          <w:rFonts w:ascii="Arial" w:cs="Arial" w:eastAsia="Arial" w:hAnsi="Arial"/>
          <w:sz w:val="13"/>
          <w:szCs w:val="13"/>
          <w:color w:val="00053B"/>
        </w:rPr>
      </w:pPr>
    </w:p>
    <w:p>
      <w:pPr>
        <w:ind w:left="340" w:right="40" w:hanging="332"/>
        <w:spacing w:after="0" w:line="264" w:lineRule="auto"/>
        <w:tabs>
          <w:tab w:leader="none" w:pos="255" w:val="left"/>
        </w:tabs>
        <w:numPr>
          <w:ilvl w:val="0"/>
          <w:numId w:val="40"/>
        </w:numPr>
        <w:rPr>
          <w:rFonts w:ascii="Arial" w:cs="Arial" w:eastAsia="Arial" w:hAnsi="Arial"/>
          <w:sz w:val="13"/>
          <w:szCs w:val="13"/>
          <w:color w:val="00053B"/>
        </w:rPr>
      </w:pPr>
      <w:r>
        <w:rPr>
          <w:rFonts w:ascii="Arial" w:cs="Arial" w:eastAsia="Arial" w:hAnsi="Arial"/>
          <w:sz w:val="13"/>
          <w:szCs w:val="13"/>
          <w:color w:val="00053B"/>
        </w:rPr>
        <w:t>Represents the target amount for performance stock units granted for each named executive officer under our 2016 Incentive Plan. See “Long-Term Equity Incentive Awards” in section “Fiscal 2024 Compensation Decisions” for more information.</w:t>
      </w:r>
    </w:p>
    <w:p>
      <w:pPr>
        <w:spacing w:after="0" w:line="35" w:lineRule="exact"/>
        <w:rPr>
          <w:rFonts w:ascii="Arial" w:cs="Arial" w:eastAsia="Arial" w:hAnsi="Arial"/>
          <w:sz w:val="13"/>
          <w:szCs w:val="13"/>
          <w:color w:val="00053B"/>
        </w:rPr>
      </w:pPr>
    </w:p>
    <w:p>
      <w:pPr>
        <w:ind w:left="340" w:right="80" w:hanging="332"/>
        <w:spacing w:after="0" w:line="264" w:lineRule="auto"/>
        <w:tabs>
          <w:tab w:leader="none" w:pos="255" w:val="left"/>
        </w:tabs>
        <w:numPr>
          <w:ilvl w:val="0"/>
          <w:numId w:val="40"/>
        </w:numPr>
        <w:rPr>
          <w:rFonts w:ascii="Arial" w:cs="Arial" w:eastAsia="Arial" w:hAnsi="Arial"/>
          <w:sz w:val="13"/>
          <w:szCs w:val="13"/>
          <w:color w:val="00053B"/>
        </w:rPr>
      </w:pPr>
      <w:r>
        <w:rPr>
          <w:rFonts w:ascii="Arial" w:cs="Arial" w:eastAsia="Arial" w:hAnsi="Arial"/>
          <w:sz w:val="13"/>
          <w:szCs w:val="13"/>
          <w:color w:val="00053B"/>
        </w:rPr>
        <w:t>Represents the maximum amount for performance stock units granted. The maximum payout opportunity for PSUs is 200% for all of the named executive officers. See “Long-Term Equity Incentive Awards” in section “Fiscal 2024 Compensation Decisions” for more information.</w:t>
      </w:r>
    </w:p>
    <w:p>
      <w:pPr>
        <w:spacing w:after="0" w:line="22" w:lineRule="exact"/>
        <w:rPr>
          <w:rFonts w:ascii="Arial" w:cs="Arial" w:eastAsia="Arial" w:hAnsi="Arial"/>
          <w:sz w:val="13"/>
          <w:szCs w:val="13"/>
          <w:color w:val="00053B"/>
        </w:rPr>
      </w:pPr>
    </w:p>
    <w:p>
      <w:pPr>
        <w:ind w:left="240" w:hanging="232"/>
        <w:spacing w:after="0"/>
        <w:tabs>
          <w:tab w:leader="none" w:pos="240" w:val="left"/>
        </w:tabs>
        <w:numPr>
          <w:ilvl w:val="0"/>
          <w:numId w:val="40"/>
        </w:numPr>
        <w:rPr>
          <w:rFonts w:ascii="Arial" w:cs="Arial" w:eastAsia="Arial" w:hAnsi="Arial"/>
          <w:sz w:val="13"/>
          <w:szCs w:val="13"/>
          <w:color w:val="00053B"/>
        </w:rPr>
      </w:pPr>
      <w:r>
        <w:rPr>
          <w:rFonts w:ascii="Arial" w:cs="Arial" w:eastAsia="Arial" w:hAnsi="Arial"/>
          <w:sz w:val="13"/>
          <w:szCs w:val="13"/>
          <w:color w:val="00053B"/>
        </w:rPr>
        <w:t>Amounts in this column reflect time-based restricted stock unit awards granted during fiscal 2024 to our named executive officers under our 2016 Incentive Plan.</w:t>
      </w:r>
    </w:p>
    <w:p>
      <w:pPr>
        <w:spacing w:after="0" w:line="53" w:lineRule="exact"/>
        <w:rPr>
          <w:rFonts w:ascii="Arial" w:cs="Arial" w:eastAsia="Arial" w:hAnsi="Arial"/>
          <w:sz w:val="13"/>
          <w:szCs w:val="13"/>
          <w:color w:val="00053B"/>
        </w:rPr>
      </w:pPr>
    </w:p>
    <w:p>
      <w:pPr>
        <w:ind w:left="340" w:right="20" w:hanging="332"/>
        <w:spacing w:after="0" w:line="254" w:lineRule="auto"/>
        <w:tabs>
          <w:tab w:leader="none" w:pos="252" w:val="left"/>
        </w:tabs>
        <w:numPr>
          <w:ilvl w:val="0"/>
          <w:numId w:val="40"/>
        </w:numPr>
        <w:rPr>
          <w:rFonts w:ascii="Arial" w:cs="Arial" w:eastAsia="Arial" w:hAnsi="Arial"/>
          <w:sz w:val="13"/>
          <w:szCs w:val="13"/>
          <w:color w:val="00053B"/>
        </w:rPr>
      </w:pPr>
      <w:r>
        <w:rPr>
          <w:rFonts w:ascii="Arial" w:cs="Arial" w:eastAsia="Arial" w:hAnsi="Arial"/>
          <w:sz w:val="13"/>
          <w:szCs w:val="13"/>
          <w:color w:val="00053B"/>
        </w:rPr>
        <w:t>The amounts reported in this column represent the grant date fair value of the restricted stock unit awards and performance stock unit awards (shown at target) granted during the fiscal year indicated as computed in accordance with FASB ASC Topic 718. The amounts shown disregard estimated forfeitures related to service-based vesting conditions. See Note 10 of our consolidated financial statements contained in our Annual Report on Form 10-K for the year ended March 31, 2024, for a discussion of the assumptions we made in determining the grant date fair value of such awards.</w:t>
      </w:r>
    </w:p>
    <w:p>
      <w:pPr>
        <w:spacing w:after="0" w:line="28" w:lineRule="exact"/>
        <w:rPr>
          <w:rFonts w:ascii="Arial" w:cs="Arial" w:eastAsia="Arial" w:hAnsi="Arial"/>
          <w:sz w:val="13"/>
          <w:szCs w:val="13"/>
          <w:color w:val="00053B"/>
        </w:rPr>
      </w:pPr>
    </w:p>
    <w:p>
      <w:pPr>
        <w:ind w:left="260" w:hanging="252"/>
        <w:spacing w:after="0"/>
        <w:tabs>
          <w:tab w:leader="none" w:pos="260" w:val="left"/>
        </w:tabs>
        <w:numPr>
          <w:ilvl w:val="0"/>
          <w:numId w:val="40"/>
        </w:numPr>
        <w:rPr>
          <w:rFonts w:ascii="Arial" w:cs="Arial" w:eastAsia="Arial" w:hAnsi="Arial"/>
          <w:sz w:val="13"/>
          <w:szCs w:val="13"/>
          <w:color w:val="00053B"/>
        </w:rPr>
      </w:pPr>
      <w:r>
        <w:rPr>
          <w:rFonts w:ascii="Arial" w:cs="Arial" w:eastAsia="Arial" w:hAnsi="Arial"/>
          <w:sz w:val="13"/>
          <w:szCs w:val="13"/>
          <w:color w:val="00053B"/>
        </w:rPr>
        <w:t>In connection with Mr. Di Blasio’s resignation effective January 12, 2024, all unvested shares as of that date were forfeited.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42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15175" cy="1028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COMPENSATION TABLES | </w:t>
      </w:r>
      <w:r>
        <w:rPr>
          <w:rFonts w:ascii="Arial" w:cs="Arial" w:eastAsia="Arial" w:hAnsi="Arial"/>
          <w:sz w:val="11"/>
          <w:szCs w:val="11"/>
          <w:b w:val="1"/>
          <w:bCs w:val="1"/>
          <w:color w:val="00053B"/>
        </w:rPr>
        <w:t>FISCAL 2024 OUTSTANDING EQUITY AWARDS AT FISCAL YEAR END TABLE</w:t>
      </w:r>
    </w:p>
    <w:p>
      <w:pPr>
        <w:spacing w:after="0" w:line="321"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Fiscal 2024 Outstanding Equity Awards at Fiscal Year End Table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00053B"/>
        </w:rPr>
        <w:t>The following table reflects all outstanding equity awards held by our named executive officers as of March 31, 2024:</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20" w:type="dxa"/>
            <w:vAlign w:val="bottom"/>
            <w:gridSpan w:val="2"/>
          </w:tcPr>
          <w:p>
            <w:pPr>
              <w:jc w:val="right"/>
              <w:ind w:right="231"/>
              <w:spacing w:after="0"/>
              <w:rPr>
                <w:sz w:val="20"/>
                <w:szCs w:val="20"/>
                <w:color w:val="auto"/>
              </w:rPr>
            </w:pPr>
            <w:r>
              <w:rPr>
                <w:rFonts w:ascii="Arial" w:cs="Arial" w:eastAsia="Arial" w:hAnsi="Arial"/>
                <w:sz w:val="13"/>
                <w:szCs w:val="13"/>
                <w:color w:val="0B2E44"/>
              </w:rPr>
              <w:t>Option Awards</w:t>
            </w: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40" w:type="dxa"/>
            <w:vAlign w:val="bottom"/>
            <w:gridSpan w:val="2"/>
          </w:tcPr>
          <w:p>
            <w:pPr>
              <w:jc w:val="right"/>
              <w:ind w:right="973"/>
              <w:spacing w:after="0"/>
              <w:rPr>
                <w:sz w:val="20"/>
                <w:szCs w:val="20"/>
                <w:color w:val="auto"/>
              </w:rPr>
            </w:pPr>
            <w:r>
              <w:rPr>
                <w:rFonts w:ascii="Arial" w:cs="Arial" w:eastAsia="Arial" w:hAnsi="Arial"/>
                <w:sz w:val="13"/>
                <w:szCs w:val="13"/>
                <w:color w:val="auto"/>
              </w:rPr>
              <w:t>Stock Awards</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Borders>
              <w:bottom w:val="single" w:sz="8" w:color="844896"/>
            </w:tcBorders>
          </w:tcPr>
          <w:p>
            <w:pPr>
              <w:spacing w:after="0"/>
              <w:rPr>
                <w:sz w:val="2"/>
                <w:szCs w:val="2"/>
                <w:color w:val="auto"/>
              </w:rPr>
            </w:pPr>
          </w:p>
        </w:tc>
        <w:tc>
          <w:tcPr>
            <w:tcW w:w="880" w:type="dxa"/>
            <w:vAlign w:val="bottom"/>
            <w:tcBorders>
              <w:bottom w:val="single" w:sz="8" w:color="844896"/>
            </w:tcBorders>
          </w:tcPr>
          <w:p>
            <w:pPr>
              <w:spacing w:after="0"/>
              <w:rPr>
                <w:sz w:val="2"/>
                <w:szCs w:val="2"/>
                <w:color w:val="auto"/>
              </w:rPr>
            </w:pPr>
          </w:p>
        </w:tc>
        <w:tc>
          <w:tcPr>
            <w:tcW w:w="980" w:type="dxa"/>
            <w:vAlign w:val="bottom"/>
            <w:tcBorders>
              <w:bottom w:val="single" w:sz="8" w:color="844896"/>
            </w:tcBorders>
          </w:tcPr>
          <w:p>
            <w:pPr>
              <w:spacing w:after="0"/>
              <w:rPr>
                <w:sz w:val="2"/>
                <w:szCs w:val="2"/>
                <w:color w:val="auto"/>
              </w:rPr>
            </w:pPr>
          </w:p>
        </w:tc>
        <w:tc>
          <w:tcPr>
            <w:tcW w:w="1220" w:type="dxa"/>
            <w:vAlign w:val="bottom"/>
            <w:tcBorders>
              <w:bottom w:val="single" w:sz="8" w:color="844896"/>
            </w:tcBorders>
          </w:tcPr>
          <w:p>
            <w:pPr>
              <w:spacing w:after="0"/>
              <w:rPr>
                <w:sz w:val="2"/>
                <w:szCs w:val="2"/>
                <w:color w:val="auto"/>
              </w:rPr>
            </w:pPr>
          </w:p>
        </w:tc>
        <w:tc>
          <w:tcPr>
            <w:tcW w:w="1220" w:type="dxa"/>
            <w:vAlign w:val="bottom"/>
            <w:tcBorders>
              <w:bottom w:val="single" w:sz="8" w:color="844896"/>
            </w:tcBorders>
          </w:tcPr>
          <w:p>
            <w:pPr>
              <w:spacing w:after="0"/>
              <w:rPr>
                <w:sz w:val="2"/>
                <w:szCs w:val="2"/>
                <w:color w:val="auto"/>
              </w:rPr>
            </w:pPr>
          </w:p>
        </w:tc>
        <w:tc>
          <w:tcPr>
            <w:tcW w:w="1420" w:type="dxa"/>
            <w:vAlign w:val="bottom"/>
            <w:tcBorders>
              <w:bottom w:val="single" w:sz="8" w:color="844896"/>
            </w:tcBorders>
          </w:tcPr>
          <w:p>
            <w:pPr>
              <w:spacing w:after="0"/>
              <w:rPr>
                <w:sz w:val="2"/>
                <w:szCs w:val="2"/>
                <w:color w:val="auto"/>
              </w:rPr>
            </w:pPr>
          </w:p>
        </w:tc>
        <w:tc>
          <w:tcPr>
            <w:tcW w:w="1200" w:type="dxa"/>
            <w:vAlign w:val="bottom"/>
            <w:tcBorders>
              <w:bottom w:val="single" w:sz="8" w:color="844896"/>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18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20" w:type="dxa"/>
            <w:vAlign w:val="bottom"/>
            <w:vMerge w:val="restart"/>
          </w:tcPr>
          <w:p>
            <w:pPr>
              <w:jc w:val="right"/>
              <w:ind w:right="233"/>
              <w:spacing w:after="0"/>
              <w:rPr>
                <w:sz w:val="20"/>
                <w:szCs w:val="20"/>
                <w:color w:val="auto"/>
              </w:rPr>
            </w:pPr>
            <w:r>
              <w:rPr>
                <w:rFonts w:ascii="Arial" w:cs="Arial" w:eastAsia="Arial" w:hAnsi="Arial"/>
                <w:sz w:val="13"/>
                <w:szCs w:val="13"/>
                <w:color w:val="0B2E44"/>
              </w:rPr>
              <w:t>Equity Incentive</w:t>
            </w:r>
          </w:p>
        </w:tc>
        <w:tc>
          <w:tcPr>
            <w:tcW w:w="1200" w:type="dxa"/>
            <w:vAlign w:val="bottom"/>
          </w:tcPr>
          <w:p>
            <w:pPr>
              <w:jc w:val="right"/>
              <w:spacing w:after="0" w:line="124" w:lineRule="exact"/>
              <w:rPr>
                <w:sz w:val="20"/>
                <w:szCs w:val="20"/>
                <w:color w:val="auto"/>
              </w:rPr>
            </w:pPr>
            <w:r>
              <w:rPr>
                <w:rFonts w:ascii="Arial" w:cs="Arial" w:eastAsia="Arial" w:hAnsi="Arial"/>
                <w:sz w:val="13"/>
                <w:szCs w:val="13"/>
                <w:color w:val="0B2E44"/>
              </w:rPr>
              <w:t>Equity Incentive</w:t>
            </w:r>
          </w:p>
        </w:tc>
        <w:tc>
          <w:tcPr>
            <w:tcW w:w="0" w:type="dxa"/>
            <w:vAlign w:val="bottom"/>
          </w:tcPr>
          <w:p>
            <w:pPr>
              <w:spacing w:after="0"/>
              <w:rPr>
                <w:sz w:val="1"/>
                <w:szCs w:val="1"/>
                <w:color w:val="auto"/>
              </w:rPr>
            </w:pPr>
          </w:p>
        </w:tc>
      </w:tr>
      <w:tr>
        <w:trPr>
          <w:trHeight w:val="126"/>
        </w:trPr>
        <w:tc>
          <w:tcPr>
            <w:tcW w:w="18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40" w:type="dxa"/>
            <w:vAlign w:val="bottom"/>
            <w:vMerge w:val="restart"/>
          </w:tcPr>
          <w:p>
            <w:pPr>
              <w:jc w:val="right"/>
              <w:ind w:right="133"/>
              <w:spacing w:after="0"/>
              <w:rPr>
                <w:sz w:val="20"/>
                <w:szCs w:val="20"/>
                <w:color w:val="auto"/>
              </w:rPr>
            </w:pPr>
            <w:r>
              <w:rPr>
                <w:rFonts w:ascii="Arial" w:cs="Arial" w:eastAsia="Arial" w:hAnsi="Arial"/>
                <w:sz w:val="13"/>
                <w:szCs w:val="13"/>
                <w:color w:val="0B2E44"/>
              </w:rPr>
              <w:t>Number of</w:t>
            </w:r>
          </w:p>
        </w:tc>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vMerge w:val="restart"/>
          </w:tcPr>
          <w:p>
            <w:pPr>
              <w:jc w:val="right"/>
              <w:ind w:right="173"/>
              <w:spacing w:after="0"/>
              <w:rPr>
                <w:sz w:val="20"/>
                <w:szCs w:val="20"/>
                <w:color w:val="auto"/>
              </w:rPr>
            </w:pPr>
            <w:r>
              <w:rPr>
                <w:rFonts w:ascii="Arial" w:cs="Arial" w:eastAsia="Arial" w:hAnsi="Arial"/>
                <w:sz w:val="13"/>
                <w:szCs w:val="13"/>
                <w:color w:val="0B2E44"/>
              </w:rPr>
              <w:t>Market Value</w:t>
            </w:r>
          </w:p>
        </w:tc>
        <w:tc>
          <w:tcPr>
            <w:tcW w:w="1420" w:type="dxa"/>
            <w:vAlign w:val="bottom"/>
            <w:vMerge w:val="continue"/>
          </w:tcPr>
          <w:p>
            <w:pPr>
              <w:spacing w:after="0"/>
              <w:rPr>
                <w:sz w:val="10"/>
                <w:szCs w:val="10"/>
                <w:color w:val="auto"/>
              </w:rPr>
            </w:pPr>
          </w:p>
        </w:tc>
        <w:tc>
          <w:tcPr>
            <w:tcW w:w="1200" w:type="dxa"/>
            <w:vAlign w:val="bottom"/>
          </w:tcPr>
          <w:p>
            <w:pPr>
              <w:jc w:val="right"/>
              <w:spacing w:after="0" w:line="126" w:lineRule="exact"/>
              <w:rPr>
                <w:sz w:val="20"/>
                <w:szCs w:val="20"/>
                <w:color w:val="auto"/>
              </w:rPr>
            </w:pPr>
            <w:r>
              <w:rPr>
                <w:rFonts w:ascii="Arial" w:cs="Arial" w:eastAsia="Arial" w:hAnsi="Arial"/>
                <w:sz w:val="13"/>
                <w:szCs w:val="13"/>
                <w:color w:val="0B2E44"/>
              </w:rPr>
              <w:t>Plan Awards:</w:t>
            </w:r>
          </w:p>
        </w:tc>
        <w:tc>
          <w:tcPr>
            <w:tcW w:w="0" w:type="dxa"/>
            <w:vAlign w:val="bottom"/>
          </w:tcPr>
          <w:p>
            <w:pPr>
              <w:spacing w:after="0"/>
              <w:rPr>
                <w:sz w:val="1"/>
                <w:szCs w:val="1"/>
                <w:color w:val="auto"/>
              </w:rPr>
            </w:pPr>
          </w:p>
        </w:tc>
      </w:tr>
      <w:tr>
        <w:trPr>
          <w:trHeight w:val="121"/>
        </w:trPr>
        <w:tc>
          <w:tcPr>
            <w:tcW w:w="18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420" w:type="dxa"/>
            <w:vAlign w:val="bottom"/>
          </w:tcPr>
          <w:p>
            <w:pPr>
              <w:jc w:val="right"/>
              <w:ind w:right="233"/>
              <w:spacing w:after="0" w:line="122" w:lineRule="exact"/>
              <w:rPr>
                <w:sz w:val="20"/>
                <w:szCs w:val="20"/>
                <w:color w:val="auto"/>
              </w:rPr>
            </w:pPr>
            <w:r>
              <w:rPr>
                <w:rFonts w:ascii="Arial" w:cs="Arial" w:eastAsia="Arial" w:hAnsi="Arial"/>
                <w:sz w:val="13"/>
                <w:szCs w:val="13"/>
                <w:color w:val="0B2E44"/>
              </w:rPr>
              <w:t>Plan Awards:</w:t>
            </w:r>
          </w:p>
        </w:tc>
        <w:tc>
          <w:tcPr>
            <w:tcW w:w="1200" w:type="dxa"/>
            <w:vAlign w:val="bottom"/>
          </w:tcPr>
          <w:p>
            <w:pPr>
              <w:jc w:val="right"/>
              <w:spacing w:after="0" w:line="122" w:lineRule="exact"/>
              <w:rPr>
                <w:sz w:val="20"/>
                <w:szCs w:val="20"/>
                <w:color w:val="auto"/>
              </w:rPr>
            </w:pPr>
            <w:r>
              <w:rPr>
                <w:rFonts w:ascii="Arial" w:cs="Arial" w:eastAsia="Arial" w:hAnsi="Arial"/>
                <w:sz w:val="13"/>
                <w:szCs w:val="13"/>
                <w:color w:val="0B2E44"/>
              </w:rPr>
              <w:t>Market or</w:t>
            </w:r>
          </w:p>
        </w:tc>
        <w:tc>
          <w:tcPr>
            <w:tcW w:w="0" w:type="dxa"/>
            <w:vAlign w:val="bottom"/>
          </w:tcPr>
          <w:p>
            <w:pPr>
              <w:spacing w:after="0"/>
              <w:rPr>
                <w:sz w:val="1"/>
                <w:szCs w:val="1"/>
                <w:color w:val="auto"/>
              </w:rPr>
            </w:pPr>
          </w:p>
        </w:tc>
      </w:tr>
      <w:tr>
        <w:trPr>
          <w:trHeight w:val="122"/>
        </w:trPr>
        <w:tc>
          <w:tcPr>
            <w:tcW w:w="18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40" w:type="dxa"/>
            <w:vAlign w:val="bottom"/>
          </w:tcPr>
          <w:p>
            <w:pPr>
              <w:jc w:val="right"/>
              <w:ind w:right="133"/>
              <w:spacing w:after="0" w:line="122" w:lineRule="exact"/>
              <w:rPr>
                <w:sz w:val="20"/>
                <w:szCs w:val="20"/>
                <w:color w:val="auto"/>
              </w:rPr>
            </w:pPr>
            <w:r>
              <w:rPr>
                <w:rFonts w:ascii="Arial" w:cs="Arial" w:eastAsia="Arial" w:hAnsi="Arial"/>
                <w:sz w:val="13"/>
                <w:szCs w:val="13"/>
                <w:color w:val="0B2E44"/>
              </w:rPr>
              <w:t>Securities</w:t>
            </w:r>
          </w:p>
        </w:tc>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jc w:val="right"/>
              <w:ind w:right="173"/>
              <w:spacing w:after="0" w:line="122" w:lineRule="exact"/>
              <w:rPr>
                <w:sz w:val="20"/>
                <w:szCs w:val="20"/>
                <w:color w:val="auto"/>
              </w:rPr>
            </w:pPr>
            <w:r>
              <w:rPr>
                <w:rFonts w:ascii="Arial" w:cs="Arial" w:eastAsia="Arial" w:hAnsi="Arial"/>
                <w:sz w:val="13"/>
                <w:szCs w:val="13"/>
                <w:color w:val="0B2E44"/>
              </w:rPr>
              <w:t>of Unearned</w:t>
            </w:r>
          </w:p>
        </w:tc>
        <w:tc>
          <w:tcPr>
            <w:tcW w:w="1420" w:type="dxa"/>
            <w:vAlign w:val="bottom"/>
          </w:tcPr>
          <w:p>
            <w:pPr>
              <w:jc w:val="right"/>
              <w:ind w:right="233"/>
              <w:spacing w:after="0" w:line="122" w:lineRule="exact"/>
              <w:rPr>
                <w:sz w:val="20"/>
                <w:szCs w:val="20"/>
                <w:color w:val="auto"/>
              </w:rPr>
            </w:pPr>
            <w:r>
              <w:rPr>
                <w:rFonts w:ascii="Arial" w:cs="Arial" w:eastAsia="Arial" w:hAnsi="Arial"/>
                <w:sz w:val="13"/>
                <w:szCs w:val="13"/>
                <w:color w:val="0B2E44"/>
              </w:rPr>
              <w:t>Number of</w:t>
            </w:r>
          </w:p>
        </w:tc>
        <w:tc>
          <w:tcPr>
            <w:tcW w:w="1200" w:type="dxa"/>
            <w:vAlign w:val="bottom"/>
          </w:tcPr>
          <w:p>
            <w:pPr>
              <w:jc w:val="right"/>
              <w:spacing w:after="0" w:line="122" w:lineRule="exact"/>
              <w:rPr>
                <w:sz w:val="20"/>
                <w:szCs w:val="20"/>
                <w:color w:val="auto"/>
              </w:rPr>
            </w:pPr>
            <w:r>
              <w:rPr>
                <w:rFonts w:ascii="Arial" w:cs="Arial" w:eastAsia="Arial" w:hAnsi="Arial"/>
                <w:sz w:val="13"/>
                <w:szCs w:val="13"/>
                <w:color w:val="0B2E44"/>
              </w:rPr>
              <w:t>Payout Value of</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40" w:type="dxa"/>
            <w:vAlign w:val="bottom"/>
          </w:tcPr>
          <w:p>
            <w:pPr>
              <w:jc w:val="right"/>
              <w:ind w:right="133"/>
              <w:spacing w:after="0" w:line="135" w:lineRule="exact"/>
              <w:rPr>
                <w:sz w:val="20"/>
                <w:szCs w:val="20"/>
                <w:color w:val="auto"/>
              </w:rPr>
            </w:pPr>
            <w:r>
              <w:rPr>
                <w:rFonts w:ascii="Arial" w:cs="Arial" w:eastAsia="Arial" w:hAnsi="Arial"/>
                <w:sz w:val="13"/>
                <w:szCs w:val="13"/>
                <w:color w:val="0B2E44"/>
              </w:rPr>
              <w:t>Underlying</w:t>
            </w: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tcPr>
          <w:p>
            <w:pPr>
              <w:jc w:val="right"/>
              <w:ind w:right="132"/>
              <w:spacing w:after="0" w:line="135" w:lineRule="exact"/>
              <w:rPr>
                <w:sz w:val="20"/>
                <w:szCs w:val="20"/>
                <w:color w:val="auto"/>
              </w:rPr>
            </w:pPr>
            <w:r>
              <w:rPr>
                <w:rFonts w:ascii="Arial" w:cs="Arial" w:eastAsia="Arial" w:hAnsi="Arial"/>
                <w:sz w:val="13"/>
                <w:szCs w:val="13"/>
                <w:color w:val="0B2E44"/>
              </w:rPr>
              <w:t>Number of</w:t>
            </w:r>
          </w:p>
        </w:tc>
        <w:tc>
          <w:tcPr>
            <w:tcW w:w="1220" w:type="dxa"/>
            <w:vAlign w:val="bottom"/>
          </w:tcPr>
          <w:p>
            <w:pPr>
              <w:jc w:val="right"/>
              <w:ind w:right="173"/>
              <w:spacing w:after="0" w:line="135" w:lineRule="exact"/>
              <w:rPr>
                <w:sz w:val="20"/>
                <w:szCs w:val="20"/>
                <w:color w:val="auto"/>
              </w:rPr>
            </w:pPr>
            <w:r>
              <w:rPr>
                <w:rFonts w:ascii="Arial" w:cs="Arial" w:eastAsia="Arial" w:hAnsi="Arial"/>
                <w:sz w:val="13"/>
                <w:szCs w:val="13"/>
                <w:color w:val="0B2E44"/>
              </w:rPr>
              <w:t>Shares or</w:t>
            </w:r>
          </w:p>
        </w:tc>
        <w:tc>
          <w:tcPr>
            <w:tcW w:w="1420" w:type="dxa"/>
            <w:vAlign w:val="bottom"/>
          </w:tcPr>
          <w:p>
            <w:pPr>
              <w:jc w:val="right"/>
              <w:ind w:right="233"/>
              <w:spacing w:after="0" w:line="135" w:lineRule="exact"/>
              <w:rPr>
                <w:sz w:val="20"/>
                <w:szCs w:val="20"/>
                <w:color w:val="auto"/>
              </w:rPr>
            </w:pPr>
            <w:r>
              <w:rPr>
                <w:rFonts w:ascii="Arial" w:cs="Arial" w:eastAsia="Arial" w:hAnsi="Arial"/>
                <w:sz w:val="13"/>
                <w:szCs w:val="13"/>
                <w:color w:val="0B2E44"/>
              </w:rPr>
              <w:t>Unearned</w:t>
            </w:r>
          </w:p>
        </w:tc>
        <w:tc>
          <w:tcPr>
            <w:tcW w:w="1200" w:type="dxa"/>
            <w:vAlign w:val="bottom"/>
          </w:tcPr>
          <w:p>
            <w:pPr>
              <w:jc w:val="right"/>
              <w:spacing w:after="0" w:line="135" w:lineRule="exact"/>
              <w:rPr>
                <w:sz w:val="20"/>
                <w:szCs w:val="20"/>
                <w:color w:val="auto"/>
              </w:rPr>
            </w:pPr>
            <w:r>
              <w:rPr>
                <w:rFonts w:ascii="Arial" w:cs="Arial" w:eastAsia="Arial" w:hAnsi="Arial"/>
                <w:sz w:val="13"/>
                <w:szCs w:val="13"/>
                <w:color w:val="0B2E44"/>
              </w:rPr>
              <w:t>Unearned</w:t>
            </w:r>
          </w:p>
        </w:tc>
        <w:tc>
          <w:tcPr>
            <w:tcW w:w="0" w:type="dxa"/>
            <w:vAlign w:val="bottom"/>
          </w:tcPr>
          <w:p>
            <w:pPr>
              <w:spacing w:after="0"/>
              <w:rPr>
                <w:sz w:val="1"/>
                <w:szCs w:val="1"/>
                <w:color w:val="auto"/>
              </w:rPr>
            </w:pPr>
          </w:p>
        </w:tc>
      </w:tr>
      <w:tr>
        <w:trPr>
          <w:trHeight w:val="122"/>
        </w:trPr>
        <w:tc>
          <w:tcPr>
            <w:tcW w:w="18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40" w:type="dxa"/>
            <w:vAlign w:val="bottom"/>
          </w:tcPr>
          <w:p>
            <w:pPr>
              <w:jc w:val="right"/>
              <w:ind w:right="133"/>
              <w:spacing w:after="0" w:line="122" w:lineRule="exact"/>
              <w:rPr>
                <w:sz w:val="20"/>
                <w:szCs w:val="20"/>
                <w:color w:val="auto"/>
              </w:rPr>
            </w:pPr>
            <w:r>
              <w:rPr>
                <w:rFonts w:ascii="Arial" w:cs="Arial" w:eastAsia="Arial" w:hAnsi="Arial"/>
                <w:sz w:val="13"/>
                <w:szCs w:val="13"/>
                <w:color w:val="0B2E44"/>
              </w:rPr>
              <w:t>Unexercised</w:t>
            </w:r>
          </w:p>
        </w:tc>
        <w:tc>
          <w:tcPr>
            <w:tcW w:w="880" w:type="dxa"/>
            <w:vAlign w:val="bottom"/>
            <w:vMerge w:val="restart"/>
          </w:tcPr>
          <w:p>
            <w:pPr>
              <w:jc w:val="right"/>
              <w:ind w:right="131"/>
              <w:spacing w:after="0"/>
              <w:rPr>
                <w:sz w:val="20"/>
                <w:szCs w:val="20"/>
                <w:color w:val="auto"/>
              </w:rPr>
            </w:pPr>
            <w:r>
              <w:rPr>
                <w:rFonts w:ascii="Arial" w:cs="Arial" w:eastAsia="Arial" w:hAnsi="Arial"/>
                <w:sz w:val="13"/>
                <w:szCs w:val="13"/>
                <w:color w:val="0B2E44"/>
              </w:rPr>
              <w:t>Option</w:t>
            </w:r>
          </w:p>
        </w:tc>
        <w:tc>
          <w:tcPr>
            <w:tcW w:w="980" w:type="dxa"/>
            <w:vAlign w:val="bottom"/>
            <w:vMerge w:val="restart"/>
          </w:tcPr>
          <w:p>
            <w:pPr>
              <w:jc w:val="right"/>
              <w:ind w:right="151"/>
              <w:spacing w:after="0"/>
              <w:rPr>
                <w:sz w:val="20"/>
                <w:szCs w:val="20"/>
                <w:color w:val="auto"/>
              </w:rPr>
            </w:pPr>
            <w:r>
              <w:rPr>
                <w:rFonts w:ascii="Arial" w:cs="Arial" w:eastAsia="Arial" w:hAnsi="Arial"/>
                <w:sz w:val="13"/>
                <w:szCs w:val="13"/>
                <w:color w:val="0B2E44"/>
              </w:rPr>
              <w:t>Option</w:t>
            </w:r>
          </w:p>
        </w:tc>
        <w:tc>
          <w:tcPr>
            <w:tcW w:w="1220" w:type="dxa"/>
            <w:vAlign w:val="bottom"/>
          </w:tcPr>
          <w:p>
            <w:pPr>
              <w:jc w:val="right"/>
              <w:ind w:right="132"/>
              <w:spacing w:after="0" w:line="122" w:lineRule="exact"/>
              <w:rPr>
                <w:sz w:val="20"/>
                <w:szCs w:val="20"/>
                <w:color w:val="auto"/>
              </w:rPr>
            </w:pPr>
            <w:r>
              <w:rPr>
                <w:rFonts w:ascii="Arial" w:cs="Arial" w:eastAsia="Arial" w:hAnsi="Arial"/>
                <w:sz w:val="13"/>
                <w:szCs w:val="13"/>
                <w:color w:val="0B2E44"/>
              </w:rPr>
              <w:t>Shares or</w:t>
            </w:r>
          </w:p>
        </w:tc>
        <w:tc>
          <w:tcPr>
            <w:tcW w:w="1220" w:type="dxa"/>
            <w:vAlign w:val="bottom"/>
          </w:tcPr>
          <w:p>
            <w:pPr>
              <w:jc w:val="right"/>
              <w:ind w:right="173"/>
              <w:spacing w:after="0" w:line="122" w:lineRule="exact"/>
              <w:rPr>
                <w:sz w:val="20"/>
                <w:szCs w:val="20"/>
                <w:color w:val="auto"/>
              </w:rPr>
            </w:pPr>
            <w:r>
              <w:rPr>
                <w:rFonts w:ascii="Arial" w:cs="Arial" w:eastAsia="Arial" w:hAnsi="Arial"/>
                <w:sz w:val="13"/>
                <w:szCs w:val="13"/>
                <w:color w:val="0B2E44"/>
              </w:rPr>
              <w:t>Units of</w:t>
            </w:r>
          </w:p>
        </w:tc>
        <w:tc>
          <w:tcPr>
            <w:tcW w:w="1420" w:type="dxa"/>
            <w:vAlign w:val="bottom"/>
          </w:tcPr>
          <w:p>
            <w:pPr>
              <w:jc w:val="right"/>
              <w:ind w:right="233"/>
              <w:spacing w:after="0" w:line="122" w:lineRule="exact"/>
              <w:rPr>
                <w:sz w:val="20"/>
                <w:szCs w:val="20"/>
                <w:color w:val="auto"/>
              </w:rPr>
            </w:pPr>
            <w:r>
              <w:rPr>
                <w:rFonts w:ascii="Arial" w:cs="Arial" w:eastAsia="Arial" w:hAnsi="Arial"/>
                <w:sz w:val="13"/>
                <w:szCs w:val="13"/>
                <w:color w:val="0B2E44"/>
              </w:rPr>
              <w:t>Shares, Units or</w:t>
            </w:r>
          </w:p>
        </w:tc>
        <w:tc>
          <w:tcPr>
            <w:tcW w:w="1200" w:type="dxa"/>
            <w:vAlign w:val="bottom"/>
          </w:tcPr>
          <w:p>
            <w:pPr>
              <w:jc w:val="right"/>
              <w:spacing w:after="0" w:line="122" w:lineRule="exact"/>
              <w:rPr>
                <w:sz w:val="20"/>
                <w:szCs w:val="20"/>
                <w:color w:val="auto"/>
              </w:rPr>
            </w:pPr>
            <w:r>
              <w:rPr>
                <w:rFonts w:ascii="Arial" w:cs="Arial" w:eastAsia="Arial" w:hAnsi="Arial"/>
                <w:sz w:val="13"/>
                <w:szCs w:val="13"/>
                <w:color w:val="0B2E44"/>
              </w:rPr>
              <w:t>Shares, Units or</w:t>
            </w:r>
          </w:p>
        </w:tc>
        <w:tc>
          <w:tcPr>
            <w:tcW w:w="0" w:type="dxa"/>
            <w:vAlign w:val="bottom"/>
          </w:tcPr>
          <w:p>
            <w:pPr>
              <w:spacing w:after="0"/>
              <w:rPr>
                <w:sz w:val="1"/>
                <w:szCs w:val="1"/>
                <w:color w:val="auto"/>
              </w:rPr>
            </w:pPr>
          </w:p>
        </w:tc>
      </w:tr>
      <w:tr>
        <w:trPr>
          <w:trHeight w:val="122"/>
        </w:trPr>
        <w:tc>
          <w:tcPr>
            <w:tcW w:w="18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40" w:type="dxa"/>
            <w:vAlign w:val="bottom"/>
          </w:tcPr>
          <w:p>
            <w:pPr>
              <w:jc w:val="right"/>
              <w:ind w:right="133"/>
              <w:spacing w:after="0" w:line="122" w:lineRule="exact"/>
              <w:rPr>
                <w:sz w:val="20"/>
                <w:szCs w:val="20"/>
                <w:color w:val="auto"/>
              </w:rPr>
            </w:pPr>
            <w:r>
              <w:rPr>
                <w:rFonts w:ascii="Arial" w:cs="Arial" w:eastAsia="Arial" w:hAnsi="Arial"/>
                <w:sz w:val="13"/>
                <w:szCs w:val="13"/>
                <w:color w:val="0B2E44"/>
              </w:rPr>
              <w:t>Options</w:t>
            </w:r>
          </w:p>
        </w:tc>
        <w:tc>
          <w:tcPr>
            <w:tcW w:w="8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220" w:type="dxa"/>
            <w:vAlign w:val="bottom"/>
          </w:tcPr>
          <w:p>
            <w:pPr>
              <w:jc w:val="right"/>
              <w:ind w:right="132"/>
              <w:spacing w:after="0" w:line="122" w:lineRule="exact"/>
              <w:rPr>
                <w:sz w:val="20"/>
                <w:szCs w:val="20"/>
                <w:color w:val="auto"/>
              </w:rPr>
            </w:pPr>
            <w:r>
              <w:rPr>
                <w:rFonts w:ascii="Arial" w:cs="Arial" w:eastAsia="Arial" w:hAnsi="Arial"/>
                <w:sz w:val="13"/>
                <w:szCs w:val="13"/>
                <w:color w:val="0B2E44"/>
              </w:rPr>
              <w:t>Units of Stock</w:t>
            </w:r>
          </w:p>
        </w:tc>
        <w:tc>
          <w:tcPr>
            <w:tcW w:w="1220" w:type="dxa"/>
            <w:vAlign w:val="bottom"/>
          </w:tcPr>
          <w:p>
            <w:pPr>
              <w:jc w:val="right"/>
              <w:ind w:right="173"/>
              <w:spacing w:after="0" w:line="122" w:lineRule="exact"/>
              <w:rPr>
                <w:sz w:val="20"/>
                <w:szCs w:val="20"/>
                <w:color w:val="auto"/>
              </w:rPr>
            </w:pPr>
            <w:r>
              <w:rPr>
                <w:rFonts w:ascii="Arial" w:cs="Arial" w:eastAsia="Arial" w:hAnsi="Arial"/>
                <w:sz w:val="13"/>
                <w:szCs w:val="13"/>
                <w:color w:val="0B2E44"/>
              </w:rPr>
              <w:t>Stock That</w:t>
            </w:r>
          </w:p>
        </w:tc>
        <w:tc>
          <w:tcPr>
            <w:tcW w:w="1420" w:type="dxa"/>
            <w:vAlign w:val="bottom"/>
          </w:tcPr>
          <w:p>
            <w:pPr>
              <w:jc w:val="right"/>
              <w:ind w:right="233"/>
              <w:spacing w:after="0" w:line="122" w:lineRule="exact"/>
              <w:rPr>
                <w:sz w:val="20"/>
                <w:szCs w:val="20"/>
                <w:color w:val="auto"/>
              </w:rPr>
            </w:pPr>
            <w:r>
              <w:rPr>
                <w:rFonts w:ascii="Arial" w:cs="Arial" w:eastAsia="Arial" w:hAnsi="Arial"/>
                <w:sz w:val="13"/>
                <w:szCs w:val="13"/>
                <w:color w:val="0B2E44"/>
              </w:rPr>
              <w:t>Other Rights</w:t>
            </w:r>
          </w:p>
        </w:tc>
        <w:tc>
          <w:tcPr>
            <w:tcW w:w="1200" w:type="dxa"/>
            <w:vAlign w:val="bottom"/>
          </w:tcPr>
          <w:p>
            <w:pPr>
              <w:jc w:val="right"/>
              <w:spacing w:after="0" w:line="122" w:lineRule="exact"/>
              <w:rPr>
                <w:sz w:val="20"/>
                <w:szCs w:val="20"/>
                <w:color w:val="auto"/>
              </w:rPr>
            </w:pPr>
            <w:r>
              <w:rPr>
                <w:rFonts w:ascii="Arial" w:cs="Arial" w:eastAsia="Arial" w:hAnsi="Arial"/>
                <w:sz w:val="13"/>
                <w:szCs w:val="13"/>
                <w:color w:val="0B2E44"/>
              </w:rPr>
              <w:t>Other Rights</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40" w:type="dxa"/>
            <w:vAlign w:val="bottom"/>
          </w:tcPr>
          <w:p>
            <w:pPr>
              <w:jc w:val="right"/>
              <w:ind w:right="133"/>
              <w:spacing w:after="0" w:line="135" w:lineRule="exact"/>
              <w:rPr>
                <w:sz w:val="20"/>
                <w:szCs w:val="20"/>
                <w:color w:val="auto"/>
              </w:rPr>
            </w:pPr>
            <w:r>
              <w:rPr>
                <w:rFonts w:ascii="Arial" w:cs="Arial" w:eastAsia="Arial" w:hAnsi="Arial"/>
                <w:sz w:val="13"/>
                <w:szCs w:val="13"/>
                <w:color w:val="0B2E44"/>
              </w:rPr>
              <w:t>(Exercisable)</w:t>
            </w:r>
          </w:p>
        </w:tc>
        <w:tc>
          <w:tcPr>
            <w:tcW w:w="880" w:type="dxa"/>
            <w:vAlign w:val="bottom"/>
          </w:tcPr>
          <w:p>
            <w:pPr>
              <w:jc w:val="right"/>
              <w:ind w:right="131"/>
              <w:spacing w:after="0" w:line="135" w:lineRule="exact"/>
              <w:rPr>
                <w:sz w:val="20"/>
                <w:szCs w:val="20"/>
                <w:color w:val="auto"/>
              </w:rPr>
            </w:pPr>
            <w:r>
              <w:rPr>
                <w:rFonts w:ascii="Arial" w:cs="Arial" w:eastAsia="Arial" w:hAnsi="Arial"/>
                <w:sz w:val="13"/>
                <w:szCs w:val="13"/>
                <w:color w:val="0B2E44"/>
              </w:rPr>
              <w:t>Exercise</w:t>
            </w:r>
          </w:p>
        </w:tc>
        <w:tc>
          <w:tcPr>
            <w:tcW w:w="980" w:type="dxa"/>
            <w:vAlign w:val="bottom"/>
          </w:tcPr>
          <w:p>
            <w:pPr>
              <w:jc w:val="right"/>
              <w:ind w:right="151"/>
              <w:spacing w:after="0" w:line="135" w:lineRule="exact"/>
              <w:rPr>
                <w:sz w:val="20"/>
                <w:szCs w:val="20"/>
                <w:color w:val="auto"/>
              </w:rPr>
            </w:pPr>
            <w:r>
              <w:rPr>
                <w:rFonts w:ascii="Arial" w:cs="Arial" w:eastAsia="Arial" w:hAnsi="Arial"/>
                <w:sz w:val="13"/>
                <w:szCs w:val="13"/>
                <w:color w:val="0B2E44"/>
              </w:rPr>
              <w:t>Expiration</w:t>
            </w:r>
          </w:p>
        </w:tc>
        <w:tc>
          <w:tcPr>
            <w:tcW w:w="1220" w:type="dxa"/>
            <w:vAlign w:val="bottom"/>
          </w:tcPr>
          <w:p>
            <w:pPr>
              <w:jc w:val="right"/>
              <w:ind w:right="132"/>
              <w:spacing w:after="0" w:line="135" w:lineRule="exact"/>
              <w:rPr>
                <w:sz w:val="20"/>
                <w:szCs w:val="20"/>
                <w:color w:val="auto"/>
              </w:rPr>
            </w:pPr>
            <w:r>
              <w:rPr>
                <w:rFonts w:ascii="Arial" w:cs="Arial" w:eastAsia="Arial" w:hAnsi="Arial"/>
                <w:sz w:val="13"/>
                <w:szCs w:val="13"/>
                <w:color w:val="0B2E44"/>
              </w:rPr>
              <w:t>That Have Not</w:t>
            </w:r>
          </w:p>
        </w:tc>
        <w:tc>
          <w:tcPr>
            <w:tcW w:w="1220" w:type="dxa"/>
            <w:vAlign w:val="bottom"/>
          </w:tcPr>
          <w:p>
            <w:pPr>
              <w:jc w:val="right"/>
              <w:ind w:right="173"/>
              <w:spacing w:after="0" w:line="135" w:lineRule="exact"/>
              <w:rPr>
                <w:sz w:val="20"/>
                <w:szCs w:val="20"/>
                <w:color w:val="auto"/>
              </w:rPr>
            </w:pPr>
            <w:r>
              <w:rPr>
                <w:rFonts w:ascii="Arial" w:cs="Arial" w:eastAsia="Arial" w:hAnsi="Arial"/>
                <w:sz w:val="13"/>
                <w:szCs w:val="13"/>
                <w:color w:val="0B2E44"/>
              </w:rPr>
              <w:t>Have Not</w:t>
            </w:r>
          </w:p>
        </w:tc>
        <w:tc>
          <w:tcPr>
            <w:tcW w:w="1420" w:type="dxa"/>
            <w:vAlign w:val="bottom"/>
          </w:tcPr>
          <w:p>
            <w:pPr>
              <w:jc w:val="right"/>
              <w:ind w:right="233"/>
              <w:spacing w:after="0" w:line="135" w:lineRule="exact"/>
              <w:rPr>
                <w:sz w:val="20"/>
                <w:szCs w:val="20"/>
                <w:color w:val="auto"/>
              </w:rPr>
            </w:pPr>
            <w:r>
              <w:rPr>
                <w:rFonts w:ascii="Arial" w:cs="Arial" w:eastAsia="Arial" w:hAnsi="Arial"/>
                <w:sz w:val="13"/>
                <w:szCs w:val="13"/>
                <w:color w:val="0B2E44"/>
              </w:rPr>
              <w:t>That Have Not</w:t>
            </w:r>
          </w:p>
        </w:tc>
        <w:tc>
          <w:tcPr>
            <w:tcW w:w="1200" w:type="dxa"/>
            <w:vAlign w:val="bottom"/>
          </w:tcPr>
          <w:p>
            <w:pPr>
              <w:jc w:val="right"/>
              <w:spacing w:after="0" w:line="135" w:lineRule="exact"/>
              <w:rPr>
                <w:sz w:val="20"/>
                <w:szCs w:val="20"/>
                <w:color w:val="auto"/>
              </w:rPr>
            </w:pPr>
            <w:r>
              <w:rPr>
                <w:rFonts w:ascii="Arial" w:cs="Arial" w:eastAsia="Arial" w:hAnsi="Arial"/>
                <w:sz w:val="13"/>
                <w:szCs w:val="13"/>
                <w:color w:val="0B2E44"/>
              </w:rPr>
              <w:t>That Have Not</w:t>
            </w:r>
          </w:p>
        </w:tc>
        <w:tc>
          <w:tcPr>
            <w:tcW w:w="0" w:type="dxa"/>
            <w:vAlign w:val="bottom"/>
          </w:tcPr>
          <w:p>
            <w:pPr>
              <w:spacing w:after="0"/>
              <w:rPr>
                <w:sz w:val="1"/>
                <w:szCs w:val="1"/>
                <w:color w:val="auto"/>
              </w:rPr>
            </w:pPr>
          </w:p>
        </w:tc>
      </w:tr>
      <w:tr>
        <w:trPr>
          <w:trHeight w:val="183"/>
        </w:trPr>
        <w:tc>
          <w:tcPr>
            <w:tcW w:w="1860" w:type="dxa"/>
            <w:vAlign w:val="bottom"/>
            <w:tcBorders>
              <w:bottom w:val="single" w:sz="8" w:color="844896"/>
            </w:tcBorders>
          </w:tcPr>
          <w:p>
            <w:pPr>
              <w:ind w:left="140"/>
              <w:spacing w:after="0"/>
              <w:rPr>
                <w:sz w:val="20"/>
                <w:szCs w:val="20"/>
                <w:color w:val="auto"/>
              </w:rPr>
            </w:pPr>
            <w:r>
              <w:rPr>
                <w:rFonts w:ascii="Arial" w:cs="Arial" w:eastAsia="Arial" w:hAnsi="Arial"/>
                <w:sz w:val="13"/>
                <w:szCs w:val="13"/>
                <w:color w:val="0B2E44"/>
              </w:rPr>
              <w:t>Name</w:t>
            </w:r>
          </w:p>
        </w:tc>
        <w:tc>
          <w:tcPr>
            <w:tcW w:w="1080" w:type="dxa"/>
            <w:vAlign w:val="bottom"/>
            <w:tcBorders>
              <w:bottom w:val="single" w:sz="8" w:color="844896"/>
            </w:tcBorders>
          </w:tcPr>
          <w:p>
            <w:pPr>
              <w:jc w:val="right"/>
              <w:spacing w:after="0"/>
              <w:rPr>
                <w:sz w:val="20"/>
                <w:szCs w:val="20"/>
                <w:color w:val="auto"/>
              </w:rPr>
            </w:pPr>
            <w:r>
              <w:rPr>
                <w:rFonts w:ascii="Arial" w:cs="Arial" w:eastAsia="Arial" w:hAnsi="Arial"/>
                <w:sz w:val="13"/>
                <w:szCs w:val="13"/>
                <w:color w:val="0B2E44"/>
              </w:rPr>
              <w:t>Grant Date(1)</w:t>
            </w:r>
          </w:p>
        </w:tc>
        <w:tc>
          <w:tcPr>
            <w:tcW w:w="1340" w:type="dxa"/>
            <w:vAlign w:val="bottom"/>
            <w:tcBorders>
              <w:bottom w:val="single" w:sz="8" w:color="844896"/>
            </w:tcBorders>
          </w:tcPr>
          <w:p>
            <w:pPr>
              <w:jc w:val="right"/>
              <w:ind w:right="133"/>
              <w:spacing w:after="0"/>
              <w:rPr>
                <w:sz w:val="20"/>
                <w:szCs w:val="20"/>
                <w:color w:val="auto"/>
              </w:rPr>
            </w:pPr>
            <w:r>
              <w:rPr>
                <w:rFonts w:ascii="Arial" w:cs="Arial" w:eastAsia="Arial" w:hAnsi="Arial"/>
                <w:sz w:val="13"/>
                <w:szCs w:val="13"/>
                <w:color w:val="0B2E44"/>
              </w:rPr>
              <w:t>(#)</w:t>
            </w:r>
          </w:p>
        </w:tc>
        <w:tc>
          <w:tcPr>
            <w:tcW w:w="880" w:type="dxa"/>
            <w:vAlign w:val="bottom"/>
            <w:tcBorders>
              <w:bottom w:val="single" w:sz="8" w:color="844896"/>
            </w:tcBorders>
          </w:tcPr>
          <w:p>
            <w:pPr>
              <w:jc w:val="right"/>
              <w:ind w:right="131"/>
              <w:spacing w:after="0"/>
              <w:rPr>
                <w:sz w:val="20"/>
                <w:szCs w:val="20"/>
                <w:color w:val="auto"/>
              </w:rPr>
            </w:pPr>
            <w:r>
              <w:rPr>
                <w:rFonts w:ascii="Arial" w:cs="Arial" w:eastAsia="Arial" w:hAnsi="Arial"/>
                <w:sz w:val="13"/>
                <w:szCs w:val="13"/>
                <w:color w:val="0B2E44"/>
              </w:rPr>
              <w:t>Price($)</w:t>
            </w:r>
          </w:p>
        </w:tc>
        <w:tc>
          <w:tcPr>
            <w:tcW w:w="980" w:type="dxa"/>
            <w:vAlign w:val="bottom"/>
            <w:tcBorders>
              <w:bottom w:val="single" w:sz="8" w:color="844896"/>
            </w:tcBorders>
          </w:tcPr>
          <w:p>
            <w:pPr>
              <w:jc w:val="center"/>
              <w:ind w:left="211"/>
              <w:spacing w:after="0"/>
              <w:rPr>
                <w:sz w:val="20"/>
                <w:szCs w:val="20"/>
                <w:color w:val="auto"/>
              </w:rPr>
            </w:pPr>
            <w:r>
              <w:rPr>
                <w:rFonts w:ascii="Arial" w:cs="Arial" w:eastAsia="Arial" w:hAnsi="Arial"/>
                <w:sz w:val="13"/>
                <w:szCs w:val="13"/>
                <w:color w:val="0B2E44"/>
                <w:w w:val="94"/>
              </w:rPr>
              <w:t>Date</w:t>
            </w:r>
          </w:p>
        </w:tc>
        <w:tc>
          <w:tcPr>
            <w:tcW w:w="1220" w:type="dxa"/>
            <w:vAlign w:val="bottom"/>
            <w:tcBorders>
              <w:bottom w:val="single" w:sz="8" w:color="844896"/>
            </w:tcBorders>
          </w:tcPr>
          <w:p>
            <w:pPr>
              <w:jc w:val="right"/>
              <w:ind w:right="132"/>
              <w:spacing w:after="0"/>
              <w:rPr>
                <w:sz w:val="20"/>
                <w:szCs w:val="20"/>
                <w:color w:val="auto"/>
              </w:rPr>
            </w:pPr>
            <w:r>
              <w:rPr>
                <w:rFonts w:ascii="Arial" w:cs="Arial" w:eastAsia="Arial" w:hAnsi="Arial"/>
                <w:sz w:val="13"/>
                <w:szCs w:val="13"/>
                <w:color w:val="0B2E44"/>
              </w:rPr>
              <w:t>Vested(#)(2)</w:t>
            </w:r>
          </w:p>
        </w:tc>
        <w:tc>
          <w:tcPr>
            <w:tcW w:w="1220" w:type="dxa"/>
            <w:vAlign w:val="bottom"/>
            <w:tcBorders>
              <w:bottom w:val="single" w:sz="8" w:color="844896"/>
            </w:tcBorders>
          </w:tcPr>
          <w:p>
            <w:pPr>
              <w:jc w:val="right"/>
              <w:ind w:right="173"/>
              <w:spacing w:after="0"/>
              <w:rPr>
                <w:sz w:val="20"/>
                <w:szCs w:val="20"/>
                <w:color w:val="auto"/>
              </w:rPr>
            </w:pPr>
            <w:r>
              <w:rPr>
                <w:rFonts w:ascii="Arial" w:cs="Arial" w:eastAsia="Arial" w:hAnsi="Arial"/>
                <w:sz w:val="13"/>
                <w:szCs w:val="13"/>
                <w:color w:val="0B2E44"/>
              </w:rPr>
              <w:t>Vested($)</w:t>
            </w:r>
          </w:p>
        </w:tc>
        <w:tc>
          <w:tcPr>
            <w:tcW w:w="1420" w:type="dxa"/>
            <w:vAlign w:val="bottom"/>
            <w:tcBorders>
              <w:bottom w:val="single" w:sz="8" w:color="844896"/>
            </w:tcBorders>
          </w:tcPr>
          <w:p>
            <w:pPr>
              <w:jc w:val="right"/>
              <w:ind w:right="233"/>
              <w:spacing w:after="0"/>
              <w:rPr>
                <w:sz w:val="20"/>
                <w:szCs w:val="20"/>
                <w:color w:val="auto"/>
              </w:rPr>
            </w:pPr>
            <w:r>
              <w:rPr>
                <w:rFonts w:ascii="Arial" w:cs="Arial" w:eastAsia="Arial" w:hAnsi="Arial"/>
                <w:sz w:val="13"/>
                <w:szCs w:val="13"/>
                <w:color w:val="0B2E44"/>
              </w:rPr>
              <w:t>Vested(#)(3)</w:t>
            </w:r>
          </w:p>
        </w:tc>
        <w:tc>
          <w:tcPr>
            <w:tcW w:w="1200" w:type="dxa"/>
            <w:vAlign w:val="bottom"/>
            <w:tcBorders>
              <w:bottom w:val="single" w:sz="8" w:color="844896"/>
            </w:tcBorders>
          </w:tcPr>
          <w:p>
            <w:pPr>
              <w:jc w:val="right"/>
              <w:spacing w:after="0"/>
              <w:rPr>
                <w:sz w:val="20"/>
                <w:szCs w:val="20"/>
                <w:color w:val="auto"/>
              </w:rPr>
            </w:pPr>
            <w:r>
              <w:rPr>
                <w:rFonts w:ascii="Arial" w:cs="Arial" w:eastAsia="Arial" w:hAnsi="Arial"/>
                <w:sz w:val="13"/>
                <w:szCs w:val="13"/>
                <w:color w:val="0B2E44"/>
              </w:rPr>
              <w:t>Vested($)</w:t>
            </w:r>
          </w:p>
        </w:tc>
        <w:tc>
          <w:tcPr>
            <w:tcW w:w="0" w:type="dxa"/>
            <w:vAlign w:val="bottom"/>
          </w:tcPr>
          <w:p>
            <w:pPr>
              <w:spacing w:after="0"/>
              <w:rPr>
                <w:sz w:val="1"/>
                <w:szCs w:val="1"/>
                <w:color w:val="auto"/>
              </w:rPr>
            </w:pPr>
          </w:p>
        </w:tc>
      </w:tr>
      <w:tr>
        <w:trPr>
          <w:trHeight w:val="200"/>
        </w:trPr>
        <w:tc>
          <w:tcPr>
            <w:tcW w:w="1860" w:type="dxa"/>
            <w:vAlign w:val="bottom"/>
          </w:tcPr>
          <w:p>
            <w:pPr>
              <w:ind w:left="120"/>
              <w:spacing w:after="0"/>
              <w:rPr>
                <w:sz w:val="20"/>
                <w:szCs w:val="20"/>
                <w:color w:val="auto"/>
              </w:rPr>
            </w:pPr>
            <w:r>
              <w:rPr>
                <w:rFonts w:ascii="Arial" w:cs="Arial" w:eastAsia="Arial" w:hAnsi="Arial"/>
                <w:sz w:val="14"/>
                <w:szCs w:val="14"/>
                <w:b w:val="1"/>
                <w:bCs w:val="1"/>
                <w:color w:val="00053B"/>
              </w:rPr>
              <w:t>Sanjay Mirchandani</w:t>
            </w:r>
          </w:p>
        </w:tc>
        <w:tc>
          <w:tcPr>
            <w:tcW w:w="1080" w:type="dxa"/>
            <w:vAlign w:val="bottom"/>
          </w:tcPr>
          <w:p>
            <w:pPr>
              <w:jc w:val="right"/>
              <w:ind w:right="29"/>
              <w:spacing w:after="0"/>
              <w:rPr>
                <w:sz w:val="20"/>
                <w:szCs w:val="20"/>
                <w:color w:val="auto"/>
              </w:rPr>
            </w:pPr>
            <w:r>
              <w:rPr>
                <w:rFonts w:ascii="Arial" w:cs="Arial" w:eastAsia="Arial" w:hAnsi="Arial"/>
                <w:sz w:val="14"/>
                <w:szCs w:val="14"/>
                <w:color w:val="00053B"/>
              </w:rPr>
              <w:t>05/15/23</w:t>
            </w:r>
          </w:p>
        </w:tc>
        <w:tc>
          <w:tcPr>
            <w:tcW w:w="1340" w:type="dxa"/>
            <w:vAlign w:val="bottom"/>
          </w:tcPr>
          <w:p>
            <w:pPr>
              <w:jc w:val="right"/>
              <w:ind w:right="173"/>
              <w:spacing w:after="0"/>
              <w:rPr>
                <w:sz w:val="20"/>
                <w:szCs w:val="20"/>
                <w:color w:val="auto"/>
              </w:rPr>
            </w:pPr>
            <w:r>
              <w:rPr>
                <w:rFonts w:ascii="Arial" w:cs="Arial" w:eastAsia="Arial" w:hAnsi="Arial"/>
                <w:sz w:val="14"/>
                <w:szCs w:val="14"/>
                <w:color w:val="00053B"/>
              </w:rPr>
              <w:t>—</w:t>
            </w:r>
          </w:p>
        </w:tc>
        <w:tc>
          <w:tcPr>
            <w:tcW w:w="880" w:type="dxa"/>
            <w:vAlign w:val="bottom"/>
          </w:tcPr>
          <w:p>
            <w:pPr>
              <w:ind w:left="480"/>
              <w:spacing w:after="0"/>
              <w:rPr>
                <w:sz w:val="20"/>
                <w:szCs w:val="20"/>
                <w:color w:val="auto"/>
              </w:rPr>
            </w:pPr>
            <w:r>
              <w:rPr>
                <w:rFonts w:ascii="Arial" w:cs="Arial" w:eastAsia="Arial" w:hAnsi="Arial"/>
                <w:sz w:val="14"/>
                <w:szCs w:val="14"/>
                <w:color w:val="00053B"/>
              </w:rPr>
              <w:t>—</w:t>
            </w:r>
          </w:p>
        </w:tc>
        <w:tc>
          <w:tcPr>
            <w:tcW w:w="980" w:type="dxa"/>
            <w:vAlign w:val="bottom"/>
          </w:tcPr>
          <w:p>
            <w:pPr>
              <w:jc w:val="center"/>
              <w:ind w:left="251"/>
              <w:spacing w:after="0"/>
              <w:rPr>
                <w:sz w:val="20"/>
                <w:szCs w:val="20"/>
                <w:color w:val="auto"/>
              </w:rPr>
            </w:pPr>
            <w:r>
              <w:rPr>
                <w:rFonts w:ascii="Arial" w:cs="Arial" w:eastAsia="Arial" w:hAnsi="Arial"/>
                <w:sz w:val="14"/>
                <w:szCs w:val="14"/>
                <w:color w:val="00053B"/>
                <w:w w:val="99"/>
              </w:rPr>
              <w:t>—</w:t>
            </w:r>
          </w:p>
        </w:tc>
        <w:tc>
          <w:tcPr>
            <w:tcW w:w="1220" w:type="dxa"/>
            <w:vAlign w:val="bottom"/>
          </w:tcPr>
          <w:p>
            <w:pPr>
              <w:jc w:val="right"/>
              <w:ind w:right="172"/>
              <w:spacing w:after="0"/>
              <w:rPr>
                <w:sz w:val="20"/>
                <w:szCs w:val="20"/>
                <w:color w:val="auto"/>
              </w:rPr>
            </w:pPr>
            <w:r>
              <w:rPr>
                <w:rFonts w:ascii="Arial" w:cs="Arial" w:eastAsia="Arial" w:hAnsi="Arial"/>
                <w:sz w:val="14"/>
                <w:szCs w:val="14"/>
                <w:color w:val="00053B"/>
              </w:rPr>
              <w:t>119,823</w:t>
            </w:r>
          </w:p>
        </w:tc>
        <w:tc>
          <w:tcPr>
            <w:tcW w:w="1220" w:type="dxa"/>
            <w:vAlign w:val="bottom"/>
          </w:tcPr>
          <w:p>
            <w:pPr>
              <w:jc w:val="right"/>
              <w:ind w:right="213"/>
              <w:spacing w:after="0"/>
              <w:rPr>
                <w:sz w:val="20"/>
                <w:szCs w:val="20"/>
                <w:color w:val="auto"/>
              </w:rPr>
            </w:pPr>
            <w:r>
              <w:rPr>
                <w:rFonts w:ascii="Arial" w:cs="Arial" w:eastAsia="Arial" w:hAnsi="Arial"/>
                <w:sz w:val="14"/>
                <w:szCs w:val="14"/>
                <w:color w:val="00053B"/>
              </w:rPr>
              <w:t>12,153,647</w:t>
            </w:r>
          </w:p>
        </w:tc>
        <w:tc>
          <w:tcPr>
            <w:tcW w:w="1420" w:type="dxa"/>
            <w:vAlign w:val="bottom"/>
          </w:tcPr>
          <w:p>
            <w:pPr>
              <w:jc w:val="right"/>
              <w:ind w:right="273"/>
              <w:spacing w:after="0"/>
              <w:rPr>
                <w:sz w:val="20"/>
                <w:szCs w:val="20"/>
                <w:color w:val="auto"/>
              </w:rPr>
            </w:pPr>
            <w:r>
              <w:rPr>
                <w:rFonts w:ascii="Arial" w:cs="Arial" w:eastAsia="Arial" w:hAnsi="Arial"/>
                <w:sz w:val="14"/>
                <w:szCs w:val="14"/>
                <w:color w:val="00053B"/>
              </w:rPr>
              <w:t>38,905</w:t>
            </w:r>
          </w:p>
        </w:tc>
        <w:tc>
          <w:tcPr>
            <w:tcW w:w="1200" w:type="dxa"/>
            <w:vAlign w:val="bottom"/>
          </w:tcPr>
          <w:p>
            <w:pPr>
              <w:jc w:val="right"/>
              <w:spacing w:after="0"/>
              <w:rPr>
                <w:sz w:val="20"/>
                <w:szCs w:val="20"/>
                <w:color w:val="auto"/>
              </w:rPr>
            </w:pPr>
            <w:r>
              <w:rPr>
                <w:rFonts w:ascii="Arial" w:cs="Arial" w:eastAsia="Arial" w:hAnsi="Arial"/>
                <w:sz w:val="14"/>
                <w:szCs w:val="14"/>
                <w:color w:val="00053B"/>
              </w:rPr>
              <w:t>3,946,134</w:t>
            </w:r>
          </w:p>
        </w:tc>
        <w:tc>
          <w:tcPr>
            <w:tcW w:w="0" w:type="dxa"/>
            <w:vAlign w:val="bottom"/>
          </w:tcPr>
          <w:p>
            <w:pPr>
              <w:spacing w:after="0"/>
              <w:rPr>
                <w:sz w:val="1"/>
                <w:szCs w:val="1"/>
                <w:color w:val="auto"/>
              </w:rPr>
            </w:pPr>
          </w:p>
        </w:tc>
      </w:tr>
      <w:tr>
        <w:trPr>
          <w:trHeight w:val="197"/>
        </w:trPr>
        <w:tc>
          <w:tcPr>
            <w:tcW w:w="1860" w:type="dxa"/>
            <w:vAlign w:val="bottom"/>
          </w:tcPr>
          <w:p>
            <w:pPr>
              <w:spacing w:after="0"/>
              <w:rPr>
                <w:sz w:val="17"/>
                <w:szCs w:val="17"/>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00053B"/>
              </w:rPr>
              <w:t>05/16/22</w:t>
            </w:r>
          </w:p>
        </w:tc>
        <w:tc>
          <w:tcPr>
            <w:tcW w:w="1340" w:type="dxa"/>
            <w:vAlign w:val="bottom"/>
          </w:tcPr>
          <w:p>
            <w:pPr>
              <w:jc w:val="right"/>
              <w:ind w:right="173"/>
              <w:spacing w:after="0"/>
              <w:rPr>
                <w:sz w:val="20"/>
                <w:szCs w:val="20"/>
                <w:color w:val="auto"/>
              </w:rPr>
            </w:pPr>
            <w:r>
              <w:rPr>
                <w:rFonts w:ascii="Arial" w:cs="Arial" w:eastAsia="Arial" w:hAnsi="Arial"/>
                <w:sz w:val="14"/>
                <w:szCs w:val="14"/>
                <w:color w:val="00053B"/>
              </w:rPr>
              <w:t>—</w:t>
            </w:r>
          </w:p>
        </w:tc>
        <w:tc>
          <w:tcPr>
            <w:tcW w:w="880" w:type="dxa"/>
            <w:vAlign w:val="bottom"/>
          </w:tcPr>
          <w:p>
            <w:pPr>
              <w:ind w:left="480"/>
              <w:spacing w:after="0"/>
              <w:rPr>
                <w:sz w:val="20"/>
                <w:szCs w:val="20"/>
                <w:color w:val="auto"/>
              </w:rPr>
            </w:pPr>
            <w:r>
              <w:rPr>
                <w:rFonts w:ascii="Arial" w:cs="Arial" w:eastAsia="Arial" w:hAnsi="Arial"/>
                <w:sz w:val="14"/>
                <w:szCs w:val="14"/>
                <w:color w:val="00053B"/>
              </w:rPr>
              <w:t>—</w:t>
            </w:r>
          </w:p>
        </w:tc>
        <w:tc>
          <w:tcPr>
            <w:tcW w:w="980" w:type="dxa"/>
            <w:vAlign w:val="bottom"/>
          </w:tcPr>
          <w:p>
            <w:pPr>
              <w:jc w:val="center"/>
              <w:ind w:left="251"/>
              <w:spacing w:after="0"/>
              <w:rPr>
                <w:sz w:val="20"/>
                <w:szCs w:val="20"/>
                <w:color w:val="auto"/>
              </w:rPr>
            </w:pPr>
            <w:r>
              <w:rPr>
                <w:rFonts w:ascii="Arial" w:cs="Arial" w:eastAsia="Arial" w:hAnsi="Arial"/>
                <w:sz w:val="14"/>
                <w:szCs w:val="14"/>
                <w:color w:val="00053B"/>
                <w:w w:val="99"/>
              </w:rPr>
              <w:t>—</w:t>
            </w:r>
          </w:p>
        </w:tc>
        <w:tc>
          <w:tcPr>
            <w:tcW w:w="1220" w:type="dxa"/>
            <w:vAlign w:val="bottom"/>
          </w:tcPr>
          <w:p>
            <w:pPr>
              <w:jc w:val="right"/>
              <w:ind w:right="172"/>
              <w:spacing w:after="0"/>
              <w:rPr>
                <w:sz w:val="20"/>
                <w:szCs w:val="20"/>
                <w:color w:val="auto"/>
              </w:rPr>
            </w:pPr>
            <w:r>
              <w:rPr>
                <w:rFonts w:ascii="Arial" w:cs="Arial" w:eastAsia="Arial" w:hAnsi="Arial"/>
                <w:sz w:val="14"/>
                <w:szCs w:val="14"/>
                <w:color w:val="00053B"/>
              </w:rPr>
              <w:t>53,219</w:t>
            </w:r>
          </w:p>
        </w:tc>
        <w:tc>
          <w:tcPr>
            <w:tcW w:w="1220" w:type="dxa"/>
            <w:vAlign w:val="bottom"/>
          </w:tcPr>
          <w:p>
            <w:pPr>
              <w:jc w:val="right"/>
              <w:ind w:right="213"/>
              <w:spacing w:after="0"/>
              <w:rPr>
                <w:sz w:val="20"/>
                <w:szCs w:val="20"/>
                <w:color w:val="auto"/>
              </w:rPr>
            </w:pPr>
            <w:r>
              <w:rPr>
                <w:rFonts w:ascii="Arial" w:cs="Arial" w:eastAsia="Arial" w:hAnsi="Arial"/>
                <w:sz w:val="14"/>
                <w:szCs w:val="14"/>
                <w:color w:val="00053B"/>
              </w:rPr>
              <w:t>5,398,003</w:t>
            </w:r>
          </w:p>
        </w:tc>
        <w:tc>
          <w:tcPr>
            <w:tcW w:w="1420" w:type="dxa"/>
            <w:vAlign w:val="bottom"/>
          </w:tcPr>
          <w:p>
            <w:pPr>
              <w:jc w:val="right"/>
              <w:ind w:right="273"/>
              <w:spacing w:after="0"/>
              <w:rPr>
                <w:sz w:val="20"/>
                <w:szCs w:val="20"/>
                <w:color w:val="auto"/>
              </w:rPr>
            </w:pPr>
            <w:r>
              <w:rPr>
                <w:rFonts w:ascii="Arial" w:cs="Arial" w:eastAsia="Arial" w:hAnsi="Arial"/>
                <w:sz w:val="14"/>
                <w:szCs w:val="14"/>
                <w:color w:val="00053B"/>
              </w:rPr>
              <w:t>25,910</w:t>
            </w:r>
          </w:p>
        </w:tc>
        <w:tc>
          <w:tcPr>
            <w:tcW w:w="1200" w:type="dxa"/>
            <w:vAlign w:val="bottom"/>
          </w:tcPr>
          <w:p>
            <w:pPr>
              <w:jc w:val="right"/>
              <w:spacing w:after="0"/>
              <w:rPr>
                <w:sz w:val="20"/>
                <w:szCs w:val="20"/>
                <w:color w:val="auto"/>
              </w:rPr>
            </w:pPr>
            <w:r>
              <w:rPr>
                <w:rFonts w:ascii="Arial" w:cs="Arial" w:eastAsia="Arial" w:hAnsi="Arial"/>
                <w:sz w:val="14"/>
                <w:szCs w:val="14"/>
                <w:color w:val="00053B"/>
              </w:rPr>
              <w:t>2,628,051</w:t>
            </w:r>
          </w:p>
        </w:tc>
        <w:tc>
          <w:tcPr>
            <w:tcW w:w="0" w:type="dxa"/>
            <w:vAlign w:val="bottom"/>
          </w:tcPr>
          <w:p>
            <w:pPr>
              <w:spacing w:after="0"/>
              <w:rPr>
                <w:sz w:val="1"/>
                <w:szCs w:val="1"/>
                <w:color w:val="auto"/>
              </w:rPr>
            </w:pPr>
          </w:p>
        </w:tc>
      </w:tr>
      <w:tr>
        <w:trPr>
          <w:trHeight w:val="207"/>
        </w:trPr>
        <w:tc>
          <w:tcPr>
            <w:tcW w:w="1860" w:type="dxa"/>
            <w:vAlign w:val="bottom"/>
          </w:tcPr>
          <w:p>
            <w:pPr>
              <w:spacing w:after="0"/>
              <w:rPr>
                <w:sz w:val="17"/>
                <w:szCs w:val="17"/>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00053B"/>
              </w:rPr>
              <w:t>05/17/21</w:t>
            </w:r>
          </w:p>
        </w:tc>
        <w:tc>
          <w:tcPr>
            <w:tcW w:w="1340" w:type="dxa"/>
            <w:vAlign w:val="bottom"/>
          </w:tcPr>
          <w:p>
            <w:pPr>
              <w:jc w:val="right"/>
              <w:ind w:right="173"/>
              <w:spacing w:after="0"/>
              <w:rPr>
                <w:sz w:val="20"/>
                <w:szCs w:val="20"/>
                <w:color w:val="auto"/>
              </w:rPr>
            </w:pPr>
            <w:r>
              <w:rPr>
                <w:rFonts w:ascii="Arial" w:cs="Arial" w:eastAsia="Arial" w:hAnsi="Arial"/>
                <w:sz w:val="14"/>
                <w:szCs w:val="14"/>
                <w:color w:val="00053B"/>
              </w:rPr>
              <w:t>—</w:t>
            </w:r>
          </w:p>
        </w:tc>
        <w:tc>
          <w:tcPr>
            <w:tcW w:w="880" w:type="dxa"/>
            <w:vAlign w:val="bottom"/>
          </w:tcPr>
          <w:p>
            <w:pPr>
              <w:ind w:left="480"/>
              <w:spacing w:after="0"/>
              <w:rPr>
                <w:sz w:val="20"/>
                <w:szCs w:val="20"/>
                <w:color w:val="auto"/>
              </w:rPr>
            </w:pPr>
            <w:r>
              <w:rPr>
                <w:rFonts w:ascii="Arial" w:cs="Arial" w:eastAsia="Arial" w:hAnsi="Arial"/>
                <w:sz w:val="14"/>
                <w:szCs w:val="14"/>
                <w:color w:val="00053B"/>
              </w:rPr>
              <w:t>—</w:t>
            </w:r>
          </w:p>
        </w:tc>
        <w:tc>
          <w:tcPr>
            <w:tcW w:w="980" w:type="dxa"/>
            <w:vAlign w:val="bottom"/>
          </w:tcPr>
          <w:p>
            <w:pPr>
              <w:jc w:val="center"/>
              <w:ind w:left="251"/>
              <w:spacing w:after="0"/>
              <w:rPr>
                <w:sz w:val="20"/>
                <w:szCs w:val="20"/>
                <w:color w:val="auto"/>
              </w:rPr>
            </w:pPr>
            <w:r>
              <w:rPr>
                <w:rFonts w:ascii="Arial" w:cs="Arial" w:eastAsia="Arial" w:hAnsi="Arial"/>
                <w:sz w:val="14"/>
                <w:szCs w:val="14"/>
                <w:color w:val="00053B"/>
                <w:w w:val="99"/>
              </w:rPr>
              <w:t>—</w:t>
            </w:r>
          </w:p>
        </w:tc>
        <w:tc>
          <w:tcPr>
            <w:tcW w:w="1220" w:type="dxa"/>
            <w:vAlign w:val="bottom"/>
          </w:tcPr>
          <w:p>
            <w:pPr>
              <w:jc w:val="right"/>
              <w:ind w:right="172"/>
              <w:spacing w:after="0"/>
              <w:rPr>
                <w:sz w:val="20"/>
                <w:szCs w:val="20"/>
                <w:color w:val="auto"/>
              </w:rPr>
            </w:pPr>
            <w:r>
              <w:rPr>
                <w:rFonts w:ascii="Arial" w:cs="Arial" w:eastAsia="Arial" w:hAnsi="Arial"/>
                <w:sz w:val="14"/>
                <w:szCs w:val="14"/>
                <w:color w:val="00053B"/>
              </w:rPr>
              <w:t>9,347</w:t>
            </w:r>
          </w:p>
        </w:tc>
        <w:tc>
          <w:tcPr>
            <w:tcW w:w="1220" w:type="dxa"/>
            <w:vAlign w:val="bottom"/>
          </w:tcPr>
          <w:p>
            <w:pPr>
              <w:jc w:val="right"/>
              <w:ind w:right="213"/>
              <w:spacing w:after="0"/>
              <w:rPr>
                <w:sz w:val="20"/>
                <w:szCs w:val="20"/>
                <w:color w:val="auto"/>
              </w:rPr>
            </w:pPr>
            <w:r>
              <w:rPr>
                <w:rFonts w:ascii="Arial" w:cs="Arial" w:eastAsia="Arial" w:hAnsi="Arial"/>
                <w:sz w:val="14"/>
                <w:szCs w:val="14"/>
                <w:color w:val="00053B"/>
              </w:rPr>
              <w:t>948,066</w:t>
            </w:r>
          </w:p>
        </w:tc>
        <w:tc>
          <w:tcPr>
            <w:tcW w:w="1420" w:type="dxa"/>
            <w:vAlign w:val="bottom"/>
          </w:tcPr>
          <w:p>
            <w:pPr>
              <w:jc w:val="right"/>
              <w:ind w:right="273"/>
              <w:spacing w:after="0"/>
              <w:rPr>
                <w:sz w:val="20"/>
                <w:szCs w:val="20"/>
                <w:color w:val="auto"/>
              </w:rPr>
            </w:pPr>
            <w:r>
              <w:rPr>
                <w:rFonts w:ascii="Arial" w:cs="Arial" w:eastAsia="Arial" w:hAnsi="Arial"/>
                <w:sz w:val="14"/>
                <w:szCs w:val="14"/>
                <w:color w:val="00053B"/>
              </w:rPr>
              <w:t>10,660</w:t>
            </w:r>
          </w:p>
        </w:tc>
        <w:tc>
          <w:tcPr>
            <w:tcW w:w="1200" w:type="dxa"/>
            <w:vAlign w:val="bottom"/>
          </w:tcPr>
          <w:p>
            <w:pPr>
              <w:jc w:val="right"/>
              <w:spacing w:after="0"/>
              <w:rPr>
                <w:sz w:val="20"/>
                <w:szCs w:val="20"/>
                <w:color w:val="auto"/>
              </w:rPr>
            </w:pPr>
            <w:r>
              <w:rPr>
                <w:rFonts w:ascii="Arial" w:cs="Arial" w:eastAsia="Arial" w:hAnsi="Arial"/>
                <w:sz w:val="14"/>
                <w:szCs w:val="14"/>
                <w:color w:val="00053B"/>
              </w:rPr>
              <w:t>1,081,244</w:t>
            </w:r>
          </w:p>
        </w:tc>
        <w:tc>
          <w:tcPr>
            <w:tcW w:w="0" w:type="dxa"/>
            <w:vAlign w:val="bottom"/>
          </w:tcPr>
          <w:p>
            <w:pPr>
              <w:spacing w:after="0"/>
              <w:rPr>
                <w:sz w:val="1"/>
                <w:szCs w:val="1"/>
                <w:color w:val="auto"/>
              </w:rPr>
            </w:pPr>
          </w:p>
        </w:tc>
      </w:tr>
      <w:tr>
        <w:trPr>
          <w:trHeight w:val="204"/>
        </w:trPr>
        <w:tc>
          <w:tcPr>
            <w:tcW w:w="1860" w:type="dxa"/>
            <w:vAlign w:val="bottom"/>
            <w:shd w:val="clear" w:color="auto" w:fill="EAEAEA"/>
          </w:tcPr>
          <w:p>
            <w:pPr>
              <w:ind w:left="120"/>
              <w:spacing w:after="0"/>
              <w:rPr>
                <w:sz w:val="20"/>
                <w:szCs w:val="20"/>
                <w:color w:val="auto"/>
              </w:rPr>
            </w:pPr>
            <w:r>
              <w:rPr>
                <w:rFonts w:ascii="Arial" w:cs="Arial" w:eastAsia="Arial" w:hAnsi="Arial"/>
                <w:sz w:val="14"/>
                <w:szCs w:val="14"/>
                <w:b w:val="1"/>
                <w:bCs w:val="1"/>
                <w:color w:val="00053B"/>
              </w:rPr>
              <w:t>Gary Merrill</w:t>
            </w:r>
          </w:p>
        </w:tc>
        <w:tc>
          <w:tcPr>
            <w:tcW w:w="1080" w:type="dxa"/>
            <w:vAlign w:val="bottom"/>
            <w:shd w:val="clear" w:color="auto" w:fill="EAEAEA"/>
          </w:tcPr>
          <w:p>
            <w:pPr>
              <w:jc w:val="right"/>
              <w:ind w:right="29"/>
              <w:spacing w:after="0"/>
              <w:rPr>
                <w:sz w:val="20"/>
                <w:szCs w:val="20"/>
                <w:color w:val="auto"/>
              </w:rPr>
            </w:pPr>
            <w:r>
              <w:rPr>
                <w:rFonts w:ascii="Arial" w:cs="Arial" w:eastAsia="Arial" w:hAnsi="Arial"/>
                <w:sz w:val="14"/>
                <w:szCs w:val="14"/>
                <w:color w:val="00053B"/>
              </w:rPr>
              <w:t>05/15/23</w:t>
            </w:r>
          </w:p>
        </w:tc>
        <w:tc>
          <w:tcPr>
            <w:tcW w:w="1340" w:type="dxa"/>
            <w:vAlign w:val="bottom"/>
            <w:shd w:val="clear" w:color="auto" w:fill="EAEAEA"/>
          </w:tcPr>
          <w:p>
            <w:pPr>
              <w:jc w:val="right"/>
              <w:ind w:right="173"/>
              <w:spacing w:after="0"/>
              <w:rPr>
                <w:sz w:val="20"/>
                <w:szCs w:val="20"/>
                <w:color w:val="auto"/>
              </w:rPr>
            </w:pPr>
            <w:r>
              <w:rPr>
                <w:rFonts w:ascii="Arial" w:cs="Arial" w:eastAsia="Arial" w:hAnsi="Arial"/>
                <w:sz w:val="14"/>
                <w:szCs w:val="14"/>
                <w:color w:val="00053B"/>
              </w:rPr>
              <w:t>—</w:t>
            </w:r>
          </w:p>
        </w:tc>
        <w:tc>
          <w:tcPr>
            <w:tcW w:w="880" w:type="dxa"/>
            <w:vAlign w:val="bottom"/>
            <w:shd w:val="clear" w:color="auto" w:fill="EAEAEA"/>
          </w:tcPr>
          <w:p>
            <w:pPr>
              <w:ind w:left="480"/>
              <w:spacing w:after="0"/>
              <w:rPr>
                <w:sz w:val="20"/>
                <w:szCs w:val="20"/>
                <w:color w:val="auto"/>
              </w:rPr>
            </w:pPr>
            <w:r>
              <w:rPr>
                <w:rFonts w:ascii="Arial" w:cs="Arial" w:eastAsia="Arial" w:hAnsi="Arial"/>
                <w:sz w:val="14"/>
                <w:szCs w:val="14"/>
                <w:color w:val="00053B"/>
              </w:rPr>
              <w:t>—</w:t>
            </w:r>
          </w:p>
        </w:tc>
        <w:tc>
          <w:tcPr>
            <w:tcW w:w="980" w:type="dxa"/>
            <w:vAlign w:val="bottom"/>
            <w:shd w:val="clear" w:color="auto" w:fill="EAEAEA"/>
          </w:tcPr>
          <w:p>
            <w:pPr>
              <w:jc w:val="center"/>
              <w:ind w:left="251"/>
              <w:spacing w:after="0"/>
              <w:rPr>
                <w:sz w:val="20"/>
                <w:szCs w:val="20"/>
                <w:color w:val="auto"/>
              </w:rPr>
            </w:pPr>
            <w:r>
              <w:rPr>
                <w:rFonts w:ascii="Arial" w:cs="Arial" w:eastAsia="Arial" w:hAnsi="Arial"/>
                <w:sz w:val="14"/>
                <w:szCs w:val="14"/>
                <w:color w:val="00053B"/>
                <w:w w:val="99"/>
              </w:rPr>
              <w:t>—</w:t>
            </w:r>
          </w:p>
        </w:tc>
        <w:tc>
          <w:tcPr>
            <w:tcW w:w="1220" w:type="dxa"/>
            <w:vAlign w:val="bottom"/>
            <w:shd w:val="clear" w:color="auto" w:fill="EAEAEA"/>
          </w:tcPr>
          <w:p>
            <w:pPr>
              <w:jc w:val="right"/>
              <w:ind w:right="172"/>
              <w:spacing w:after="0"/>
              <w:rPr>
                <w:sz w:val="20"/>
                <w:szCs w:val="20"/>
                <w:color w:val="auto"/>
              </w:rPr>
            </w:pPr>
            <w:r>
              <w:rPr>
                <w:rFonts w:ascii="Arial" w:cs="Arial" w:eastAsia="Arial" w:hAnsi="Arial"/>
                <w:sz w:val="14"/>
                <w:szCs w:val="14"/>
                <w:color w:val="00053B"/>
              </w:rPr>
              <w:t>39,527</w:t>
            </w:r>
          </w:p>
        </w:tc>
        <w:tc>
          <w:tcPr>
            <w:tcW w:w="1220" w:type="dxa"/>
            <w:vAlign w:val="bottom"/>
            <w:shd w:val="clear" w:color="auto" w:fill="EAEAEA"/>
          </w:tcPr>
          <w:p>
            <w:pPr>
              <w:jc w:val="right"/>
              <w:ind w:right="213"/>
              <w:spacing w:after="0"/>
              <w:rPr>
                <w:sz w:val="20"/>
                <w:szCs w:val="20"/>
                <w:color w:val="auto"/>
              </w:rPr>
            </w:pPr>
            <w:r>
              <w:rPr>
                <w:rFonts w:ascii="Arial" w:cs="Arial" w:eastAsia="Arial" w:hAnsi="Arial"/>
                <w:sz w:val="14"/>
                <w:szCs w:val="14"/>
                <w:color w:val="00053B"/>
              </w:rPr>
              <w:t>4,009,224</w:t>
            </w:r>
          </w:p>
        </w:tc>
        <w:tc>
          <w:tcPr>
            <w:tcW w:w="1420" w:type="dxa"/>
            <w:vAlign w:val="bottom"/>
            <w:shd w:val="clear" w:color="auto" w:fill="EAEAEA"/>
          </w:tcPr>
          <w:p>
            <w:pPr>
              <w:jc w:val="right"/>
              <w:ind w:right="273"/>
              <w:spacing w:after="0"/>
              <w:rPr>
                <w:sz w:val="20"/>
                <w:szCs w:val="20"/>
                <w:color w:val="auto"/>
              </w:rPr>
            </w:pPr>
            <w:r>
              <w:rPr>
                <w:rFonts w:ascii="Arial" w:cs="Arial" w:eastAsia="Arial" w:hAnsi="Arial"/>
                <w:sz w:val="14"/>
                <w:szCs w:val="14"/>
                <w:color w:val="00053B"/>
              </w:rPr>
              <w:t>12,834</w:t>
            </w:r>
          </w:p>
        </w:tc>
        <w:tc>
          <w:tcPr>
            <w:tcW w:w="1200" w:type="dxa"/>
            <w:vAlign w:val="bottom"/>
            <w:shd w:val="clear" w:color="auto" w:fill="EAEAEA"/>
          </w:tcPr>
          <w:p>
            <w:pPr>
              <w:jc w:val="right"/>
              <w:spacing w:after="0"/>
              <w:rPr>
                <w:sz w:val="20"/>
                <w:szCs w:val="20"/>
                <w:color w:val="auto"/>
              </w:rPr>
            </w:pPr>
            <w:r>
              <w:rPr>
                <w:rFonts w:ascii="Arial" w:cs="Arial" w:eastAsia="Arial" w:hAnsi="Arial"/>
                <w:sz w:val="14"/>
                <w:szCs w:val="14"/>
                <w:color w:val="00053B"/>
              </w:rPr>
              <w:t>1,301,753</w:t>
            </w:r>
          </w:p>
        </w:tc>
        <w:tc>
          <w:tcPr>
            <w:tcW w:w="0" w:type="dxa"/>
            <w:vAlign w:val="bottom"/>
          </w:tcPr>
          <w:p>
            <w:pPr>
              <w:spacing w:after="0"/>
              <w:rPr>
                <w:sz w:val="1"/>
                <w:szCs w:val="1"/>
                <w:color w:val="auto"/>
              </w:rPr>
            </w:pPr>
          </w:p>
        </w:tc>
      </w:tr>
      <w:tr>
        <w:trPr>
          <w:trHeight w:val="197"/>
        </w:trPr>
        <w:tc>
          <w:tcPr>
            <w:tcW w:w="1860" w:type="dxa"/>
            <w:vAlign w:val="bottom"/>
            <w:shd w:val="clear" w:color="auto" w:fill="EAEAEA"/>
          </w:tcPr>
          <w:p>
            <w:pPr>
              <w:spacing w:after="0"/>
              <w:rPr>
                <w:sz w:val="17"/>
                <w:szCs w:val="17"/>
                <w:color w:val="auto"/>
              </w:rPr>
            </w:pPr>
          </w:p>
        </w:tc>
        <w:tc>
          <w:tcPr>
            <w:tcW w:w="1080" w:type="dxa"/>
            <w:vAlign w:val="bottom"/>
            <w:shd w:val="clear" w:color="auto" w:fill="EAEAEA"/>
          </w:tcPr>
          <w:p>
            <w:pPr>
              <w:jc w:val="right"/>
              <w:ind w:right="29"/>
              <w:spacing w:after="0"/>
              <w:rPr>
                <w:sz w:val="20"/>
                <w:szCs w:val="20"/>
                <w:color w:val="auto"/>
              </w:rPr>
            </w:pPr>
            <w:r>
              <w:rPr>
                <w:rFonts w:ascii="Arial" w:cs="Arial" w:eastAsia="Arial" w:hAnsi="Arial"/>
                <w:sz w:val="14"/>
                <w:szCs w:val="14"/>
                <w:color w:val="00053B"/>
              </w:rPr>
              <w:t>05/16/22</w:t>
            </w:r>
          </w:p>
        </w:tc>
        <w:tc>
          <w:tcPr>
            <w:tcW w:w="1340" w:type="dxa"/>
            <w:vAlign w:val="bottom"/>
            <w:shd w:val="clear" w:color="auto" w:fill="EAEAEA"/>
          </w:tcPr>
          <w:p>
            <w:pPr>
              <w:jc w:val="right"/>
              <w:ind w:right="173"/>
              <w:spacing w:after="0"/>
              <w:rPr>
                <w:sz w:val="20"/>
                <w:szCs w:val="20"/>
                <w:color w:val="auto"/>
              </w:rPr>
            </w:pPr>
            <w:r>
              <w:rPr>
                <w:rFonts w:ascii="Arial" w:cs="Arial" w:eastAsia="Arial" w:hAnsi="Arial"/>
                <w:sz w:val="14"/>
                <w:szCs w:val="14"/>
                <w:color w:val="00053B"/>
              </w:rPr>
              <w:t>—</w:t>
            </w:r>
          </w:p>
        </w:tc>
        <w:tc>
          <w:tcPr>
            <w:tcW w:w="880" w:type="dxa"/>
            <w:vAlign w:val="bottom"/>
            <w:shd w:val="clear" w:color="auto" w:fill="EAEAEA"/>
          </w:tcPr>
          <w:p>
            <w:pPr>
              <w:ind w:left="480"/>
              <w:spacing w:after="0"/>
              <w:rPr>
                <w:sz w:val="20"/>
                <w:szCs w:val="20"/>
                <w:color w:val="auto"/>
              </w:rPr>
            </w:pPr>
            <w:r>
              <w:rPr>
                <w:rFonts w:ascii="Arial" w:cs="Arial" w:eastAsia="Arial" w:hAnsi="Arial"/>
                <w:sz w:val="14"/>
                <w:szCs w:val="14"/>
                <w:color w:val="00053B"/>
              </w:rPr>
              <w:t>—</w:t>
            </w:r>
          </w:p>
        </w:tc>
        <w:tc>
          <w:tcPr>
            <w:tcW w:w="980" w:type="dxa"/>
            <w:vAlign w:val="bottom"/>
            <w:shd w:val="clear" w:color="auto" w:fill="EAEAEA"/>
          </w:tcPr>
          <w:p>
            <w:pPr>
              <w:jc w:val="center"/>
              <w:ind w:left="251"/>
              <w:spacing w:after="0"/>
              <w:rPr>
                <w:sz w:val="20"/>
                <w:szCs w:val="20"/>
                <w:color w:val="auto"/>
              </w:rPr>
            </w:pPr>
            <w:r>
              <w:rPr>
                <w:rFonts w:ascii="Arial" w:cs="Arial" w:eastAsia="Arial" w:hAnsi="Arial"/>
                <w:sz w:val="14"/>
                <w:szCs w:val="14"/>
                <w:color w:val="00053B"/>
                <w:w w:val="99"/>
              </w:rPr>
              <w:t>—</w:t>
            </w:r>
          </w:p>
        </w:tc>
        <w:tc>
          <w:tcPr>
            <w:tcW w:w="1220" w:type="dxa"/>
            <w:vAlign w:val="bottom"/>
            <w:shd w:val="clear" w:color="auto" w:fill="EAEAEA"/>
          </w:tcPr>
          <w:p>
            <w:pPr>
              <w:jc w:val="right"/>
              <w:ind w:right="172"/>
              <w:spacing w:after="0"/>
              <w:rPr>
                <w:sz w:val="20"/>
                <w:szCs w:val="20"/>
                <w:color w:val="auto"/>
              </w:rPr>
            </w:pPr>
            <w:r>
              <w:rPr>
                <w:rFonts w:ascii="Arial" w:cs="Arial" w:eastAsia="Arial" w:hAnsi="Arial"/>
                <w:sz w:val="14"/>
                <w:szCs w:val="14"/>
                <w:color w:val="00053B"/>
              </w:rPr>
              <w:t>10,346</w:t>
            </w:r>
          </w:p>
        </w:tc>
        <w:tc>
          <w:tcPr>
            <w:tcW w:w="1220" w:type="dxa"/>
            <w:vAlign w:val="bottom"/>
            <w:shd w:val="clear" w:color="auto" w:fill="EAEAEA"/>
          </w:tcPr>
          <w:p>
            <w:pPr>
              <w:jc w:val="right"/>
              <w:ind w:right="213"/>
              <w:spacing w:after="0"/>
              <w:rPr>
                <w:sz w:val="20"/>
                <w:szCs w:val="20"/>
                <w:color w:val="auto"/>
              </w:rPr>
            </w:pPr>
            <w:r>
              <w:rPr>
                <w:rFonts w:ascii="Arial" w:cs="Arial" w:eastAsia="Arial" w:hAnsi="Arial"/>
                <w:sz w:val="14"/>
                <w:szCs w:val="14"/>
                <w:color w:val="00053B"/>
              </w:rPr>
              <w:t>1,049,395</w:t>
            </w:r>
          </w:p>
        </w:tc>
        <w:tc>
          <w:tcPr>
            <w:tcW w:w="1420" w:type="dxa"/>
            <w:vAlign w:val="bottom"/>
            <w:shd w:val="clear" w:color="auto" w:fill="EAEAEA"/>
          </w:tcPr>
          <w:p>
            <w:pPr>
              <w:jc w:val="right"/>
              <w:ind w:right="273"/>
              <w:spacing w:after="0"/>
              <w:rPr>
                <w:sz w:val="20"/>
                <w:szCs w:val="20"/>
                <w:color w:val="auto"/>
              </w:rPr>
            </w:pPr>
            <w:r>
              <w:rPr>
                <w:rFonts w:ascii="Arial" w:cs="Arial" w:eastAsia="Arial" w:hAnsi="Arial"/>
                <w:sz w:val="14"/>
                <w:szCs w:val="14"/>
                <w:color w:val="00053B"/>
              </w:rPr>
              <w:t>5,038</w:t>
            </w:r>
          </w:p>
        </w:tc>
        <w:tc>
          <w:tcPr>
            <w:tcW w:w="1200" w:type="dxa"/>
            <w:vAlign w:val="bottom"/>
            <w:shd w:val="clear" w:color="auto" w:fill="EAEAEA"/>
          </w:tcPr>
          <w:p>
            <w:pPr>
              <w:jc w:val="right"/>
              <w:spacing w:after="0"/>
              <w:rPr>
                <w:sz w:val="20"/>
                <w:szCs w:val="20"/>
                <w:color w:val="auto"/>
              </w:rPr>
            </w:pPr>
            <w:r>
              <w:rPr>
                <w:rFonts w:ascii="Arial" w:cs="Arial" w:eastAsia="Arial" w:hAnsi="Arial"/>
                <w:sz w:val="14"/>
                <w:szCs w:val="14"/>
                <w:color w:val="00053B"/>
              </w:rPr>
              <w:t>511,004</w:t>
            </w:r>
          </w:p>
        </w:tc>
        <w:tc>
          <w:tcPr>
            <w:tcW w:w="0" w:type="dxa"/>
            <w:vAlign w:val="bottom"/>
          </w:tcPr>
          <w:p>
            <w:pPr>
              <w:spacing w:after="0"/>
              <w:rPr>
                <w:sz w:val="1"/>
                <w:szCs w:val="1"/>
                <w:color w:val="auto"/>
              </w:rPr>
            </w:pPr>
          </w:p>
        </w:tc>
      </w:tr>
      <w:tr>
        <w:trPr>
          <w:trHeight w:val="211"/>
        </w:trPr>
        <w:tc>
          <w:tcPr>
            <w:tcW w:w="1860" w:type="dxa"/>
            <w:vAlign w:val="bottom"/>
            <w:shd w:val="clear" w:color="auto" w:fill="EAEAEA"/>
          </w:tcPr>
          <w:p>
            <w:pPr>
              <w:spacing w:after="0"/>
              <w:rPr>
                <w:sz w:val="18"/>
                <w:szCs w:val="18"/>
                <w:color w:val="auto"/>
              </w:rPr>
            </w:pPr>
          </w:p>
        </w:tc>
        <w:tc>
          <w:tcPr>
            <w:tcW w:w="1080" w:type="dxa"/>
            <w:vAlign w:val="bottom"/>
            <w:shd w:val="clear" w:color="auto" w:fill="EAEAEA"/>
          </w:tcPr>
          <w:p>
            <w:pPr>
              <w:jc w:val="right"/>
              <w:ind w:right="29"/>
              <w:spacing w:after="0"/>
              <w:rPr>
                <w:sz w:val="20"/>
                <w:szCs w:val="20"/>
                <w:color w:val="auto"/>
              </w:rPr>
            </w:pPr>
            <w:r>
              <w:rPr>
                <w:rFonts w:ascii="Arial" w:cs="Arial" w:eastAsia="Arial" w:hAnsi="Arial"/>
                <w:sz w:val="14"/>
                <w:szCs w:val="14"/>
                <w:color w:val="00053B"/>
              </w:rPr>
              <w:t>05/17/21</w:t>
            </w:r>
          </w:p>
        </w:tc>
        <w:tc>
          <w:tcPr>
            <w:tcW w:w="1340" w:type="dxa"/>
            <w:vAlign w:val="bottom"/>
            <w:shd w:val="clear" w:color="auto" w:fill="EAEAEA"/>
          </w:tcPr>
          <w:p>
            <w:pPr>
              <w:jc w:val="right"/>
              <w:ind w:right="173"/>
              <w:spacing w:after="0"/>
              <w:rPr>
                <w:sz w:val="20"/>
                <w:szCs w:val="20"/>
                <w:color w:val="auto"/>
              </w:rPr>
            </w:pPr>
            <w:r>
              <w:rPr>
                <w:rFonts w:ascii="Arial" w:cs="Arial" w:eastAsia="Arial" w:hAnsi="Arial"/>
                <w:sz w:val="14"/>
                <w:szCs w:val="14"/>
                <w:color w:val="00053B"/>
              </w:rPr>
              <w:t>—</w:t>
            </w:r>
          </w:p>
        </w:tc>
        <w:tc>
          <w:tcPr>
            <w:tcW w:w="880" w:type="dxa"/>
            <w:vAlign w:val="bottom"/>
            <w:shd w:val="clear" w:color="auto" w:fill="EAEAEA"/>
          </w:tcPr>
          <w:p>
            <w:pPr>
              <w:ind w:left="480"/>
              <w:spacing w:after="0"/>
              <w:rPr>
                <w:sz w:val="20"/>
                <w:szCs w:val="20"/>
                <w:color w:val="auto"/>
              </w:rPr>
            </w:pPr>
            <w:r>
              <w:rPr>
                <w:rFonts w:ascii="Arial" w:cs="Arial" w:eastAsia="Arial" w:hAnsi="Arial"/>
                <w:sz w:val="14"/>
                <w:szCs w:val="14"/>
                <w:color w:val="00053B"/>
              </w:rPr>
              <w:t>—</w:t>
            </w:r>
          </w:p>
        </w:tc>
        <w:tc>
          <w:tcPr>
            <w:tcW w:w="980" w:type="dxa"/>
            <w:vAlign w:val="bottom"/>
            <w:shd w:val="clear" w:color="auto" w:fill="EAEAEA"/>
          </w:tcPr>
          <w:p>
            <w:pPr>
              <w:jc w:val="center"/>
              <w:ind w:left="251"/>
              <w:spacing w:after="0"/>
              <w:rPr>
                <w:sz w:val="20"/>
                <w:szCs w:val="20"/>
                <w:color w:val="auto"/>
              </w:rPr>
            </w:pPr>
            <w:r>
              <w:rPr>
                <w:rFonts w:ascii="Arial" w:cs="Arial" w:eastAsia="Arial" w:hAnsi="Arial"/>
                <w:sz w:val="14"/>
                <w:szCs w:val="14"/>
                <w:color w:val="00053B"/>
                <w:w w:val="99"/>
              </w:rPr>
              <w:t>—</w:t>
            </w:r>
          </w:p>
        </w:tc>
        <w:tc>
          <w:tcPr>
            <w:tcW w:w="1220" w:type="dxa"/>
            <w:vAlign w:val="bottom"/>
            <w:shd w:val="clear" w:color="auto" w:fill="EAEAEA"/>
          </w:tcPr>
          <w:p>
            <w:pPr>
              <w:jc w:val="right"/>
              <w:ind w:right="172"/>
              <w:spacing w:after="0"/>
              <w:rPr>
                <w:sz w:val="20"/>
                <w:szCs w:val="20"/>
                <w:color w:val="auto"/>
              </w:rPr>
            </w:pPr>
            <w:r>
              <w:rPr>
                <w:rFonts w:ascii="Arial" w:cs="Arial" w:eastAsia="Arial" w:hAnsi="Arial"/>
                <w:sz w:val="14"/>
                <w:szCs w:val="14"/>
                <w:color w:val="00053B"/>
              </w:rPr>
              <w:t>1,099</w:t>
            </w:r>
          </w:p>
        </w:tc>
        <w:tc>
          <w:tcPr>
            <w:tcW w:w="1220" w:type="dxa"/>
            <w:vAlign w:val="bottom"/>
            <w:shd w:val="clear" w:color="auto" w:fill="EAEAEA"/>
          </w:tcPr>
          <w:p>
            <w:pPr>
              <w:jc w:val="right"/>
              <w:ind w:right="213"/>
              <w:spacing w:after="0"/>
              <w:rPr>
                <w:sz w:val="20"/>
                <w:szCs w:val="20"/>
                <w:color w:val="auto"/>
              </w:rPr>
            </w:pPr>
            <w:r>
              <w:rPr>
                <w:rFonts w:ascii="Arial" w:cs="Arial" w:eastAsia="Arial" w:hAnsi="Arial"/>
                <w:sz w:val="14"/>
                <w:szCs w:val="14"/>
                <w:color w:val="00053B"/>
              </w:rPr>
              <w:t>111,472</w:t>
            </w:r>
          </w:p>
        </w:tc>
        <w:tc>
          <w:tcPr>
            <w:tcW w:w="1420" w:type="dxa"/>
            <w:vAlign w:val="bottom"/>
            <w:shd w:val="clear" w:color="auto" w:fill="EAEAEA"/>
          </w:tcPr>
          <w:p>
            <w:pPr>
              <w:jc w:val="right"/>
              <w:ind w:right="273"/>
              <w:spacing w:after="0"/>
              <w:rPr>
                <w:sz w:val="20"/>
                <w:szCs w:val="20"/>
                <w:color w:val="auto"/>
              </w:rPr>
            </w:pPr>
            <w:r>
              <w:rPr>
                <w:rFonts w:ascii="Arial" w:cs="Arial" w:eastAsia="Arial" w:hAnsi="Arial"/>
                <w:sz w:val="14"/>
                <w:szCs w:val="14"/>
                <w:color w:val="00053B"/>
              </w:rPr>
              <w:t>1,254</w:t>
            </w:r>
          </w:p>
        </w:tc>
        <w:tc>
          <w:tcPr>
            <w:tcW w:w="1200" w:type="dxa"/>
            <w:vAlign w:val="bottom"/>
            <w:shd w:val="clear" w:color="auto" w:fill="EAEAEA"/>
          </w:tcPr>
          <w:p>
            <w:pPr>
              <w:jc w:val="right"/>
              <w:spacing w:after="0"/>
              <w:rPr>
                <w:sz w:val="20"/>
                <w:szCs w:val="20"/>
                <w:color w:val="auto"/>
              </w:rPr>
            </w:pPr>
            <w:r>
              <w:rPr>
                <w:rFonts w:ascii="Arial" w:cs="Arial" w:eastAsia="Arial" w:hAnsi="Arial"/>
                <w:sz w:val="14"/>
                <w:szCs w:val="14"/>
                <w:color w:val="00053B"/>
              </w:rPr>
              <w:t>127,193</w:t>
            </w:r>
          </w:p>
        </w:tc>
        <w:tc>
          <w:tcPr>
            <w:tcW w:w="0" w:type="dxa"/>
            <w:vAlign w:val="bottom"/>
          </w:tcPr>
          <w:p>
            <w:pPr>
              <w:spacing w:after="0"/>
              <w:rPr>
                <w:sz w:val="1"/>
                <w:szCs w:val="1"/>
                <w:color w:val="auto"/>
              </w:rPr>
            </w:pPr>
          </w:p>
        </w:tc>
      </w:tr>
      <w:tr>
        <w:trPr>
          <w:trHeight w:val="200"/>
        </w:trPr>
        <w:tc>
          <w:tcPr>
            <w:tcW w:w="1860" w:type="dxa"/>
            <w:vAlign w:val="bottom"/>
          </w:tcPr>
          <w:p>
            <w:pPr>
              <w:ind w:left="100"/>
              <w:spacing w:after="0"/>
              <w:rPr>
                <w:sz w:val="20"/>
                <w:szCs w:val="20"/>
                <w:color w:val="auto"/>
              </w:rPr>
            </w:pPr>
            <w:r>
              <w:rPr>
                <w:rFonts w:ascii="Arial" w:cs="Arial" w:eastAsia="Arial" w:hAnsi="Arial"/>
                <w:sz w:val="14"/>
                <w:szCs w:val="14"/>
                <w:b w:val="1"/>
                <w:bCs w:val="1"/>
                <w:color w:val="00053B"/>
              </w:rPr>
              <w:t>Riccardo Di Blasio(4)</w:t>
            </w:r>
          </w:p>
        </w:tc>
        <w:tc>
          <w:tcPr>
            <w:tcW w:w="1080" w:type="dxa"/>
            <w:vAlign w:val="bottom"/>
          </w:tcPr>
          <w:p>
            <w:pPr>
              <w:jc w:val="right"/>
              <w:ind w:right="49"/>
              <w:spacing w:after="0"/>
              <w:rPr>
                <w:sz w:val="20"/>
                <w:szCs w:val="20"/>
                <w:color w:val="auto"/>
              </w:rPr>
            </w:pPr>
            <w:r>
              <w:rPr>
                <w:rFonts w:ascii="Arial" w:cs="Arial" w:eastAsia="Arial" w:hAnsi="Arial"/>
                <w:sz w:val="14"/>
                <w:szCs w:val="14"/>
                <w:color w:val="00053B"/>
              </w:rPr>
              <w:t>—</w:t>
            </w:r>
          </w:p>
        </w:tc>
        <w:tc>
          <w:tcPr>
            <w:tcW w:w="1340" w:type="dxa"/>
            <w:vAlign w:val="bottom"/>
          </w:tcPr>
          <w:p>
            <w:pPr>
              <w:jc w:val="right"/>
              <w:ind w:right="173"/>
              <w:spacing w:after="0"/>
              <w:rPr>
                <w:sz w:val="20"/>
                <w:szCs w:val="20"/>
                <w:color w:val="auto"/>
              </w:rPr>
            </w:pPr>
            <w:r>
              <w:rPr>
                <w:rFonts w:ascii="Arial" w:cs="Arial" w:eastAsia="Arial" w:hAnsi="Arial"/>
                <w:sz w:val="14"/>
                <w:szCs w:val="14"/>
                <w:color w:val="00053B"/>
              </w:rPr>
              <w:t>—</w:t>
            </w:r>
          </w:p>
        </w:tc>
        <w:tc>
          <w:tcPr>
            <w:tcW w:w="880" w:type="dxa"/>
            <w:vAlign w:val="bottom"/>
          </w:tcPr>
          <w:p>
            <w:pPr>
              <w:ind w:left="480"/>
              <w:spacing w:after="0"/>
              <w:rPr>
                <w:sz w:val="20"/>
                <w:szCs w:val="20"/>
                <w:color w:val="auto"/>
              </w:rPr>
            </w:pPr>
            <w:r>
              <w:rPr>
                <w:rFonts w:ascii="Arial" w:cs="Arial" w:eastAsia="Arial" w:hAnsi="Arial"/>
                <w:sz w:val="14"/>
                <w:szCs w:val="14"/>
                <w:color w:val="00053B"/>
              </w:rPr>
              <w:t>—</w:t>
            </w:r>
          </w:p>
        </w:tc>
        <w:tc>
          <w:tcPr>
            <w:tcW w:w="980" w:type="dxa"/>
            <w:vAlign w:val="bottom"/>
          </w:tcPr>
          <w:p>
            <w:pPr>
              <w:jc w:val="center"/>
              <w:ind w:left="251"/>
              <w:spacing w:after="0"/>
              <w:rPr>
                <w:sz w:val="20"/>
                <w:szCs w:val="20"/>
                <w:color w:val="auto"/>
              </w:rPr>
            </w:pPr>
            <w:r>
              <w:rPr>
                <w:rFonts w:ascii="Arial" w:cs="Arial" w:eastAsia="Arial" w:hAnsi="Arial"/>
                <w:sz w:val="14"/>
                <w:szCs w:val="14"/>
                <w:color w:val="00053B"/>
                <w:w w:val="99"/>
              </w:rPr>
              <w:t>—</w:t>
            </w:r>
          </w:p>
        </w:tc>
        <w:tc>
          <w:tcPr>
            <w:tcW w:w="1220" w:type="dxa"/>
            <w:vAlign w:val="bottom"/>
          </w:tcPr>
          <w:p>
            <w:pPr>
              <w:jc w:val="right"/>
              <w:ind w:right="172"/>
              <w:spacing w:after="0"/>
              <w:rPr>
                <w:sz w:val="20"/>
                <w:szCs w:val="20"/>
                <w:color w:val="auto"/>
              </w:rPr>
            </w:pPr>
            <w:r>
              <w:rPr>
                <w:rFonts w:ascii="Arial" w:cs="Arial" w:eastAsia="Arial" w:hAnsi="Arial"/>
                <w:sz w:val="14"/>
                <w:szCs w:val="14"/>
                <w:color w:val="00053B"/>
              </w:rPr>
              <w:t>—</w:t>
            </w:r>
          </w:p>
        </w:tc>
        <w:tc>
          <w:tcPr>
            <w:tcW w:w="1220" w:type="dxa"/>
            <w:vAlign w:val="bottom"/>
          </w:tcPr>
          <w:p>
            <w:pPr>
              <w:jc w:val="right"/>
              <w:ind w:right="213"/>
              <w:spacing w:after="0"/>
              <w:rPr>
                <w:sz w:val="20"/>
                <w:szCs w:val="20"/>
                <w:color w:val="auto"/>
              </w:rPr>
            </w:pPr>
            <w:r>
              <w:rPr>
                <w:rFonts w:ascii="Arial" w:cs="Arial" w:eastAsia="Arial" w:hAnsi="Arial"/>
                <w:sz w:val="14"/>
                <w:szCs w:val="14"/>
                <w:color w:val="00053B"/>
              </w:rPr>
              <w:t>—</w:t>
            </w:r>
          </w:p>
        </w:tc>
        <w:tc>
          <w:tcPr>
            <w:tcW w:w="1420" w:type="dxa"/>
            <w:vAlign w:val="bottom"/>
          </w:tcPr>
          <w:p>
            <w:pPr>
              <w:jc w:val="right"/>
              <w:ind w:right="273"/>
              <w:spacing w:after="0"/>
              <w:rPr>
                <w:sz w:val="20"/>
                <w:szCs w:val="20"/>
                <w:color w:val="auto"/>
              </w:rPr>
            </w:pPr>
            <w:r>
              <w:rPr>
                <w:rFonts w:ascii="Arial" w:cs="Arial" w:eastAsia="Arial" w:hAnsi="Arial"/>
                <w:sz w:val="14"/>
                <w:szCs w:val="14"/>
                <w:color w:val="00053B"/>
              </w:rPr>
              <w:t>—</w:t>
            </w:r>
          </w:p>
        </w:tc>
        <w:tc>
          <w:tcPr>
            <w:tcW w:w="1200" w:type="dxa"/>
            <w:vAlign w:val="bottom"/>
          </w:tcPr>
          <w:p>
            <w:pPr>
              <w:jc w:val="right"/>
              <w:spacing w:after="0"/>
              <w:rPr>
                <w:sz w:val="20"/>
                <w:szCs w:val="20"/>
                <w:color w:val="auto"/>
              </w:rPr>
            </w:pPr>
            <w:r>
              <w:rPr>
                <w:rFonts w:ascii="Arial" w:cs="Arial" w:eastAsia="Arial" w:hAnsi="Arial"/>
                <w:sz w:val="14"/>
                <w:szCs w:val="14"/>
                <w:color w:val="00053B"/>
              </w:rPr>
              <w:t>—</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340" w:right="100" w:hanging="332"/>
        <w:spacing w:after="0" w:line="254" w:lineRule="auto"/>
        <w:tabs>
          <w:tab w:leader="none" w:pos="255" w:val="left"/>
        </w:tabs>
        <w:numPr>
          <w:ilvl w:val="0"/>
          <w:numId w:val="41"/>
        </w:numPr>
        <w:rPr>
          <w:rFonts w:ascii="Arial" w:cs="Arial" w:eastAsia="Arial" w:hAnsi="Arial"/>
          <w:sz w:val="13"/>
          <w:szCs w:val="13"/>
          <w:color w:val="00053B"/>
        </w:rPr>
      </w:pPr>
      <w:r>
        <w:rPr>
          <w:rFonts w:ascii="Arial" w:cs="Arial" w:eastAsia="Arial" w:hAnsi="Arial"/>
          <w:sz w:val="13"/>
          <w:szCs w:val="13"/>
          <w:color w:val="00053B"/>
        </w:rPr>
        <w:t>Unless otherwise indicated, all restricted stock unit awards granted to our named executive officers vest over three years, with 33.3% vesting on the first anniversary of the grant date and 8.375% vesting quarterly thereafter, subject, in each case, to continued employment or service through the applicable vesting date. Financial performance awards follow the same vesting schedule, but at their respective achievement rates. Relative TSR-based awards vest equally on an annual basis over three years, subject to continued employment or service through the applicable vesting date. The vesting commencement date for all restricted stock unit awards and performance stock unit awards is the grant date.</w:t>
      </w:r>
    </w:p>
    <w:p>
      <w:pPr>
        <w:spacing w:after="0" w:line="28" w:lineRule="exact"/>
        <w:rPr>
          <w:rFonts w:ascii="Arial" w:cs="Arial" w:eastAsia="Arial" w:hAnsi="Arial"/>
          <w:sz w:val="13"/>
          <w:szCs w:val="13"/>
          <w:color w:val="00053B"/>
        </w:rPr>
      </w:pPr>
    </w:p>
    <w:p>
      <w:pPr>
        <w:ind w:left="340" w:right="40" w:hanging="332"/>
        <w:spacing w:after="0" w:line="276" w:lineRule="auto"/>
        <w:tabs>
          <w:tab w:leader="none" w:pos="252" w:val="left"/>
        </w:tabs>
        <w:numPr>
          <w:ilvl w:val="0"/>
          <w:numId w:val="41"/>
        </w:numPr>
        <w:rPr>
          <w:rFonts w:ascii="Arial" w:cs="Arial" w:eastAsia="Arial" w:hAnsi="Arial"/>
          <w:sz w:val="12"/>
          <w:szCs w:val="12"/>
          <w:color w:val="00053B"/>
        </w:rPr>
      </w:pPr>
      <w:r>
        <w:rPr>
          <w:rFonts w:ascii="Arial" w:cs="Arial" w:eastAsia="Arial" w:hAnsi="Arial"/>
          <w:sz w:val="12"/>
          <w:szCs w:val="12"/>
          <w:color w:val="00053B"/>
        </w:rPr>
        <w:t>Time-based awards include time-vesting restricted stock unit awards and financial performance stock unit awards at the rate achieved for the respective fiscal year. The May 2021 financial performance stock unit awards achieved at 150%, the May 2022 financial performance stock unit awards achieved at 128%, and the May 2023 financial performance stock unit awards achieved at 108%. The value is computed based on the number of achieved unvested shares multiplied by the closing market price of our common stock at the end of fiscal 2024. The actual value (if any) to be realized by the named executive officer depends on whether the shares vest and the future performance of our common stock. On March 31, 2024, the closing price of our common stock was $101.43 per share. See “Long-Term Equity Incentive Awards” in section “Fiscal 2024 Compensation Decisions” for more information on the plan and the related performance objectives.</w:t>
      </w:r>
    </w:p>
    <w:p>
      <w:pPr>
        <w:spacing w:after="0" w:line="16" w:lineRule="exact"/>
        <w:rPr>
          <w:rFonts w:ascii="Arial" w:cs="Arial" w:eastAsia="Arial" w:hAnsi="Arial"/>
          <w:sz w:val="12"/>
          <w:szCs w:val="12"/>
          <w:color w:val="00053B"/>
        </w:rPr>
      </w:pPr>
    </w:p>
    <w:p>
      <w:pPr>
        <w:ind w:left="340" w:hanging="332"/>
        <w:spacing w:after="0" w:line="250" w:lineRule="auto"/>
        <w:tabs>
          <w:tab w:leader="none" w:pos="255" w:val="left"/>
        </w:tabs>
        <w:numPr>
          <w:ilvl w:val="0"/>
          <w:numId w:val="41"/>
        </w:numPr>
        <w:rPr>
          <w:rFonts w:ascii="Arial" w:cs="Arial" w:eastAsia="Arial" w:hAnsi="Arial"/>
          <w:sz w:val="13"/>
          <w:szCs w:val="13"/>
          <w:color w:val="00053B"/>
        </w:rPr>
      </w:pPr>
      <w:r>
        <w:rPr>
          <w:rFonts w:ascii="Arial" w:cs="Arial" w:eastAsia="Arial" w:hAnsi="Arial"/>
          <w:sz w:val="13"/>
          <w:szCs w:val="13"/>
          <w:color w:val="00053B"/>
        </w:rPr>
        <w:t>Performance-based awards include Relative TSR performance stock unit awards at the March 31, 2024 payout rate based on Commvault’s TSR measured relative to the components of the Russell 3000 Index. The May 2021, May 2022 and May 2023 awards are calculated at an estimated 100% payout (target). The value is computed based on the number of achieved unvested shares multiplied by the closing market price of our common stock at the end of fiscal 2024. The actual value (if any) to be realized by the named executive officer depends on whether the shares vest and the future performance of our common stock. On March 31, 2024, the closing price of our common stock was $101.43 per share. See “Long-Term Equity Incentive Awards” in section “Fiscal 2024 Compensation Decisions” for more information on the plan and the related performance objectives.</w:t>
      </w:r>
    </w:p>
    <w:p>
      <w:pPr>
        <w:spacing w:after="0" w:line="31" w:lineRule="exact"/>
        <w:rPr>
          <w:rFonts w:ascii="Arial" w:cs="Arial" w:eastAsia="Arial" w:hAnsi="Arial"/>
          <w:sz w:val="13"/>
          <w:szCs w:val="13"/>
          <w:color w:val="00053B"/>
        </w:rPr>
      </w:pPr>
    </w:p>
    <w:p>
      <w:pPr>
        <w:ind w:left="260" w:hanging="252"/>
        <w:spacing w:after="0"/>
        <w:tabs>
          <w:tab w:leader="none" w:pos="260" w:val="left"/>
        </w:tabs>
        <w:numPr>
          <w:ilvl w:val="0"/>
          <w:numId w:val="41"/>
        </w:numPr>
        <w:rPr>
          <w:rFonts w:ascii="Arial" w:cs="Arial" w:eastAsia="Arial" w:hAnsi="Arial"/>
          <w:sz w:val="13"/>
          <w:szCs w:val="13"/>
          <w:color w:val="00053B"/>
        </w:rPr>
      </w:pPr>
      <w:r>
        <w:rPr>
          <w:rFonts w:ascii="Arial" w:cs="Arial" w:eastAsia="Arial" w:hAnsi="Arial"/>
          <w:sz w:val="13"/>
          <w:szCs w:val="13"/>
          <w:color w:val="00053B"/>
        </w:rPr>
        <w:t>In connection with Mr. Di Blasio’s resignation effective January 12, 2024, all unvested shares as of that date were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43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15175" cy="1028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COMPENSATION TABLES | </w:t>
      </w:r>
      <w:r>
        <w:rPr>
          <w:rFonts w:ascii="Arial" w:cs="Arial" w:eastAsia="Arial" w:hAnsi="Arial"/>
          <w:sz w:val="11"/>
          <w:szCs w:val="11"/>
          <w:b w:val="1"/>
          <w:bCs w:val="1"/>
          <w:color w:val="00053B"/>
        </w:rPr>
        <w:t>FISCAL 2024 STOCK VESTED TABLE</w:t>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Fiscal 2024 Stock Vested Table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00053B"/>
        </w:rPr>
        <w:t>The following table sets forth information on the number and value of restricted stock units vested during fiscal 2024 for our named executive officers.</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200" w:type="dxa"/>
            <w:vAlign w:val="bottom"/>
          </w:tcPr>
          <w:p>
            <w:pPr>
              <w:spacing w:after="0"/>
              <w:rPr>
                <w:sz w:val="16"/>
                <w:szCs w:val="16"/>
                <w:color w:val="auto"/>
              </w:rPr>
            </w:pPr>
          </w:p>
        </w:tc>
        <w:tc>
          <w:tcPr>
            <w:tcW w:w="2640" w:type="dxa"/>
            <w:vAlign w:val="bottom"/>
          </w:tcPr>
          <w:p>
            <w:pPr>
              <w:jc w:val="right"/>
              <w:ind w:right="144"/>
              <w:spacing w:after="0"/>
              <w:rPr>
                <w:sz w:val="20"/>
                <w:szCs w:val="20"/>
                <w:color w:val="auto"/>
              </w:rPr>
            </w:pPr>
            <w:r>
              <w:rPr>
                <w:rFonts w:ascii="Arial" w:cs="Arial" w:eastAsia="Arial" w:hAnsi="Arial"/>
                <w:sz w:val="14"/>
                <w:szCs w:val="14"/>
                <w:color w:val="00053B"/>
              </w:rPr>
              <w:t>Stock Awards</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2640" w:type="dxa"/>
            <w:vAlign w:val="bottom"/>
            <w:tcBorders>
              <w:bottom w:val="single" w:sz="8" w:color="844896"/>
            </w:tcBorders>
          </w:tcPr>
          <w:p>
            <w:pPr>
              <w:spacing w:after="0" w:line="20" w:lineRule="exact"/>
              <w:rPr>
                <w:sz w:val="1"/>
                <w:szCs w:val="1"/>
                <w:color w:val="auto"/>
              </w:rPr>
            </w:pPr>
          </w:p>
        </w:tc>
        <w:tc>
          <w:tcPr>
            <w:tcW w:w="1320" w:type="dxa"/>
            <w:vAlign w:val="bottom"/>
            <w:tcBorders>
              <w:bottom w:val="single" w:sz="8" w:color="84489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7200" w:type="dxa"/>
            <w:vAlign w:val="bottom"/>
            <w:vMerge w:val="restart"/>
          </w:tcPr>
          <w:p>
            <w:pPr>
              <w:ind w:left="140"/>
              <w:spacing w:after="0"/>
              <w:rPr>
                <w:sz w:val="20"/>
                <w:szCs w:val="20"/>
                <w:color w:val="auto"/>
              </w:rPr>
            </w:pPr>
            <w:r>
              <w:rPr>
                <w:rFonts w:ascii="Arial" w:cs="Arial" w:eastAsia="Arial" w:hAnsi="Arial"/>
                <w:sz w:val="14"/>
                <w:szCs w:val="14"/>
                <w:color w:val="00053B"/>
              </w:rPr>
              <w:t>Name</w:t>
            </w:r>
          </w:p>
        </w:tc>
        <w:tc>
          <w:tcPr>
            <w:tcW w:w="2640" w:type="dxa"/>
            <w:vAlign w:val="bottom"/>
          </w:tcPr>
          <w:p>
            <w:pPr>
              <w:jc w:val="right"/>
              <w:ind w:right="604"/>
              <w:spacing w:after="0" w:line="147" w:lineRule="exact"/>
              <w:rPr>
                <w:sz w:val="20"/>
                <w:szCs w:val="20"/>
                <w:color w:val="auto"/>
              </w:rPr>
            </w:pPr>
            <w:r>
              <w:rPr>
                <w:rFonts w:ascii="Arial" w:cs="Arial" w:eastAsia="Arial" w:hAnsi="Arial"/>
                <w:sz w:val="14"/>
                <w:szCs w:val="14"/>
                <w:color w:val="00053B"/>
              </w:rPr>
              <w:t>Number of Shares</w:t>
            </w:r>
          </w:p>
        </w:tc>
        <w:tc>
          <w:tcPr>
            <w:tcW w:w="1320" w:type="dxa"/>
            <w:vAlign w:val="bottom"/>
          </w:tcPr>
          <w:p>
            <w:pPr>
              <w:jc w:val="right"/>
              <w:spacing w:after="0" w:line="147" w:lineRule="exact"/>
              <w:rPr>
                <w:sz w:val="20"/>
                <w:szCs w:val="20"/>
                <w:color w:val="auto"/>
              </w:rPr>
            </w:pPr>
            <w:r>
              <w:rPr>
                <w:rFonts w:ascii="Arial" w:cs="Arial" w:eastAsia="Arial" w:hAnsi="Arial"/>
                <w:sz w:val="14"/>
                <w:szCs w:val="14"/>
                <w:color w:val="00053B"/>
              </w:rPr>
              <w:t>Value Realized</w:t>
            </w:r>
          </w:p>
        </w:tc>
        <w:tc>
          <w:tcPr>
            <w:tcW w:w="0" w:type="dxa"/>
            <w:vAlign w:val="bottom"/>
          </w:tcPr>
          <w:p>
            <w:pPr>
              <w:spacing w:after="0"/>
              <w:rPr>
                <w:sz w:val="1"/>
                <w:szCs w:val="1"/>
                <w:color w:val="auto"/>
              </w:rPr>
            </w:pPr>
          </w:p>
        </w:tc>
      </w:tr>
      <w:tr>
        <w:trPr>
          <w:trHeight w:val="190"/>
        </w:trPr>
        <w:tc>
          <w:tcPr>
            <w:tcW w:w="7200" w:type="dxa"/>
            <w:vAlign w:val="bottom"/>
            <w:vMerge w:val="continue"/>
          </w:tcPr>
          <w:p>
            <w:pPr>
              <w:spacing w:after="0"/>
              <w:rPr>
                <w:sz w:val="16"/>
                <w:szCs w:val="16"/>
                <w:color w:val="auto"/>
              </w:rPr>
            </w:pPr>
          </w:p>
        </w:tc>
        <w:tc>
          <w:tcPr>
            <w:tcW w:w="2640" w:type="dxa"/>
            <w:vAlign w:val="bottom"/>
          </w:tcPr>
          <w:p>
            <w:pPr>
              <w:jc w:val="right"/>
              <w:ind w:right="604"/>
              <w:spacing w:after="0"/>
              <w:rPr>
                <w:sz w:val="20"/>
                <w:szCs w:val="20"/>
                <w:color w:val="auto"/>
              </w:rPr>
            </w:pPr>
            <w:r>
              <w:rPr>
                <w:rFonts w:ascii="Arial" w:cs="Arial" w:eastAsia="Arial" w:hAnsi="Arial"/>
                <w:sz w:val="14"/>
                <w:szCs w:val="14"/>
                <w:color w:val="00053B"/>
              </w:rPr>
              <w:t>Acquired on Vesting(#)</w:t>
            </w:r>
          </w:p>
        </w:tc>
        <w:tc>
          <w:tcPr>
            <w:tcW w:w="1320" w:type="dxa"/>
            <w:vAlign w:val="bottom"/>
          </w:tcPr>
          <w:p>
            <w:pPr>
              <w:jc w:val="right"/>
              <w:spacing w:after="0"/>
              <w:rPr>
                <w:sz w:val="20"/>
                <w:szCs w:val="20"/>
                <w:color w:val="auto"/>
              </w:rPr>
            </w:pPr>
            <w:r>
              <w:rPr>
                <w:rFonts w:ascii="Arial" w:cs="Arial" w:eastAsia="Arial" w:hAnsi="Arial"/>
                <w:sz w:val="14"/>
                <w:szCs w:val="14"/>
                <w:color w:val="00053B"/>
              </w:rPr>
              <w:t>On Vesting($)(1)</w:t>
            </w:r>
          </w:p>
        </w:tc>
        <w:tc>
          <w:tcPr>
            <w:tcW w:w="0" w:type="dxa"/>
            <w:vAlign w:val="bottom"/>
          </w:tcPr>
          <w:p>
            <w:pPr>
              <w:spacing w:after="0"/>
              <w:rPr>
                <w:sz w:val="1"/>
                <w:szCs w:val="1"/>
                <w:color w:val="auto"/>
              </w:rPr>
            </w:pPr>
          </w:p>
        </w:tc>
      </w:tr>
      <w:tr>
        <w:trPr>
          <w:trHeight w:val="22"/>
        </w:trPr>
        <w:tc>
          <w:tcPr>
            <w:tcW w:w="7200" w:type="dxa"/>
            <w:vAlign w:val="bottom"/>
            <w:tcBorders>
              <w:bottom w:val="single" w:sz="8" w:color="844896"/>
            </w:tcBorders>
          </w:tcPr>
          <w:p>
            <w:pPr>
              <w:spacing w:after="0" w:line="20" w:lineRule="exact"/>
              <w:rPr>
                <w:sz w:val="1"/>
                <w:szCs w:val="1"/>
                <w:color w:val="auto"/>
              </w:rPr>
            </w:pPr>
          </w:p>
        </w:tc>
        <w:tc>
          <w:tcPr>
            <w:tcW w:w="2640" w:type="dxa"/>
            <w:vAlign w:val="bottom"/>
            <w:tcBorders>
              <w:bottom w:val="single" w:sz="8" w:color="844896"/>
            </w:tcBorders>
          </w:tcPr>
          <w:p>
            <w:pPr>
              <w:spacing w:after="0" w:line="20" w:lineRule="exact"/>
              <w:rPr>
                <w:sz w:val="1"/>
                <w:szCs w:val="1"/>
                <w:color w:val="auto"/>
              </w:rPr>
            </w:pPr>
          </w:p>
        </w:tc>
        <w:tc>
          <w:tcPr>
            <w:tcW w:w="1320" w:type="dxa"/>
            <w:vAlign w:val="bottom"/>
            <w:tcBorders>
              <w:bottom w:val="single" w:sz="8" w:color="84489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200" w:type="dxa"/>
            <w:vAlign w:val="bottom"/>
          </w:tcPr>
          <w:p>
            <w:pPr>
              <w:ind w:left="120"/>
              <w:spacing w:after="0"/>
              <w:rPr>
                <w:sz w:val="20"/>
                <w:szCs w:val="20"/>
                <w:color w:val="auto"/>
              </w:rPr>
            </w:pPr>
            <w:r>
              <w:rPr>
                <w:rFonts w:ascii="Arial" w:cs="Arial" w:eastAsia="Arial" w:hAnsi="Arial"/>
                <w:sz w:val="16"/>
                <w:szCs w:val="16"/>
                <w:b w:val="1"/>
                <w:bCs w:val="1"/>
                <w:color w:val="00053B"/>
              </w:rPr>
              <w:t>Sanjay Mirchandani</w:t>
            </w:r>
          </w:p>
        </w:tc>
        <w:tc>
          <w:tcPr>
            <w:tcW w:w="2640" w:type="dxa"/>
            <w:vAlign w:val="bottom"/>
          </w:tcPr>
          <w:p>
            <w:pPr>
              <w:jc w:val="right"/>
              <w:ind w:right="684"/>
              <w:spacing w:after="0"/>
              <w:rPr>
                <w:sz w:val="20"/>
                <w:szCs w:val="20"/>
                <w:color w:val="auto"/>
              </w:rPr>
            </w:pPr>
            <w:r>
              <w:rPr>
                <w:rFonts w:ascii="Arial" w:cs="Arial" w:eastAsia="Arial" w:hAnsi="Arial"/>
                <w:sz w:val="16"/>
                <w:szCs w:val="16"/>
                <w:color w:val="00053B"/>
              </w:rPr>
              <w:t>176,615</w:t>
            </w:r>
          </w:p>
        </w:tc>
        <w:tc>
          <w:tcPr>
            <w:tcW w:w="1320" w:type="dxa"/>
            <w:vAlign w:val="bottom"/>
          </w:tcPr>
          <w:p>
            <w:pPr>
              <w:jc w:val="right"/>
              <w:ind w:right="23"/>
              <w:spacing w:after="0"/>
              <w:rPr>
                <w:sz w:val="20"/>
                <w:szCs w:val="20"/>
                <w:color w:val="auto"/>
              </w:rPr>
            </w:pPr>
            <w:r>
              <w:rPr>
                <w:rFonts w:ascii="Arial" w:cs="Arial" w:eastAsia="Arial" w:hAnsi="Arial"/>
                <w:sz w:val="16"/>
                <w:szCs w:val="16"/>
                <w:color w:val="00053B"/>
              </w:rPr>
              <w:t>12,235,135</w:t>
            </w:r>
          </w:p>
        </w:tc>
        <w:tc>
          <w:tcPr>
            <w:tcW w:w="0" w:type="dxa"/>
            <w:vAlign w:val="bottom"/>
          </w:tcPr>
          <w:p>
            <w:pPr>
              <w:spacing w:after="0"/>
              <w:rPr>
                <w:sz w:val="1"/>
                <w:szCs w:val="1"/>
                <w:color w:val="auto"/>
              </w:rPr>
            </w:pPr>
          </w:p>
        </w:tc>
      </w:tr>
      <w:tr>
        <w:trPr>
          <w:trHeight w:val="216"/>
        </w:trPr>
        <w:tc>
          <w:tcPr>
            <w:tcW w:w="7200" w:type="dxa"/>
            <w:vAlign w:val="bottom"/>
            <w:shd w:val="clear" w:color="auto" w:fill="EAEAEA"/>
          </w:tcPr>
          <w:p>
            <w:pPr>
              <w:ind w:left="120"/>
              <w:spacing w:after="0"/>
              <w:rPr>
                <w:sz w:val="20"/>
                <w:szCs w:val="20"/>
                <w:color w:val="auto"/>
              </w:rPr>
            </w:pPr>
            <w:r>
              <w:rPr>
                <w:rFonts w:ascii="Arial" w:cs="Arial" w:eastAsia="Arial" w:hAnsi="Arial"/>
                <w:sz w:val="16"/>
                <w:szCs w:val="16"/>
                <w:b w:val="1"/>
                <w:bCs w:val="1"/>
                <w:color w:val="00053B"/>
              </w:rPr>
              <w:t>Gary Merrill</w:t>
            </w:r>
          </w:p>
        </w:tc>
        <w:tc>
          <w:tcPr>
            <w:tcW w:w="2640" w:type="dxa"/>
            <w:vAlign w:val="bottom"/>
            <w:shd w:val="clear" w:color="auto" w:fill="EAEAEA"/>
          </w:tcPr>
          <w:p>
            <w:pPr>
              <w:jc w:val="right"/>
              <w:ind w:right="684"/>
              <w:spacing w:after="0"/>
              <w:rPr>
                <w:sz w:val="20"/>
                <w:szCs w:val="20"/>
                <w:color w:val="auto"/>
              </w:rPr>
            </w:pPr>
            <w:r>
              <w:rPr>
                <w:rFonts w:ascii="Arial" w:cs="Arial" w:eastAsia="Arial" w:hAnsi="Arial"/>
                <w:sz w:val="16"/>
                <w:szCs w:val="16"/>
                <w:color w:val="00053B"/>
              </w:rPr>
              <w:t>27,476</w:t>
            </w:r>
          </w:p>
        </w:tc>
        <w:tc>
          <w:tcPr>
            <w:tcW w:w="1320" w:type="dxa"/>
            <w:vAlign w:val="bottom"/>
            <w:shd w:val="clear" w:color="auto" w:fill="EAEAEA"/>
          </w:tcPr>
          <w:p>
            <w:pPr>
              <w:jc w:val="right"/>
              <w:ind w:right="23"/>
              <w:spacing w:after="0"/>
              <w:rPr>
                <w:sz w:val="20"/>
                <w:szCs w:val="20"/>
                <w:color w:val="auto"/>
              </w:rPr>
            </w:pPr>
            <w:r>
              <w:rPr>
                <w:rFonts w:ascii="Arial" w:cs="Arial" w:eastAsia="Arial" w:hAnsi="Arial"/>
                <w:sz w:val="16"/>
                <w:szCs w:val="16"/>
                <w:color w:val="00053B"/>
              </w:rPr>
              <w:t>1,898,828</w:t>
            </w:r>
          </w:p>
        </w:tc>
        <w:tc>
          <w:tcPr>
            <w:tcW w:w="0" w:type="dxa"/>
            <w:vAlign w:val="bottom"/>
          </w:tcPr>
          <w:p>
            <w:pPr>
              <w:spacing w:after="0"/>
              <w:rPr>
                <w:sz w:val="1"/>
                <w:szCs w:val="1"/>
                <w:color w:val="auto"/>
              </w:rPr>
            </w:pPr>
          </w:p>
        </w:tc>
      </w:tr>
      <w:tr>
        <w:trPr>
          <w:trHeight w:val="223"/>
        </w:trPr>
        <w:tc>
          <w:tcPr>
            <w:tcW w:w="7200" w:type="dxa"/>
            <w:vAlign w:val="bottom"/>
          </w:tcPr>
          <w:p>
            <w:pPr>
              <w:ind w:left="120"/>
              <w:spacing w:after="0"/>
              <w:rPr>
                <w:sz w:val="20"/>
                <w:szCs w:val="20"/>
                <w:color w:val="auto"/>
              </w:rPr>
            </w:pPr>
            <w:r>
              <w:rPr>
                <w:rFonts w:ascii="Arial" w:cs="Arial" w:eastAsia="Arial" w:hAnsi="Arial"/>
                <w:sz w:val="16"/>
                <w:szCs w:val="16"/>
                <w:b w:val="1"/>
                <w:bCs w:val="1"/>
                <w:color w:val="00053B"/>
              </w:rPr>
              <w:t>Riccardo Di Blasio(2)</w:t>
            </w:r>
          </w:p>
        </w:tc>
        <w:tc>
          <w:tcPr>
            <w:tcW w:w="2640" w:type="dxa"/>
            <w:vAlign w:val="bottom"/>
          </w:tcPr>
          <w:p>
            <w:pPr>
              <w:jc w:val="right"/>
              <w:ind w:right="684"/>
              <w:spacing w:after="0"/>
              <w:rPr>
                <w:sz w:val="20"/>
                <w:szCs w:val="20"/>
                <w:color w:val="auto"/>
              </w:rPr>
            </w:pPr>
            <w:r>
              <w:rPr>
                <w:rFonts w:ascii="Arial" w:cs="Arial" w:eastAsia="Arial" w:hAnsi="Arial"/>
                <w:sz w:val="16"/>
                <w:szCs w:val="16"/>
                <w:color w:val="00053B"/>
              </w:rPr>
              <w:t>45,200</w:t>
            </w:r>
          </w:p>
        </w:tc>
        <w:tc>
          <w:tcPr>
            <w:tcW w:w="1320" w:type="dxa"/>
            <w:vAlign w:val="bottom"/>
          </w:tcPr>
          <w:p>
            <w:pPr>
              <w:jc w:val="right"/>
              <w:ind w:right="23"/>
              <w:spacing w:after="0"/>
              <w:rPr>
                <w:sz w:val="20"/>
                <w:szCs w:val="20"/>
                <w:color w:val="auto"/>
              </w:rPr>
            </w:pPr>
            <w:r>
              <w:rPr>
                <w:rFonts w:ascii="Arial" w:cs="Arial" w:eastAsia="Arial" w:hAnsi="Arial"/>
                <w:sz w:val="16"/>
                <w:szCs w:val="16"/>
                <w:color w:val="00053B"/>
              </w:rPr>
              <w:t>2,986,198</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340" w:right="300" w:hanging="332"/>
        <w:spacing w:after="0" w:line="264" w:lineRule="auto"/>
        <w:tabs>
          <w:tab w:leader="none" w:pos="252" w:val="left"/>
        </w:tabs>
        <w:numPr>
          <w:ilvl w:val="0"/>
          <w:numId w:val="42"/>
        </w:numPr>
        <w:rPr>
          <w:rFonts w:ascii="Arial" w:cs="Arial" w:eastAsia="Arial" w:hAnsi="Arial"/>
          <w:sz w:val="13"/>
          <w:szCs w:val="13"/>
          <w:color w:val="00053B"/>
        </w:rPr>
      </w:pPr>
      <w:r>
        <w:rPr>
          <w:rFonts w:ascii="Arial" w:cs="Arial" w:eastAsia="Arial" w:hAnsi="Arial"/>
          <w:sz w:val="13"/>
          <w:szCs w:val="13"/>
          <w:color w:val="00053B"/>
        </w:rPr>
        <w:t>The value realized on the vesting of the restricted stock unit awards and performance stock unit awards is based on the market price of our common stock on the vesting date. See “Long-Term Equity Incentive Awards” in section “Fiscal 2024 Compensation Decisions” for more information on the plan and the related performance objectives.</w:t>
      </w:r>
    </w:p>
    <w:p>
      <w:pPr>
        <w:spacing w:after="0" w:line="22" w:lineRule="exact"/>
        <w:rPr>
          <w:rFonts w:ascii="Arial" w:cs="Arial" w:eastAsia="Arial" w:hAnsi="Arial"/>
          <w:sz w:val="13"/>
          <w:szCs w:val="13"/>
          <w:color w:val="00053B"/>
        </w:rPr>
      </w:pPr>
    </w:p>
    <w:p>
      <w:pPr>
        <w:ind w:left="260" w:hanging="252"/>
        <w:spacing w:after="0"/>
        <w:tabs>
          <w:tab w:leader="none" w:pos="260" w:val="left"/>
        </w:tabs>
        <w:numPr>
          <w:ilvl w:val="0"/>
          <w:numId w:val="42"/>
        </w:numPr>
        <w:rPr>
          <w:rFonts w:ascii="Arial" w:cs="Arial" w:eastAsia="Arial" w:hAnsi="Arial"/>
          <w:sz w:val="13"/>
          <w:szCs w:val="13"/>
          <w:color w:val="00053B"/>
        </w:rPr>
      </w:pPr>
      <w:r>
        <w:rPr>
          <w:rFonts w:ascii="Arial" w:cs="Arial" w:eastAsia="Arial" w:hAnsi="Arial"/>
          <w:sz w:val="13"/>
          <w:szCs w:val="13"/>
          <w:color w:val="00053B"/>
        </w:rPr>
        <w:t>In connection with Mr. Di Blasio’s resignation effective January 12, 2024, all unvested shares as of that date were forfeited.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Pension Benefits and Deferred Compensation</w:t>
      </w:r>
    </w:p>
    <w:p>
      <w:pPr>
        <w:spacing w:after="0" w:line="8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00053B"/>
        </w:rPr>
        <w:t>None of our named executive officers during fiscal 2024 participated in or had account balances in qualified or non-qualified defined benefit plans sponsored by Commvault or in non-qualified defined contribution plans maintained by Commvault.</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Individual Agreements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00053B"/>
        </w:rPr>
        <w:t>The following table summarizes the individual agreements between Commvault and the named executive officers.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280" w:type="dxa"/>
            <w:vAlign w:val="bottom"/>
            <w:tcBorders>
              <w:bottom w:val="single" w:sz="8" w:color="844896"/>
            </w:tcBorders>
          </w:tcPr>
          <w:p>
            <w:pPr>
              <w:spacing w:after="0"/>
              <w:rPr>
                <w:sz w:val="18"/>
                <w:szCs w:val="18"/>
                <w:color w:val="auto"/>
              </w:rPr>
            </w:pPr>
          </w:p>
        </w:tc>
        <w:tc>
          <w:tcPr>
            <w:tcW w:w="2880" w:type="dxa"/>
            <w:vAlign w:val="bottom"/>
            <w:tcBorders>
              <w:bottom w:val="single" w:sz="8" w:color="844896"/>
            </w:tcBorders>
          </w:tcPr>
          <w:p>
            <w:pPr>
              <w:ind w:left="100"/>
              <w:spacing w:after="0"/>
              <w:rPr>
                <w:sz w:val="20"/>
                <w:szCs w:val="20"/>
                <w:color w:val="auto"/>
              </w:rPr>
            </w:pPr>
            <w:r>
              <w:rPr>
                <w:rFonts w:ascii="Arial" w:cs="Arial" w:eastAsia="Arial" w:hAnsi="Arial"/>
                <w:sz w:val="16"/>
                <w:szCs w:val="16"/>
                <w:color w:val="00053B"/>
              </w:rPr>
              <w:t>Sanjay Mirchandani</w:t>
            </w:r>
          </w:p>
        </w:tc>
        <w:tc>
          <w:tcPr>
            <w:tcW w:w="100" w:type="dxa"/>
            <w:vAlign w:val="bottom"/>
            <w:tcBorders>
              <w:bottom w:val="single" w:sz="8" w:color="844896"/>
            </w:tcBorders>
          </w:tcPr>
          <w:p>
            <w:pPr>
              <w:spacing w:after="0"/>
              <w:rPr>
                <w:sz w:val="18"/>
                <w:szCs w:val="18"/>
                <w:color w:val="auto"/>
              </w:rPr>
            </w:pPr>
          </w:p>
        </w:tc>
        <w:tc>
          <w:tcPr>
            <w:tcW w:w="2700" w:type="dxa"/>
            <w:vAlign w:val="bottom"/>
            <w:tcBorders>
              <w:bottom w:val="single" w:sz="8" w:color="844896"/>
            </w:tcBorders>
          </w:tcPr>
          <w:p>
            <w:pPr>
              <w:ind w:left="20"/>
              <w:spacing w:after="0"/>
              <w:rPr>
                <w:sz w:val="20"/>
                <w:szCs w:val="20"/>
                <w:color w:val="auto"/>
              </w:rPr>
            </w:pPr>
            <w:r>
              <w:rPr>
                <w:rFonts w:ascii="Arial" w:cs="Arial" w:eastAsia="Arial" w:hAnsi="Arial"/>
                <w:sz w:val="16"/>
                <w:szCs w:val="16"/>
                <w:color w:val="00053B"/>
              </w:rPr>
              <w:t>Gary Merrill</w:t>
            </w:r>
          </w:p>
        </w:tc>
        <w:tc>
          <w:tcPr>
            <w:tcW w:w="200" w:type="dxa"/>
            <w:vAlign w:val="bottom"/>
            <w:tcBorders>
              <w:bottom w:val="single" w:sz="8" w:color="844896"/>
            </w:tcBorders>
          </w:tcPr>
          <w:p>
            <w:pPr>
              <w:spacing w:after="0"/>
              <w:rPr>
                <w:sz w:val="18"/>
                <w:szCs w:val="18"/>
                <w:color w:val="auto"/>
              </w:rPr>
            </w:pPr>
          </w:p>
        </w:tc>
        <w:tc>
          <w:tcPr>
            <w:tcW w:w="2800" w:type="dxa"/>
            <w:vAlign w:val="bottom"/>
            <w:tcBorders>
              <w:bottom w:val="single" w:sz="8" w:color="844896"/>
            </w:tcBorders>
          </w:tcPr>
          <w:p>
            <w:pPr>
              <w:spacing w:after="0"/>
              <w:rPr>
                <w:sz w:val="20"/>
                <w:szCs w:val="20"/>
                <w:color w:val="auto"/>
              </w:rPr>
            </w:pPr>
            <w:r>
              <w:rPr>
                <w:rFonts w:ascii="Arial" w:cs="Arial" w:eastAsia="Arial" w:hAnsi="Arial"/>
                <w:sz w:val="16"/>
                <w:szCs w:val="16"/>
                <w:color w:val="00053B"/>
              </w:rPr>
              <w:t>Riccardo Di Blasio</w:t>
            </w:r>
          </w:p>
        </w:tc>
        <w:tc>
          <w:tcPr>
            <w:tcW w:w="0" w:type="dxa"/>
            <w:vAlign w:val="bottom"/>
          </w:tcPr>
          <w:p>
            <w:pPr>
              <w:spacing w:after="0"/>
              <w:rPr>
                <w:sz w:val="1"/>
                <w:szCs w:val="1"/>
                <w:color w:val="auto"/>
              </w:rPr>
            </w:pPr>
          </w:p>
        </w:tc>
      </w:tr>
      <w:tr>
        <w:trPr>
          <w:trHeight w:val="170"/>
        </w:trPr>
        <w:tc>
          <w:tcPr>
            <w:tcW w:w="2280" w:type="dxa"/>
            <w:vAlign w:val="bottom"/>
          </w:tcPr>
          <w:p>
            <w:pPr>
              <w:ind w:left="120"/>
              <w:spacing w:after="0" w:line="170" w:lineRule="exact"/>
              <w:rPr>
                <w:sz w:val="20"/>
                <w:szCs w:val="20"/>
                <w:color w:val="auto"/>
              </w:rPr>
            </w:pPr>
            <w:r>
              <w:rPr>
                <w:rFonts w:ascii="Arial" w:cs="Arial" w:eastAsia="Arial" w:hAnsi="Arial"/>
                <w:sz w:val="16"/>
                <w:szCs w:val="16"/>
                <w:b w:val="1"/>
                <w:bCs w:val="1"/>
                <w:color w:val="00053B"/>
              </w:rPr>
              <w:t>Compensation</w:t>
            </w:r>
          </w:p>
        </w:tc>
        <w:tc>
          <w:tcPr>
            <w:tcW w:w="2880" w:type="dxa"/>
            <w:vAlign w:val="bottom"/>
          </w:tcPr>
          <w:p>
            <w:pPr>
              <w:ind w:left="20"/>
              <w:spacing w:after="0" w:line="170" w:lineRule="exact"/>
              <w:rPr>
                <w:sz w:val="20"/>
                <w:szCs w:val="20"/>
                <w:color w:val="auto"/>
              </w:rPr>
            </w:pPr>
            <w:r>
              <w:rPr>
                <w:rFonts w:ascii="Arial" w:cs="Arial" w:eastAsia="Arial" w:hAnsi="Arial"/>
                <w:sz w:val="16"/>
                <w:szCs w:val="16"/>
                <w:color w:val="00053B"/>
              </w:rPr>
              <w:t>•  annual base salary subject to</w:t>
            </w:r>
          </w:p>
        </w:tc>
        <w:tc>
          <w:tcPr>
            <w:tcW w:w="100" w:type="dxa"/>
            <w:vAlign w:val="bottom"/>
          </w:tcPr>
          <w:p>
            <w:pPr>
              <w:ind w:left="40"/>
              <w:spacing w:after="0" w:line="170" w:lineRule="exact"/>
              <w:rPr>
                <w:sz w:val="20"/>
                <w:szCs w:val="20"/>
                <w:color w:val="auto"/>
              </w:rPr>
            </w:pPr>
            <w:r>
              <w:rPr>
                <w:rFonts w:ascii="Arial" w:cs="Arial" w:eastAsia="Arial" w:hAnsi="Arial"/>
                <w:sz w:val="16"/>
                <w:szCs w:val="16"/>
                <w:color w:val="00053B"/>
                <w:w w:val="70"/>
              </w:rPr>
              <w:t>•</w:t>
            </w:r>
          </w:p>
        </w:tc>
        <w:tc>
          <w:tcPr>
            <w:tcW w:w="2700" w:type="dxa"/>
            <w:vAlign w:val="bottom"/>
          </w:tcPr>
          <w:p>
            <w:pPr>
              <w:ind w:left="160"/>
              <w:spacing w:after="0" w:line="170" w:lineRule="exact"/>
              <w:rPr>
                <w:sz w:val="20"/>
                <w:szCs w:val="20"/>
                <w:color w:val="auto"/>
              </w:rPr>
            </w:pPr>
            <w:r>
              <w:rPr>
                <w:rFonts w:ascii="Arial" w:cs="Arial" w:eastAsia="Arial" w:hAnsi="Arial"/>
                <w:sz w:val="16"/>
                <w:szCs w:val="16"/>
                <w:color w:val="00053B"/>
              </w:rPr>
              <w:t>annual base salary</w:t>
            </w:r>
          </w:p>
        </w:tc>
        <w:tc>
          <w:tcPr>
            <w:tcW w:w="200" w:type="dxa"/>
            <w:vAlign w:val="bottom"/>
          </w:tcPr>
          <w:p>
            <w:pPr>
              <w:ind w:left="120"/>
              <w:spacing w:after="0" w:line="170" w:lineRule="exact"/>
              <w:rPr>
                <w:sz w:val="20"/>
                <w:szCs w:val="20"/>
                <w:color w:val="auto"/>
              </w:rPr>
            </w:pPr>
            <w:r>
              <w:rPr>
                <w:rFonts w:ascii="Arial" w:cs="Arial" w:eastAsia="Arial" w:hAnsi="Arial"/>
                <w:sz w:val="16"/>
                <w:szCs w:val="16"/>
                <w:color w:val="00053B"/>
              </w:rPr>
              <w:t>•</w:t>
            </w:r>
          </w:p>
        </w:tc>
        <w:tc>
          <w:tcPr>
            <w:tcW w:w="2800" w:type="dxa"/>
            <w:vAlign w:val="bottom"/>
          </w:tcPr>
          <w:p>
            <w:pPr>
              <w:ind w:left="160"/>
              <w:spacing w:after="0" w:line="170" w:lineRule="exact"/>
              <w:rPr>
                <w:sz w:val="20"/>
                <w:szCs w:val="20"/>
                <w:color w:val="auto"/>
              </w:rPr>
            </w:pPr>
            <w:r>
              <w:rPr>
                <w:rFonts w:ascii="Arial" w:cs="Arial" w:eastAsia="Arial" w:hAnsi="Arial"/>
                <w:sz w:val="16"/>
                <w:szCs w:val="16"/>
                <w:color w:val="00053B"/>
              </w:rPr>
              <w:t>annual base salary</w:t>
            </w:r>
          </w:p>
        </w:tc>
        <w:tc>
          <w:tcPr>
            <w:tcW w:w="0" w:type="dxa"/>
            <w:vAlign w:val="bottom"/>
          </w:tcPr>
          <w:p>
            <w:pPr>
              <w:spacing w:after="0"/>
              <w:rPr>
                <w:sz w:val="1"/>
                <w:szCs w:val="1"/>
                <w:color w:val="auto"/>
              </w:rPr>
            </w:pPr>
          </w:p>
        </w:tc>
      </w:tr>
      <w:tr>
        <w:trPr>
          <w:trHeight w:val="229"/>
        </w:trPr>
        <w:tc>
          <w:tcPr>
            <w:tcW w:w="2280" w:type="dxa"/>
            <w:vAlign w:val="bottom"/>
          </w:tcPr>
          <w:p>
            <w:pPr>
              <w:ind w:left="120"/>
              <w:spacing w:after="0"/>
              <w:rPr>
                <w:sz w:val="20"/>
                <w:szCs w:val="20"/>
                <w:color w:val="auto"/>
              </w:rPr>
            </w:pPr>
            <w:r>
              <w:rPr>
                <w:rFonts w:ascii="Arial" w:cs="Arial" w:eastAsia="Arial" w:hAnsi="Arial"/>
                <w:sz w:val="16"/>
                <w:szCs w:val="16"/>
                <w:b w:val="1"/>
                <w:bCs w:val="1"/>
                <w:color w:val="00053B"/>
              </w:rPr>
              <w:t>arrangements</w:t>
            </w:r>
          </w:p>
        </w:tc>
        <w:tc>
          <w:tcPr>
            <w:tcW w:w="2880" w:type="dxa"/>
            <w:vAlign w:val="bottom"/>
          </w:tcPr>
          <w:p>
            <w:pPr>
              <w:ind w:left="260"/>
              <w:spacing w:after="0"/>
              <w:rPr>
                <w:sz w:val="20"/>
                <w:szCs w:val="20"/>
                <w:color w:val="auto"/>
              </w:rPr>
            </w:pPr>
            <w:r>
              <w:rPr>
                <w:rFonts w:ascii="Arial" w:cs="Arial" w:eastAsia="Arial" w:hAnsi="Arial"/>
                <w:sz w:val="16"/>
                <w:szCs w:val="16"/>
                <w:color w:val="00053B"/>
              </w:rPr>
              <w:t>annual review by our Board of</w:t>
            </w:r>
          </w:p>
        </w:tc>
        <w:tc>
          <w:tcPr>
            <w:tcW w:w="100" w:type="dxa"/>
            <w:vAlign w:val="bottom"/>
            <w:vMerge w:val="restart"/>
          </w:tcPr>
          <w:p>
            <w:pPr>
              <w:ind w:left="40"/>
              <w:spacing w:after="0"/>
              <w:rPr>
                <w:sz w:val="20"/>
                <w:szCs w:val="20"/>
                <w:color w:val="auto"/>
              </w:rPr>
            </w:pPr>
            <w:r>
              <w:rPr>
                <w:rFonts w:ascii="Arial" w:cs="Arial" w:eastAsia="Arial" w:hAnsi="Arial"/>
                <w:sz w:val="16"/>
                <w:szCs w:val="16"/>
                <w:color w:val="00053B"/>
                <w:w w:val="70"/>
              </w:rPr>
              <w:t>•</w:t>
            </w:r>
          </w:p>
        </w:tc>
        <w:tc>
          <w:tcPr>
            <w:tcW w:w="2700" w:type="dxa"/>
            <w:vAlign w:val="bottom"/>
            <w:vMerge w:val="restart"/>
          </w:tcPr>
          <w:p>
            <w:pPr>
              <w:ind w:left="160"/>
              <w:spacing w:after="0"/>
              <w:rPr>
                <w:sz w:val="20"/>
                <w:szCs w:val="20"/>
                <w:color w:val="auto"/>
              </w:rPr>
            </w:pPr>
            <w:r>
              <w:rPr>
                <w:rFonts w:ascii="Arial" w:cs="Arial" w:eastAsia="Arial" w:hAnsi="Arial"/>
                <w:sz w:val="16"/>
                <w:szCs w:val="16"/>
                <w:color w:val="00053B"/>
              </w:rPr>
              <w:t>eligible for an annual cash bonus</w:t>
            </w:r>
          </w:p>
        </w:tc>
        <w:tc>
          <w:tcPr>
            <w:tcW w:w="200" w:type="dxa"/>
            <w:vAlign w:val="bottom"/>
            <w:vMerge w:val="restart"/>
          </w:tcPr>
          <w:p>
            <w:pPr>
              <w:ind w:left="120"/>
              <w:spacing w:after="0"/>
              <w:rPr>
                <w:sz w:val="20"/>
                <w:szCs w:val="20"/>
                <w:color w:val="auto"/>
              </w:rPr>
            </w:pPr>
            <w:r>
              <w:rPr>
                <w:rFonts w:ascii="Arial" w:cs="Arial" w:eastAsia="Arial" w:hAnsi="Arial"/>
                <w:sz w:val="16"/>
                <w:szCs w:val="16"/>
                <w:color w:val="00053B"/>
              </w:rPr>
              <w:t>•</w:t>
            </w:r>
          </w:p>
        </w:tc>
        <w:tc>
          <w:tcPr>
            <w:tcW w:w="2800" w:type="dxa"/>
            <w:vAlign w:val="bottom"/>
            <w:vMerge w:val="restart"/>
          </w:tcPr>
          <w:p>
            <w:pPr>
              <w:ind w:left="160"/>
              <w:spacing w:after="0"/>
              <w:rPr>
                <w:sz w:val="20"/>
                <w:szCs w:val="20"/>
                <w:color w:val="auto"/>
              </w:rPr>
            </w:pPr>
            <w:r>
              <w:rPr>
                <w:rFonts w:ascii="Arial" w:cs="Arial" w:eastAsia="Arial" w:hAnsi="Arial"/>
                <w:sz w:val="16"/>
                <w:szCs w:val="16"/>
                <w:color w:val="00053B"/>
              </w:rPr>
              <w:t>eligible to participate in a sales</w:t>
            </w:r>
          </w:p>
        </w:tc>
        <w:tc>
          <w:tcPr>
            <w:tcW w:w="0" w:type="dxa"/>
            <w:vAlign w:val="bottom"/>
          </w:tcPr>
          <w:p>
            <w:pPr>
              <w:spacing w:after="0"/>
              <w:rPr>
                <w:sz w:val="1"/>
                <w:szCs w:val="1"/>
                <w:color w:val="auto"/>
              </w:rPr>
            </w:pPr>
          </w:p>
        </w:tc>
      </w:tr>
      <w:tr>
        <w:trPr>
          <w:trHeight w:val="54"/>
        </w:trPr>
        <w:tc>
          <w:tcPr>
            <w:tcW w:w="2280" w:type="dxa"/>
            <w:vAlign w:val="bottom"/>
          </w:tcPr>
          <w:p>
            <w:pPr>
              <w:spacing w:after="0"/>
              <w:rPr>
                <w:sz w:val="4"/>
                <w:szCs w:val="4"/>
                <w:color w:val="auto"/>
              </w:rPr>
            </w:pPr>
          </w:p>
        </w:tc>
        <w:tc>
          <w:tcPr>
            <w:tcW w:w="2880" w:type="dxa"/>
            <w:vAlign w:val="bottom"/>
            <w:vMerge w:val="restart"/>
          </w:tcPr>
          <w:p>
            <w:pPr>
              <w:ind w:left="260"/>
              <w:spacing w:after="0"/>
              <w:rPr>
                <w:sz w:val="20"/>
                <w:szCs w:val="20"/>
                <w:color w:val="auto"/>
              </w:rPr>
            </w:pPr>
            <w:r>
              <w:rPr>
                <w:rFonts w:ascii="Arial" w:cs="Arial" w:eastAsia="Arial" w:hAnsi="Arial"/>
                <w:sz w:val="16"/>
                <w:szCs w:val="16"/>
                <w:color w:val="00053B"/>
              </w:rPr>
              <w:t>Directors</w:t>
            </w:r>
          </w:p>
        </w:tc>
        <w:tc>
          <w:tcPr>
            <w:tcW w:w="100" w:type="dxa"/>
            <w:vAlign w:val="bottom"/>
            <w:vMerge w:val="continue"/>
          </w:tcPr>
          <w:p>
            <w:pPr>
              <w:spacing w:after="0"/>
              <w:rPr>
                <w:sz w:val="4"/>
                <w:szCs w:val="4"/>
                <w:color w:val="auto"/>
              </w:rPr>
            </w:pPr>
          </w:p>
        </w:tc>
        <w:tc>
          <w:tcPr>
            <w:tcW w:w="270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2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280" w:type="dxa"/>
            <w:vAlign w:val="bottom"/>
          </w:tcPr>
          <w:p>
            <w:pPr>
              <w:spacing w:after="0"/>
              <w:rPr>
                <w:sz w:val="13"/>
                <w:szCs w:val="13"/>
                <w:color w:val="auto"/>
              </w:rPr>
            </w:pPr>
          </w:p>
        </w:tc>
        <w:tc>
          <w:tcPr>
            <w:tcW w:w="2880" w:type="dxa"/>
            <w:vAlign w:val="bottom"/>
            <w:vMerge w:val="continue"/>
          </w:tcPr>
          <w:p>
            <w:pPr>
              <w:spacing w:after="0"/>
              <w:rPr>
                <w:sz w:val="13"/>
                <w:szCs w:val="13"/>
                <w:color w:val="auto"/>
              </w:rPr>
            </w:pPr>
          </w:p>
        </w:tc>
        <w:tc>
          <w:tcPr>
            <w:tcW w:w="2800" w:type="dxa"/>
            <w:vAlign w:val="bottom"/>
            <w:gridSpan w:val="2"/>
            <w:vMerge w:val="restart"/>
          </w:tcPr>
          <w:p>
            <w:pPr>
              <w:ind w:left="40"/>
              <w:spacing w:after="0"/>
              <w:rPr>
                <w:sz w:val="20"/>
                <w:szCs w:val="20"/>
                <w:color w:val="auto"/>
              </w:rPr>
            </w:pPr>
            <w:r>
              <w:rPr>
                <w:rFonts w:ascii="Arial" w:cs="Arial" w:eastAsia="Arial" w:hAnsi="Arial"/>
                <w:sz w:val="16"/>
                <w:szCs w:val="16"/>
                <w:color w:val="00053B"/>
              </w:rPr>
              <w:t>•  entitled to participate in the</w:t>
            </w:r>
          </w:p>
        </w:tc>
        <w:tc>
          <w:tcPr>
            <w:tcW w:w="200" w:type="dxa"/>
            <w:vAlign w:val="bottom"/>
          </w:tcPr>
          <w:p>
            <w:pPr>
              <w:spacing w:after="0"/>
              <w:rPr>
                <w:sz w:val="13"/>
                <w:szCs w:val="13"/>
                <w:color w:val="auto"/>
              </w:rPr>
            </w:pPr>
          </w:p>
        </w:tc>
        <w:tc>
          <w:tcPr>
            <w:tcW w:w="2800" w:type="dxa"/>
            <w:vAlign w:val="bottom"/>
            <w:vMerge w:val="restart"/>
          </w:tcPr>
          <w:p>
            <w:pPr>
              <w:ind w:left="160"/>
              <w:spacing w:after="0"/>
              <w:rPr>
                <w:sz w:val="20"/>
                <w:szCs w:val="20"/>
                <w:color w:val="auto"/>
              </w:rPr>
            </w:pPr>
            <w:r>
              <w:rPr>
                <w:rFonts w:ascii="Arial" w:cs="Arial" w:eastAsia="Arial" w:hAnsi="Arial"/>
                <w:sz w:val="16"/>
                <w:szCs w:val="16"/>
                <w:color w:val="00053B"/>
              </w:rPr>
              <w:t>incentive compensation plan that</w:t>
            </w:r>
          </w:p>
        </w:tc>
        <w:tc>
          <w:tcPr>
            <w:tcW w:w="0" w:type="dxa"/>
            <w:vAlign w:val="bottom"/>
          </w:tcPr>
          <w:p>
            <w:pPr>
              <w:spacing w:after="0"/>
              <w:rPr>
                <w:sz w:val="1"/>
                <w:szCs w:val="1"/>
                <w:color w:val="auto"/>
              </w:rPr>
            </w:pPr>
          </w:p>
        </w:tc>
      </w:tr>
      <w:tr>
        <w:trPr>
          <w:trHeight w:val="28"/>
        </w:trPr>
        <w:tc>
          <w:tcPr>
            <w:tcW w:w="2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8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2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4"/>
        </w:trPr>
        <w:tc>
          <w:tcPr>
            <w:tcW w:w="2280" w:type="dxa"/>
            <w:vAlign w:val="bottom"/>
          </w:tcPr>
          <w:p>
            <w:pPr>
              <w:spacing w:after="0"/>
              <w:rPr>
                <w:sz w:val="4"/>
                <w:szCs w:val="4"/>
                <w:color w:val="auto"/>
              </w:rPr>
            </w:pPr>
          </w:p>
        </w:tc>
        <w:tc>
          <w:tcPr>
            <w:tcW w:w="2880" w:type="dxa"/>
            <w:vAlign w:val="bottom"/>
            <w:vMerge w:val="restart"/>
          </w:tcPr>
          <w:p>
            <w:pPr>
              <w:ind w:left="20"/>
              <w:spacing w:after="0"/>
              <w:rPr>
                <w:sz w:val="20"/>
                <w:szCs w:val="20"/>
                <w:color w:val="auto"/>
              </w:rPr>
            </w:pPr>
            <w:r>
              <w:rPr>
                <w:rFonts w:ascii="Arial" w:cs="Arial" w:eastAsia="Arial" w:hAnsi="Arial"/>
                <w:sz w:val="16"/>
                <w:szCs w:val="16"/>
                <w:color w:val="00053B"/>
              </w:rPr>
              <w:t>•  eligible for an annual cash bonus</w:t>
            </w:r>
          </w:p>
        </w:tc>
        <w:tc>
          <w:tcPr>
            <w:tcW w:w="28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0" w:type="dxa"/>
            <w:vAlign w:val="bottom"/>
            <w:vMerge w:val="restart"/>
          </w:tcPr>
          <w:p>
            <w:pPr>
              <w:ind w:left="160"/>
              <w:spacing w:after="0"/>
              <w:rPr>
                <w:sz w:val="20"/>
                <w:szCs w:val="20"/>
                <w:color w:val="auto"/>
              </w:rPr>
            </w:pPr>
            <w:r>
              <w:rPr>
                <w:rFonts w:ascii="Arial" w:cs="Arial" w:eastAsia="Arial" w:hAnsi="Arial"/>
                <w:sz w:val="16"/>
                <w:szCs w:val="16"/>
                <w:color w:val="00053B"/>
              </w:rPr>
              <w:t>provides a cash bonus opportunity</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ind w:left="180"/>
              <w:spacing w:after="0"/>
              <w:rPr>
                <w:sz w:val="20"/>
                <w:szCs w:val="20"/>
                <w:color w:val="auto"/>
              </w:rPr>
            </w:pPr>
            <w:r>
              <w:rPr>
                <w:rFonts w:ascii="Arial" w:cs="Arial" w:eastAsia="Arial" w:hAnsi="Arial"/>
                <w:sz w:val="16"/>
                <w:szCs w:val="16"/>
                <w:color w:val="00053B"/>
              </w:rPr>
              <w:t>employee benefits plans in which</w:t>
            </w:r>
          </w:p>
        </w:tc>
        <w:tc>
          <w:tcPr>
            <w:tcW w:w="200" w:type="dxa"/>
            <w:vAlign w:val="bottom"/>
          </w:tcPr>
          <w:p>
            <w:pPr>
              <w:spacing w:after="0"/>
              <w:rPr>
                <w:sz w:val="17"/>
                <w:szCs w:val="17"/>
                <w:color w:val="auto"/>
              </w:rPr>
            </w:pPr>
          </w:p>
        </w:tc>
        <w:tc>
          <w:tcPr>
            <w:tcW w:w="2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80" w:type="dxa"/>
            <w:vAlign w:val="bottom"/>
          </w:tcPr>
          <w:p>
            <w:pPr>
              <w:spacing w:after="0"/>
              <w:rPr>
                <w:sz w:val="16"/>
                <w:szCs w:val="16"/>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00053B"/>
              </w:rPr>
              <w:t>•  entitled to participate in the</w:t>
            </w:r>
          </w:p>
        </w:tc>
        <w:tc>
          <w:tcPr>
            <w:tcW w:w="100" w:type="dxa"/>
            <w:vAlign w:val="bottom"/>
          </w:tcPr>
          <w:p>
            <w:pPr>
              <w:spacing w:after="0"/>
              <w:rPr>
                <w:sz w:val="16"/>
                <w:szCs w:val="16"/>
                <w:color w:val="auto"/>
              </w:rPr>
            </w:pPr>
          </w:p>
        </w:tc>
        <w:tc>
          <w:tcPr>
            <w:tcW w:w="2900" w:type="dxa"/>
            <w:vAlign w:val="bottom"/>
            <w:gridSpan w:val="2"/>
          </w:tcPr>
          <w:p>
            <w:pPr>
              <w:ind w:left="180"/>
              <w:spacing w:after="0"/>
              <w:rPr>
                <w:sz w:val="20"/>
                <w:szCs w:val="20"/>
                <w:color w:val="auto"/>
              </w:rPr>
            </w:pPr>
            <w:r>
              <w:rPr>
                <w:rFonts w:ascii="Arial" w:cs="Arial" w:eastAsia="Arial" w:hAnsi="Arial"/>
                <w:sz w:val="16"/>
                <w:szCs w:val="16"/>
                <w:color w:val="00053B"/>
              </w:rPr>
              <w:t>our other executives may participate •</w:t>
            </w:r>
          </w:p>
        </w:tc>
        <w:tc>
          <w:tcPr>
            <w:tcW w:w="2800" w:type="dxa"/>
            <w:vAlign w:val="bottom"/>
          </w:tcPr>
          <w:p>
            <w:pPr>
              <w:ind w:left="160"/>
              <w:spacing w:after="0"/>
              <w:rPr>
                <w:sz w:val="20"/>
                <w:szCs w:val="20"/>
                <w:color w:val="auto"/>
              </w:rPr>
            </w:pPr>
            <w:r>
              <w:rPr>
                <w:rFonts w:ascii="Arial" w:cs="Arial" w:eastAsia="Arial" w:hAnsi="Arial"/>
                <w:sz w:val="16"/>
                <w:szCs w:val="16"/>
                <w:color w:val="00053B"/>
              </w:rPr>
              <w:t>entitled to participate in the</w:t>
            </w:r>
          </w:p>
        </w:tc>
        <w:tc>
          <w:tcPr>
            <w:tcW w:w="0" w:type="dxa"/>
            <w:vAlign w:val="bottom"/>
          </w:tcPr>
          <w:p>
            <w:pPr>
              <w:spacing w:after="0"/>
              <w:rPr>
                <w:sz w:val="1"/>
                <w:szCs w:val="1"/>
                <w:color w:val="auto"/>
              </w:rPr>
            </w:pPr>
          </w:p>
        </w:tc>
      </w:tr>
      <w:tr>
        <w:trPr>
          <w:trHeight w:val="189"/>
        </w:trPr>
        <w:tc>
          <w:tcPr>
            <w:tcW w:w="2280" w:type="dxa"/>
            <w:vAlign w:val="bottom"/>
          </w:tcPr>
          <w:p>
            <w:pPr>
              <w:spacing w:after="0"/>
              <w:rPr>
                <w:sz w:val="16"/>
                <w:szCs w:val="16"/>
                <w:color w:val="auto"/>
              </w:rPr>
            </w:pPr>
          </w:p>
        </w:tc>
        <w:tc>
          <w:tcPr>
            <w:tcW w:w="2880" w:type="dxa"/>
            <w:vAlign w:val="bottom"/>
          </w:tcPr>
          <w:p>
            <w:pPr>
              <w:ind w:left="260"/>
              <w:spacing w:after="0"/>
              <w:rPr>
                <w:sz w:val="20"/>
                <w:szCs w:val="20"/>
                <w:color w:val="auto"/>
              </w:rPr>
            </w:pPr>
            <w:r>
              <w:rPr>
                <w:rFonts w:ascii="Arial" w:cs="Arial" w:eastAsia="Arial" w:hAnsi="Arial"/>
                <w:sz w:val="16"/>
                <w:szCs w:val="16"/>
                <w:color w:val="00053B"/>
              </w:rPr>
              <w:t>employee benefits plans in which</w:t>
            </w:r>
          </w:p>
        </w:tc>
        <w:tc>
          <w:tcPr>
            <w:tcW w:w="100" w:type="dxa"/>
            <w:vAlign w:val="bottom"/>
            <w:vMerge w:val="restart"/>
          </w:tcPr>
          <w:p>
            <w:pPr>
              <w:ind w:left="40"/>
              <w:spacing w:after="0"/>
              <w:rPr>
                <w:sz w:val="20"/>
                <w:szCs w:val="20"/>
                <w:color w:val="auto"/>
              </w:rPr>
            </w:pPr>
            <w:r>
              <w:rPr>
                <w:rFonts w:ascii="Arial" w:cs="Arial" w:eastAsia="Arial" w:hAnsi="Arial"/>
                <w:sz w:val="16"/>
                <w:szCs w:val="16"/>
                <w:color w:val="00053B"/>
                <w:w w:val="70"/>
              </w:rPr>
              <w:t>•</w:t>
            </w:r>
          </w:p>
        </w:tc>
        <w:tc>
          <w:tcPr>
            <w:tcW w:w="2700" w:type="dxa"/>
            <w:vAlign w:val="bottom"/>
            <w:vMerge w:val="restart"/>
          </w:tcPr>
          <w:p>
            <w:pPr>
              <w:ind w:left="160"/>
              <w:spacing w:after="0"/>
              <w:rPr>
                <w:sz w:val="20"/>
                <w:szCs w:val="20"/>
                <w:color w:val="auto"/>
              </w:rPr>
            </w:pPr>
            <w:r>
              <w:rPr>
                <w:rFonts w:ascii="Arial" w:cs="Arial" w:eastAsia="Arial" w:hAnsi="Arial"/>
                <w:sz w:val="16"/>
                <w:szCs w:val="16"/>
                <w:color w:val="00053B"/>
              </w:rPr>
              <w:t>entitled to annual equity awards</w:t>
            </w:r>
          </w:p>
        </w:tc>
        <w:tc>
          <w:tcPr>
            <w:tcW w:w="200" w:type="dxa"/>
            <w:vAlign w:val="bottom"/>
          </w:tcPr>
          <w:p>
            <w:pPr>
              <w:spacing w:after="0"/>
              <w:rPr>
                <w:sz w:val="16"/>
                <w:szCs w:val="16"/>
                <w:color w:val="auto"/>
              </w:rPr>
            </w:pPr>
          </w:p>
        </w:tc>
        <w:tc>
          <w:tcPr>
            <w:tcW w:w="2800" w:type="dxa"/>
            <w:vAlign w:val="bottom"/>
          </w:tcPr>
          <w:p>
            <w:pPr>
              <w:ind w:left="160"/>
              <w:spacing w:after="0"/>
              <w:rPr>
                <w:sz w:val="20"/>
                <w:szCs w:val="20"/>
                <w:color w:val="auto"/>
              </w:rPr>
            </w:pPr>
            <w:r>
              <w:rPr>
                <w:rFonts w:ascii="Arial" w:cs="Arial" w:eastAsia="Arial" w:hAnsi="Arial"/>
                <w:sz w:val="16"/>
                <w:szCs w:val="16"/>
                <w:color w:val="00053B"/>
              </w:rPr>
              <w:t>employee benefits plans in which</w:t>
            </w:r>
          </w:p>
        </w:tc>
        <w:tc>
          <w:tcPr>
            <w:tcW w:w="0" w:type="dxa"/>
            <w:vAlign w:val="bottom"/>
          </w:tcPr>
          <w:p>
            <w:pPr>
              <w:spacing w:after="0"/>
              <w:rPr>
                <w:sz w:val="1"/>
                <w:szCs w:val="1"/>
                <w:color w:val="auto"/>
              </w:rPr>
            </w:pPr>
          </w:p>
        </w:tc>
      </w:tr>
      <w:tr>
        <w:trPr>
          <w:trHeight w:val="215"/>
        </w:trPr>
        <w:tc>
          <w:tcPr>
            <w:tcW w:w="2280" w:type="dxa"/>
            <w:vAlign w:val="bottom"/>
          </w:tcPr>
          <w:p>
            <w:pPr>
              <w:spacing w:after="0"/>
              <w:rPr>
                <w:sz w:val="18"/>
                <w:szCs w:val="18"/>
                <w:color w:val="auto"/>
              </w:rPr>
            </w:pPr>
          </w:p>
        </w:tc>
        <w:tc>
          <w:tcPr>
            <w:tcW w:w="2880" w:type="dxa"/>
            <w:vAlign w:val="bottom"/>
          </w:tcPr>
          <w:p>
            <w:pPr>
              <w:ind w:left="260"/>
              <w:spacing w:after="0"/>
              <w:rPr>
                <w:sz w:val="20"/>
                <w:szCs w:val="20"/>
                <w:color w:val="auto"/>
              </w:rPr>
            </w:pPr>
            <w:r>
              <w:rPr>
                <w:rFonts w:ascii="Arial" w:cs="Arial" w:eastAsia="Arial" w:hAnsi="Arial"/>
                <w:sz w:val="16"/>
                <w:szCs w:val="16"/>
                <w:color w:val="00053B"/>
              </w:rPr>
              <w:t>our other executives may participate</w:t>
            </w:r>
          </w:p>
        </w:tc>
        <w:tc>
          <w:tcPr>
            <w:tcW w:w="100" w:type="dxa"/>
            <w:vAlign w:val="bottom"/>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6"/>
                <w:szCs w:val="16"/>
                <w:color w:val="00053B"/>
              </w:rPr>
              <w:t>our other executives may participate</w:t>
            </w:r>
          </w:p>
        </w:tc>
        <w:tc>
          <w:tcPr>
            <w:tcW w:w="0" w:type="dxa"/>
            <w:vAlign w:val="bottom"/>
          </w:tcPr>
          <w:p>
            <w:pPr>
              <w:spacing w:after="0"/>
              <w:rPr>
                <w:sz w:val="1"/>
                <w:szCs w:val="1"/>
                <w:color w:val="auto"/>
              </w:rPr>
            </w:pPr>
          </w:p>
        </w:tc>
      </w:tr>
      <w:tr>
        <w:trPr>
          <w:trHeight w:val="231"/>
        </w:trPr>
        <w:tc>
          <w:tcPr>
            <w:tcW w:w="2280" w:type="dxa"/>
            <w:vAlign w:val="bottom"/>
          </w:tcPr>
          <w:p>
            <w:pPr>
              <w:spacing w:after="0"/>
              <w:rPr>
                <w:sz w:val="20"/>
                <w:szCs w:val="20"/>
                <w:color w:val="auto"/>
              </w:rPr>
            </w:pPr>
          </w:p>
        </w:tc>
        <w:tc>
          <w:tcPr>
            <w:tcW w:w="2880" w:type="dxa"/>
            <w:vAlign w:val="bottom"/>
          </w:tcPr>
          <w:p>
            <w:pPr>
              <w:ind w:left="20"/>
              <w:spacing w:after="0"/>
              <w:rPr>
                <w:sz w:val="20"/>
                <w:szCs w:val="20"/>
                <w:color w:val="auto"/>
              </w:rPr>
            </w:pPr>
            <w:r>
              <w:rPr>
                <w:rFonts w:ascii="Arial" w:cs="Arial" w:eastAsia="Arial" w:hAnsi="Arial"/>
                <w:sz w:val="16"/>
                <w:szCs w:val="16"/>
                <w:color w:val="00053B"/>
              </w:rPr>
              <w:t>•  entitled to annual equity awards and</w:t>
            </w: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000" w:type="dxa"/>
            <w:vAlign w:val="bottom"/>
            <w:gridSpan w:val="2"/>
          </w:tcPr>
          <w:p>
            <w:pPr>
              <w:ind w:left="120"/>
              <w:spacing w:after="0"/>
              <w:rPr>
                <w:sz w:val="20"/>
                <w:szCs w:val="20"/>
                <w:color w:val="auto"/>
              </w:rPr>
            </w:pPr>
            <w:r>
              <w:rPr>
                <w:rFonts w:ascii="Arial" w:cs="Arial" w:eastAsia="Arial" w:hAnsi="Arial"/>
                <w:sz w:val="16"/>
                <w:szCs w:val="16"/>
                <w:color w:val="00053B"/>
              </w:rPr>
              <w:t>•  entitled to annual equity awards and</w:t>
            </w:r>
          </w:p>
        </w:tc>
        <w:tc>
          <w:tcPr>
            <w:tcW w:w="0" w:type="dxa"/>
            <w:vAlign w:val="bottom"/>
          </w:tcPr>
          <w:p>
            <w:pPr>
              <w:spacing w:after="0"/>
              <w:rPr>
                <w:sz w:val="1"/>
                <w:szCs w:val="1"/>
                <w:color w:val="auto"/>
              </w:rPr>
            </w:pPr>
          </w:p>
        </w:tc>
      </w:tr>
      <w:tr>
        <w:trPr>
          <w:trHeight w:val="215"/>
        </w:trPr>
        <w:tc>
          <w:tcPr>
            <w:tcW w:w="2280" w:type="dxa"/>
            <w:vAlign w:val="bottom"/>
          </w:tcPr>
          <w:p>
            <w:pPr>
              <w:spacing w:after="0"/>
              <w:rPr>
                <w:sz w:val="18"/>
                <w:szCs w:val="18"/>
                <w:color w:val="auto"/>
              </w:rPr>
            </w:pPr>
          </w:p>
        </w:tc>
        <w:tc>
          <w:tcPr>
            <w:tcW w:w="2880" w:type="dxa"/>
            <w:vAlign w:val="bottom"/>
          </w:tcPr>
          <w:p>
            <w:pPr>
              <w:ind w:left="260"/>
              <w:spacing w:after="0"/>
              <w:rPr>
                <w:sz w:val="20"/>
                <w:szCs w:val="20"/>
                <w:color w:val="auto"/>
              </w:rPr>
            </w:pPr>
            <w:r>
              <w:rPr>
                <w:rFonts w:ascii="Arial" w:cs="Arial" w:eastAsia="Arial" w:hAnsi="Arial"/>
                <w:sz w:val="16"/>
                <w:szCs w:val="16"/>
                <w:color w:val="00053B"/>
              </w:rPr>
              <w:t>a one-time new hire award</w:t>
            </w: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tcPr>
          <w:p>
            <w:pPr>
              <w:ind w:left="160"/>
              <w:spacing w:after="0"/>
              <w:rPr>
                <w:sz w:val="20"/>
                <w:szCs w:val="20"/>
                <w:color w:val="auto"/>
              </w:rPr>
            </w:pPr>
            <w:r>
              <w:rPr>
                <w:rFonts w:ascii="Arial" w:cs="Arial" w:eastAsia="Arial" w:hAnsi="Arial"/>
                <w:sz w:val="16"/>
                <w:szCs w:val="16"/>
                <w:color w:val="00053B"/>
              </w:rPr>
              <w:t>a one-time new hire award</w:t>
            </w:r>
          </w:p>
        </w:tc>
        <w:tc>
          <w:tcPr>
            <w:tcW w:w="0" w:type="dxa"/>
            <w:vAlign w:val="bottom"/>
          </w:tcPr>
          <w:p>
            <w:pPr>
              <w:spacing w:after="0"/>
              <w:rPr>
                <w:sz w:val="1"/>
                <w:szCs w:val="1"/>
                <w:color w:val="auto"/>
              </w:rPr>
            </w:pPr>
          </w:p>
        </w:tc>
      </w:tr>
      <w:tr>
        <w:trPr>
          <w:trHeight w:val="258"/>
        </w:trPr>
        <w:tc>
          <w:tcPr>
            <w:tcW w:w="2280" w:type="dxa"/>
            <w:vAlign w:val="bottom"/>
          </w:tcPr>
          <w:p>
            <w:pPr>
              <w:ind w:left="120"/>
              <w:spacing w:after="0"/>
              <w:rPr>
                <w:sz w:val="20"/>
                <w:szCs w:val="20"/>
                <w:color w:val="auto"/>
              </w:rPr>
            </w:pPr>
            <w:r>
              <w:rPr>
                <w:rFonts w:ascii="Arial" w:cs="Arial" w:eastAsia="Arial" w:hAnsi="Arial"/>
                <w:sz w:val="16"/>
                <w:szCs w:val="16"/>
                <w:b w:val="1"/>
                <w:bCs w:val="1"/>
                <w:color w:val="00053B"/>
              </w:rPr>
              <w:t>Compensation in the event</w:t>
            </w:r>
          </w:p>
        </w:tc>
        <w:tc>
          <w:tcPr>
            <w:tcW w:w="2880" w:type="dxa"/>
            <w:vAlign w:val="bottom"/>
          </w:tcPr>
          <w:p>
            <w:pPr>
              <w:ind w:left="20"/>
              <w:spacing w:after="0"/>
              <w:rPr>
                <w:sz w:val="20"/>
                <w:szCs w:val="20"/>
                <w:color w:val="auto"/>
              </w:rPr>
            </w:pPr>
            <w:r>
              <w:rPr>
                <w:rFonts w:ascii="Arial" w:cs="Arial" w:eastAsia="Arial" w:hAnsi="Arial"/>
                <w:sz w:val="16"/>
                <w:szCs w:val="16"/>
                <w:color w:val="00053B"/>
              </w:rPr>
              <w:t>•  lump sum payment equal to (i) 12</w:t>
            </w:r>
          </w:p>
        </w:tc>
        <w:tc>
          <w:tcPr>
            <w:tcW w:w="100" w:type="dxa"/>
            <w:vAlign w:val="bottom"/>
          </w:tcPr>
          <w:p>
            <w:pPr>
              <w:ind w:left="40"/>
              <w:spacing w:after="0"/>
              <w:rPr>
                <w:sz w:val="20"/>
                <w:szCs w:val="20"/>
                <w:color w:val="auto"/>
              </w:rPr>
            </w:pPr>
            <w:r>
              <w:rPr>
                <w:rFonts w:ascii="Arial" w:cs="Arial" w:eastAsia="Arial" w:hAnsi="Arial"/>
                <w:sz w:val="16"/>
                <w:szCs w:val="16"/>
                <w:color w:val="00053B"/>
                <w:w w:val="70"/>
              </w:rPr>
              <w:t>•</w:t>
            </w:r>
          </w:p>
        </w:tc>
        <w:tc>
          <w:tcPr>
            <w:tcW w:w="5700" w:type="dxa"/>
            <w:vAlign w:val="bottom"/>
            <w:gridSpan w:val="3"/>
          </w:tcPr>
          <w:p>
            <w:pPr>
              <w:ind w:left="160"/>
              <w:spacing w:after="0"/>
              <w:rPr>
                <w:sz w:val="20"/>
                <w:szCs w:val="20"/>
                <w:color w:val="auto"/>
              </w:rPr>
            </w:pPr>
            <w:r>
              <w:rPr>
                <w:rFonts w:ascii="Arial" w:cs="Arial" w:eastAsia="Arial" w:hAnsi="Arial"/>
                <w:sz w:val="16"/>
                <w:szCs w:val="16"/>
                <w:color w:val="00053B"/>
              </w:rPr>
              <w:t>12 months of his then-current base salary</w:t>
            </w:r>
          </w:p>
        </w:tc>
        <w:tc>
          <w:tcPr>
            <w:tcW w:w="0" w:type="dxa"/>
            <w:vAlign w:val="bottom"/>
          </w:tcPr>
          <w:p>
            <w:pPr>
              <w:spacing w:after="0"/>
              <w:rPr>
                <w:sz w:val="1"/>
                <w:szCs w:val="1"/>
                <w:color w:val="auto"/>
              </w:rPr>
            </w:pPr>
          </w:p>
        </w:tc>
      </w:tr>
      <w:tr>
        <w:trPr>
          <w:trHeight w:val="217"/>
        </w:trPr>
        <w:tc>
          <w:tcPr>
            <w:tcW w:w="2280" w:type="dxa"/>
            <w:vAlign w:val="bottom"/>
          </w:tcPr>
          <w:p>
            <w:pPr>
              <w:ind w:left="120"/>
              <w:spacing w:after="0"/>
              <w:rPr>
                <w:sz w:val="20"/>
                <w:szCs w:val="20"/>
                <w:color w:val="auto"/>
              </w:rPr>
            </w:pPr>
            <w:r>
              <w:rPr>
                <w:rFonts w:ascii="Arial" w:cs="Arial" w:eastAsia="Arial" w:hAnsi="Arial"/>
                <w:sz w:val="16"/>
                <w:szCs w:val="16"/>
                <w:b w:val="1"/>
                <w:bCs w:val="1"/>
                <w:color w:val="00053B"/>
              </w:rPr>
              <w:t>of a termination without</w:t>
            </w:r>
          </w:p>
        </w:tc>
        <w:tc>
          <w:tcPr>
            <w:tcW w:w="2880" w:type="dxa"/>
            <w:vAlign w:val="bottom"/>
          </w:tcPr>
          <w:p>
            <w:pPr>
              <w:ind w:left="260"/>
              <w:spacing w:after="0"/>
              <w:rPr>
                <w:sz w:val="20"/>
                <w:szCs w:val="20"/>
                <w:color w:val="auto"/>
              </w:rPr>
            </w:pPr>
            <w:r>
              <w:rPr>
                <w:rFonts w:ascii="Arial" w:cs="Arial" w:eastAsia="Arial" w:hAnsi="Arial"/>
                <w:sz w:val="16"/>
                <w:szCs w:val="16"/>
                <w:color w:val="00053B"/>
              </w:rPr>
              <w:t>months of his then-current base</w:t>
            </w:r>
          </w:p>
        </w:tc>
        <w:tc>
          <w:tcPr>
            <w:tcW w:w="100" w:type="dxa"/>
            <w:vAlign w:val="bottom"/>
          </w:tcPr>
          <w:p>
            <w:pPr>
              <w:ind w:left="40"/>
              <w:spacing w:after="0"/>
              <w:rPr>
                <w:sz w:val="20"/>
                <w:szCs w:val="20"/>
                <w:color w:val="auto"/>
              </w:rPr>
            </w:pPr>
            <w:r>
              <w:rPr>
                <w:rFonts w:ascii="Arial" w:cs="Arial" w:eastAsia="Arial" w:hAnsi="Arial"/>
                <w:sz w:val="16"/>
                <w:szCs w:val="16"/>
                <w:color w:val="00053B"/>
                <w:w w:val="70"/>
              </w:rPr>
              <w:t>•</w:t>
            </w:r>
          </w:p>
        </w:tc>
        <w:tc>
          <w:tcPr>
            <w:tcW w:w="5700" w:type="dxa"/>
            <w:vAlign w:val="bottom"/>
            <w:gridSpan w:val="3"/>
          </w:tcPr>
          <w:p>
            <w:pPr>
              <w:ind w:left="160"/>
              <w:spacing w:after="0"/>
              <w:rPr>
                <w:sz w:val="20"/>
                <w:szCs w:val="20"/>
                <w:color w:val="auto"/>
              </w:rPr>
            </w:pPr>
            <w:r>
              <w:rPr>
                <w:rFonts w:ascii="Arial" w:cs="Arial" w:eastAsia="Arial" w:hAnsi="Arial"/>
                <w:sz w:val="16"/>
                <w:szCs w:val="16"/>
                <w:color w:val="00053B"/>
              </w:rPr>
              <w:t>an immediate lump sum payment equal to the amount he would have to pay</w:t>
            </w:r>
          </w:p>
        </w:tc>
        <w:tc>
          <w:tcPr>
            <w:tcW w:w="0" w:type="dxa"/>
            <w:vAlign w:val="bottom"/>
          </w:tcPr>
          <w:p>
            <w:pPr>
              <w:spacing w:after="0"/>
              <w:rPr>
                <w:sz w:val="1"/>
                <w:szCs w:val="1"/>
                <w:color w:val="auto"/>
              </w:rPr>
            </w:pPr>
          </w:p>
        </w:tc>
      </w:tr>
      <w:tr>
        <w:trPr>
          <w:trHeight w:val="189"/>
        </w:trPr>
        <w:tc>
          <w:tcPr>
            <w:tcW w:w="2280" w:type="dxa"/>
            <w:vAlign w:val="bottom"/>
          </w:tcPr>
          <w:p>
            <w:pPr>
              <w:ind w:left="120"/>
              <w:spacing w:after="0"/>
              <w:rPr>
                <w:sz w:val="20"/>
                <w:szCs w:val="20"/>
                <w:color w:val="auto"/>
              </w:rPr>
            </w:pPr>
            <w:r>
              <w:rPr>
                <w:rFonts w:ascii="Arial" w:cs="Arial" w:eastAsia="Arial" w:hAnsi="Arial"/>
                <w:sz w:val="16"/>
                <w:szCs w:val="16"/>
                <w:b w:val="1"/>
                <w:bCs w:val="1"/>
                <w:color w:val="00053B"/>
              </w:rPr>
              <w:t>“cause” or for “good</w:t>
            </w:r>
          </w:p>
        </w:tc>
        <w:tc>
          <w:tcPr>
            <w:tcW w:w="2880" w:type="dxa"/>
            <w:vAlign w:val="bottom"/>
          </w:tcPr>
          <w:p>
            <w:pPr>
              <w:ind w:left="260"/>
              <w:spacing w:after="0"/>
              <w:rPr>
                <w:sz w:val="20"/>
                <w:szCs w:val="20"/>
                <w:color w:val="auto"/>
              </w:rPr>
            </w:pPr>
            <w:r>
              <w:rPr>
                <w:rFonts w:ascii="Arial" w:cs="Arial" w:eastAsia="Arial" w:hAnsi="Arial"/>
                <w:sz w:val="16"/>
                <w:szCs w:val="16"/>
                <w:color w:val="00053B"/>
              </w:rPr>
              <w:t>salary, and (ii) his target cash</w:t>
            </w:r>
          </w:p>
        </w:tc>
        <w:tc>
          <w:tcPr>
            <w:tcW w:w="100" w:type="dxa"/>
            <w:vAlign w:val="bottom"/>
          </w:tcPr>
          <w:p>
            <w:pPr>
              <w:spacing w:after="0"/>
              <w:rPr>
                <w:sz w:val="16"/>
                <w:szCs w:val="16"/>
                <w:color w:val="auto"/>
              </w:rPr>
            </w:pPr>
          </w:p>
        </w:tc>
        <w:tc>
          <w:tcPr>
            <w:tcW w:w="5700" w:type="dxa"/>
            <w:vAlign w:val="bottom"/>
            <w:gridSpan w:val="3"/>
          </w:tcPr>
          <w:p>
            <w:pPr>
              <w:ind w:left="180"/>
              <w:spacing w:after="0"/>
              <w:rPr>
                <w:sz w:val="20"/>
                <w:szCs w:val="20"/>
                <w:color w:val="auto"/>
              </w:rPr>
            </w:pPr>
            <w:r>
              <w:rPr>
                <w:rFonts w:ascii="Arial" w:cs="Arial" w:eastAsia="Arial" w:hAnsi="Arial"/>
                <w:sz w:val="16"/>
                <w:szCs w:val="16"/>
                <w:color w:val="00053B"/>
              </w:rPr>
              <w:t>for twelve months of continued group health coverage under the Company’s</w:t>
            </w:r>
          </w:p>
        </w:tc>
        <w:tc>
          <w:tcPr>
            <w:tcW w:w="0" w:type="dxa"/>
            <w:vAlign w:val="bottom"/>
          </w:tcPr>
          <w:p>
            <w:pPr>
              <w:spacing w:after="0"/>
              <w:rPr>
                <w:sz w:val="1"/>
                <w:szCs w:val="1"/>
                <w:color w:val="auto"/>
              </w:rPr>
            </w:pPr>
          </w:p>
        </w:tc>
      </w:tr>
      <w:tr>
        <w:trPr>
          <w:trHeight w:val="189"/>
        </w:trPr>
        <w:tc>
          <w:tcPr>
            <w:tcW w:w="2280" w:type="dxa"/>
            <w:vAlign w:val="bottom"/>
          </w:tcPr>
          <w:p>
            <w:pPr>
              <w:ind w:left="120"/>
              <w:spacing w:after="0"/>
              <w:rPr>
                <w:sz w:val="20"/>
                <w:szCs w:val="20"/>
                <w:color w:val="auto"/>
              </w:rPr>
            </w:pPr>
            <w:r>
              <w:rPr>
                <w:rFonts w:ascii="Arial" w:cs="Arial" w:eastAsia="Arial" w:hAnsi="Arial"/>
                <w:sz w:val="16"/>
                <w:szCs w:val="16"/>
                <w:b w:val="1"/>
                <w:bCs w:val="1"/>
                <w:color w:val="00053B"/>
              </w:rPr>
              <w:t>reason” and other than</w:t>
            </w:r>
          </w:p>
        </w:tc>
        <w:tc>
          <w:tcPr>
            <w:tcW w:w="2880" w:type="dxa"/>
            <w:vAlign w:val="bottom"/>
          </w:tcPr>
          <w:p>
            <w:pPr>
              <w:ind w:left="260"/>
              <w:spacing w:after="0"/>
              <w:rPr>
                <w:sz w:val="20"/>
                <w:szCs w:val="20"/>
                <w:color w:val="auto"/>
              </w:rPr>
            </w:pPr>
            <w:r>
              <w:rPr>
                <w:rFonts w:ascii="Arial" w:cs="Arial" w:eastAsia="Arial" w:hAnsi="Arial"/>
                <w:sz w:val="16"/>
                <w:szCs w:val="16"/>
                <w:color w:val="00053B"/>
              </w:rPr>
              <w:t>incentive bonus for the year in</w:t>
            </w:r>
          </w:p>
        </w:tc>
        <w:tc>
          <w:tcPr>
            <w:tcW w:w="100" w:type="dxa"/>
            <w:vAlign w:val="bottom"/>
          </w:tcPr>
          <w:p>
            <w:pPr>
              <w:spacing w:after="0"/>
              <w:rPr>
                <w:sz w:val="16"/>
                <w:szCs w:val="16"/>
                <w:color w:val="auto"/>
              </w:rPr>
            </w:pPr>
          </w:p>
        </w:tc>
        <w:tc>
          <w:tcPr>
            <w:tcW w:w="5700" w:type="dxa"/>
            <w:vAlign w:val="bottom"/>
            <w:gridSpan w:val="3"/>
          </w:tcPr>
          <w:p>
            <w:pPr>
              <w:ind w:left="180"/>
              <w:spacing w:after="0"/>
              <w:rPr>
                <w:sz w:val="20"/>
                <w:szCs w:val="20"/>
                <w:color w:val="auto"/>
              </w:rPr>
            </w:pPr>
            <w:r>
              <w:rPr>
                <w:rFonts w:ascii="Arial" w:cs="Arial" w:eastAsia="Arial" w:hAnsi="Arial"/>
                <w:sz w:val="16"/>
                <w:szCs w:val="16"/>
                <w:color w:val="00053B"/>
              </w:rPr>
              <w:t>group health plan as in effect for himself and his dependents immediately</w:t>
            </w:r>
          </w:p>
        </w:tc>
        <w:tc>
          <w:tcPr>
            <w:tcW w:w="0" w:type="dxa"/>
            <w:vAlign w:val="bottom"/>
          </w:tcPr>
          <w:p>
            <w:pPr>
              <w:spacing w:after="0"/>
              <w:rPr>
                <w:sz w:val="1"/>
                <w:szCs w:val="1"/>
                <w:color w:val="auto"/>
              </w:rPr>
            </w:pPr>
          </w:p>
        </w:tc>
      </w:tr>
      <w:tr>
        <w:trPr>
          <w:trHeight w:val="203"/>
        </w:trPr>
        <w:tc>
          <w:tcPr>
            <w:tcW w:w="2280" w:type="dxa"/>
            <w:vAlign w:val="bottom"/>
          </w:tcPr>
          <w:p>
            <w:pPr>
              <w:ind w:left="120"/>
              <w:spacing w:after="0"/>
              <w:rPr>
                <w:sz w:val="20"/>
                <w:szCs w:val="20"/>
                <w:color w:val="auto"/>
              </w:rPr>
            </w:pPr>
            <w:r>
              <w:rPr>
                <w:rFonts w:ascii="Arial" w:cs="Arial" w:eastAsia="Arial" w:hAnsi="Arial"/>
                <w:sz w:val="16"/>
                <w:szCs w:val="16"/>
                <w:b w:val="1"/>
                <w:bCs w:val="1"/>
                <w:color w:val="00053B"/>
              </w:rPr>
              <w:t>within 24 months following</w:t>
            </w:r>
          </w:p>
        </w:tc>
        <w:tc>
          <w:tcPr>
            <w:tcW w:w="2880" w:type="dxa"/>
            <w:vAlign w:val="bottom"/>
          </w:tcPr>
          <w:p>
            <w:pPr>
              <w:ind w:left="260"/>
              <w:spacing w:after="0"/>
              <w:rPr>
                <w:sz w:val="20"/>
                <w:szCs w:val="20"/>
                <w:color w:val="auto"/>
              </w:rPr>
            </w:pPr>
            <w:r>
              <w:rPr>
                <w:rFonts w:ascii="Arial" w:cs="Arial" w:eastAsia="Arial" w:hAnsi="Arial"/>
                <w:sz w:val="16"/>
                <w:szCs w:val="16"/>
                <w:color w:val="00053B"/>
              </w:rPr>
              <w:t>which termination of employment</w:t>
            </w:r>
          </w:p>
        </w:tc>
        <w:tc>
          <w:tcPr>
            <w:tcW w:w="100" w:type="dxa"/>
            <w:vAlign w:val="bottom"/>
          </w:tcPr>
          <w:p>
            <w:pPr>
              <w:spacing w:after="0"/>
              <w:rPr>
                <w:sz w:val="17"/>
                <w:szCs w:val="17"/>
                <w:color w:val="auto"/>
              </w:rPr>
            </w:pPr>
          </w:p>
        </w:tc>
        <w:tc>
          <w:tcPr>
            <w:tcW w:w="2900" w:type="dxa"/>
            <w:vAlign w:val="bottom"/>
            <w:gridSpan w:val="2"/>
          </w:tcPr>
          <w:p>
            <w:pPr>
              <w:ind w:left="180"/>
              <w:spacing w:after="0"/>
              <w:rPr>
                <w:sz w:val="20"/>
                <w:szCs w:val="20"/>
                <w:color w:val="auto"/>
              </w:rPr>
            </w:pPr>
            <w:r>
              <w:rPr>
                <w:rFonts w:ascii="Arial" w:cs="Arial" w:eastAsia="Arial" w:hAnsi="Arial"/>
                <w:sz w:val="16"/>
                <w:szCs w:val="16"/>
                <w:color w:val="00053B"/>
              </w:rPr>
              <w:t>prior to his termination of employment</w:t>
            </w: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80" w:type="dxa"/>
            <w:vAlign w:val="bottom"/>
          </w:tcPr>
          <w:p>
            <w:pPr>
              <w:ind w:left="120"/>
              <w:spacing w:after="0"/>
              <w:rPr>
                <w:sz w:val="20"/>
                <w:szCs w:val="20"/>
                <w:color w:val="auto"/>
              </w:rPr>
            </w:pPr>
            <w:r>
              <w:rPr>
                <w:rFonts w:ascii="Arial" w:cs="Arial" w:eastAsia="Arial" w:hAnsi="Arial"/>
                <w:sz w:val="16"/>
                <w:szCs w:val="16"/>
                <w:b w:val="1"/>
                <w:bCs w:val="1"/>
                <w:color w:val="00053B"/>
              </w:rPr>
              <w:t>a “change in control”(1)</w:t>
            </w:r>
          </w:p>
        </w:tc>
        <w:tc>
          <w:tcPr>
            <w:tcW w:w="2880" w:type="dxa"/>
            <w:vAlign w:val="bottom"/>
          </w:tcPr>
          <w:p>
            <w:pPr>
              <w:ind w:left="260"/>
              <w:spacing w:after="0"/>
              <w:rPr>
                <w:sz w:val="20"/>
                <w:szCs w:val="20"/>
                <w:color w:val="auto"/>
              </w:rPr>
            </w:pPr>
            <w:r>
              <w:rPr>
                <w:rFonts w:ascii="Arial" w:cs="Arial" w:eastAsia="Arial" w:hAnsi="Arial"/>
                <w:sz w:val="16"/>
                <w:szCs w:val="16"/>
                <w:color w:val="00053B"/>
              </w:rPr>
              <w:t>occurs</w:t>
            </w:r>
          </w:p>
        </w:tc>
        <w:tc>
          <w:tcPr>
            <w:tcW w:w="5800" w:type="dxa"/>
            <w:vAlign w:val="bottom"/>
            <w:gridSpan w:val="4"/>
            <w:vMerge w:val="restart"/>
          </w:tcPr>
          <w:p>
            <w:pPr>
              <w:ind w:left="40"/>
              <w:spacing w:after="0"/>
              <w:rPr>
                <w:sz w:val="20"/>
                <w:szCs w:val="20"/>
                <w:color w:val="auto"/>
              </w:rPr>
            </w:pPr>
            <w:r>
              <w:rPr>
                <w:rFonts w:ascii="Arial" w:cs="Arial" w:eastAsia="Arial" w:hAnsi="Arial"/>
                <w:sz w:val="16"/>
                <w:szCs w:val="16"/>
                <w:color w:val="00053B"/>
              </w:rPr>
              <w:t>•  12 months acceleration for time-vesting equity</w:t>
            </w:r>
          </w:p>
        </w:tc>
        <w:tc>
          <w:tcPr>
            <w:tcW w:w="0" w:type="dxa"/>
            <w:vAlign w:val="bottom"/>
          </w:tcPr>
          <w:p>
            <w:pPr>
              <w:spacing w:after="0"/>
              <w:rPr>
                <w:sz w:val="1"/>
                <w:szCs w:val="1"/>
                <w:color w:val="auto"/>
              </w:rPr>
            </w:pPr>
          </w:p>
        </w:tc>
      </w:tr>
      <w:tr>
        <w:trPr>
          <w:trHeight w:val="80"/>
        </w:trPr>
        <w:tc>
          <w:tcPr>
            <w:tcW w:w="2280" w:type="dxa"/>
            <w:vAlign w:val="bottom"/>
            <w:vMerge w:val="restart"/>
          </w:tcPr>
          <w:p>
            <w:pPr>
              <w:ind w:left="120"/>
              <w:spacing w:after="0"/>
              <w:rPr>
                <w:sz w:val="20"/>
                <w:szCs w:val="20"/>
                <w:color w:val="auto"/>
              </w:rPr>
            </w:pPr>
            <w:r>
              <w:rPr>
                <w:rFonts w:ascii="Arial" w:cs="Arial" w:eastAsia="Arial" w:hAnsi="Arial"/>
                <w:sz w:val="16"/>
                <w:szCs w:val="16"/>
                <w:b w:val="1"/>
                <w:bCs w:val="1"/>
                <w:color w:val="00053B"/>
              </w:rPr>
              <w:t>(subject to execution of a</w:t>
            </w:r>
          </w:p>
        </w:tc>
        <w:tc>
          <w:tcPr>
            <w:tcW w:w="2880" w:type="dxa"/>
            <w:vAlign w:val="bottom"/>
            <w:vMerge w:val="restart"/>
          </w:tcPr>
          <w:p>
            <w:pPr>
              <w:ind w:left="20"/>
              <w:spacing w:after="0"/>
              <w:rPr>
                <w:sz w:val="20"/>
                <w:szCs w:val="20"/>
                <w:color w:val="auto"/>
              </w:rPr>
            </w:pPr>
            <w:r>
              <w:rPr>
                <w:rFonts w:ascii="Arial" w:cs="Arial" w:eastAsia="Arial" w:hAnsi="Arial"/>
                <w:sz w:val="16"/>
                <w:szCs w:val="16"/>
                <w:color w:val="00053B"/>
              </w:rPr>
              <w:t>•  continued payment of premiums for</w:t>
            </w:r>
          </w:p>
        </w:tc>
        <w:tc>
          <w:tcPr>
            <w:tcW w:w="58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280" w:type="dxa"/>
            <w:vAlign w:val="bottom"/>
            <w:vMerge w:val="continue"/>
          </w:tcPr>
          <w:p>
            <w:pPr>
              <w:spacing w:after="0"/>
              <w:rPr>
                <w:sz w:val="16"/>
                <w:szCs w:val="16"/>
                <w:color w:val="auto"/>
              </w:rPr>
            </w:pPr>
          </w:p>
        </w:tc>
        <w:tc>
          <w:tcPr>
            <w:tcW w:w="2880" w:type="dxa"/>
            <w:vAlign w:val="bottom"/>
            <w:vMerge w:val="continue"/>
          </w:tcPr>
          <w:p>
            <w:pPr>
              <w:spacing w:after="0"/>
              <w:rPr>
                <w:sz w:val="16"/>
                <w:szCs w:val="16"/>
                <w:color w:val="auto"/>
              </w:rPr>
            </w:pPr>
          </w:p>
        </w:tc>
        <w:tc>
          <w:tcPr>
            <w:tcW w:w="100" w:type="dxa"/>
            <w:vAlign w:val="bottom"/>
          </w:tcPr>
          <w:p>
            <w:pPr>
              <w:ind w:left="40"/>
              <w:spacing w:after="0"/>
              <w:rPr>
                <w:sz w:val="20"/>
                <w:szCs w:val="20"/>
                <w:color w:val="auto"/>
              </w:rPr>
            </w:pPr>
            <w:r>
              <w:rPr>
                <w:rFonts w:ascii="Arial" w:cs="Arial" w:eastAsia="Arial" w:hAnsi="Arial"/>
                <w:sz w:val="16"/>
                <w:szCs w:val="16"/>
                <w:color w:val="00053B"/>
                <w:w w:val="70"/>
              </w:rPr>
              <w:t>•</w:t>
            </w:r>
          </w:p>
        </w:tc>
        <w:tc>
          <w:tcPr>
            <w:tcW w:w="5700" w:type="dxa"/>
            <w:vAlign w:val="bottom"/>
            <w:gridSpan w:val="3"/>
          </w:tcPr>
          <w:p>
            <w:pPr>
              <w:ind w:left="160"/>
              <w:spacing w:after="0"/>
              <w:rPr>
                <w:sz w:val="20"/>
                <w:szCs w:val="20"/>
                <w:color w:val="auto"/>
              </w:rPr>
            </w:pPr>
            <w:r>
              <w:rPr>
                <w:rFonts w:ascii="Arial" w:cs="Arial" w:eastAsia="Arial" w:hAnsi="Arial"/>
                <w:sz w:val="16"/>
                <w:szCs w:val="16"/>
                <w:color w:val="00053B"/>
              </w:rPr>
              <w:t>any stock awards with performance conditions not yet determined will be</w:t>
            </w:r>
          </w:p>
        </w:tc>
        <w:tc>
          <w:tcPr>
            <w:tcW w:w="0" w:type="dxa"/>
            <w:vAlign w:val="bottom"/>
          </w:tcPr>
          <w:p>
            <w:pPr>
              <w:spacing w:after="0"/>
              <w:rPr>
                <w:sz w:val="1"/>
                <w:szCs w:val="1"/>
                <w:color w:val="auto"/>
              </w:rPr>
            </w:pPr>
          </w:p>
        </w:tc>
      </w:tr>
      <w:tr>
        <w:trPr>
          <w:trHeight w:val="203"/>
        </w:trPr>
        <w:tc>
          <w:tcPr>
            <w:tcW w:w="2280" w:type="dxa"/>
            <w:vAlign w:val="bottom"/>
          </w:tcPr>
          <w:p>
            <w:pPr>
              <w:ind w:left="120"/>
              <w:spacing w:after="0" w:line="137" w:lineRule="exact"/>
              <w:rPr>
                <w:sz w:val="20"/>
                <w:szCs w:val="20"/>
                <w:color w:val="auto"/>
              </w:rPr>
            </w:pPr>
            <w:r>
              <w:rPr>
                <w:rFonts w:ascii="Arial" w:cs="Arial" w:eastAsia="Arial" w:hAnsi="Arial"/>
                <w:sz w:val="15"/>
                <w:szCs w:val="15"/>
                <w:b w:val="1"/>
                <w:bCs w:val="1"/>
                <w:color w:val="00053B"/>
              </w:rPr>
              <w:t>release of claims in favor of</w:t>
            </w:r>
          </w:p>
        </w:tc>
        <w:tc>
          <w:tcPr>
            <w:tcW w:w="2880" w:type="dxa"/>
            <w:vAlign w:val="bottom"/>
          </w:tcPr>
          <w:p>
            <w:pPr>
              <w:ind w:left="260"/>
              <w:spacing w:after="0"/>
              <w:rPr>
                <w:sz w:val="20"/>
                <w:szCs w:val="20"/>
                <w:color w:val="auto"/>
              </w:rPr>
            </w:pPr>
            <w:r>
              <w:rPr>
                <w:rFonts w:ascii="Arial" w:cs="Arial" w:eastAsia="Arial" w:hAnsi="Arial"/>
                <w:sz w:val="16"/>
                <w:szCs w:val="16"/>
                <w:color w:val="00053B"/>
              </w:rPr>
              <w:t>health insurance for</w:t>
            </w:r>
          </w:p>
        </w:tc>
        <w:tc>
          <w:tcPr>
            <w:tcW w:w="100" w:type="dxa"/>
            <w:vAlign w:val="bottom"/>
          </w:tcPr>
          <w:p>
            <w:pPr>
              <w:spacing w:after="0"/>
              <w:rPr>
                <w:sz w:val="17"/>
                <w:szCs w:val="17"/>
                <w:color w:val="auto"/>
              </w:rPr>
            </w:pPr>
          </w:p>
        </w:tc>
        <w:tc>
          <w:tcPr>
            <w:tcW w:w="2700" w:type="dxa"/>
            <w:vAlign w:val="bottom"/>
          </w:tcPr>
          <w:p>
            <w:pPr>
              <w:ind w:left="180"/>
              <w:spacing w:after="0" w:line="137" w:lineRule="exact"/>
              <w:rPr>
                <w:sz w:val="20"/>
                <w:szCs w:val="20"/>
                <w:color w:val="auto"/>
              </w:rPr>
            </w:pPr>
            <w:r>
              <w:rPr>
                <w:rFonts w:ascii="Arial" w:cs="Arial" w:eastAsia="Arial" w:hAnsi="Arial"/>
                <w:sz w:val="15"/>
                <w:szCs w:val="15"/>
                <w:color w:val="00053B"/>
              </w:rPr>
              <w:t>deemed earned at 100% of target</w:t>
            </w:r>
          </w:p>
        </w:tc>
        <w:tc>
          <w:tcPr>
            <w:tcW w:w="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-1079500</wp:posOffset>
            </wp:positionV>
            <wp:extent cx="6951980" cy="22459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6951980" cy="2245995"/>
                    </a:xfrm>
                    <a:prstGeom prst="rect">
                      <a:avLst/>
                    </a:prstGeom>
                    <a:noFill/>
                  </pic:spPr>
                </pic:pic>
              </a:graphicData>
            </a:graphic>
          </wp:anchor>
        </w:drawing>
      </w:r>
    </w:p>
    <w:tbl>
      <w:tblPr>
        <w:tblLayout w:type="fixed"/>
        <w:tblInd w:w="240" w:type="dxa"/>
        <w:tblCellMar>
          <w:top w:w="0" w:type="dxa"/>
          <w:left w:w="0" w:type="dxa"/>
          <w:bottom w:w="0" w:type="dxa"/>
          <w:right w:w="0" w:type="dxa"/>
        </w:tblCellMar>
      </w:tblPr>
      <w:tr>
        <w:trPr>
          <w:trHeight w:val="201"/>
        </w:trPr>
        <w:tc>
          <w:tcPr>
            <w:tcW w:w="1620" w:type="dxa"/>
            <w:vAlign w:val="bottom"/>
            <w:vMerge w:val="restart"/>
          </w:tcPr>
          <w:p>
            <w:pPr>
              <w:spacing w:after="0"/>
              <w:rPr>
                <w:sz w:val="20"/>
                <w:szCs w:val="20"/>
                <w:color w:val="auto"/>
              </w:rPr>
            </w:pPr>
            <w:r>
              <w:rPr>
                <w:rFonts w:ascii="Arial" w:cs="Arial" w:eastAsia="Arial" w:hAnsi="Arial"/>
                <w:sz w:val="16"/>
                <w:szCs w:val="16"/>
                <w:b w:val="1"/>
                <w:bCs w:val="1"/>
                <w:color w:val="00053B"/>
              </w:rPr>
              <w:t>the Company)</w:t>
            </w:r>
          </w:p>
        </w:tc>
        <w:tc>
          <w:tcPr>
            <w:tcW w:w="3340" w:type="dxa"/>
            <w:vAlign w:val="bottom"/>
          </w:tcPr>
          <w:p>
            <w:pPr>
              <w:ind w:left="800"/>
              <w:spacing w:after="0"/>
              <w:rPr>
                <w:sz w:val="20"/>
                <w:szCs w:val="20"/>
                <w:color w:val="auto"/>
              </w:rPr>
            </w:pPr>
            <w:r>
              <w:rPr>
                <w:rFonts w:ascii="Arial" w:cs="Arial" w:eastAsia="Arial" w:hAnsi="Arial"/>
                <w:sz w:val="16"/>
                <w:szCs w:val="16"/>
                <w:color w:val="00053B"/>
              </w:rPr>
              <w:t>Mr. Mirchandani and his</w:t>
            </w:r>
          </w:p>
        </w:tc>
        <w:tc>
          <w:tcPr>
            <w:tcW w:w="0" w:type="dxa"/>
            <w:vAlign w:val="bottom"/>
          </w:tcPr>
          <w:p>
            <w:pPr>
              <w:spacing w:after="0"/>
              <w:rPr>
                <w:sz w:val="1"/>
                <w:szCs w:val="1"/>
                <w:color w:val="auto"/>
              </w:rPr>
            </w:pPr>
          </w:p>
        </w:tc>
      </w:tr>
      <w:tr>
        <w:trPr>
          <w:trHeight w:val="88"/>
        </w:trPr>
        <w:tc>
          <w:tcPr>
            <w:tcW w:w="1620" w:type="dxa"/>
            <w:vAlign w:val="bottom"/>
            <w:vMerge w:val="continue"/>
          </w:tcPr>
          <w:p>
            <w:pPr>
              <w:spacing w:after="0"/>
              <w:rPr>
                <w:sz w:val="7"/>
                <w:szCs w:val="7"/>
                <w:color w:val="auto"/>
              </w:rPr>
            </w:pPr>
          </w:p>
        </w:tc>
        <w:tc>
          <w:tcPr>
            <w:tcW w:w="3340" w:type="dxa"/>
            <w:vAlign w:val="bottom"/>
            <w:vMerge w:val="restart"/>
          </w:tcPr>
          <w:p>
            <w:pPr>
              <w:ind w:left="800"/>
              <w:spacing w:after="0" w:line="175" w:lineRule="exact"/>
              <w:rPr>
                <w:sz w:val="20"/>
                <w:szCs w:val="20"/>
                <w:color w:val="auto"/>
              </w:rPr>
            </w:pPr>
            <w:r>
              <w:rPr>
                <w:rFonts w:ascii="Arial" w:cs="Arial" w:eastAsia="Arial" w:hAnsi="Arial"/>
                <w:sz w:val="16"/>
                <w:szCs w:val="16"/>
                <w:color w:val="00053B"/>
              </w:rPr>
              <w:t>dependents for a period of 18</w:t>
            </w:r>
          </w:p>
        </w:tc>
        <w:tc>
          <w:tcPr>
            <w:tcW w:w="0" w:type="dxa"/>
            <w:vAlign w:val="bottom"/>
          </w:tcPr>
          <w:p>
            <w:pPr>
              <w:spacing w:after="0"/>
              <w:rPr>
                <w:sz w:val="1"/>
                <w:szCs w:val="1"/>
                <w:color w:val="auto"/>
              </w:rPr>
            </w:pPr>
          </w:p>
        </w:tc>
      </w:tr>
      <w:tr>
        <w:trPr>
          <w:trHeight w:val="87"/>
        </w:trPr>
        <w:tc>
          <w:tcPr>
            <w:tcW w:w="1620" w:type="dxa"/>
            <w:vAlign w:val="bottom"/>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1620" w:type="dxa"/>
            <w:vAlign w:val="bottom"/>
          </w:tcPr>
          <w:p>
            <w:pPr>
              <w:spacing w:after="0"/>
              <w:rPr>
                <w:sz w:val="18"/>
                <w:szCs w:val="18"/>
                <w:color w:val="auto"/>
              </w:rPr>
            </w:pPr>
          </w:p>
        </w:tc>
        <w:tc>
          <w:tcPr>
            <w:tcW w:w="3340" w:type="dxa"/>
            <w:vAlign w:val="bottom"/>
          </w:tcPr>
          <w:p>
            <w:pPr>
              <w:ind w:left="800"/>
              <w:spacing w:after="0"/>
              <w:rPr>
                <w:sz w:val="20"/>
                <w:szCs w:val="20"/>
                <w:color w:val="auto"/>
              </w:rPr>
            </w:pPr>
            <w:r>
              <w:rPr>
                <w:rFonts w:ascii="Arial" w:cs="Arial" w:eastAsia="Arial" w:hAnsi="Arial"/>
                <w:sz w:val="16"/>
                <w:szCs w:val="16"/>
                <w:color w:val="00053B"/>
              </w:rPr>
              <w:t>months</w:t>
            </w:r>
          </w:p>
        </w:tc>
        <w:tc>
          <w:tcPr>
            <w:tcW w:w="0" w:type="dxa"/>
            <w:vAlign w:val="bottom"/>
          </w:tcPr>
          <w:p>
            <w:pPr>
              <w:spacing w:after="0"/>
              <w:rPr>
                <w:sz w:val="1"/>
                <w:szCs w:val="1"/>
                <w:color w:val="auto"/>
              </w:rPr>
            </w:pPr>
          </w:p>
        </w:tc>
      </w:tr>
      <w:tr>
        <w:trPr>
          <w:trHeight w:val="231"/>
        </w:trPr>
        <w:tc>
          <w:tcPr>
            <w:tcW w:w="1620" w:type="dxa"/>
            <w:vAlign w:val="bottom"/>
          </w:tcPr>
          <w:p>
            <w:pPr>
              <w:spacing w:after="0"/>
              <w:rPr>
                <w:sz w:val="20"/>
                <w:szCs w:val="20"/>
                <w:color w:val="auto"/>
              </w:rPr>
            </w:pPr>
          </w:p>
        </w:tc>
        <w:tc>
          <w:tcPr>
            <w:tcW w:w="3340" w:type="dxa"/>
            <w:vAlign w:val="bottom"/>
          </w:tcPr>
          <w:p>
            <w:pPr>
              <w:ind w:left="560"/>
              <w:spacing w:after="0"/>
              <w:rPr>
                <w:sz w:val="20"/>
                <w:szCs w:val="20"/>
                <w:color w:val="auto"/>
              </w:rPr>
            </w:pPr>
            <w:r>
              <w:rPr>
                <w:rFonts w:ascii="Arial" w:cs="Arial" w:eastAsia="Arial" w:hAnsi="Arial"/>
                <w:sz w:val="16"/>
                <w:szCs w:val="16"/>
                <w:color w:val="00053B"/>
              </w:rPr>
              <w:t>•  12 months acceleration for time-</w:t>
            </w:r>
          </w:p>
        </w:tc>
        <w:tc>
          <w:tcPr>
            <w:tcW w:w="0" w:type="dxa"/>
            <w:vAlign w:val="bottom"/>
          </w:tcPr>
          <w:p>
            <w:pPr>
              <w:spacing w:after="0"/>
              <w:rPr>
                <w:sz w:val="1"/>
                <w:szCs w:val="1"/>
                <w:color w:val="auto"/>
              </w:rPr>
            </w:pPr>
          </w:p>
        </w:tc>
      </w:tr>
      <w:tr>
        <w:trPr>
          <w:trHeight w:val="215"/>
        </w:trPr>
        <w:tc>
          <w:tcPr>
            <w:tcW w:w="1620" w:type="dxa"/>
            <w:vAlign w:val="bottom"/>
          </w:tcPr>
          <w:p>
            <w:pPr>
              <w:spacing w:after="0"/>
              <w:rPr>
                <w:sz w:val="18"/>
                <w:szCs w:val="18"/>
                <w:color w:val="auto"/>
              </w:rPr>
            </w:pPr>
          </w:p>
        </w:tc>
        <w:tc>
          <w:tcPr>
            <w:tcW w:w="3340" w:type="dxa"/>
            <w:vAlign w:val="bottom"/>
          </w:tcPr>
          <w:p>
            <w:pPr>
              <w:ind w:left="800"/>
              <w:spacing w:after="0"/>
              <w:rPr>
                <w:sz w:val="20"/>
                <w:szCs w:val="20"/>
                <w:color w:val="auto"/>
              </w:rPr>
            </w:pPr>
            <w:r>
              <w:rPr>
                <w:rFonts w:ascii="Arial" w:cs="Arial" w:eastAsia="Arial" w:hAnsi="Arial"/>
                <w:sz w:val="16"/>
                <w:szCs w:val="16"/>
                <w:color w:val="00053B"/>
              </w:rPr>
              <w:t>vesting equity</w:t>
            </w:r>
          </w:p>
        </w:tc>
        <w:tc>
          <w:tcPr>
            <w:tcW w:w="0" w:type="dxa"/>
            <w:vAlign w:val="bottom"/>
          </w:tcPr>
          <w:p>
            <w:pPr>
              <w:spacing w:after="0"/>
              <w:rPr>
                <w:sz w:val="1"/>
                <w:szCs w:val="1"/>
                <w:color w:val="auto"/>
              </w:rPr>
            </w:pPr>
          </w:p>
        </w:tc>
      </w:tr>
      <w:tr>
        <w:trPr>
          <w:trHeight w:val="231"/>
        </w:trPr>
        <w:tc>
          <w:tcPr>
            <w:tcW w:w="1620" w:type="dxa"/>
            <w:vAlign w:val="bottom"/>
          </w:tcPr>
          <w:p>
            <w:pPr>
              <w:spacing w:after="0"/>
              <w:rPr>
                <w:sz w:val="20"/>
                <w:szCs w:val="20"/>
                <w:color w:val="auto"/>
              </w:rPr>
            </w:pPr>
          </w:p>
        </w:tc>
        <w:tc>
          <w:tcPr>
            <w:tcW w:w="3340" w:type="dxa"/>
            <w:vAlign w:val="bottom"/>
          </w:tcPr>
          <w:p>
            <w:pPr>
              <w:ind w:left="560"/>
              <w:spacing w:after="0"/>
              <w:rPr>
                <w:sz w:val="20"/>
                <w:szCs w:val="20"/>
                <w:color w:val="auto"/>
              </w:rPr>
            </w:pPr>
            <w:r>
              <w:rPr>
                <w:rFonts w:ascii="Arial" w:cs="Arial" w:eastAsia="Arial" w:hAnsi="Arial"/>
                <w:sz w:val="16"/>
                <w:szCs w:val="16"/>
                <w:color w:val="00053B"/>
              </w:rPr>
              <w:t>•  any stock awards with performance</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3340" w:type="dxa"/>
            <w:vAlign w:val="bottom"/>
          </w:tcPr>
          <w:p>
            <w:pPr>
              <w:ind w:left="800"/>
              <w:spacing w:after="0"/>
              <w:rPr>
                <w:sz w:val="20"/>
                <w:szCs w:val="20"/>
                <w:color w:val="auto"/>
              </w:rPr>
            </w:pPr>
            <w:r>
              <w:rPr>
                <w:rFonts w:ascii="Arial" w:cs="Arial" w:eastAsia="Arial" w:hAnsi="Arial"/>
                <w:sz w:val="16"/>
                <w:szCs w:val="16"/>
                <w:color w:val="00053B"/>
              </w:rPr>
              <w:t>conditions not yet determined will</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3340" w:type="dxa"/>
            <w:vAlign w:val="bottom"/>
          </w:tcPr>
          <w:p>
            <w:pPr>
              <w:ind w:left="800"/>
              <w:spacing w:after="0"/>
              <w:rPr>
                <w:sz w:val="20"/>
                <w:szCs w:val="20"/>
                <w:color w:val="auto"/>
              </w:rPr>
            </w:pPr>
            <w:r>
              <w:rPr>
                <w:rFonts w:ascii="Arial" w:cs="Arial" w:eastAsia="Arial" w:hAnsi="Arial"/>
                <w:sz w:val="16"/>
                <w:szCs w:val="16"/>
                <w:color w:val="00053B"/>
              </w:rPr>
              <w:t>be deemed earned at 100% of</w:t>
            </w:r>
          </w:p>
        </w:tc>
        <w:tc>
          <w:tcPr>
            <w:tcW w:w="0" w:type="dxa"/>
            <w:vAlign w:val="bottom"/>
          </w:tcPr>
          <w:p>
            <w:pPr>
              <w:spacing w:after="0"/>
              <w:rPr>
                <w:sz w:val="1"/>
                <w:szCs w:val="1"/>
                <w:color w:val="auto"/>
              </w:rPr>
            </w:pPr>
          </w:p>
        </w:tc>
      </w:tr>
      <w:tr>
        <w:trPr>
          <w:trHeight w:val="215"/>
        </w:trPr>
        <w:tc>
          <w:tcPr>
            <w:tcW w:w="1620" w:type="dxa"/>
            <w:vAlign w:val="bottom"/>
          </w:tcPr>
          <w:p>
            <w:pPr>
              <w:spacing w:after="0"/>
              <w:rPr>
                <w:sz w:val="18"/>
                <w:szCs w:val="18"/>
                <w:color w:val="auto"/>
              </w:rPr>
            </w:pPr>
          </w:p>
        </w:tc>
        <w:tc>
          <w:tcPr>
            <w:tcW w:w="3340" w:type="dxa"/>
            <w:vAlign w:val="bottom"/>
          </w:tcPr>
          <w:p>
            <w:pPr>
              <w:ind w:left="800"/>
              <w:spacing w:after="0"/>
              <w:rPr>
                <w:sz w:val="20"/>
                <w:szCs w:val="20"/>
                <w:color w:val="auto"/>
              </w:rPr>
            </w:pPr>
            <w:r>
              <w:rPr>
                <w:rFonts w:ascii="Arial" w:cs="Arial" w:eastAsia="Arial" w:hAnsi="Arial"/>
                <w:sz w:val="16"/>
                <w:szCs w:val="16"/>
                <w:color w:val="00053B"/>
              </w:rPr>
              <w:t>target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44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15175" cy="1028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COMPENSATION TABLES | </w:t>
      </w:r>
      <w:r>
        <w:rPr>
          <w:rFonts w:ascii="Arial" w:cs="Arial" w:eastAsia="Arial" w:hAnsi="Arial"/>
          <w:sz w:val="11"/>
          <w:szCs w:val="11"/>
          <w:b w:val="1"/>
          <w:bCs w:val="1"/>
          <w:color w:val="00053B"/>
        </w:rPr>
        <w:t>INDIVIDUAL AGREEMENTS</w:t>
      </w:r>
    </w:p>
    <w:p>
      <w:pPr>
        <w:spacing w:after="0" w:line="291" w:lineRule="exact"/>
        <w:rPr>
          <w:sz w:val="20"/>
          <w:szCs w:val="20"/>
          <w:color w:val="auto"/>
        </w:rPr>
      </w:pPr>
    </w:p>
    <w:p>
      <w:pPr>
        <w:jc w:val="right"/>
        <w:ind w:right="1580"/>
        <w:spacing w:after="0"/>
        <w:tabs>
          <w:tab w:leader="none" w:pos="4200" w:val="left"/>
          <w:tab w:leader="none" w:pos="1320" w:val="left"/>
        </w:tabs>
        <w:rPr>
          <w:sz w:val="20"/>
          <w:szCs w:val="20"/>
          <w:color w:val="auto"/>
        </w:rPr>
      </w:pPr>
      <w:r>
        <w:rPr>
          <w:rFonts w:ascii="Arial" w:cs="Arial" w:eastAsia="Arial" w:hAnsi="Arial"/>
          <w:sz w:val="16"/>
          <w:szCs w:val="16"/>
          <w:color w:val="00053B"/>
        </w:rPr>
        <w:t>Sanjay Mirchandani</w:t>
      </w:r>
      <w:r>
        <w:rPr>
          <w:sz w:val="20"/>
          <w:szCs w:val="20"/>
          <w:color w:val="auto"/>
        </w:rPr>
        <w:tab/>
      </w:r>
      <w:r>
        <w:rPr>
          <w:rFonts w:ascii="Arial" w:cs="Arial" w:eastAsia="Arial" w:hAnsi="Arial"/>
          <w:sz w:val="16"/>
          <w:szCs w:val="16"/>
          <w:color w:val="00053B"/>
        </w:rPr>
        <w:t>Gary Merrill</w:t>
      </w:r>
      <w:r>
        <w:rPr>
          <w:sz w:val="20"/>
          <w:szCs w:val="20"/>
          <w:color w:val="auto"/>
        </w:rPr>
        <w:tab/>
      </w:r>
      <w:r>
        <w:rPr>
          <w:rFonts w:ascii="Arial" w:cs="Arial" w:eastAsia="Arial" w:hAnsi="Arial"/>
          <w:sz w:val="16"/>
          <w:szCs w:val="16"/>
          <w:color w:val="00053B"/>
        </w:rPr>
        <w:t>Riccardo Di Blasio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20955</wp:posOffset>
            </wp:positionV>
            <wp:extent cx="69519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59" w:lineRule="exact"/>
        <w:rPr>
          <w:sz w:val="20"/>
          <w:szCs w:val="20"/>
          <w:color w:val="auto"/>
        </w:rPr>
      </w:pPr>
    </w:p>
    <w:p>
      <w:pPr>
        <w:jc w:val="both"/>
        <w:ind w:left="260"/>
        <w:spacing w:after="0" w:line="280" w:lineRule="auto"/>
        <w:rPr>
          <w:sz w:val="20"/>
          <w:szCs w:val="20"/>
          <w:color w:val="auto"/>
        </w:rPr>
      </w:pPr>
      <w:r>
        <w:rPr>
          <w:rFonts w:ascii="Arial" w:cs="Arial" w:eastAsia="Arial" w:hAnsi="Arial"/>
          <w:sz w:val="16"/>
          <w:szCs w:val="16"/>
          <w:b w:val="1"/>
          <w:bCs w:val="1"/>
          <w:color w:val="00053B"/>
        </w:rPr>
        <w:t>Compensation in the event of termination due to death or disability</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231" w:hanging="231"/>
        <w:spacing w:after="0"/>
        <w:tabs>
          <w:tab w:leader="none" w:pos="231" w:val="left"/>
        </w:tabs>
        <w:numPr>
          <w:ilvl w:val="0"/>
          <w:numId w:val="43"/>
        </w:numPr>
        <w:rPr>
          <w:rFonts w:ascii="Arial" w:cs="Arial" w:eastAsia="Arial" w:hAnsi="Arial"/>
          <w:sz w:val="16"/>
          <w:szCs w:val="16"/>
          <w:color w:val="00053B"/>
        </w:rPr>
      </w:pPr>
      <w:r>
        <w:rPr>
          <w:rFonts w:ascii="Arial" w:cs="Arial" w:eastAsia="Arial" w:hAnsi="Arial"/>
          <w:sz w:val="16"/>
          <w:szCs w:val="16"/>
          <w:color w:val="00053B"/>
        </w:rPr>
        <w:t>entitled to any compensation earned but not yet paid</w:t>
      </w:r>
    </w:p>
    <w:p>
      <w:pPr>
        <w:spacing w:after="0" w:line="72" w:lineRule="exact"/>
        <w:rPr>
          <w:rFonts w:ascii="Arial" w:cs="Arial" w:eastAsia="Arial" w:hAnsi="Arial"/>
          <w:sz w:val="16"/>
          <w:szCs w:val="16"/>
          <w:color w:val="00053B"/>
        </w:rPr>
      </w:pPr>
    </w:p>
    <w:p>
      <w:pPr>
        <w:ind w:left="231" w:hanging="231"/>
        <w:spacing w:after="0"/>
        <w:tabs>
          <w:tab w:leader="none" w:pos="231" w:val="left"/>
        </w:tabs>
        <w:numPr>
          <w:ilvl w:val="0"/>
          <w:numId w:val="43"/>
        </w:numPr>
        <w:rPr>
          <w:rFonts w:ascii="Arial" w:cs="Arial" w:eastAsia="Arial" w:hAnsi="Arial"/>
          <w:sz w:val="16"/>
          <w:szCs w:val="16"/>
          <w:color w:val="00053B"/>
        </w:rPr>
      </w:pPr>
      <w:r>
        <w:rPr>
          <w:rFonts w:ascii="Arial" w:cs="Arial" w:eastAsia="Arial" w:hAnsi="Arial"/>
          <w:sz w:val="16"/>
          <w:szCs w:val="16"/>
          <w:color w:val="00053B"/>
        </w:rPr>
        <w:t>any outstanding stock options or awards will immediately vest</w:t>
      </w:r>
    </w:p>
    <w:p>
      <w:pPr>
        <w:spacing w:after="0" w:line="59" w:lineRule="exact"/>
        <w:rPr>
          <w:rFonts w:ascii="Arial" w:cs="Arial" w:eastAsia="Arial" w:hAnsi="Arial"/>
          <w:sz w:val="16"/>
          <w:szCs w:val="16"/>
          <w:color w:val="00053B"/>
        </w:rPr>
      </w:pPr>
    </w:p>
    <w:p>
      <w:pPr>
        <w:ind w:left="251" w:hanging="251"/>
        <w:spacing w:after="0"/>
        <w:tabs>
          <w:tab w:leader="none" w:pos="251" w:val="left"/>
        </w:tabs>
        <w:numPr>
          <w:ilvl w:val="0"/>
          <w:numId w:val="43"/>
        </w:numPr>
        <w:rPr>
          <w:rFonts w:ascii="Arial" w:cs="Arial" w:eastAsia="Arial" w:hAnsi="Arial"/>
          <w:sz w:val="16"/>
          <w:szCs w:val="16"/>
          <w:color w:val="00053B"/>
        </w:rPr>
      </w:pPr>
      <w:r>
        <w:rPr>
          <w:rFonts w:ascii="Arial" w:cs="Arial" w:eastAsia="Arial" w:hAnsi="Arial"/>
          <w:sz w:val="16"/>
          <w:szCs w:val="16"/>
          <w:color w:val="00053B"/>
        </w:rPr>
        <w:t>any stock awards with performance conditions not yet determined will be deemed earned at 100% of target</w:t>
      </w:r>
    </w:p>
    <w:p>
      <w:pPr>
        <w:spacing w:after="0" w:line="46" w:lineRule="exact"/>
        <w:rPr>
          <w:sz w:val="20"/>
          <w:szCs w:val="20"/>
          <w:color w:val="auto"/>
        </w:rPr>
      </w:pPr>
    </w:p>
    <w:p>
      <w:pPr>
        <w:sectPr>
          <w:pgSz w:w="11900" w:h="16838" w:orient="portrait"/>
          <w:cols w:equalWidth="0" w:num="2">
            <w:col w:w="2360" w:space="89"/>
            <w:col w:w="8771"/>
          </w:cols>
          <w:pgMar w:left="320" w:top="122" w:right="359" w:bottom="1440" w:gutter="0" w:footer="0" w:header="0"/>
          <w:type w:val="continuous"/>
        </w:sectPr>
      </w:pPr>
    </w:p>
    <w:p>
      <w:pPr>
        <w:ind w:left="260"/>
        <w:spacing w:after="0"/>
        <w:rPr>
          <w:sz w:val="20"/>
          <w:szCs w:val="20"/>
          <w:color w:val="auto"/>
        </w:rPr>
      </w:pPr>
      <w:r>
        <w:rPr>
          <w:rFonts w:ascii="Arial" w:cs="Arial" w:eastAsia="Arial" w:hAnsi="Arial"/>
          <w:sz w:val="16"/>
          <w:szCs w:val="16"/>
          <w:b w:val="1"/>
          <w:bCs w:val="1"/>
          <w:color w:val="00053B"/>
        </w:rPr>
        <w:t>Restrictive covenants</w:t>
      </w:r>
    </w:p>
    <w:p>
      <w:pPr>
        <w:spacing w:after="0" w:line="20" w:lineRule="exact"/>
        <w:rPr>
          <w:sz w:val="20"/>
          <w:szCs w:val="20"/>
          <w:color w:val="auto"/>
        </w:rPr>
      </w:pPr>
      <w:r>
        <w:rPr>
          <w:sz w:val="20"/>
          <w:szCs w:val="20"/>
          <w:color w:val="auto"/>
        </w:rPr>
        <w:br w:type="column"/>
      </w:r>
    </w:p>
    <w:p>
      <w:pPr>
        <w:jc w:val="both"/>
        <w:spacing w:after="0" w:line="275" w:lineRule="auto"/>
        <w:rPr>
          <w:sz w:val="20"/>
          <w:szCs w:val="20"/>
          <w:color w:val="auto"/>
        </w:rPr>
      </w:pPr>
      <w:r>
        <w:rPr>
          <w:rFonts w:ascii="Arial" w:cs="Arial" w:eastAsia="Arial" w:hAnsi="Arial"/>
          <w:sz w:val="16"/>
          <w:szCs w:val="16"/>
          <w:color w:val="00053B"/>
        </w:rPr>
        <w:t>during his term of employment with us and for a period of one year following any termination, may not:</w:t>
      </w:r>
    </w:p>
    <w:p>
      <w:pPr>
        <w:spacing w:after="0" w:line="16" w:lineRule="exact"/>
        <w:rPr>
          <w:sz w:val="20"/>
          <w:szCs w:val="20"/>
          <w:color w:val="auto"/>
        </w:rPr>
      </w:pPr>
    </w:p>
    <w:p>
      <w:pPr>
        <w:ind w:left="260" w:right="60" w:hanging="251"/>
        <w:spacing w:after="0" w:line="262" w:lineRule="auto"/>
        <w:tabs>
          <w:tab w:leader="none" w:pos="249" w:val="left"/>
        </w:tabs>
        <w:numPr>
          <w:ilvl w:val="0"/>
          <w:numId w:val="44"/>
        </w:numPr>
        <w:rPr>
          <w:rFonts w:ascii="Arial" w:cs="Arial" w:eastAsia="Arial" w:hAnsi="Arial"/>
          <w:sz w:val="16"/>
          <w:szCs w:val="16"/>
          <w:color w:val="00053B"/>
        </w:rPr>
      </w:pPr>
      <w:r>
        <w:rPr>
          <w:rFonts w:ascii="Arial" w:cs="Arial" w:eastAsia="Arial" w:hAnsi="Arial"/>
          <w:sz w:val="16"/>
          <w:szCs w:val="16"/>
          <w:color w:val="00053B"/>
        </w:rPr>
        <w:t>participate, directly or indirectly, within the United States, in a business in competition with Commvault (other than beneficial ownership of up to one percent of the outstanding stock of a publicly held company)</w:t>
      </w:r>
    </w:p>
    <w:p>
      <w:pPr>
        <w:spacing w:after="0" w:line="11" w:lineRule="exact"/>
        <w:rPr>
          <w:rFonts w:ascii="Arial" w:cs="Arial" w:eastAsia="Arial" w:hAnsi="Arial"/>
          <w:sz w:val="16"/>
          <w:szCs w:val="16"/>
          <w:color w:val="00053B"/>
        </w:rPr>
      </w:pPr>
    </w:p>
    <w:p>
      <w:pPr>
        <w:ind w:left="240" w:hanging="231"/>
        <w:spacing w:after="0"/>
        <w:tabs>
          <w:tab w:leader="none" w:pos="240" w:val="left"/>
        </w:tabs>
        <w:numPr>
          <w:ilvl w:val="0"/>
          <w:numId w:val="44"/>
        </w:numPr>
        <w:rPr>
          <w:rFonts w:ascii="Arial" w:cs="Arial" w:eastAsia="Arial" w:hAnsi="Arial"/>
          <w:sz w:val="16"/>
          <w:szCs w:val="16"/>
          <w:color w:val="00053B"/>
        </w:rPr>
      </w:pPr>
      <w:r>
        <w:rPr>
          <w:rFonts w:ascii="Arial" w:cs="Arial" w:eastAsia="Arial" w:hAnsi="Arial"/>
          <w:sz w:val="16"/>
          <w:szCs w:val="16"/>
          <w:color w:val="00053B"/>
        </w:rPr>
        <w:t>solicit our employees or customers</w:t>
      </w:r>
    </w:p>
    <w:p>
      <w:pPr>
        <w:spacing w:after="0" w:line="20" w:lineRule="exact"/>
        <w:rPr>
          <w:sz w:val="20"/>
          <w:szCs w:val="20"/>
          <w:color w:val="auto"/>
        </w:rPr>
      </w:pPr>
      <w:r>
        <w:rPr>
          <w:sz w:val="20"/>
          <w:szCs w:val="20"/>
          <w:color w:val="auto"/>
        </w:rPr>
        <w:br w:type="column"/>
      </w:r>
    </w:p>
    <w:p>
      <w:pPr>
        <w:ind w:left="2" w:right="440"/>
        <w:spacing w:after="0" w:line="299" w:lineRule="auto"/>
        <w:rPr>
          <w:sz w:val="20"/>
          <w:szCs w:val="20"/>
          <w:color w:val="auto"/>
        </w:rPr>
      </w:pPr>
      <w:r>
        <w:rPr>
          <w:rFonts w:ascii="Arial" w:cs="Arial" w:eastAsia="Arial" w:hAnsi="Arial"/>
          <w:sz w:val="16"/>
          <w:szCs w:val="16"/>
          <w:color w:val="00053B"/>
        </w:rPr>
        <w:t>during his term of employment with us and for a period of one year following any termination, the executive may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-298450</wp:posOffset>
            </wp:positionV>
            <wp:extent cx="6951980" cy="17576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6951980" cy="1757680"/>
                    </a:xfrm>
                    <a:prstGeom prst="rect">
                      <a:avLst/>
                    </a:prstGeom>
                    <a:noFill/>
                  </pic:spPr>
                </pic:pic>
              </a:graphicData>
            </a:graphic>
          </wp:anchor>
        </w:drawing>
      </w:r>
    </w:p>
    <w:p>
      <w:pPr>
        <w:ind w:left="242" w:right="140" w:hanging="242"/>
        <w:spacing w:after="0" w:line="260" w:lineRule="auto"/>
        <w:tabs>
          <w:tab w:leader="none" w:pos="231" w:val="left"/>
        </w:tabs>
        <w:numPr>
          <w:ilvl w:val="0"/>
          <w:numId w:val="45"/>
        </w:numPr>
        <w:rPr>
          <w:rFonts w:ascii="Arial" w:cs="Arial" w:eastAsia="Arial" w:hAnsi="Arial"/>
          <w:sz w:val="16"/>
          <w:szCs w:val="16"/>
          <w:color w:val="00053B"/>
        </w:rPr>
      </w:pPr>
      <w:r>
        <w:rPr>
          <w:rFonts w:ascii="Arial" w:cs="Arial" w:eastAsia="Arial" w:hAnsi="Arial"/>
          <w:sz w:val="16"/>
          <w:szCs w:val="16"/>
          <w:color w:val="00053B"/>
        </w:rPr>
        <w:t>engage in, or have any interest in, or manage or operate any business that engages in any activity that then competes with any business of the Company or any Commvault subsidiary anywhere in the world (each, a “Competitor”) (other than beneficial ownership of up to 5% of the outstanding voting stock of a publicly traded company)</w:t>
      </w:r>
    </w:p>
    <w:p>
      <w:pPr>
        <w:spacing w:after="0" w:line="29" w:lineRule="exact"/>
        <w:rPr>
          <w:rFonts w:ascii="Arial" w:cs="Arial" w:eastAsia="Arial" w:hAnsi="Arial"/>
          <w:sz w:val="16"/>
          <w:szCs w:val="16"/>
          <w:color w:val="00053B"/>
        </w:rPr>
      </w:pPr>
    </w:p>
    <w:p>
      <w:pPr>
        <w:ind w:left="242" w:right="340" w:hanging="242"/>
        <w:spacing w:after="0" w:line="286" w:lineRule="auto"/>
        <w:tabs>
          <w:tab w:leader="none" w:pos="231" w:val="left"/>
        </w:tabs>
        <w:numPr>
          <w:ilvl w:val="0"/>
          <w:numId w:val="45"/>
        </w:numPr>
        <w:rPr>
          <w:rFonts w:ascii="Arial" w:cs="Arial" w:eastAsia="Arial" w:hAnsi="Arial"/>
          <w:sz w:val="16"/>
          <w:szCs w:val="16"/>
          <w:color w:val="00053B"/>
        </w:rPr>
      </w:pPr>
      <w:r>
        <w:rPr>
          <w:rFonts w:ascii="Arial" w:cs="Arial" w:eastAsia="Arial" w:hAnsi="Arial"/>
          <w:sz w:val="16"/>
          <w:szCs w:val="16"/>
          <w:color w:val="00053B"/>
        </w:rPr>
        <w:t>induce any employee of the Company or its subsidiaries to terminate such employment or to become employed by any Competitor</w:t>
      </w:r>
    </w:p>
    <w:p>
      <w:pPr>
        <w:spacing w:after="0" w:line="7" w:lineRule="exact"/>
        <w:rPr>
          <w:rFonts w:ascii="Arial" w:cs="Arial" w:eastAsia="Arial" w:hAnsi="Arial"/>
          <w:sz w:val="16"/>
          <w:szCs w:val="16"/>
          <w:color w:val="00053B"/>
        </w:rPr>
      </w:pPr>
    </w:p>
    <w:p>
      <w:pPr>
        <w:ind w:left="242" w:right="180" w:hanging="242"/>
        <w:spacing w:after="0" w:line="265" w:lineRule="auto"/>
        <w:tabs>
          <w:tab w:leader="none" w:pos="231" w:val="left"/>
        </w:tabs>
        <w:numPr>
          <w:ilvl w:val="0"/>
          <w:numId w:val="45"/>
        </w:numPr>
        <w:rPr>
          <w:rFonts w:ascii="Arial" w:cs="Arial" w:eastAsia="Arial" w:hAnsi="Arial"/>
          <w:sz w:val="16"/>
          <w:szCs w:val="16"/>
          <w:color w:val="00053B"/>
        </w:rPr>
      </w:pPr>
      <w:r>
        <w:rPr>
          <w:rFonts w:ascii="Arial" w:cs="Arial" w:eastAsia="Arial" w:hAnsi="Arial"/>
          <w:sz w:val="16"/>
          <w:szCs w:val="16"/>
          <w:color w:val="00053B"/>
        </w:rPr>
        <w:t>contact, induce or attempt to induce any customer or potential customer (of which the executive had actual knowledge) to purchase products or services from any entity other than the Company, or to cease being a customer of the Company</w:t>
      </w:r>
    </w:p>
    <w:p>
      <w:pPr>
        <w:spacing w:after="0" w:line="200" w:lineRule="exact"/>
        <w:rPr>
          <w:sz w:val="20"/>
          <w:szCs w:val="20"/>
          <w:color w:val="auto"/>
        </w:rPr>
      </w:pPr>
    </w:p>
    <w:p>
      <w:pPr>
        <w:sectPr>
          <w:pgSz w:w="11900" w:h="16838" w:orient="portrait"/>
          <w:cols w:equalWidth="0" w:num="3">
            <w:col w:w="1940" w:space="500"/>
            <w:col w:w="2740" w:space="158"/>
            <w:col w:w="5882"/>
          </w:cols>
          <w:pgMar w:left="320" w:top="122" w:right="359" w:bottom="1440" w:gutter="0" w:footer="0" w:header="0"/>
          <w:type w:val="continuous"/>
        </w:sectPr>
      </w:pPr>
    </w:p>
    <w:p>
      <w:pPr>
        <w:spacing w:after="0" w:line="185"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3"/>
          <w:szCs w:val="13"/>
          <w:color w:val="00053B"/>
        </w:rPr>
      </w:pPr>
      <w:r>
        <w:rPr>
          <w:rFonts w:ascii="Arial" w:cs="Arial" w:eastAsia="Arial" w:hAnsi="Arial"/>
          <w:sz w:val="13"/>
          <w:szCs w:val="13"/>
          <w:color w:val="00053B"/>
        </w:rPr>
        <w:t>Each executive’s individual agreement defines “cause” and “good reason.”</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Change in Control Agreements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00053B"/>
        </w:rPr>
        <w:t>Sanjay Mirchandani</w:t>
      </w:r>
    </w:p>
    <w:p>
      <w:pPr>
        <w:spacing w:after="0" w:line="6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00053B"/>
        </w:rPr>
        <w:t>If a change in control of our Company occurs and Mr. Mirchandani’ s employment is terminated for reasons other than for cause, Mr. Mirchandani’ s employment is terminated on account of disability, or if Mr. Mirchandani terminates his employment for good reason, in each case within two years of the change in control, then all equity awards held by Mr. Mirchandani will immediately become exercisable and vested and any equity awards with performance conditions not yet determined will be deemed earned at 100% of target. Furthermore, subject to execution of a release of claims in favor of the Company, he will be entitled to (1) a lump sum severance payment equal to 18 months of his base salary plus his target cash incentive bonus at the time of the change in control, and (2) health insurance coverage for him and his dependents for an 18-month period.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00053B"/>
        </w:rPr>
        <w:t>Gary Merrill and Riccardo Di Blasio</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00053B"/>
        </w:rPr>
        <w:t>Messrs. Merrill and Di Blasio each have Executive Retention and Severance Agreements.</w:t>
      </w:r>
    </w:p>
    <w:p>
      <w:pPr>
        <w:spacing w:after="0" w:line="113" w:lineRule="exact"/>
        <w:rPr>
          <w:sz w:val="20"/>
          <w:szCs w:val="20"/>
          <w:color w:val="auto"/>
        </w:rPr>
      </w:pPr>
    </w:p>
    <w:p>
      <w:pPr>
        <w:spacing w:after="0" w:line="265" w:lineRule="auto"/>
        <w:rPr>
          <w:sz w:val="20"/>
          <w:szCs w:val="20"/>
          <w:color w:val="auto"/>
        </w:rPr>
      </w:pPr>
      <w:r>
        <w:rPr>
          <w:rFonts w:ascii="Arial" w:cs="Arial" w:eastAsia="Arial" w:hAnsi="Arial"/>
          <w:sz w:val="16"/>
          <w:szCs w:val="16"/>
          <w:color w:val="00053B"/>
        </w:rPr>
        <w:t>If a change in control of our Company occurs, and within two years the employment of Messrs. Merrill or Di Blasio is terminated for reasons other than for cause, or if the executive terminates his employment for good reason (as defined in the Executive Retention and Severance Agreement), then, subject to the execution of a general release of claims, all equity awards held by the executive will immediately become exercisable or vested, and that executive will be entitled to a lump sum severance payment equal to 12 months of his annual base salary at the time of the change in control and health insurance coverage for the executive and his dependents for a 12-month period.</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45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15175" cy="1028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COMPENSATION TABLES | </w:t>
      </w:r>
      <w:r>
        <w:rPr>
          <w:rFonts w:ascii="Arial" w:cs="Arial" w:eastAsia="Arial" w:hAnsi="Arial"/>
          <w:sz w:val="11"/>
          <w:szCs w:val="11"/>
          <w:b w:val="1"/>
          <w:bCs w:val="1"/>
          <w:color w:val="00053B"/>
        </w:rPr>
        <w:t>CHANGE IN CONTROL AGREEMENTS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Estimated Payments and Benefits Upon Termination or Change In Control</w:t>
      </w:r>
    </w:p>
    <w:p>
      <w:pPr>
        <w:spacing w:after="0" w:line="7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00053B"/>
        </w:rPr>
        <w:t>The amount of compensation and benefits payable to each named executive officer has been estimated in the table below as if any termination was effective as of March 31, 2024, the last day of our fiscal year. The actual amounts to be paid out can only be determined at the time of an executive’s separation.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3"/>
                <w:szCs w:val="13"/>
                <w:color w:val="00053B"/>
              </w:rPr>
              <w:t>Compensation ($)</w:t>
            </w:r>
          </w:p>
        </w:tc>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4800" w:type="dxa"/>
            <w:vAlign w:val="bottom"/>
          </w:tcPr>
          <w:p>
            <w:pPr>
              <w:spacing w:after="0"/>
              <w:rPr>
                <w:sz w:val="2"/>
                <w:szCs w:val="2"/>
                <w:color w:val="auto"/>
              </w:rPr>
            </w:pPr>
          </w:p>
        </w:tc>
        <w:tc>
          <w:tcPr>
            <w:tcW w:w="1160" w:type="dxa"/>
            <w:vAlign w:val="bottom"/>
            <w:tcBorders>
              <w:bottom w:val="single" w:sz="8" w:color="844896"/>
            </w:tcBorders>
          </w:tcPr>
          <w:p>
            <w:pPr>
              <w:spacing w:after="0"/>
              <w:rPr>
                <w:sz w:val="2"/>
                <w:szCs w:val="2"/>
                <w:color w:val="auto"/>
              </w:rPr>
            </w:pPr>
          </w:p>
        </w:tc>
        <w:tc>
          <w:tcPr>
            <w:tcW w:w="1100" w:type="dxa"/>
            <w:vAlign w:val="bottom"/>
            <w:tcBorders>
              <w:bottom w:val="single" w:sz="8" w:color="844896"/>
            </w:tcBorders>
          </w:tcPr>
          <w:p>
            <w:pPr>
              <w:spacing w:after="0"/>
              <w:rPr>
                <w:sz w:val="2"/>
                <w:szCs w:val="2"/>
                <w:color w:val="auto"/>
              </w:rPr>
            </w:pPr>
          </w:p>
        </w:tc>
        <w:tc>
          <w:tcPr>
            <w:tcW w:w="260" w:type="dxa"/>
            <w:vAlign w:val="bottom"/>
            <w:tcBorders>
              <w:bottom w:val="single" w:sz="8" w:color="844896"/>
            </w:tcBorders>
          </w:tcPr>
          <w:p>
            <w:pPr>
              <w:spacing w:after="0"/>
              <w:rPr>
                <w:sz w:val="2"/>
                <w:szCs w:val="2"/>
                <w:color w:val="auto"/>
              </w:rPr>
            </w:pPr>
          </w:p>
        </w:tc>
        <w:tc>
          <w:tcPr>
            <w:tcW w:w="1160" w:type="dxa"/>
            <w:vAlign w:val="bottom"/>
            <w:tcBorders>
              <w:bottom w:val="single" w:sz="8" w:color="844896"/>
            </w:tcBorders>
          </w:tcPr>
          <w:p>
            <w:pPr>
              <w:spacing w:after="0"/>
              <w:rPr>
                <w:sz w:val="2"/>
                <w:szCs w:val="2"/>
                <w:color w:val="auto"/>
              </w:rPr>
            </w:pPr>
          </w:p>
        </w:tc>
        <w:tc>
          <w:tcPr>
            <w:tcW w:w="1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4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jc w:val="right"/>
              <w:spacing w:after="0" w:line="115" w:lineRule="exact"/>
              <w:rPr>
                <w:sz w:val="20"/>
                <w:szCs w:val="20"/>
                <w:color w:val="auto"/>
              </w:rPr>
            </w:pPr>
            <w:r>
              <w:rPr>
                <w:rFonts w:ascii="Arial" w:cs="Arial" w:eastAsia="Arial" w:hAnsi="Arial"/>
                <w:sz w:val="13"/>
                <w:szCs w:val="13"/>
                <w:color w:val="00053B"/>
              </w:rPr>
              <w:t>Accelerated</w:t>
            </w:r>
          </w:p>
        </w:tc>
        <w:tc>
          <w:tcPr>
            <w:tcW w:w="16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jc w:val="right"/>
              <w:spacing w:after="0" w:line="122" w:lineRule="exact"/>
              <w:rPr>
                <w:sz w:val="20"/>
                <w:szCs w:val="20"/>
                <w:color w:val="auto"/>
              </w:rPr>
            </w:pPr>
            <w:r>
              <w:rPr>
                <w:rFonts w:ascii="Arial" w:cs="Arial" w:eastAsia="Arial" w:hAnsi="Arial"/>
                <w:sz w:val="13"/>
                <w:szCs w:val="13"/>
                <w:color w:val="00053B"/>
              </w:rPr>
              <w:t>Vesting of</w:t>
            </w:r>
          </w:p>
        </w:tc>
        <w:tc>
          <w:tcPr>
            <w:tcW w:w="16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00053B"/>
              </w:rPr>
              <w:t>Restricted</w:t>
            </w:r>
          </w:p>
        </w:tc>
        <w:tc>
          <w:tcPr>
            <w:tcW w:w="1600" w:type="dxa"/>
            <w:vAlign w:val="bottom"/>
          </w:tcPr>
          <w:p>
            <w:pPr>
              <w:jc w:val="right"/>
              <w:ind w:right="252"/>
              <w:spacing w:after="0" w:line="135" w:lineRule="exact"/>
              <w:rPr>
                <w:sz w:val="20"/>
                <w:szCs w:val="20"/>
                <w:color w:val="auto"/>
              </w:rPr>
            </w:pPr>
            <w:r>
              <w:rPr>
                <w:rFonts w:ascii="Arial" w:cs="Arial" w:eastAsia="Arial" w:hAnsi="Arial"/>
                <w:sz w:val="13"/>
                <w:szCs w:val="13"/>
                <w:color w:val="00053B"/>
              </w:rPr>
              <w:t>Continuation</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3"/>
                <w:szCs w:val="13"/>
                <w:color w:val="00053B"/>
              </w:rPr>
              <w:t>Annual</w:t>
            </w:r>
          </w:p>
        </w:tc>
        <w:tc>
          <w:tcPr>
            <w:tcW w:w="1160" w:type="dxa"/>
            <w:vAlign w:val="bottom"/>
          </w:tcPr>
          <w:p>
            <w:pPr>
              <w:jc w:val="right"/>
              <w:spacing w:after="0"/>
              <w:rPr>
                <w:sz w:val="20"/>
                <w:szCs w:val="20"/>
                <w:color w:val="auto"/>
              </w:rPr>
            </w:pPr>
            <w:r>
              <w:rPr>
                <w:rFonts w:ascii="Arial" w:cs="Arial" w:eastAsia="Arial" w:hAnsi="Arial"/>
                <w:sz w:val="13"/>
                <w:szCs w:val="13"/>
                <w:color w:val="00053B"/>
              </w:rPr>
              <w:t>Stock &amp;</w:t>
            </w:r>
          </w:p>
        </w:tc>
        <w:tc>
          <w:tcPr>
            <w:tcW w:w="1600" w:type="dxa"/>
            <w:vAlign w:val="bottom"/>
          </w:tcPr>
          <w:p>
            <w:pPr>
              <w:jc w:val="right"/>
              <w:ind w:right="252"/>
              <w:spacing w:after="0"/>
              <w:rPr>
                <w:sz w:val="20"/>
                <w:szCs w:val="20"/>
                <w:color w:val="auto"/>
              </w:rPr>
            </w:pPr>
            <w:r>
              <w:rPr>
                <w:rFonts w:ascii="Arial" w:cs="Arial" w:eastAsia="Arial" w:hAnsi="Arial"/>
                <w:sz w:val="13"/>
                <w:szCs w:val="13"/>
                <w:color w:val="00053B"/>
              </w:rPr>
              <w:t>of Medical</w:t>
            </w:r>
          </w:p>
        </w:tc>
        <w:tc>
          <w:tcPr>
            <w:tcW w:w="1160" w:type="dxa"/>
            <w:vAlign w:val="bottom"/>
          </w:tcPr>
          <w:p>
            <w:pPr>
              <w:jc w:val="right"/>
              <w:spacing w:after="0"/>
              <w:rPr>
                <w:sz w:val="20"/>
                <w:szCs w:val="20"/>
                <w:color w:val="auto"/>
              </w:rPr>
            </w:pPr>
            <w:r>
              <w:rPr>
                <w:rFonts w:ascii="Arial" w:cs="Arial" w:eastAsia="Arial" w:hAnsi="Arial"/>
                <w:sz w:val="13"/>
                <w:szCs w:val="13"/>
                <w:color w:val="00053B"/>
              </w:rPr>
              <w:t>Total</w:t>
            </w:r>
          </w:p>
        </w:tc>
        <w:tc>
          <w:tcPr>
            <w:tcW w:w="0" w:type="dxa"/>
            <w:vAlign w:val="bottom"/>
          </w:tcPr>
          <w:p>
            <w:pPr>
              <w:spacing w:after="0"/>
              <w:rPr>
                <w:sz w:val="1"/>
                <w:szCs w:val="1"/>
                <w:color w:val="auto"/>
              </w:rPr>
            </w:pPr>
          </w:p>
        </w:tc>
      </w:tr>
      <w:tr>
        <w:trPr>
          <w:trHeight w:val="102"/>
        </w:trPr>
        <w:tc>
          <w:tcPr>
            <w:tcW w:w="4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360" w:type="dxa"/>
            <w:vAlign w:val="bottom"/>
            <w:gridSpan w:val="2"/>
          </w:tcPr>
          <w:p>
            <w:pPr>
              <w:jc w:val="right"/>
              <w:ind w:right="260"/>
              <w:spacing w:after="0" w:line="102" w:lineRule="exact"/>
              <w:rPr>
                <w:sz w:val="20"/>
                <w:szCs w:val="20"/>
                <w:color w:val="auto"/>
              </w:rPr>
            </w:pPr>
            <w:r>
              <w:rPr>
                <w:rFonts w:ascii="Arial" w:cs="Arial" w:eastAsia="Arial" w:hAnsi="Arial"/>
                <w:sz w:val="10"/>
                <w:szCs w:val="10"/>
                <w:color w:val="00053B"/>
              </w:rPr>
              <w:t>Cash</w:t>
            </w:r>
          </w:p>
        </w:tc>
        <w:tc>
          <w:tcPr>
            <w:tcW w:w="1160" w:type="dxa"/>
            <w:vAlign w:val="bottom"/>
          </w:tcPr>
          <w:p>
            <w:pPr>
              <w:jc w:val="right"/>
              <w:spacing w:after="0" w:line="102" w:lineRule="exact"/>
              <w:rPr>
                <w:sz w:val="20"/>
                <w:szCs w:val="20"/>
                <w:color w:val="auto"/>
              </w:rPr>
            </w:pPr>
            <w:r>
              <w:rPr>
                <w:rFonts w:ascii="Arial" w:cs="Arial" w:eastAsia="Arial" w:hAnsi="Arial"/>
                <w:sz w:val="10"/>
                <w:szCs w:val="10"/>
                <w:color w:val="00053B"/>
              </w:rPr>
              <w:t>Performance</w:t>
            </w:r>
          </w:p>
        </w:tc>
        <w:tc>
          <w:tcPr>
            <w:tcW w:w="1600" w:type="dxa"/>
            <w:vAlign w:val="bottom"/>
          </w:tcPr>
          <w:p>
            <w:pPr>
              <w:jc w:val="right"/>
              <w:ind w:right="252"/>
              <w:spacing w:after="0" w:line="102" w:lineRule="exact"/>
              <w:rPr>
                <w:sz w:val="20"/>
                <w:szCs w:val="20"/>
                <w:color w:val="auto"/>
              </w:rPr>
            </w:pPr>
            <w:r>
              <w:rPr>
                <w:rFonts w:ascii="Arial" w:cs="Arial" w:eastAsia="Arial" w:hAnsi="Arial"/>
                <w:sz w:val="10"/>
                <w:szCs w:val="10"/>
                <w:color w:val="00053B"/>
              </w:rPr>
              <w:t>Benefits</w:t>
            </w:r>
          </w:p>
        </w:tc>
        <w:tc>
          <w:tcPr>
            <w:tcW w:w="1160" w:type="dxa"/>
            <w:vAlign w:val="bottom"/>
          </w:tcPr>
          <w:p>
            <w:pPr>
              <w:jc w:val="right"/>
              <w:spacing w:after="0" w:line="102" w:lineRule="exact"/>
              <w:rPr>
                <w:sz w:val="20"/>
                <w:szCs w:val="20"/>
                <w:color w:val="auto"/>
              </w:rPr>
            </w:pPr>
            <w:r>
              <w:rPr>
                <w:rFonts w:ascii="Arial" w:cs="Arial" w:eastAsia="Arial" w:hAnsi="Arial"/>
                <w:sz w:val="10"/>
                <w:szCs w:val="10"/>
                <w:color w:val="00053B"/>
              </w:rPr>
              <w:t>Compensation</w:t>
            </w:r>
          </w:p>
        </w:tc>
        <w:tc>
          <w:tcPr>
            <w:tcW w:w="0" w:type="dxa"/>
            <w:vAlign w:val="bottom"/>
          </w:tcPr>
          <w:p>
            <w:pPr>
              <w:spacing w:after="0"/>
              <w:rPr>
                <w:sz w:val="1"/>
                <w:szCs w:val="1"/>
                <w:color w:val="auto"/>
              </w:rPr>
            </w:pPr>
          </w:p>
        </w:tc>
      </w:tr>
      <w:tr>
        <w:trPr>
          <w:trHeight w:val="141"/>
        </w:trPr>
        <w:tc>
          <w:tcPr>
            <w:tcW w:w="4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00053B"/>
              </w:rPr>
              <w:t>Incentive</w:t>
            </w:r>
          </w:p>
        </w:tc>
        <w:tc>
          <w:tcPr>
            <w:tcW w:w="1160" w:type="dxa"/>
            <w:vAlign w:val="bottom"/>
          </w:tcPr>
          <w:p>
            <w:pPr>
              <w:jc w:val="right"/>
              <w:spacing w:after="0" w:line="141" w:lineRule="exact"/>
              <w:rPr>
                <w:sz w:val="20"/>
                <w:szCs w:val="20"/>
                <w:color w:val="auto"/>
              </w:rPr>
            </w:pPr>
            <w:r>
              <w:rPr>
                <w:rFonts w:ascii="Arial" w:cs="Arial" w:eastAsia="Arial" w:hAnsi="Arial"/>
                <w:sz w:val="13"/>
                <w:szCs w:val="13"/>
                <w:color w:val="00053B"/>
              </w:rPr>
              <w:t>Stock</w:t>
            </w:r>
          </w:p>
        </w:tc>
        <w:tc>
          <w:tcPr>
            <w:tcW w:w="1600" w:type="dxa"/>
            <w:vAlign w:val="bottom"/>
          </w:tcPr>
          <w:p>
            <w:pPr>
              <w:jc w:val="right"/>
              <w:ind w:right="252"/>
              <w:spacing w:after="0" w:line="141" w:lineRule="exact"/>
              <w:rPr>
                <w:sz w:val="20"/>
                <w:szCs w:val="20"/>
                <w:color w:val="auto"/>
              </w:rPr>
            </w:pPr>
            <w:r>
              <w:rPr>
                <w:rFonts w:ascii="Arial" w:cs="Arial" w:eastAsia="Arial" w:hAnsi="Arial"/>
                <w:sz w:val="13"/>
                <w:szCs w:val="13"/>
                <w:color w:val="00053B"/>
              </w:rPr>
              <w:t>(Present</w:t>
            </w:r>
          </w:p>
        </w:tc>
        <w:tc>
          <w:tcPr>
            <w:tcW w:w="1160" w:type="dxa"/>
            <w:vAlign w:val="bottom"/>
          </w:tcPr>
          <w:p>
            <w:pPr>
              <w:jc w:val="right"/>
              <w:spacing w:after="0" w:line="141" w:lineRule="exact"/>
              <w:rPr>
                <w:sz w:val="20"/>
                <w:szCs w:val="20"/>
                <w:color w:val="auto"/>
              </w:rPr>
            </w:pPr>
            <w:r>
              <w:rPr>
                <w:rFonts w:ascii="Arial" w:cs="Arial" w:eastAsia="Arial" w:hAnsi="Arial"/>
                <w:sz w:val="13"/>
                <w:szCs w:val="13"/>
                <w:color w:val="00053B"/>
              </w:rPr>
              <w:t>and</w:t>
            </w:r>
          </w:p>
        </w:tc>
        <w:tc>
          <w:tcPr>
            <w:tcW w:w="0" w:type="dxa"/>
            <w:vAlign w:val="bottom"/>
          </w:tcPr>
          <w:p>
            <w:pPr>
              <w:spacing w:after="0"/>
              <w:rPr>
                <w:sz w:val="1"/>
                <w:szCs w:val="1"/>
                <w:color w:val="auto"/>
              </w:rPr>
            </w:pPr>
          </w:p>
        </w:tc>
      </w:tr>
      <w:tr>
        <w:trPr>
          <w:trHeight w:val="183"/>
        </w:trPr>
        <w:tc>
          <w:tcPr>
            <w:tcW w:w="4800" w:type="dxa"/>
            <w:vAlign w:val="bottom"/>
            <w:tcBorders>
              <w:bottom w:val="single" w:sz="8" w:color="844896"/>
            </w:tcBorders>
          </w:tcPr>
          <w:p>
            <w:pPr>
              <w:spacing w:after="0"/>
              <w:rPr>
                <w:sz w:val="15"/>
                <w:szCs w:val="15"/>
                <w:color w:val="auto"/>
              </w:rPr>
            </w:pPr>
          </w:p>
        </w:tc>
        <w:tc>
          <w:tcPr>
            <w:tcW w:w="1160" w:type="dxa"/>
            <w:vAlign w:val="bottom"/>
            <w:tcBorders>
              <w:bottom w:val="single" w:sz="8" w:color="844896"/>
            </w:tcBorders>
          </w:tcPr>
          <w:p>
            <w:pPr>
              <w:jc w:val="right"/>
              <w:spacing w:after="0"/>
              <w:rPr>
                <w:sz w:val="20"/>
                <w:szCs w:val="20"/>
                <w:color w:val="auto"/>
              </w:rPr>
            </w:pPr>
            <w:r>
              <w:rPr>
                <w:rFonts w:ascii="Arial" w:cs="Arial" w:eastAsia="Arial" w:hAnsi="Arial"/>
                <w:sz w:val="13"/>
                <w:szCs w:val="13"/>
                <w:color w:val="00053B"/>
              </w:rPr>
              <w:t>Base Salary</w:t>
            </w:r>
          </w:p>
        </w:tc>
        <w:tc>
          <w:tcPr>
            <w:tcW w:w="1360" w:type="dxa"/>
            <w:vAlign w:val="bottom"/>
            <w:tcBorders>
              <w:bottom w:val="single" w:sz="8" w:color="844896"/>
            </w:tcBorders>
            <w:gridSpan w:val="2"/>
          </w:tcPr>
          <w:p>
            <w:pPr>
              <w:jc w:val="right"/>
              <w:ind w:right="260"/>
              <w:spacing w:after="0"/>
              <w:rPr>
                <w:sz w:val="20"/>
                <w:szCs w:val="20"/>
                <w:color w:val="auto"/>
              </w:rPr>
            </w:pPr>
            <w:r>
              <w:rPr>
                <w:rFonts w:ascii="Arial" w:cs="Arial" w:eastAsia="Arial" w:hAnsi="Arial"/>
                <w:sz w:val="13"/>
                <w:szCs w:val="13"/>
                <w:color w:val="00053B"/>
              </w:rPr>
              <w:t>Bonus</w:t>
            </w:r>
          </w:p>
        </w:tc>
        <w:tc>
          <w:tcPr>
            <w:tcW w:w="1160" w:type="dxa"/>
            <w:vAlign w:val="bottom"/>
            <w:tcBorders>
              <w:bottom w:val="single" w:sz="8" w:color="844896"/>
            </w:tcBorders>
          </w:tcPr>
          <w:p>
            <w:pPr>
              <w:jc w:val="right"/>
              <w:spacing w:after="0"/>
              <w:rPr>
                <w:sz w:val="20"/>
                <w:szCs w:val="20"/>
                <w:color w:val="auto"/>
              </w:rPr>
            </w:pPr>
            <w:r>
              <w:rPr>
                <w:rFonts w:ascii="Arial" w:cs="Arial" w:eastAsia="Arial" w:hAnsi="Arial"/>
                <w:sz w:val="13"/>
                <w:szCs w:val="13"/>
                <w:color w:val="00053B"/>
              </w:rPr>
              <w:t>Units(1)</w:t>
            </w:r>
          </w:p>
        </w:tc>
        <w:tc>
          <w:tcPr>
            <w:tcW w:w="1600" w:type="dxa"/>
            <w:vAlign w:val="bottom"/>
            <w:tcBorders>
              <w:bottom w:val="single" w:sz="8" w:color="844896"/>
            </w:tcBorders>
          </w:tcPr>
          <w:p>
            <w:pPr>
              <w:jc w:val="right"/>
              <w:ind w:right="252"/>
              <w:spacing w:after="0"/>
              <w:rPr>
                <w:sz w:val="20"/>
                <w:szCs w:val="20"/>
                <w:color w:val="auto"/>
              </w:rPr>
            </w:pPr>
            <w:r>
              <w:rPr>
                <w:rFonts w:ascii="Arial" w:cs="Arial" w:eastAsia="Arial" w:hAnsi="Arial"/>
                <w:sz w:val="13"/>
                <w:szCs w:val="13"/>
                <w:color w:val="00053B"/>
              </w:rPr>
              <w:t>Value)($)</w:t>
            </w:r>
          </w:p>
        </w:tc>
        <w:tc>
          <w:tcPr>
            <w:tcW w:w="1160" w:type="dxa"/>
            <w:vAlign w:val="bottom"/>
            <w:tcBorders>
              <w:bottom w:val="single" w:sz="8" w:color="844896"/>
            </w:tcBorders>
          </w:tcPr>
          <w:p>
            <w:pPr>
              <w:jc w:val="right"/>
              <w:spacing w:after="0"/>
              <w:rPr>
                <w:sz w:val="20"/>
                <w:szCs w:val="20"/>
                <w:color w:val="auto"/>
              </w:rPr>
            </w:pPr>
            <w:r>
              <w:rPr>
                <w:rFonts w:ascii="Arial" w:cs="Arial" w:eastAsia="Arial" w:hAnsi="Arial"/>
                <w:sz w:val="13"/>
                <w:szCs w:val="13"/>
                <w:color w:val="00053B"/>
              </w:rPr>
              <w:t>Benefits ($)</w:t>
            </w:r>
          </w:p>
        </w:tc>
        <w:tc>
          <w:tcPr>
            <w:tcW w:w="0" w:type="dxa"/>
            <w:vAlign w:val="bottom"/>
          </w:tcPr>
          <w:p>
            <w:pPr>
              <w:spacing w:after="0"/>
              <w:rPr>
                <w:sz w:val="1"/>
                <w:szCs w:val="1"/>
                <w:color w:val="auto"/>
              </w:rPr>
            </w:pPr>
          </w:p>
        </w:tc>
      </w:tr>
      <w:tr>
        <w:trPr>
          <w:trHeight w:val="200"/>
        </w:trPr>
        <w:tc>
          <w:tcPr>
            <w:tcW w:w="4800" w:type="dxa"/>
            <w:vAlign w:val="bottom"/>
          </w:tcPr>
          <w:p>
            <w:pPr>
              <w:ind w:left="140"/>
              <w:spacing w:after="0"/>
              <w:rPr>
                <w:sz w:val="20"/>
                <w:szCs w:val="20"/>
                <w:color w:val="auto"/>
              </w:rPr>
            </w:pPr>
            <w:r>
              <w:rPr>
                <w:rFonts w:ascii="Arial" w:cs="Arial" w:eastAsia="Arial" w:hAnsi="Arial"/>
                <w:sz w:val="14"/>
                <w:szCs w:val="14"/>
                <w:b w:val="1"/>
                <w:bCs w:val="1"/>
                <w:color w:val="00053B"/>
              </w:rPr>
              <w:t>Sanjay Mirchandani</w:t>
            </w: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00" w:type="dxa"/>
            <w:vAlign w:val="bottom"/>
          </w:tcPr>
          <w:p>
            <w:pPr>
              <w:ind w:left="140"/>
              <w:spacing w:after="0"/>
              <w:rPr>
                <w:sz w:val="20"/>
                <w:szCs w:val="20"/>
                <w:color w:val="auto"/>
              </w:rPr>
            </w:pPr>
            <w:r>
              <w:rPr>
                <w:rFonts w:ascii="Arial" w:cs="Arial" w:eastAsia="Arial" w:hAnsi="Arial"/>
                <w:sz w:val="14"/>
                <w:szCs w:val="14"/>
                <w:color w:val="00053B"/>
              </w:rPr>
              <w:t>Death</w:t>
            </w:r>
          </w:p>
        </w:tc>
        <w:tc>
          <w:tcPr>
            <w:tcW w:w="1160" w:type="dxa"/>
            <w:vAlign w:val="bottom"/>
          </w:tcPr>
          <w:p>
            <w:pPr>
              <w:jc w:val="right"/>
              <w:ind w:right="29"/>
              <w:spacing w:after="0"/>
              <w:rPr>
                <w:sz w:val="20"/>
                <w:szCs w:val="20"/>
                <w:color w:val="auto"/>
              </w:rPr>
            </w:pPr>
            <w:r>
              <w:rPr>
                <w:rFonts w:ascii="Arial" w:cs="Arial" w:eastAsia="Arial" w:hAnsi="Arial"/>
                <w:sz w:val="14"/>
                <w:szCs w:val="14"/>
                <w:color w:val="00053B"/>
              </w:rPr>
              <w:t>—</w:t>
            </w:r>
          </w:p>
        </w:tc>
        <w:tc>
          <w:tcPr>
            <w:tcW w:w="1360" w:type="dxa"/>
            <w:vAlign w:val="bottom"/>
            <w:gridSpan w:val="2"/>
          </w:tcPr>
          <w:p>
            <w:pPr>
              <w:jc w:val="right"/>
              <w:ind w:right="360"/>
              <w:spacing w:after="0"/>
              <w:rPr>
                <w:sz w:val="20"/>
                <w:szCs w:val="20"/>
                <w:color w:val="auto"/>
              </w:rPr>
            </w:pPr>
            <w:r>
              <w:rPr>
                <w:rFonts w:ascii="Arial" w:cs="Arial" w:eastAsia="Arial" w:hAnsi="Arial"/>
                <w:sz w:val="14"/>
                <w:szCs w:val="14"/>
                <w:color w:val="00053B"/>
              </w:rPr>
              <w:t>—</w:t>
            </w:r>
          </w:p>
        </w:tc>
        <w:tc>
          <w:tcPr>
            <w:tcW w:w="1160" w:type="dxa"/>
            <w:vAlign w:val="bottom"/>
          </w:tcPr>
          <w:p>
            <w:pPr>
              <w:jc w:val="right"/>
              <w:ind w:right="33"/>
              <w:spacing w:after="0"/>
              <w:rPr>
                <w:sz w:val="20"/>
                <w:szCs w:val="20"/>
                <w:color w:val="auto"/>
              </w:rPr>
            </w:pPr>
            <w:r>
              <w:rPr>
                <w:rFonts w:ascii="Arial" w:cs="Arial" w:eastAsia="Arial" w:hAnsi="Arial"/>
                <w:sz w:val="14"/>
                <w:szCs w:val="14"/>
                <w:color w:val="00053B"/>
              </w:rPr>
              <w:t>26,155,145(2)</w:t>
            </w:r>
          </w:p>
        </w:tc>
        <w:tc>
          <w:tcPr>
            <w:tcW w:w="1600" w:type="dxa"/>
            <w:vAlign w:val="bottom"/>
          </w:tcPr>
          <w:p>
            <w:pPr>
              <w:jc w:val="right"/>
              <w:ind w:right="332"/>
              <w:spacing w:after="0"/>
              <w:rPr>
                <w:sz w:val="20"/>
                <w:szCs w:val="20"/>
                <w:color w:val="auto"/>
              </w:rPr>
            </w:pPr>
            <w:r>
              <w:rPr>
                <w:rFonts w:ascii="Arial" w:cs="Arial" w:eastAsia="Arial" w:hAnsi="Arial"/>
                <w:sz w:val="14"/>
                <w:szCs w:val="14"/>
                <w:color w:val="00053B"/>
              </w:rPr>
              <w:t>—</w:t>
            </w:r>
          </w:p>
        </w:tc>
        <w:tc>
          <w:tcPr>
            <w:tcW w:w="1160" w:type="dxa"/>
            <w:vAlign w:val="bottom"/>
          </w:tcPr>
          <w:p>
            <w:pPr>
              <w:jc w:val="right"/>
              <w:ind w:right="32"/>
              <w:spacing w:after="0"/>
              <w:rPr>
                <w:sz w:val="20"/>
                <w:szCs w:val="20"/>
                <w:color w:val="auto"/>
              </w:rPr>
            </w:pPr>
            <w:r>
              <w:rPr>
                <w:rFonts w:ascii="Arial" w:cs="Arial" w:eastAsia="Arial" w:hAnsi="Arial"/>
                <w:sz w:val="14"/>
                <w:szCs w:val="14"/>
                <w:color w:val="00053B"/>
              </w:rPr>
              <w:t>26,155,145</w:t>
            </w:r>
          </w:p>
        </w:tc>
        <w:tc>
          <w:tcPr>
            <w:tcW w:w="0" w:type="dxa"/>
            <w:vAlign w:val="bottom"/>
          </w:tcPr>
          <w:p>
            <w:pPr>
              <w:spacing w:after="0"/>
              <w:rPr>
                <w:sz w:val="1"/>
                <w:szCs w:val="1"/>
                <w:color w:val="auto"/>
              </w:rPr>
            </w:pPr>
          </w:p>
        </w:tc>
      </w:tr>
      <w:tr>
        <w:trPr>
          <w:trHeight w:val="203"/>
        </w:trPr>
        <w:tc>
          <w:tcPr>
            <w:tcW w:w="4800" w:type="dxa"/>
            <w:vAlign w:val="bottom"/>
          </w:tcPr>
          <w:p>
            <w:pPr>
              <w:ind w:left="140"/>
              <w:spacing w:after="0"/>
              <w:rPr>
                <w:sz w:val="20"/>
                <w:szCs w:val="20"/>
                <w:color w:val="auto"/>
              </w:rPr>
            </w:pPr>
            <w:r>
              <w:rPr>
                <w:rFonts w:ascii="Arial" w:cs="Arial" w:eastAsia="Arial" w:hAnsi="Arial"/>
                <w:sz w:val="14"/>
                <w:szCs w:val="14"/>
                <w:color w:val="00053B"/>
              </w:rPr>
              <w:t>Disability</w:t>
            </w:r>
          </w:p>
        </w:tc>
        <w:tc>
          <w:tcPr>
            <w:tcW w:w="1160" w:type="dxa"/>
            <w:vAlign w:val="bottom"/>
          </w:tcPr>
          <w:p>
            <w:pPr>
              <w:jc w:val="right"/>
              <w:ind w:right="29"/>
              <w:spacing w:after="0"/>
              <w:rPr>
                <w:sz w:val="20"/>
                <w:szCs w:val="20"/>
                <w:color w:val="auto"/>
              </w:rPr>
            </w:pPr>
            <w:r>
              <w:rPr>
                <w:rFonts w:ascii="Arial" w:cs="Arial" w:eastAsia="Arial" w:hAnsi="Arial"/>
                <w:sz w:val="14"/>
                <w:szCs w:val="14"/>
                <w:color w:val="00053B"/>
              </w:rPr>
              <w:t>—</w:t>
            </w:r>
          </w:p>
        </w:tc>
        <w:tc>
          <w:tcPr>
            <w:tcW w:w="1360" w:type="dxa"/>
            <w:vAlign w:val="bottom"/>
            <w:gridSpan w:val="2"/>
          </w:tcPr>
          <w:p>
            <w:pPr>
              <w:jc w:val="right"/>
              <w:ind w:right="360"/>
              <w:spacing w:after="0"/>
              <w:rPr>
                <w:sz w:val="20"/>
                <w:szCs w:val="20"/>
                <w:color w:val="auto"/>
              </w:rPr>
            </w:pPr>
            <w:r>
              <w:rPr>
                <w:rFonts w:ascii="Arial" w:cs="Arial" w:eastAsia="Arial" w:hAnsi="Arial"/>
                <w:sz w:val="14"/>
                <w:szCs w:val="14"/>
                <w:color w:val="00053B"/>
              </w:rPr>
              <w:t>—</w:t>
            </w:r>
          </w:p>
        </w:tc>
        <w:tc>
          <w:tcPr>
            <w:tcW w:w="1160" w:type="dxa"/>
            <w:vAlign w:val="bottom"/>
          </w:tcPr>
          <w:p>
            <w:pPr>
              <w:jc w:val="right"/>
              <w:ind w:right="33"/>
              <w:spacing w:after="0"/>
              <w:rPr>
                <w:sz w:val="20"/>
                <w:szCs w:val="20"/>
                <w:color w:val="auto"/>
              </w:rPr>
            </w:pPr>
            <w:r>
              <w:rPr>
                <w:rFonts w:ascii="Arial" w:cs="Arial" w:eastAsia="Arial" w:hAnsi="Arial"/>
                <w:sz w:val="14"/>
                <w:szCs w:val="14"/>
                <w:color w:val="00053B"/>
              </w:rPr>
              <w:t>26,155,145(2)</w:t>
            </w:r>
          </w:p>
        </w:tc>
        <w:tc>
          <w:tcPr>
            <w:tcW w:w="1600" w:type="dxa"/>
            <w:vAlign w:val="bottom"/>
          </w:tcPr>
          <w:p>
            <w:pPr>
              <w:jc w:val="right"/>
              <w:ind w:right="332"/>
              <w:spacing w:after="0"/>
              <w:rPr>
                <w:sz w:val="20"/>
                <w:szCs w:val="20"/>
                <w:color w:val="auto"/>
              </w:rPr>
            </w:pPr>
            <w:r>
              <w:rPr>
                <w:rFonts w:ascii="Arial" w:cs="Arial" w:eastAsia="Arial" w:hAnsi="Arial"/>
                <w:sz w:val="14"/>
                <w:szCs w:val="14"/>
                <w:color w:val="00053B"/>
              </w:rPr>
              <w:t>—</w:t>
            </w:r>
          </w:p>
        </w:tc>
        <w:tc>
          <w:tcPr>
            <w:tcW w:w="1160" w:type="dxa"/>
            <w:vAlign w:val="bottom"/>
          </w:tcPr>
          <w:p>
            <w:pPr>
              <w:jc w:val="right"/>
              <w:ind w:right="32"/>
              <w:spacing w:after="0"/>
              <w:rPr>
                <w:sz w:val="20"/>
                <w:szCs w:val="20"/>
                <w:color w:val="auto"/>
              </w:rPr>
            </w:pPr>
            <w:r>
              <w:rPr>
                <w:rFonts w:ascii="Arial" w:cs="Arial" w:eastAsia="Arial" w:hAnsi="Arial"/>
                <w:sz w:val="14"/>
                <w:szCs w:val="14"/>
                <w:color w:val="00053B"/>
              </w:rPr>
              <w:t>26,155,145</w:t>
            </w:r>
          </w:p>
        </w:tc>
        <w:tc>
          <w:tcPr>
            <w:tcW w:w="0" w:type="dxa"/>
            <w:vAlign w:val="bottom"/>
          </w:tcPr>
          <w:p>
            <w:pPr>
              <w:spacing w:after="0"/>
              <w:rPr>
                <w:sz w:val="1"/>
                <w:szCs w:val="1"/>
                <w:color w:val="auto"/>
              </w:rPr>
            </w:pPr>
          </w:p>
        </w:tc>
      </w:tr>
      <w:tr>
        <w:trPr>
          <w:trHeight w:val="203"/>
        </w:trPr>
        <w:tc>
          <w:tcPr>
            <w:tcW w:w="4800" w:type="dxa"/>
            <w:vAlign w:val="bottom"/>
          </w:tcPr>
          <w:p>
            <w:pPr>
              <w:ind w:left="140"/>
              <w:spacing w:after="0"/>
              <w:rPr>
                <w:sz w:val="20"/>
                <w:szCs w:val="20"/>
                <w:color w:val="auto"/>
              </w:rPr>
            </w:pPr>
            <w:r>
              <w:rPr>
                <w:rFonts w:ascii="Arial" w:cs="Arial" w:eastAsia="Arial" w:hAnsi="Arial"/>
                <w:sz w:val="14"/>
                <w:szCs w:val="14"/>
                <w:color w:val="00053B"/>
              </w:rPr>
              <w:t>Involuntary termination without cause or with good reason</w:t>
            </w:r>
          </w:p>
        </w:tc>
        <w:tc>
          <w:tcPr>
            <w:tcW w:w="1160" w:type="dxa"/>
            <w:vAlign w:val="bottom"/>
          </w:tcPr>
          <w:p>
            <w:pPr>
              <w:jc w:val="right"/>
              <w:ind w:right="29"/>
              <w:spacing w:after="0"/>
              <w:rPr>
                <w:sz w:val="20"/>
                <w:szCs w:val="20"/>
                <w:color w:val="auto"/>
              </w:rPr>
            </w:pPr>
            <w:r>
              <w:rPr>
                <w:rFonts w:ascii="Arial" w:cs="Arial" w:eastAsia="Arial" w:hAnsi="Arial"/>
                <w:sz w:val="14"/>
                <w:szCs w:val="14"/>
                <w:color w:val="00053B"/>
              </w:rPr>
              <w:t>645,000</w:t>
            </w:r>
          </w:p>
        </w:tc>
        <w:tc>
          <w:tcPr>
            <w:tcW w:w="1100" w:type="dxa"/>
            <w:vAlign w:val="bottom"/>
          </w:tcPr>
          <w:p>
            <w:pPr>
              <w:jc w:val="right"/>
              <w:ind w:right="32"/>
              <w:spacing w:after="0"/>
              <w:rPr>
                <w:sz w:val="20"/>
                <w:szCs w:val="20"/>
                <w:color w:val="auto"/>
              </w:rPr>
            </w:pPr>
            <w:r>
              <w:rPr>
                <w:rFonts w:ascii="Arial" w:cs="Arial" w:eastAsia="Arial" w:hAnsi="Arial"/>
                <w:sz w:val="14"/>
                <w:szCs w:val="14"/>
                <w:color w:val="00053B"/>
              </w:rPr>
              <w:t>645,000</w:t>
            </w:r>
          </w:p>
        </w:tc>
        <w:tc>
          <w:tcPr>
            <w:tcW w:w="260" w:type="dxa"/>
            <w:vAlign w:val="bottom"/>
          </w:tcPr>
          <w:p>
            <w:pPr>
              <w:spacing w:after="0"/>
              <w:rPr>
                <w:sz w:val="17"/>
                <w:szCs w:val="17"/>
                <w:color w:val="auto"/>
              </w:rPr>
            </w:pPr>
          </w:p>
        </w:tc>
        <w:tc>
          <w:tcPr>
            <w:tcW w:w="1160" w:type="dxa"/>
            <w:vAlign w:val="bottom"/>
          </w:tcPr>
          <w:p>
            <w:pPr>
              <w:jc w:val="right"/>
              <w:ind w:right="33"/>
              <w:spacing w:after="0"/>
              <w:rPr>
                <w:sz w:val="20"/>
                <w:szCs w:val="20"/>
                <w:color w:val="auto"/>
              </w:rPr>
            </w:pPr>
            <w:r>
              <w:rPr>
                <w:rFonts w:ascii="Arial" w:cs="Arial" w:eastAsia="Arial" w:hAnsi="Arial"/>
                <w:sz w:val="14"/>
                <w:szCs w:val="14"/>
                <w:color w:val="00053B"/>
              </w:rPr>
              <w:t>16,058,093(3)</w:t>
            </w:r>
          </w:p>
        </w:tc>
        <w:tc>
          <w:tcPr>
            <w:tcW w:w="1600" w:type="dxa"/>
            <w:vAlign w:val="bottom"/>
          </w:tcPr>
          <w:p>
            <w:pPr>
              <w:jc w:val="right"/>
              <w:ind w:right="332"/>
              <w:spacing w:after="0"/>
              <w:rPr>
                <w:sz w:val="20"/>
                <w:szCs w:val="20"/>
                <w:color w:val="auto"/>
              </w:rPr>
            </w:pPr>
            <w:r>
              <w:rPr>
                <w:rFonts w:ascii="Arial" w:cs="Arial" w:eastAsia="Arial" w:hAnsi="Arial"/>
                <w:sz w:val="14"/>
                <w:szCs w:val="14"/>
                <w:color w:val="00053B"/>
              </w:rPr>
              <w:t>27,204</w:t>
            </w:r>
          </w:p>
        </w:tc>
        <w:tc>
          <w:tcPr>
            <w:tcW w:w="1160" w:type="dxa"/>
            <w:vAlign w:val="bottom"/>
          </w:tcPr>
          <w:p>
            <w:pPr>
              <w:jc w:val="right"/>
              <w:ind w:right="32"/>
              <w:spacing w:after="0"/>
              <w:rPr>
                <w:sz w:val="20"/>
                <w:szCs w:val="20"/>
                <w:color w:val="auto"/>
              </w:rPr>
            </w:pPr>
            <w:r>
              <w:rPr>
                <w:rFonts w:ascii="Arial" w:cs="Arial" w:eastAsia="Arial" w:hAnsi="Arial"/>
                <w:sz w:val="14"/>
                <w:szCs w:val="14"/>
                <w:color w:val="00053B"/>
              </w:rPr>
              <w:t>17,375,297</w:t>
            </w:r>
          </w:p>
        </w:tc>
        <w:tc>
          <w:tcPr>
            <w:tcW w:w="0" w:type="dxa"/>
            <w:vAlign w:val="bottom"/>
          </w:tcPr>
          <w:p>
            <w:pPr>
              <w:spacing w:after="0"/>
              <w:rPr>
                <w:sz w:val="1"/>
                <w:szCs w:val="1"/>
                <w:color w:val="auto"/>
              </w:rPr>
            </w:pPr>
          </w:p>
        </w:tc>
      </w:tr>
      <w:tr>
        <w:trPr>
          <w:trHeight w:val="157"/>
        </w:trPr>
        <w:tc>
          <w:tcPr>
            <w:tcW w:w="4800" w:type="dxa"/>
            <w:vAlign w:val="bottom"/>
          </w:tcPr>
          <w:p>
            <w:pPr>
              <w:ind w:left="140"/>
              <w:spacing w:after="0" w:line="157" w:lineRule="exact"/>
              <w:rPr>
                <w:sz w:val="20"/>
                <w:szCs w:val="20"/>
                <w:color w:val="auto"/>
              </w:rPr>
            </w:pPr>
            <w:r>
              <w:rPr>
                <w:rFonts w:ascii="Arial" w:cs="Arial" w:eastAsia="Arial" w:hAnsi="Arial"/>
                <w:sz w:val="14"/>
                <w:szCs w:val="14"/>
                <w:color w:val="00053B"/>
              </w:rPr>
              <w:t>Involuntary termination without cause, on account of disability, or with</w:t>
            </w:r>
          </w:p>
        </w:tc>
        <w:tc>
          <w:tcPr>
            <w:tcW w:w="1160" w:type="dxa"/>
            <w:vAlign w:val="bottom"/>
            <w:vMerge w:val="restart"/>
          </w:tcPr>
          <w:p>
            <w:pPr>
              <w:jc w:val="right"/>
              <w:ind w:right="29"/>
              <w:spacing w:after="0"/>
              <w:rPr>
                <w:sz w:val="20"/>
                <w:szCs w:val="20"/>
                <w:color w:val="auto"/>
              </w:rPr>
            </w:pPr>
            <w:r>
              <w:rPr>
                <w:rFonts w:ascii="Arial" w:cs="Arial" w:eastAsia="Arial" w:hAnsi="Arial"/>
                <w:sz w:val="14"/>
                <w:szCs w:val="14"/>
                <w:color w:val="00053B"/>
              </w:rPr>
              <w:t>967,500</w:t>
            </w:r>
          </w:p>
        </w:tc>
        <w:tc>
          <w:tcPr>
            <w:tcW w:w="1100" w:type="dxa"/>
            <w:vAlign w:val="bottom"/>
            <w:vMerge w:val="restart"/>
          </w:tcPr>
          <w:p>
            <w:pPr>
              <w:jc w:val="right"/>
              <w:ind w:right="32"/>
              <w:spacing w:after="0"/>
              <w:rPr>
                <w:sz w:val="20"/>
                <w:szCs w:val="20"/>
                <w:color w:val="auto"/>
              </w:rPr>
            </w:pPr>
            <w:r>
              <w:rPr>
                <w:rFonts w:ascii="Arial" w:cs="Arial" w:eastAsia="Arial" w:hAnsi="Arial"/>
                <w:sz w:val="14"/>
                <w:szCs w:val="14"/>
                <w:color w:val="00053B"/>
              </w:rPr>
              <w:t>967,500</w:t>
            </w:r>
          </w:p>
        </w:tc>
        <w:tc>
          <w:tcPr>
            <w:tcW w:w="260" w:type="dxa"/>
            <w:vAlign w:val="bottom"/>
          </w:tcPr>
          <w:p>
            <w:pPr>
              <w:spacing w:after="0"/>
              <w:rPr>
                <w:sz w:val="13"/>
                <w:szCs w:val="13"/>
                <w:color w:val="auto"/>
              </w:rPr>
            </w:pPr>
          </w:p>
        </w:tc>
        <w:tc>
          <w:tcPr>
            <w:tcW w:w="1160" w:type="dxa"/>
            <w:vAlign w:val="bottom"/>
            <w:vMerge w:val="restart"/>
          </w:tcPr>
          <w:p>
            <w:pPr>
              <w:jc w:val="right"/>
              <w:ind w:right="33"/>
              <w:spacing w:after="0"/>
              <w:rPr>
                <w:sz w:val="20"/>
                <w:szCs w:val="20"/>
                <w:color w:val="auto"/>
              </w:rPr>
            </w:pPr>
            <w:r>
              <w:rPr>
                <w:rFonts w:ascii="Arial" w:cs="Arial" w:eastAsia="Arial" w:hAnsi="Arial"/>
                <w:sz w:val="14"/>
                <w:szCs w:val="14"/>
                <w:color w:val="00053B"/>
              </w:rPr>
              <w:t>26,155,145(2)</w:t>
            </w:r>
          </w:p>
        </w:tc>
        <w:tc>
          <w:tcPr>
            <w:tcW w:w="1600" w:type="dxa"/>
            <w:vAlign w:val="bottom"/>
            <w:vMerge w:val="restart"/>
          </w:tcPr>
          <w:p>
            <w:pPr>
              <w:jc w:val="right"/>
              <w:ind w:right="332"/>
              <w:spacing w:after="0"/>
              <w:rPr>
                <w:sz w:val="20"/>
                <w:szCs w:val="20"/>
                <w:color w:val="auto"/>
              </w:rPr>
            </w:pPr>
            <w:r>
              <w:rPr>
                <w:rFonts w:ascii="Arial" w:cs="Arial" w:eastAsia="Arial" w:hAnsi="Arial"/>
                <w:sz w:val="14"/>
                <w:szCs w:val="14"/>
                <w:color w:val="00053B"/>
              </w:rPr>
              <w:t>27,204</w:t>
            </w:r>
          </w:p>
        </w:tc>
        <w:tc>
          <w:tcPr>
            <w:tcW w:w="1160" w:type="dxa"/>
            <w:vAlign w:val="bottom"/>
            <w:vMerge w:val="restart"/>
          </w:tcPr>
          <w:p>
            <w:pPr>
              <w:jc w:val="right"/>
              <w:ind w:right="32"/>
              <w:spacing w:after="0"/>
              <w:rPr>
                <w:sz w:val="20"/>
                <w:szCs w:val="20"/>
                <w:color w:val="auto"/>
              </w:rPr>
            </w:pPr>
            <w:r>
              <w:rPr>
                <w:rFonts w:ascii="Arial" w:cs="Arial" w:eastAsia="Arial" w:hAnsi="Arial"/>
                <w:sz w:val="14"/>
                <w:szCs w:val="14"/>
                <w:color w:val="00053B"/>
              </w:rPr>
              <w:t>28,117,349</w:t>
            </w:r>
          </w:p>
        </w:tc>
        <w:tc>
          <w:tcPr>
            <w:tcW w:w="0" w:type="dxa"/>
            <w:vAlign w:val="bottom"/>
          </w:tcPr>
          <w:p>
            <w:pPr>
              <w:spacing w:after="0"/>
              <w:rPr>
                <w:sz w:val="1"/>
                <w:szCs w:val="1"/>
                <w:color w:val="auto"/>
              </w:rPr>
            </w:pPr>
          </w:p>
        </w:tc>
      </w:tr>
      <w:tr>
        <w:trPr>
          <w:trHeight w:val="113"/>
        </w:trPr>
        <w:tc>
          <w:tcPr>
            <w:tcW w:w="4800" w:type="dxa"/>
            <w:vAlign w:val="bottom"/>
            <w:vMerge w:val="restart"/>
          </w:tcPr>
          <w:p>
            <w:pPr>
              <w:ind w:left="140"/>
              <w:spacing w:after="0"/>
              <w:rPr>
                <w:sz w:val="20"/>
                <w:szCs w:val="20"/>
                <w:color w:val="auto"/>
              </w:rPr>
            </w:pPr>
            <w:r>
              <w:rPr>
                <w:rFonts w:ascii="Arial" w:cs="Arial" w:eastAsia="Arial" w:hAnsi="Arial"/>
                <w:sz w:val="14"/>
                <w:szCs w:val="14"/>
                <w:color w:val="00053B"/>
              </w:rPr>
              <w:t>good reason in connection with a change in control</w:t>
            </w:r>
          </w:p>
        </w:tc>
        <w:tc>
          <w:tcPr>
            <w:tcW w:w="11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80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4800" w:type="dxa"/>
            <w:vAlign w:val="bottom"/>
            <w:shd w:val="clear" w:color="auto" w:fill="EAEAEA"/>
          </w:tcPr>
          <w:p>
            <w:pPr>
              <w:ind w:left="140"/>
              <w:spacing w:after="0"/>
              <w:rPr>
                <w:sz w:val="20"/>
                <w:szCs w:val="20"/>
                <w:color w:val="auto"/>
              </w:rPr>
            </w:pPr>
            <w:r>
              <w:rPr>
                <w:rFonts w:ascii="Arial" w:cs="Arial" w:eastAsia="Arial" w:hAnsi="Arial"/>
                <w:sz w:val="14"/>
                <w:szCs w:val="14"/>
                <w:b w:val="1"/>
                <w:bCs w:val="1"/>
                <w:color w:val="00053B"/>
              </w:rPr>
              <w:t>Gary Merrill</w:t>
            </w:r>
          </w:p>
        </w:tc>
        <w:tc>
          <w:tcPr>
            <w:tcW w:w="1160" w:type="dxa"/>
            <w:vAlign w:val="bottom"/>
            <w:shd w:val="clear" w:color="auto" w:fill="EAEAEA"/>
          </w:tcPr>
          <w:p>
            <w:pPr>
              <w:spacing w:after="0"/>
              <w:rPr>
                <w:sz w:val="17"/>
                <w:szCs w:val="17"/>
                <w:color w:val="auto"/>
              </w:rPr>
            </w:pPr>
          </w:p>
        </w:tc>
        <w:tc>
          <w:tcPr>
            <w:tcW w:w="1100" w:type="dxa"/>
            <w:vAlign w:val="bottom"/>
            <w:shd w:val="clear" w:color="auto" w:fill="EAEAEA"/>
          </w:tcPr>
          <w:p>
            <w:pPr>
              <w:spacing w:after="0"/>
              <w:rPr>
                <w:sz w:val="17"/>
                <w:szCs w:val="17"/>
                <w:color w:val="auto"/>
              </w:rPr>
            </w:pPr>
          </w:p>
        </w:tc>
        <w:tc>
          <w:tcPr>
            <w:tcW w:w="260" w:type="dxa"/>
            <w:vAlign w:val="bottom"/>
            <w:shd w:val="clear" w:color="auto" w:fill="EAEAEA"/>
          </w:tcPr>
          <w:p>
            <w:pPr>
              <w:spacing w:after="0"/>
              <w:rPr>
                <w:sz w:val="17"/>
                <w:szCs w:val="17"/>
                <w:color w:val="auto"/>
              </w:rPr>
            </w:pPr>
          </w:p>
        </w:tc>
        <w:tc>
          <w:tcPr>
            <w:tcW w:w="1160" w:type="dxa"/>
            <w:vAlign w:val="bottom"/>
            <w:shd w:val="clear" w:color="auto" w:fill="EAEAEA"/>
          </w:tcPr>
          <w:p>
            <w:pPr>
              <w:spacing w:after="0"/>
              <w:rPr>
                <w:sz w:val="17"/>
                <w:szCs w:val="17"/>
                <w:color w:val="auto"/>
              </w:rPr>
            </w:pPr>
          </w:p>
        </w:tc>
        <w:tc>
          <w:tcPr>
            <w:tcW w:w="1600" w:type="dxa"/>
            <w:vAlign w:val="bottom"/>
            <w:shd w:val="clear" w:color="auto" w:fill="EAEAEA"/>
          </w:tcPr>
          <w:p>
            <w:pPr>
              <w:spacing w:after="0"/>
              <w:rPr>
                <w:sz w:val="17"/>
                <w:szCs w:val="17"/>
                <w:color w:val="auto"/>
              </w:rPr>
            </w:pPr>
          </w:p>
        </w:tc>
        <w:tc>
          <w:tcPr>
            <w:tcW w:w="116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00" w:type="dxa"/>
            <w:vAlign w:val="bottom"/>
            <w:shd w:val="clear" w:color="auto" w:fill="EAEAEA"/>
          </w:tcPr>
          <w:p>
            <w:pPr>
              <w:ind w:left="140"/>
              <w:spacing w:after="0"/>
              <w:rPr>
                <w:sz w:val="20"/>
                <w:szCs w:val="20"/>
                <w:color w:val="auto"/>
              </w:rPr>
            </w:pPr>
            <w:r>
              <w:rPr>
                <w:rFonts w:ascii="Arial" w:cs="Arial" w:eastAsia="Arial" w:hAnsi="Arial"/>
                <w:sz w:val="14"/>
                <w:szCs w:val="14"/>
                <w:color w:val="00053B"/>
              </w:rPr>
              <w:t>Death</w:t>
            </w:r>
          </w:p>
        </w:tc>
        <w:tc>
          <w:tcPr>
            <w:tcW w:w="1160" w:type="dxa"/>
            <w:vAlign w:val="bottom"/>
            <w:shd w:val="clear" w:color="auto" w:fill="EAEAEA"/>
          </w:tcPr>
          <w:p>
            <w:pPr>
              <w:jc w:val="right"/>
              <w:ind w:right="29"/>
              <w:spacing w:after="0"/>
              <w:rPr>
                <w:sz w:val="20"/>
                <w:szCs w:val="20"/>
                <w:color w:val="auto"/>
              </w:rPr>
            </w:pPr>
            <w:r>
              <w:rPr>
                <w:rFonts w:ascii="Arial" w:cs="Arial" w:eastAsia="Arial" w:hAnsi="Arial"/>
                <w:sz w:val="14"/>
                <w:szCs w:val="14"/>
                <w:color w:val="00053B"/>
              </w:rPr>
              <w:t>—</w:t>
            </w:r>
          </w:p>
        </w:tc>
        <w:tc>
          <w:tcPr>
            <w:tcW w:w="1360" w:type="dxa"/>
            <w:vAlign w:val="bottom"/>
            <w:gridSpan w:val="2"/>
            <w:shd w:val="clear" w:color="auto" w:fill="EAEAEA"/>
          </w:tcPr>
          <w:p>
            <w:pPr>
              <w:jc w:val="right"/>
              <w:ind w:right="360"/>
              <w:spacing w:after="0"/>
              <w:rPr>
                <w:sz w:val="20"/>
                <w:szCs w:val="20"/>
                <w:color w:val="auto"/>
              </w:rPr>
            </w:pPr>
            <w:r>
              <w:rPr>
                <w:rFonts w:ascii="Arial" w:cs="Arial" w:eastAsia="Arial" w:hAnsi="Arial"/>
                <w:sz w:val="14"/>
                <w:szCs w:val="14"/>
                <w:color w:val="00053B"/>
              </w:rPr>
              <w:t>—</w:t>
            </w:r>
          </w:p>
        </w:tc>
        <w:tc>
          <w:tcPr>
            <w:tcW w:w="1160" w:type="dxa"/>
            <w:vAlign w:val="bottom"/>
            <w:shd w:val="clear" w:color="auto" w:fill="EAEAEA"/>
          </w:tcPr>
          <w:p>
            <w:pPr>
              <w:jc w:val="right"/>
              <w:ind w:right="33"/>
              <w:spacing w:after="0"/>
              <w:rPr>
                <w:sz w:val="20"/>
                <w:szCs w:val="20"/>
                <w:color w:val="auto"/>
              </w:rPr>
            </w:pPr>
            <w:r>
              <w:rPr>
                <w:rFonts w:ascii="Arial" w:cs="Arial" w:eastAsia="Arial" w:hAnsi="Arial"/>
                <w:sz w:val="14"/>
                <w:szCs w:val="14"/>
                <w:color w:val="00053B"/>
              </w:rPr>
              <w:t>7,110,041(2)</w:t>
            </w:r>
          </w:p>
        </w:tc>
        <w:tc>
          <w:tcPr>
            <w:tcW w:w="1600" w:type="dxa"/>
            <w:vAlign w:val="bottom"/>
            <w:shd w:val="clear" w:color="auto" w:fill="EAEAEA"/>
          </w:tcPr>
          <w:p>
            <w:pPr>
              <w:jc w:val="right"/>
              <w:ind w:right="332"/>
              <w:spacing w:after="0"/>
              <w:rPr>
                <w:sz w:val="20"/>
                <w:szCs w:val="20"/>
                <w:color w:val="auto"/>
              </w:rPr>
            </w:pPr>
            <w:r>
              <w:rPr>
                <w:rFonts w:ascii="Arial" w:cs="Arial" w:eastAsia="Arial" w:hAnsi="Arial"/>
                <w:sz w:val="14"/>
                <w:szCs w:val="14"/>
                <w:color w:val="00053B"/>
              </w:rPr>
              <w:t>—</w:t>
            </w:r>
          </w:p>
        </w:tc>
        <w:tc>
          <w:tcPr>
            <w:tcW w:w="1160" w:type="dxa"/>
            <w:vAlign w:val="bottom"/>
            <w:shd w:val="clear" w:color="auto" w:fill="EAEAEA"/>
          </w:tcPr>
          <w:p>
            <w:pPr>
              <w:jc w:val="right"/>
              <w:ind w:right="32"/>
              <w:spacing w:after="0"/>
              <w:rPr>
                <w:sz w:val="20"/>
                <w:szCs w:val="20"/>
                <w:color w:val="auto"/>
              </w:rPr>
            </w:pPr>
            <w:r>
              <w:rPr>
                <w:rFonts w:ascii="Arial" w:cs="Arial" w:eastAsia="Arial" w:hAnsi="Arial"/>
                <w:sz w:val="14"/>
                <w:szCs w:val="14"/>
                <w:color w:val="00053B"/>
              </w:rPr>
              <w:t>7,110,041</w:t>
            </w:r>
          </w:p>
        </w:tc>
        <w:tc>
          <w:tcPr>
            <w:tcW w:w="0" w:type="dxa"/>
            <w:vAlign w:val="bottom"/>
          </w:tcPr>
          <w:p>
            <w:pPr>
              <w:spacing w:after="0"/>
              <w:rPr>
                <w:sz w:val="1"/>
                <w:szCs w:val="1"/>
                <w:color w:val="auto"/>
              </w:rPr>
            </w:pPr>
          </w:p>
        </w:tc>
      </w:tr>
      <w:tr>
        <w:trPr>
          <w:trHeight w:val="203"/>
        </w:trPr>
        <w:tc>
          <w:tcPr>
            <w:tcW w:w="4800" w:type="dxa"/>
            <w:vAlign w:val="bottom"/>
            <w:shd w:val="clear" w:color="auto" w:fill="EAEAEA"/>
          </w:tcPr>
          <w:p>
            <w:pPr>
              <w:ind w:left="140"/>
              <w:spacing w:after="0"/>
              <w:rPr>
                <w:sz w:val="20"/>
                <w:szCs w:val="20"/>
                <w:color w:val="auto"/>
              </w:rPr>
            </w:pPr>
            <w:r>
              <w:rPr>
                <w:rFonts w:ascii="Arial" w:cs="Arial" w:eastAsia="Arial" w:hAnsi="Arial"/>
                <w:sz w:val="14"/>
                <w:szCs w:val="14"/>
                <w:color w:val="00053B"/>
              </w:rPr>
              <w:t>Disability</w:t>
            </w:r>
          </w:p>
        </w:tc>
        <w:tc>
          <w:tcPr>
            <w:tcW w:w="1160" w:type="dxa"/>
            <w:vAlign w:val="bottom"/>
            <w:shd w:val="clear" w:color="auto" w:fill="EAEAEA"/>
          </w:tcPr>
          <w:p>
            <w:pPr>
              <w:jc w:val="right"/>
              <w:ind w:right="29"/>
              <w:spacing w:after="0"/>
              <w:rPr>
                <w:sz w:val="20"/>
                <w:szCs w:val="20"/>
                <w:color w:val="auto"/>
              </w:rPr>
            </w:pPr>
            <w:r>
              <w:rPr>
                <w:rFonts w:ascii="Arial" w:cs="Arial" w:eastAsia="Arial" w:hAnsi="Arial"/>
                <w:sz w:val="14"/>
                <w:szCs w:val="14"/>
                <w:color w:val="00053B"/>
              </w:rPr>
              <w:t>—</w:t>
            </w:r>
          </w:p>
        </w:tc>
        <w:tc>
          <w:tcPr>
            <w:tcW w:w="1100" w:type="dxa"/>
            <w:vAlign w:val="bottom"/>
            <w:shd w:val="clear" w:color="auto" w:fill="EAEAEA"/>
          </w:tcPr>
          <w:p>
            <w:pPr>
              <w:jc w:val="right"/>
              <w:ind w:right="32"/>
              <w:spacing w:after="0"/>
              <w:rPr>
                <w:sz w:val="20"/>
                <w:szCs w:val="20"/>
                <w:color w:val="auto"/>
              </w:rPr>
            </w:pPr>
            <w:r>
              <w:rPr>
                <w:rFonts w:ascii="Arial" w:cs="Arial" w:eastAsia="Arial" w:hAnsi="Arial"/>
                <w:sz w:val="14"/>
                <w:szCs w:val="14"/>
                <w:color w:val="00053B"/>
              </w:rPr>
              <w:t>—</w:t>
            </w:r>
          </w:p>
        </w:tc>
        <w:tc>
          <w:tcPr>
            <w:tcW w:w="260" w:type="dxa"/>
            <w:vAlign w:val="bottom"/>
            <w:shd w:val="clear" w:color="auto" w:fill="EAEAEA"/>
          </w:tcPr>
          <w:p>
            <w:pPr>
              <w:spacing w:after="0"/>
              <w:rPr>
                <w:sz w:val="17"/>
                <w:szCs w:val="17"/>
                <w:color w:val="auto"/>
              </w:rPr>
            </w:pPr>
          </w:p>
        </w:tc>
        <w:tc>
          <w:tcPr>
            <w:tcW w:w="1160" w:type="dxa"/>
            <w:vAlign w:val="bottom"/>
            <w:shd w:val="clear" w:color="auto" w:fill="EAEAEA"/>
          </w:tcPr>
          <w:p>
            <w:pPr>
              <w:jc w:val="right"/>
              <w:ind w:right="33"/>
              <w:spacing w:after="0"/>
              <w:rPr>
                <w:sz w:val="20"/>
                <w:szCs w:val="20"/>
                <w:color w:val="auto"/>
              </w:rPr>
            </w:pPr>
            <w:r>
              <w:rPr>
                <w:rFonts w:ascii="Arial" w:cs="Arial" w:eastAsia="Arial" w:hAnsi="Arial"/>
                <w:sz w:val="14"/>
                <w:szCs w:val="14"/>
                <w:color w:val="00053B"/>
              </w:rPr>
              <w:t>7,110,041(2)</w:t>
            </w:r>
          </w:p>
        </w:tc>
        <w:tc>
          <w:tcPr>
            <w:tcW w:w="1600" w:type="dxa"/>
            <w:vAlign w:val="bottom"/>
            <w:shd w:val="clear" w:color="auto" w:fill="EAEAEA"/>
          </w:tcPr>
          <w:p>
            <w:pPr>
              <w:jc w:val="right"/>
              <w:ind w:right="332"/>
              <w:spacing w:after="0"/>
              <w:rPr>
                <w:sz w:val="20"/>
                <w:szCs w:val="20"/>
                <w:color w:val="auto"/>
              </w:rPr>
            </w:pPr>
            <w:r>
              <w:rPr>
                <w:rFonts w:ascii="Arial" w:cs="Arial" w:eastAsia="Arial" w:hAnsi="Arial"/>
                <w:sz w:val="14"/>
                <w:szCs w:val="14"/>
                <w:color w:val="00053B"/>
              </w:rPr>
              <w:t>—</w:t>
            </w:r>
          </w:p>
        </w:tc>
        <w:tc>
          <w:tcPr>
            <w:tcW w:w="1160" w:type="dxa"/>
            <w:vAlign w:val="bottom"/>
            <w:shd w:val="clear" w:color="auto" w:fill="EAEAEA"/>
          </w:tcPr>
          <w:p>
            <w:pPr>
              <w:jc w:val="right"/>
              <w:ind w:right="32"/>
              <w:spacing w:after="0"/>
              <w:rPr>
                <w:sz w:val="20"/>
                <w:szCs w:val="20"/>
                <w:color w:val="auto"/>
              </w:rPr>
            </w:pPr>
            <w:r>
              <w:rPr>
                <w:rFonts w:ascii="Arial" w:cs="Arial" w:eastAsia="Arial" w:hAnsi="Arial"/>
                <w:sz w:val="14"/>
                <w:szCs w:val="14"/>
                <w:color w:val="00053B"/>
              </w:rPr>
              <w:t>7,110,041</w:t>
            </w:r>
          </w:p>
        </w:tc>
        <w:tc>
          <w:tcPr>
            <w:tcW w:w="0" w:type="dxa"/>
            <w:vAlign w:val="bottom"/>
          </w:tcPr>
          <w:p>
            <w:pPr>
              <w:spacing w:after="0"/>
              <w:rPr>
                <w:sz w:val="1"/>
                <w:szCs w:val="1"/>
                <w:color w:val="auto"/>
              </w:rPr>
            </w:pPr>
          </w:p>
        </w:tc>
      </w:tr>
      <w:tr>
        <w:trPr>
          <w:trHeight w:val="203"/>
        </w:trPr>
        <w:tc>
          <w:tcPr>
            <w:tcW w:w="4800" w:type="dxa"/>
            <w:vAlign w:val="bottom"/>
            <w:shd w:val="clear" w:color="auto" w:fill="EAEAEA"/>
          </w:tcPr>
          <w:p>
            <w:pPr>
              <w:ind w:left="140"/>
              <w:spacing w:after="0"/>
              <w:rPr>
                <w:sz w:val="20"/>
                <w:szCs w:val="20"/>
                <w:color w:val="auto"/>
              </w:rPr>
            </w:pPr>
            <w:r>
              <w:rPr>
                <w:rFonts w:ascii="Arial" w:cs="Arial" w:eastAsia="Arial" w:hAnsi="Arial"/>
                <w:sz w:val="14"/>
                <w:szCs w:val="14"/>
                <w:color w:val="00053B"/>
              </w:rPr>
              <w:t>Involuntary termination without cause or with good reason</w:t>
            </w:r>
          </w:p>
        </w:tc>
        <w:tc>
          <w:tcPr>
            <w:tcW w:w="1160" w:type="dxa"/>
            <w:vAlign w:val="bottom"/>
            <w:shd w:val="clear" w:color="auto" w:fill="EAEAEA"/>
          </w:tcPr>
          <w:p>
            <w:pPr>
              <w:jc w:val="right"/>
              <w:ind w:right="29"/>
              <w:spacing w:after="0"/>
              <w:rPr>
                <w:sz w:val="20"/>
                <w:szCs w:val="20"/>
                <w:color w:val="auto"/>
              </w:rPr>
            </w:pPr>
            <w:r>
              <w:rPr>
                <w:rFonts w:ascii="Arial" w:cs="Arial" w:eastAsia="Arial" w:hAnsi="Arial"/>
                <w:sz w:val="14"/>
                <w:szCs w:val="14"/>
                <w:color w:val="00053B"/>
              </w:rPr>
              <w:t>451,000</w:t>
            </w:r>
          </w:p>
        </w:tc>
        <w:tc>
          <w:tcPr>
            <w:tcW w:w="1100" w:type="dxa"/>
            <w:vAlign w:val="bottom"/>
            <w:shd w:val="clear" w:color="auto" w:fill="EAEAEA"/>
          </w:tcPr>
          <w:p>
            <w:pPr>
              <w:jc w:val="right"/>
              <w:ind w:right="32"/>
              <w:spacing w:after="0"/>
              <w:rPr>
                <w:sz w:val="20"/>
                <w:szCs w:val="20"/>
                <w:color w:val="auto"/>
              </w:rPr>
            </w:pPr>
            <w:r>
              <w:rPr>
                <w:rFonts w:ascii="Arial" w:cs="Arial" w:eastAsia="Arial" w:hAnsi="Arial"/>
                <w:sz w:val="14"/>
                <w:szCs w:val="14"/>
                <w:color w:val="00053B"/>
              </w:rPr>
              <w:t>—</w:t>
            </w:r>
          </w:p>
        </w:tc>
        <w:tc>
          <w:tcPr>
            <w:tcW w:w="260" w:type="dxa"/>
            <w:vAlign w:val="bottom"/>
            <w:shd w:val="clear" w:color="auto" w:fill="EAEAEA"/>
          </w:tcPr>
          <w:p>
            <w:pPr>
              <w:spacing w:after="0"/>
              <w:rPr>
                <w:sz w:val="17"/>
                <w:szCs w:val="17"/>
                <w:color w:val="auto"/>
              </w:rPr>
            </w:pPr>
          </w:p>
        </w:tc>
        <w:tc>
          <w:tcPr>
            <w:tcW w:w="1160" w:type="dxa"/>
            <w:vAlign w:val="bottom"/>
            <w:shd w:val="clear" w:color="auto" w:fill="EAEAEA"/>
          </w:tcPr>
          <w:p>
            <w:pPr>
              <w:jc w:val="right"/>
              <w:ind w:right="33"/>
              <w:spacing w:after="0"/>
              <w:rPr>
                <w:sz w:val="20"/>
                <w:szCs w:val="20"/>
                <w:color w:val="auto"/>
              </w:rPr>
            </w:pPr>
            <w:r>
              <w:rPr>
                <w:rFonts w:ascii="Arial" w:cs="Arial" w:eastAsia="Arial" w:hAnsi="Arial"/>
                <w:sz w:val="14"/>
                <w:szCs w:val="14"/>
                <w:color w:val="00053B"/>
              </w:rPr>
              <w:t>4,103,756(3)</w:t>
            </w:r>
          </w:p>
        </w:tc>
        <w:tc>
          <w:tcPr>
            <w:tcW w:w="1600" w:type="dxa"/>
            <w:vAlign w:val="bottom"/>
            <w:shd w:val="clear" w:color="auto" w:fill="EAEAEA"/>
          </w:tcPr>
          <w:p>
            <w:pPr>
              <w:jc w:val="right"/>
              <w:ind w:right="332"/>
              <w:spacing w:after="0"/>
              <w:rPr>
                <w:sz w:val="20"/>
                <w:szCs w:val="20"/>
                <w:color w:val="auto"/>
              </w:rPr>
            </w:pPr>
            <w:r>
              <w:rPr>
                <w:rFonts w:ascii="Arial" w:cs="Arial" w:eastAsia="Arial" w:hAnsi="Arial"/>
                <w:sz w:val="14"/>
                <w:szCs w:val="14"/>
                <w:color w:val="00053B"/>
              </w:rPr>
              <w:t>35,733</w:t>
            </w:r>
          </w:p>
        </w:tc>
        <w:tc>
          <w:tcPr>
            <w:tcW w:w="1160" w:type="dxa"/>
            <w:vAlign w:val="bottom"/>
            <w:shd w:val="clear" w:color="auto" w:fill="EAEAEA"/>
          </w:tcPr>
          <w:p>
            <w:pPr>
              <w:jc w:val="right"/>
              <w:ind w:right="32"/>
              <w:spacing w:after="0"/>
              <w:rPr>
                <w:sz w:val="20"/>
                <w:szCs w:val="20"/>
                <w:color w:val="auto"/>
              </w:rPr>
            </w:pPr>
            <w:r>
              <w:rPr>
                <w:rFonts w:ascii="Arial" w:cs="Arial" w:eastAsia="Arial" w:hAnsi="Arial"/>
                <w:sz w:val="14"/>
                <w:szCs w:val="14"/>
                <w:color w:val="00053B"/>
              </w:rPr>
              <w:t>4,590,489</w:t>
            </w:r>
          </w:p>
        </w:tc>
        <w:tc>
          <w:tcPr>
            <w:tcW w:w="0" w:type="dxa"/>
            <w:vAlign w:val="bottom"/>
          </w:tcPr>
          <w:p>
            <w:pPr>
              <w:spacing w:after="0"/>
              <w:rPr>
                <w:sz w:val="1"/>
                <w:szCs w:val="1"/>
                <w:color w:val="auto"/>
              </w:rPr>
            </w:pPr>
          </w:p>
        </w:tc>
      </w:tr>
      <w:tr>
        <w:trPr>
          <w:trHeight w:val="157"/>
        </w:trPr>
        <w:tc>
          <w:tcPr>
            <w:tcW w:w="4800" w:type="dxa"/>
            <w:vAlign w:val="bottom"/>
            <w:shd w:val="clear" w:color="auto" w:fill="EAEAEA"/>
          </w:tcPr>
          <w:p>
            <w:pPr>
              <w:ind w:left="140"/>
              <w:spacing w:after="0" w:line="157" w:lineRule="exact"/>
              <w:rPr>
                <w:sz w:val="20"/>
                <w:szCs w:val="20"/>
                <w:color w:val="auto"/>
              </w:rPr>
            </w:pPr>
            <w:r>
              <w:rPr>
                <w:rFonts w:ascii="Arial" w:cs="Arial" w:eastAsia="Arial" w:hAnsi="Arial"/>
                <w:sz w:val="14"/>
                <w:szCs w:val="14"/>
                <w:color w:val="00053B"/>
              </w:rPr>
              <w:t>Involuntary termination without cause or with good reason in connection</w:t>
            </w:r>
          </w:p>
        </w:tc>
        <w:tc>
          <w:tcPr>
            <w:tcW w:w="1160" w:type="dxa"/>
            <w:vAlign w:val="bottom"/>
            <w:vMerge w:val="restart"/>
            <w:shd w:val="clear" w:color="auto" w:fill="EAEAEA"/>
          </w:tcPr>
          <w:p>
            <w:pPr>
              <w:jc w:val="right"/>
              <w:ind w:right="29"/>
              <w:spacing w:after="0"/>
              <w:rPr>
                <w:sz w:val="20"/>
                <w:szCs w:val="20"/>
                <w:color w:val="auto"/>
              </w:rPr>
            </w:pPr>
            <w:r>
              <w:rPr>
                <w:rFonts w:ascii="Arial" w:cs="Arial" w:eastAsia="Arial" w:hAnsi="Arial"/>
                <w:sz w:val="14"/>
                <w:szCs w:val="14"/>
                <w:color w:val="00053B"/>
              </w:rPr>
              <w:t>451,000</w:t>
            </w:r>
          </w:p>
        </w:tc>
        <w:tc>
          <w:tcPr>
            <w:tcW w:w="1100" w:type="dxa"/>
            <w:vAlign w:val="bottom"/>
            <w:vMerge w:val="restart"/>
            <w:shd w:val="clear" w:color="auto" w:fill="EAEAEA"/>
          </w:tcPr>
          <w:p>
            <w:pPr>
              <w:jc w:val="right"/>
              <w:ind w:right="32"/>
              <w:spacing w:after="0"/>
              <w:rPr>
                <w:sz w:val="20"/>
                <w:szCs w:val="20"/>
                <w:color w:val="auto"/>
              </w:rPr>
            </w:pPr>
            <w:r>
              <w:rPr>
                <w:rFonts w:ascii="Arial" w:cs="Arial" w:eastAsia="Arial" w:hAnsi="Arial"/>
                <w:sz w:val="14"/>
                <w:szCs w:val="14"/>
                <w:color w:val="00053B"/>
              </w:rPr>
              <w:t>—</w:t>
            </w:r>
          </w:p>
        </w:tc>
        <w:tc>
          <w:tcPr>
            <w:tcW w:w="260" w:type="dxa"/>
            <w:vAlign w:val="bottom"/>
            <w:shd w:val="clear" w:color="auto" w:fill="EAEAEA"/>
          </w:tcPr>
          <w:p>
            <w:pPr>
              <w:spacing w:after="0"/>
              <w:rPr>
                <w:sz w:val="13"/>
                <w:szCs w:val="13"/>
                <w:color w:val="auto"/>
              </w:rPr>
            </w:pPr>
          </w:p>
        </w:tc>
        <w:tc>
          <w:tcPr>
            <w:tcW w:w="1160" w:type="dxa"/>
            <w:vAlign w:val="bottom"/>
            <w:vMerge w:val="restart"/>
            <w:shd w:val="clear" w:color="auto" w:fill="EAEAEA"/>
          </w:tcPr>
          <w:p>
            <w:pPr>
              <w:jc w:val="right"/>
              <w:ind w:right="33"/>
              <w:spacing w:after="0"/>
              <w:rPr>
                <w:sz w:val="20"/>
                <w:szCs w:val="20"/>
                <w:color w:val="auto"/>
              </w:rPr>
            </w:pPr>
            <w:r>
              <w:rPr>
                <w:rFonts w:ascii="Arial" w:cs="Arial" w:eastAsia="Arial" w:hAnsi="Arial"/>
                <w:sz w:val="14"/>
                <w:szCs w:val="14"/>
                <w:color w:val="00053B"/>
              </w:rPr>
              <w:t>7,110,041(2)</w:t>
            </w:r>
          </w:p>
        </w:tc>
        <w:tc>
          <w:tcPr>
            <w:tcW w:w="1600" w:type="dxa"/>
            <w:vAlign w:val="bottom"/>
            <w:vMerge w:val="restart"/>
            <w:shd w:val="clear" w:color="auto" w:fill="EAEAEA"/>
          </w:tcPr>
          <w:p>
            <w:pPr>
              <w:jc w:val="right"/>
              <w:ind w:right="332"/>
              <w:spacing w:after="0"/>
              <w:rPr>
                <w:sz w:val="20"/>
                <w:szCs w:val="20"/>
                <w:color w:val="auto"/>
              </w:rPr>
            </w:pPr>
            <w:r>
              <w:rPr>
                <w:rFonts w:ascii="Arial" w:cs="Arial" w:eastAsia="Arial" w:hAnsi="Arial"/>
                <w:sz w:val="14"/>
                <w:szCs w:val="14"/>
                <w:color w:val="00053B"/>
              </w:rPr>
              <w:t>35,733</w:t>
            </w:r>
          </w:p>
        </w:tc>
        <w:tc>
          <w:tcPr>
            <w:tcW w:w="1160" w:type="dxa"/>
            <w:vAlign w:val="bottom"/>
            <w:vMerge w:val="restart"/>
            <w:shd w:val="clear" w:color="auto" w:fill="EAEAEA"/>
          </w:tcPr>
          <w:p>
            <w:pPr>
              <w:jc w:val="right"/>
              <w:ind w:right="32"/>
              <w:spacing w:after="0"/>
              <w:rPr>
                <w:sz w:val="20"/>
                <w:szCs w:val="20"/>
                <w:color w:val="auto"/>
              </w:rPr>
            </w:pPr>
            <w:r>
              <w:rPr>
                <w:rFonts w:ascii="Arial" w:cs="Arial" w:eastAsia="Arial" w:hAnsi="Arial"/>
                <w:sz w:val="14"/>
                <w:szCs w:val="14"/>
                <w:color w:val="00053B"/>
              </w:rPr>
              <w:t>7,596,774</w:t>
            </w:r>
          </w:p>
        </w:tc>
        <w:tc>
          <w:tcPr>
            <w:tcW w:w="0" w:type="dxa"/>
            <w:vAlign w:val="bottom"/>
          </w:tcPr>
          <w:p>
            <w:pPr>
              <w:spacing w:after="0"/>
              <w:rPr>
                <w:sz w:val="1"/>
                <w:szCs w:val="1"/>
                <w:color w:val="auto"/>
              </w:rPr>
            </w:pPr>
          </w:p>
        </w:tc>
      </w:tr>
      <w:tr>
        <w:trPr>
          <w:trHeight w:val="113"/>
        </w:trPr>
        <w:tc>
          <w:tcPr>
            <w:tcW w:w="4800" w:type="dxa"/>
            <w:vAlign w:val="bottom"/>
            <w:vMerge w:val="restart"/>
            <w:shd w:val="clear" w:color="auto" w:fill="EAEAEA"/>
          </w:tcPr>
          <w:p>
            <w:pPr>
              <w:ind w:left="140"/>
              <w:spacing w:after="0"/>
              <w:rPr>
                <w:sz w:val="20"/>
                <w:szCs w:val="20"/>
                <w:color w:val="auto"/>
              </w:rPr>
            </w:pPr>
            <w:r>
              <w:rPr>
                <w:rFonts w:ascii="Arial" w:cs="Arial" w:eastAsia="Arial" w:hAnsi="Arial"/>
                <w:sz w:val="14"/>
                <w:szCs w:val="14"/>
                <w:color w:val="00053B"/>
              </w:rPr>
              <w:t>with a change in control</w:t>
            </w:r>
          </w:p>
        </w:tc>
        <w:tc>
          <w:tcPr>
            <w:tcW w:w="1160" w:type="dxa"/>
            <w:vAlign w:val="bottom"/>
            <w:vMerge w:val="continue"/>
            <w:shd w:val="clear" w:color="auto" w:fill="EAEAEA"/>
          </w:tcPr>
          <w:p>
            <w:pPr>
              <w:spacing w:after="0"/>
              <w:rPr>
                <w:sz w:val="9"/>
                <w:szCs w:val="9"/>
                <w:color w:val="auto"/>
              </w:rPr>
            </w:pPr>
          </w:p>
        </w:tc>
        <w:tc>
          <w:tcPr>
            <w:tcW w:w="1100" w:type="dxa"/>
            <w:vAlign w:val="bottom"/>
            <w:vMerge w:val="continue"/>
            <w:shd w:val="clear" w:color="auto" w:fill="EAEAEA"/>
          </w:tcPr>
          <w:p>
            <w:pPr>
              <w:spacing w:after="0"/>
              <w:rPr>
                <w:sz w:val="9"/>
                <w:szCs w:val="9"/>
                <w:color w:val="auto"/>
              </w:rPr>
            </w:pPr>
          </w:p>
        </w:tc>
        <w:tc>
          <w:tcPr>
            <w:tcW w:w="260" w:type="dxa"/>
            <w:vAlign w:val="bottom"/>
            <w:shd w:val="clear" w:color="auto" w:fill="EAEAEA"/>
          </w:tcPr>
          <w:p>
            <w:pPr>
              <w:spacing w:after="0"/>
              <w:rPr>
                <w:sz w:val="9"/>
                <w:szCs w:val="9"/>
                <w:color w:val="auto"/>
              </w:rPr>
            </w:pPr>
          </w:p>
        </w:tc>
        <w:tc>
          <w:tcPr>
            <w:tcW w:w="1160" w:type="dxa"/>
            <w:vAlign w:val="bottom"/>
            <w:vMerge w:val="continue"/>
            <w:shd w:val="clear" w:color="auto" w:fill="EAEAEA"/>
          </w:tcPr>
          <w:p>
            <w:pPr>
              <w:spacing w:after="0"/>
              <w:rPr>
                <w:sz w:val="9"/>
                <w:szCs w:val="9"/>
                <w:color w:val="auto"/>
              </w:rPr>
            </w:pPr>
          </w:p>
        </w:tc>
        <w:tc>
          <w:tcPr>
            <w:tcW w:w="1600" w:type="dxa"/>
            <w:vAlign w:val="bottom"/>
            <w:vMerge w:val="continue"/>
            <w:shd w:val="clear" w:color="auto" w:fill="EAEAEA"/>
          </w:tcPr>
          <w:p>
            <w:pPr>
              <w:spacing w:after="0"/>
              <w:rPr>
                <w:sz w:val="9"/>
                <w:szCs w:val="9"/>
                <w:color w:val="auto"/>
              </w:rPr>
            </w:pPr>
          </w:p>
        </w:tc>
        <w:tc>
          <w:tcPr>
            <w:tcW w:w="116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4800" w:type="dxa"/>
            <w:vAlign w:val="bottom"/>
            <w:vMerge w:val="continue"/>
            <w:shd w:val="clear" w:color="auto" w:fill="EAEAEA"/>
          </w:tcPr>
          <w:p>
            <w:pPr>
              <w:spacing w:after="0"/>
              <w:rPr>
                <w:sz w:val="6"/>
                <w:szCs w:val="6"/>
                <w:color w:val="auto"/>
              </w:rPr>
            </w:pPr>
          </w:p>
        </w:tc>
        <w:tc>
          <w:tcPr>
            <w:tcW w:w="1160" w:type="dxa"/>
            <w:vAlign w:val="bottom"/>
            <w:shd w:val="clear" w:color="auto" w:fill="EAEAEA"/>
          </w:tcPr>
          <w:p>
            <w:pPr>
              <w:spacing w:after="0"/>
              <w:rPr>
                <w:sz w:val="6"/>
                <w:szCs w:val="6"/>
                <w:color w:val="auto"/>
              </w:rPr>
            </w:pPr>
          </w:p>
        </w:tc>
        <w:tc>
          <w:tcPr>
            <w:tcW w:w="1100" w:type="dxa"/>
            <w:vAlign w:val="bottom"/>
            <w:shd w:val="clear" w:color="auto" w:fill="EAEAEA"/>
          </w:tcPr>
          <w:p>
            <w:pPr>
              <w:spacing w:after="0"/>
              <w:rPr>
                <w:sz w:val="6"/>
                <w:szCs w:val="6"/>
                <w:color w:val="auto"/>
              </w:rPr>
            </w:pPr>
          </w:p>
        </w:tc>
        <w:tc>
          <w:tcPr>
            <w:tcW w:w="260" w:type="dxa"/>
            <w:vAlign w:val="bottom"/>
            <w:shd w:val="clear" w:color="auto" w:fill="EAEAEA"/>
          </w:tcPr>
          <w:p>
            <w:pPr>
              <w:spacing w:after="0"/>
              <w:rPr>
                <w:sz w:val="6"/>
                <w:szCs w:val="6"/>
                <w:color w:val="auto"/>
              </w:rPr>
            </w:pPr>
          </w:p>
        </w:tc>
        <w:tc>
          <w:tcPr>
            <w:tcW w:w="1160" w:type="dxa"/>
            <w:vAlign w:val="bottom"/>
            <w:shd w:val="clear" w:color="auto" w:fill="EAEAEA"/>
          </w:tcPr>
          <w:p>
            <w:pPr>
              <w:spacing w:after="0"/>
              <w:rPr>
                <w:sz w:val="6"/>
                <w:szCs w:val="6"/>
                <w:color w:val="auto"/>
              </w:rPr>
            </w:pPr>
          </w:p>
        </w:tc>
        <w:tc>
          <w:tcPr>
            <w:tcW w:w="1600" w:type="dxa"/>
            <w:vAlign w:val="bottom"/>
            <w:shd w:val="clear" w:color="auto" w:fill="EAEAEA"/>
          </w:tcPr>
          <w:p>
            <w:pPr>
              <w:spacing w:after="0"/>
              <w:rPr>
                <w:sz w:val="6"/>
                <w:szCs w:val="6"/>
                <w:color w:val="auto"/>
              </w:rPr>
            </w:pPr>
          </w:p>
        </w:tc>
        <w:tc>
          <w:tcPr>
            <w:tcW w:w="1160" w:type="dxa"/>
            <w:vAlign w:val="bottom"/>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4800" w:type="dxa"/>
            <w:vAlign w:val="bottom"/>
          </w:tcPr>
          <w:p>
            <w:pPr>
              <w:ind w:left="140"/>
              <w:spacing w:after="0"/>
              <w:rPr>
                <w:sz w:val="20"/>
                <w:szCs w:val="20"/>
                <w:color w:val="auto"/>
              </w:rPr>
            </w:pPr>
            <w:r>
              <w:rPr>
                <w:rFonts w:ascii="Arial" w:cs="Arial" w:eastAsia="Arial" w:hAnsi="Arial"/>
                <w:sz w:val="14"/>
                <w:szCs w:val="14"/>
                <w:b w:val="1"/>
                <w:bCs w:val="1"/>
                <w:color w:val="00053B"/>
              </w:rPr>
              <w:t>Riccardo Di Blasio(4)</w:t>
            </w:r>
          </w:p>
        </w:tc>
        <w:tc>
          <w:tcPr>
            <w:tcW w:w="1160" w:type="dxa"/>
            <w:vAlign w:val="bottom"/>
          </w:tcPr>
          <w:p>
            <w:pPr>
              <w:jc w:val="right"/>
              <w:ind w:right="29"/>
              <w:spacing w:after="0"/>
              <w:rPr>
                <w:sz w:val="20"/>
                <w:szCs w:val="20"/>
                <w:color w:val="auto"/>
              </w:rPr>
            </w:pPr>
            <w:r>
              <w:rPr>
                <w:rFonts w:ascii="Arial" w:cs="Arial" w:eastAsia="Arial" w:hAnsi="Arial"/>
                <w:sz w:val="14"/>
                <w:szCs w:val="14"/>
                <w:color w:val="00053B"/>
              </w:rPr>
              <w:t>—</w:t>
            </w:r>
          </w:p>
        </w:tc>
        <w:tc>
          <w:tcPr>
            <w:tcW w:w="1360" w:type="dxa"/>
            <w:vAlign w:val="bottom"/>
            <w:gridSpan w:val="2"/>
          </w:tcPr>
          <w:p>
            <w:pPr>
              <w:jc w:val="right"/>
              <w:ind w:right="360"/>
              <w:spacing w:after="0"/>
              <w:rPr>
                <w:sz w:val="20"/>
                <w:szCs w:val="20"/>
                <w:color w:val="auto"/>
              </w:rPr>
            </w:pPr>
            <w:r>
              <w:rPr>
                <w:rFonts w:ascii="Arial" w:cs="Arial" w:eastAsia="Arial" w:hAnsi="Arial"/>
                <w:sz w:val="14"/>
                <w:szCs w:val="14"/>
                <w:color w:val="00053B"/>
              </w:rPr>
              <w:t>—</w:t>
            </w:r>
          </w:p>
        </w:tc>
        <w:tc>
          <w:tcPr>
            <w:tcW w:w="1160" w:type="dxa"/>
            <w:vAlign w:val="bottom"/>
          </w:tcPr>
          <w:p>
            <w:pPr>
              <w:jc w:val="right"/>
              <w:ind w:right="33"/>
              <w:spacing w:after="0"/>
              <w:rPr>
                <w:sz w:val="20"/>
                <w:szCs w:val="20"/>
                <w:color w:val="auto"/>
              </w:rPr>
            </w:pPr>
            <w:r>
              <w:rPr>
                <w:rFonts w:ascii="Arial" w:cs="Arial" w:eastAsia="Arial" w:hAnsi="Arial"/>
                <w:sz w:val="14"/>
                <w:szCs w:val="14"/>
                <w:color w:val="00053B"/>
              </w:rPr>
              <w:t>—</w:t>
            </w:r>
          </w:p>
        </w:tc>
        <w:tc>
          <w:tcPr>
            <w:tcW w:w="1600" w:type="dxa"/>
            <w:vAlign w:val="bottom"/>
          </w:tcPr>
          <w:p>
            <w:pPr>
              <w:jc w:val="right"/>
              <w:ind w:right="332"/>
              <w:spacing w:after="0"/>
              <w:rPr>
                <w:sz w:val="20"/>
                <w:szCs w:val="20"/>
                <w:color w:val="auto"/>
              </w:rPr>
            </w:pPr>
            <w:r>
              <w:rPr>
                <w:rFonts w:ascii="Arial" w:cs="Arial" w:eastAsia="Arial" w:hAnsi="Arial"/>
                <w:sz w:val="14"/>
                <w:szCs w:val="14"/>
                <w:color w:val="00053B"/>
              </w:rPr>
              <w:t>—</w:t>
            </w:r>
          </w:p>
        </w:tc>
        <w:tc>
          <w:tcPr>
            <w:tcW w:w="1160" w:type="dxa"/>
            <w:vAlign w:val="bottom"/>
          </w:tcPr>
          <w:p>
            <w:pPr>
              <w:jc w:val="right"/>
              <w:ind w:right="32"/>
              <w:spacing w:after="0"/>
              <w:rPr>
                <w:sz w:val="20"/>
                <w:szCs w:val="20"/>
                <w:color w:val="auto"/>
              </w:rPr>
            </w:pPr>
            <w:r>
              <w:rPr>
                <w:rFonts w:ascii="Arial" w:cs="Arial" w:eastAsia="Arial" w:hAnsi="Arial"/>
                <w:sz w:val="14"/>
                <w:szCs w:val="14"/>
                <w:color w:val="00053B"/>
              </w:rPr>
              <w:t>—</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340" w:right="100" w:hanging="332"/>
        <w:spacing w:after="0" w:line="286" w:lineRule="auto"/>
        <w:tabs>
          <w:tab w:leader="none" w:pos="248" w:val="left"/>
        </w:tabs>
        <w:numPr>
          <w:ilvl w:val="0"/>
          <w:numId w:val="47"/>
        </w:numPr>
        <w:rPr>
          <w:rFonts w:ascii="Arial" w:cs="Arial" w:eastAsia="Arial" w:hAnsi="Arial"/>
          <w:sz w:val="13"/>
          <w:szCs w:val="13"/>
          <w:color w:val="00053B"/>
        </w:rPr>
      </w:pPr>
      <w:r>
        <w:rPr>
          <w:rFonts w:ascii="Arial" w:cs="Arial" w:eastAsia="Arial" w:hAnsi="Arial"/>
          <w:sz w:val="13"/>
          <w:szCs w:val="13"/>
          <w:color w:val="00053B"/>
        </w:rPr>
        <w:t>Amounts in this column describe the value of restricted stock unit awards and performance stock unit awards that would vest upon the triggering event described in the leftmost column, based on a closing price of $101.43 per share of our common stock on March 31, 2024.</w:t>
      </w:r>
    </w:p>
    <w:p>
      <w:pPr>
        <w:spacing w:after="0" w:line="8" w:lineRule="exact"/>
        <w:rPr>
          <w:sz w:val="20"/>
          <w:szCs w:val="20"/>
          <w:color w:val="auto"/>
        </w:rPr>
      </w:pPr>
    </w:p>
    <w:p>
      <w:pPr>
        <w:ind w:left="340" w:right="220"/>
        <w:spacing w:after="0" w:line="251" w:lineRule="auto"/>
        <w:rPr>
          <w:sz w:val="20"/>
          <w:szCs w:val="20"/>
          <w:color w:val="auto"/>
        </w:rPr>
      </w:pPr>
      <w:r>
        <w:rPr>
          <w:rFonts w:ascii="Arial" w:cs="Arial" w:eastAsia="Arial" w:hAnsi="Arial"/>
          <w:sz w:val="13"/>
          <w:szCs w:val="13"/>
          <w:color w:val="00053B"/>
        </w:rPr>
        <w:t>As described in the named executive officers’ respective employment agreements upon death or disability, all outstanding restricted stock unit awards and performance stock unit awards would become immediately vested. Any stock awards with performance conditions that are not yet determinable (such as if the performance measurement period has not been completed) will be deemed to have been earned at 100% of target and will be payable in accordance with their terms.</w:t>
      </w:r>
    </w:p>
    <w:p>
      <w:pPr>
        <w:spacing w:after="0" w:line="30" w:lineRule="exact"/>
        <w:rPr>
          <w:sz w:val="20"/>
          <w:szCs w:val="20"/>
          <w:color w:val="auto"/>
        </w:rPr>
      </w:pPr>
    </w:p>
    <w:p>
      <w:pPr>
        <w:ind w:left="340" w:right="60" w:hanging="332"/>
        <w:spacing w:after="0" w:line="254" w:lineRule="auto"/>
        <w:tabs>
          <w:tab w:leader="none" w:pos="248" w:val="left"/>
        </w:tabs>
        <w:numPr>
          <w:ilvl w:val="0"/>
          <w:numId w:val="48"/>
        </w:numPr>
        <w:rPr>
          <w:rFonts w:ascii="Arial" w:cs="Arial" w:eastAsia="Arial" w:hAnsi="Arial"/>
          <w:sz w:val="13"/>
          <w:szCs w:val="13"/>
          <w:color w:val="00053B"/>
        </w:rPr>
      </w:pPr>
      <w:r>
        <w:rPr>
          <w:rFonts w:ascii="Arial" w:cs="Arial" w:eastAsia="Arial" w:hAnsi="Arial"/>
          <w:sz w:val="13"/>
          <w:szCs w:val="13"/>
          <w:color w:val="00053B"/>
        </w:rPr>
        <w:t>As described in the named executive officers’ respective employment agreements or change in control agreements, upon death, disability, or involuntary termination by the Company without cause or by the named executive officer for good reason, in each case, on or within the two years following a change in control, all outstanding restricted stock unit awards and performance stock unit awards would become immediately vested. Any stock awards with performance conditions that are not yet determinable (such as if the performance measurement period has not been completed) will be deemed to have been earned at 100% of target and will be payable in accordance with their terms.</w:t>
      </w:r>
    </w:p>
    <w:p>
      <w:pPr>
        <w:spacing w:after="0" w:line="28" w:lineRule="exact"/>
        <w:rPr>
          <w:rFonts w:ascii="Arial" w:cs="Arial" w:eastAsia="Arial" w:hAnsi="Arial"/>
          <w:sz w:val="13"/>
          <w:szCs w:val="13"/>
          <w:color w:val="00053B"/>
        </w:rPr>
      </w:pPr>
    </w:p>
    <w:p>
      <w:pPr>
        <w:ind w:left="340" w:right="160" w:hanging="332"/>
        <w:spacing w:after="0" w:line="254" w:lineRule="auto"/>
        <w:tabs>
          <w:tab w:leader="none" w:pos="248" w:val="left"/>
        </w:tabs>
        <w:numPr>
          <w:ilvl w:val="0"/>
          <w:numId w:val="48"/>
        </w:numPr>
        <w:rPr>
          <w:rFonts w:ascii="Arial" w:cs="Arial" w:eastAsia="Arial" w:hAnsi="Arial"/>
          <w:sz w:val="13"/>
          <w:szCs w:val="13"/>
          <w:color w:val="00053B"/>
        </w:rPr>
      </w:pPr>
      <w:r>
        <w:rPr>
          <w:rFonts w:ascii="Arial" w:cs="Arial" w:eastAsia="Arial" w:hAnsi="Arial"/>
          <w:sz w:val="13"/>
          <w:szCs w:val="13"/>
          <w:color w:val="00053B"/>
        </w:rPr>
        <w:t>As described in the named executive officers’ respective employment agreements, involuntary termination by the Company without cause or by the named executive officer for good reason other than within two years following a change in control would result in the vesting of restricted stock units and performance stock unit awards that would have vested had the named executive officer remained with the Company an additional year. Any performance stock unit awards with conditions that are not yet determined (such as if the performance measurement period has not been completed) will be deemed to have been earned at 100% of target and will be payable in accordance with their terms.</w:t>
      </w:r>
    </w:p>
    <w:p>
      <w:pPr>
        <w:spacing w:after="0" w:line="28" w:lineRule="exact"/>
        <w:rPr>
          <w:rFonts w:ascii="Arial" w:cs="Arial" w:eastAsia="Arial" w:hAnsi="Arial"/>
          <w:sz w:val="13"/>
          <w:szCs w:val="13"/>
          <w:color w:val="00053B"/>
        </w:rPr>
      </w:pPr>
    </w:p>
    <w:p>
      <w:pPr>
        <w:ind w:left="260" w:hanging="252"/>
        <w:spacing w:after="0"/>
        <w:tabs>
          <w:tab w:leader="none" w:pos="260" w:val="left"/>
        </w:tabs>
        <w:numPr>
          <w:ilvl w:val="0"/>
          <w:numId w:val="48"/>
        </w:numPr>
        <w:rPr>
          <w:rFonts w:ascii="Arial" w:cs="Arial" w:eastAsia="Arial" w:hAnsi="Arial"/>
          <w:sz w:val="13"/>
          <w:szCs w:val="13"/>
          <w:color w:val="00053B"/>
        </w:rPr>
      </w:pPr>
      <w:r>
        <w:rPr>
          <w:rFonts w:ascii="Arial" w:cs="Arial" w:eastAsia="Arial" w:hAnsi="Arial"/>
          <w:sz w:val="13"/>
          <w:szCs w:val="13"/>
          <w:color w:val="00053B"/>
        </w:rPr>
        <w:t>Mr. Di Blasio resigned as CRO effective January 12, 2024.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46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15175" cy="1028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COMPENSATION TABLES | </w:t>
      </w:r>
      <w:r>
        <w:rPr>
          <w:rFonts w:ascii="Arial" w:cs="Arial" w:eastAsia="Arial" w:hAnsi="Arial"/>
          <w:sz w:val="11"/>
          <w:szCs w:val="11"/>
          <w:b w:val="1"/>
          <w:bCs w:val="1"/>
          <w:color w:val="00053B"/>
        </w:rPr>
        <w:t>CEO PAY RATIO</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CEO Pay Ratio</w:t>
      </w:r>
    </w:p>
    <w:p>
      <w:pPr>
        <w:spacing w:after="0" w:line="12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00053B"/>
        </w:rPr>
        <w:t>As required by Item 402(u) of Regulation S-K, we are providing the following information regarding the relationship of the annual total compensation for our CEO compared to the median of the annual total compensation of all of our employees (except for our CEO).</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00053B"/>
        </w:rPr>
        <w:t>For fiscal 2024:</w:t>
      </w:r>
    </w:p>
    <w:p>
      <w:pPr>
        <w:spacing w:after="0" w:line="113" w:lineRule="exact"/>
        <w:rPr>
          <w:sz w:val="20"/>
          <w:szCs w:val="20"/>
          <w:color w:val="auto"/>
        </w:rPr>
      </w:pPr>
    </w:p>
    <w:p>
      <w:pPr>
        <w:ind w:left="300" w:hanging="130"/>
        <w:spacing w:after="0"/>
        <w:tabs>
          <w:tab w:leader="none" w:pos="300" w:val="left"/>
        </w:tabs>
        <w:numPr>
          <w:ilvl w:val="0"/>
          <w:numId w:val="49"/>
        </w:numPr>
        <w:rPr>
          <w:rFonts w:ascii="Times New Roman" w:cs="Times New Roman" w:eastAsia="Times New Roman" w:hAnsi="Times New Roman"/>
          <w:sz w:val="16"/>
          <w:szCs w:val="16"/>
          <w:color w:val="00053B"/>
        </w:rPr>
      </w:pPr>
      <w:r>
        <w:rPr>
          <w:rFonts w:ascii="Arial" w:cs="Arial" w:eastAsia="Arial" w:hAnsi="Arial"/>
          <w:sz w:val="16"/>
          <w:szCs w:val="16"/>
          <w:color w:val="00053B"/>
        </w:rPr>
        <w:t>The median of the annual total compensation of all of our employees, excluding our CEO, was $77,215.</w:t>
      </w:r>
    </w:p>
    <w:p>
      <w:pPr>
        <w:spacing w:after="0" w:line="125" w:lineRule="exact"/>
        <w:rPr>
          <w:rFonts w:ascii="Times New Roman" w:cs="Times New Roman" w:eastAsia="Times New Roman" w:hAnsi="Times New Roman"/>
          <w:sz w:val="16"/>
          <w:szCs w:val="16"/>
          <w:color w:val="00053B"/>
        </w:rPr>
      </w:pPr>
    </w:p>
    <w:p>
      <w:pPr>
        <w:ind w:left="300" w:hanging="130"/>
        <w:spacing w:after="0"/>
        <w:tabs>
          <w:tab w:leader="none" w:pos="300" w:val="left"/>
        </w:tabs>
        <w:numPr>
          <w:ilvl w:val="0"/>
          <w:numId w:val="49"/>
        </w:numPr>
        <w:rPr>
          <w:rFonts w:ascii="Times New Roman" w:cs="Times New Roman" w:eastAsia="Times New Roman" w:hAnsi="Times New Roman"/>
          <w:sz w:val="16"/>
          <w:szCs w:val="16"/>
          <w:color w:val="00053B"/>
        </w:rPr>
      </w:pPr>
      <w:r>
        <w:rPr>
          <w:rFonts w:ascii="Arial" w:cs="Arial" w:eastAsia="Arial" w:hAnsi="Arial"/>
          <w:sz w:val="16"/>
          <w:szCs w:val="16"/>
          <w:color w:val="00053B"/>
        </w:rPr>
        <w:t>The annual total compensation of our CEO was $12,107,760.</w:t>
      </w:r>
    </w:p>
    <w:p>
      <w:pPr>
        <w:spacing w:after="0" w:line="112" w:lineRule="exact"/>
        <w:rPr>
          <w:rFonts w:ascii="Times New Roman" w:cs="Times New Roman" w:eastAsia="Times New Roman" w:hAnsi="Times New Roman"/>
          <w:sz w:val="16"/>
          <w:szCs w:val="16"/>
          <w:color w:val="00053B"/>
        </w:rPr>
      </w:pPr>
    </w:p>
    <w:p>
      <w:pPr>
        <w:ind w:left="300" w:hanging="130"/>
        <w:spacing w:after="0"/>
        <w:tabs>
          <w:tab w:leader="none" w:pos="300" w:val="left"/>
        </w:tabs>
        <w:numPr>
          <w:ilvl w:val="0"/>
          <w:numId w:val="49"/>
        </w:numPr>
        <w:rPr>
          <w:rFonts w:ascii="Times New Roman" w:cs="Times New Roman" w:eastAsia="Times New Roman" w:hAnsi="Times New Roman"/>
          <w:sz w:val="16"/>
          <w:szCs w:val="16"/>
          <w:color w:val="00053B"/>
        </w:rPr>
      </w:pPr>
      <w:r>
        <w:rPr>
          <w:rFonts w:ascii="Arial" w:cs="Arial" w:eastAsia="Arial" w:hAnsi="Arial"/>
          <w:sz w:val="16"/>
          <w:szCs w:val="16"/>
          <w:color w:val="00053B"/>
        </w:rPr>
        <w:t>Therefore, the ratio of CEO compensation relative to the median employee is approximately 157 to 1.</w:t>
      </w:r>
    </w:p>
    <w:p>
      <w:pPr>
        <w:spacing w:after="0" w:line="112" w:lineRule="exact"/>
        <w:rPr>
          <w:sz w:val="20"/>
          <w:szCs w:val="20"/>
          <w:color w:val="auto"/>
        </w:rPr>
      </w:pPr>
    </w:p>
    <w:p>
      <w:pPr>
        <w:ind w:right="440"/>
        <w:spacing w:after="0" w:line="265" w:lineRule="auto"/>
        <w:rPr>
          <w:sz w:val="20"/>
          <w:szCs w:val="20"/>
          <w:color w:val="auto"/>
        </w:rPr>
      </w:pPr>
      <w:r>
        <w:rPr>
          <w:rFonts w:ascii="Arial" w:cs="Arial" w:eastAsia="Arial" w:hAnsi="Arial"/>
          <w:sz w:val="16"/>
          <w:szCs w:val="16"/>
          <w:color w:val="00053B"/>
        </w:rPr>
        <w:t>Factors influencing the company’s pay ratio include the Company’s strategic decision to expand into centers of excellence, including 1,037 employees located in India (a 22% increase since fiscal 2023) and over 1,714 employees located outside of the United States, in each case, where compensation benchmarks are lower than those in other geographies. Additionally, all global employees’ salaries differ as cost of living differs from country to country. Approximately 40% of employees live in the United States where our CEO resides and works. Such global workforce increases span of control, and management effectiveness and efficiencies.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00053B"/>
        </w:rPr>
        <w:t>The methodology we used to identify our median employee for fiscal 2024 was as follows:</w:t>
      </w:r>
    </w:p>
    <w:p>
      <w:pPr>
        <w:spacing w:after="0" w:line="127" w:lineRule="exact"/>
        <w:rPr>
          <w:sz w:val="20"/>
          <w:szCs w:val="20"/>
          <w:color w:val="auto"/>
        </w:rPr>
      </w:pPr>
    </w:p>
    <w:p>
      <w:pPr>
        <w:ind w:left="300" w:right="680" w:hanging="130"/>
        <w:spacing w:after="0" w:line="285" w:lineRule="auto"/>
        <w:tabs>
          <w:tab w:leader="none" w:pos="294" w:val="left"/>
        </w:tabs>
        <w:numPr>
          <w:ilvl w:val="0"/>
          <w:numId w:val="50"/>
        </w:numPr>
        <w:rPr>
          <w:rFonts w:ascii="Times New Roman" w:cs="Times New Roman" w:eastAsia="Times New Roman" w:hAnsi="Times New Roman"/>
          <w:sz w:val="16"/>
          <w:szCs w:val="16"/>
          <w:color w:val="00053B"/>
        </w:rPr>
      </w:pPr>
      <w:r>
        <w:rPr>
          <w:rFonts w:ascii="Arial" w:cs="Arial" w:eastAsia="Arial" w:hAnsi="Arial"/>
          <w:sz w:val="16"/>
          <w:szCs w:val="16"/>
          <w:color w:val="00053B"/>
        </w:rPr>
        <w:t>We selected March 31, 2024, as the date upon which we identified our employee population. We included all employees as of that date, with no exclusions.</w:t>
      </w:r>
    </w:p>
    <w:p>
      <w:pPr>
        <w:spacing w:after="0" w:line="61" w:lineRule="exact"/>
        <w:rPr>
          <w:rFonts w:ascii="Times New Roman" w:cs="Times New Roman" w:eastAsia="Times New Roman" w:hAnsi="Times New Roman"/>
          <w:sz w:val="16"/>
          <w:szCs w:val="16"/>
          <w:color w:val="00053B"/>
        </w:rPr>
      </w:pPr>
    </w:p>
    <w:p>
      <w:pPr>
        <w:ind w:left="300" w:hanging="130"/>
        <w:spacing w:after="0" w:line="265" w:lineRule="auto"/>
        <w:tabs>
          <w:tab w:leader="none" w:pos="294" w:val="left"/>
        </w:tabs>
        <w:numPr>
          <w:ilvl w:val="0"/>
          <w:numId w:val="50"/>
        </w:numPr>
        <w:rPr>
          <w:rFonts w:ascii="Times New Roman" w:cs="Times New Roman" w:eastAsia="Times New Roman" w:hAnsi="Times New Roman"/>
          <w:sz w:val="16"/>
          <w:szCs w:val="16"/>
          <w:color w:val="00053B"/>
        </w:rPr>
      </w:pPr>
      <w:r>
        <w:rPr>
          <w:rFonts w:ascii="Arial" w:cs="Arial" w:eastAsia="Arial" w:hAnsi="Arial"/>
          <w:sz w:val="16"/>
          <w:szCs w:val="16"/>
          <w:color w:val="00053B"/>
        </w:rPr>
        <w:t>We used total cash compensation as our consistently applied compensation measure to identify our median employee. For this purpose, we defined total cash compensation as base wages plus any incentive compensation (bonuses or commissions). We did not annualize the compensation of any employees who were employed less than a full year and we did not make any adjustments, assumptions or estimates. For employees outside the United States, we converted cash compensation to U.S. dollars using the applicable March 31, 2024 exchange rate.</w:t>
      </w:r>
    </w:p>
    <w:p>
      <w:pPr>
        <w:spacing w:after="0" w:line="64" w:lineRule="exact"/>
        <w:rPr>
          <w:rFonts w:ascii="Times New Roman" w:cs="Times New Roman" w:eastAsia="Times New Roman" w:hAnsi="Times New Roman"/>
          <w:sz w:val="16"/>
          <w:szCs w:val="16"/>
          <w:color w:val="00053B"/>
        </w:rPr>
      </w:pPr>
    </w:p>
    <w:p>
      <w:pPr>
        <w:ind w:left="300" w:hanging="130"/>
        <w:spacing w:after="0"/>
        <w:tabs>
          <w:tab w:leader="none" w:pos="300" w:val="left"/>
        </w:tabs>
        <w:numPr>
          <w:ilvl w:val="0"/>
          <w:numId w:val="50"/>
        </w:numPr>
        <w:rPr>
          <w:rFonts w:ascii="Times New Roman" w:cs="Times New Roman" w:eastAsia="Times New Roman" w:hAnsi="Times New Roman"/>
          <w:sz w:val="16"/>
          <w:szCs w:val="16"/>
          <w:color w:val="00053B"/>
        </w:rPr>
      </w:pPr>
      <w:r>
        <w:rPr>
          <w:rFonts w:ascii="Arial" w:cs="Arial" w:eastAsia="Arial" w:hAnsi="Arial"/>
          <w:sz w:val="16"/>
          <w:szCs w:val="16"/>
          <w:color w:val="00053B"/>
        </w:rPr>
        <w:t>Using this methodology, we determined that our median employee was a full-time, salaried employee based in Great Britain.</w:t>
      </w:r>
    </w:p>
    <w:p>
      <w:pPr>
        <w:spacing w:after="0" w:line="112"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00053B"/>
        </w:rPr>
        <w:t>We calculated the annual total compensation of our median employee in the same manner that we calculated the total compensation of our CEO for purposes of the Summary Compensation Table. This annual total compensation amount for our median employee was then compared to the annual total compensation of our CEO as reported in the “Total” column of our fiscal 2024 Summary Compensation Table included in this Proxy Statement to determine the pay ratio.</w:t>
      </w:r>
    </w:p>
    <w:p>
      <w:pPr>
        <w:spacing w:after="0" w:line="60" w:lineRule="exact"/>
        <w:rPr>
          <w:sz w:val="20"/>
          <w:szCs w:val="20"/>
          <w:color w:val="auto"/>
        </w:rPr>
      </w:pPr>
    </w:p>
    <w:p>
      <w:pPr>
        <w:spacing w:after="0" w:line="275" w:lineRule="auto"/>
        <w:rPr>
          <w:sz w:val="20"/>
          <w:szCs w:val="20"/>
          <w:color w:val="auto"/>
        </w:rPr>
      </w:pPr>
      <w:r>
        <w:rPr>
          <w:rFonts w:ascii="Arial" w:cs="Arial" w:eastAsia="Arial" w:hAnsi="Arial"/>
          <w:sz w:val="16"/>
          <w:szCs w:val="16"/>
          <w:color w:val="00053B"/>
        </w:rPr>
        <w:t>It should be noted that the SEC rules provide a fair amount of flexibility in developing a methodology to identify the median employee, and the global composition of our workforce may contribute to a lack of comparability between our pay ratio and that of our peer companies. We believe that this pay ratio is a reasonable estimate calculated in a manner consistent with Item 402(u)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47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15175" cy="1028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COMPENSATION TABLES | </w:t>
      </w:r>
      <w:r>
        <w:rPr>
          <w:rFonts w:ascii="Arial" w:cs="Arial" w:eastAsia="Arial" w:hAnsi="Arial"/>
          <w:sz w:val="11"/>
          <w:szCs w:val="11"/>
          <w:b w:val="1"/>
          <w:bCs w:val="1"/>
          <w:color w:val="00053B"/>
        </w:rPr>
        <w:t>PAY VERSUS PERFORMANCE</w:t>
      </w: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Pay Versus Performance</w:t>
      </w:r>
    </w:p>
    <w:p>
      <w:pPr>
        <w:spacing w:after="0" w:line="7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00053B"/>
        </w:rPr>
        <w:t>As required by Item 402(v) of Regulation S-K, we are providing the following information about the relationship between the compensation actually paid to our principal executive officer (“PEO”) and non-PEO named executive officers ("NEOs") and certain aspects of our financial performance. For further information concerning our pay for performance philosophy and how executive compensation aligns with our performance, please refer to the Compensation Discussion and Analysis.</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gridSpan w:val="2"/>
          </w:tcPr>
          <w:p>
            <w:pPr>
              <w:jc w:val="right"/>
              <w:ind w:right="104"/>
              <w:spacing w:after="0"/>
              <w:rPr>
                <w:sz w:val="20"/>
                <w:szCs w:val="20"/>
                <w:color w:val="auto"/>
              </w:rPr>
            </w:pPr>
            <w:r>
              <w:rPr>
                <w:rFonts w:ascii="Arial" w:cs="Arial" w:eastAsia="Arial" w:hAnsi="Arial"/>
                <w:sz w:val="14"/>
                <w:szCs w:val="14"/>
                <w:color w:val="00053B"/>
              </w:rPr>
              <w:t>Value on Initial Fixed $100</w:t>
            </w:r>
          </w:p>
        </w:tc>
        <w:tc>
          <w:tcPr>
            <w:tcW w:w="1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160" w:type="dxa"/>
            <w:vAlign w:val="bottom"/>
            <w:tcBorders>
              <w:bottom w:val="single" w:sz="8" w:color="844896"/>
            </w:tcBorders>
            <w:gridSpan w:val="2"/>
          </w:tcPr>
          <w:p>
            <w:pPr>
              <w:jc w:val="right"/>
              <w:ind w:right="564"/>
              <w:spacing w:after="0"/>
              <w:rPr>
                <w:sz w:val="20"/>
                <w:szCs w:val="20"/>
                <w:color w:val="auto"/>
              </w:rPr>
            </w:pPr>
            <w:r>
              <w:rPr>
                <w:rFonts w:ascii="Arial" w:cs="Arial" w:eastAsia="Arial" w:hAnsi="Arial"/>
                <w:sz w:val="14"/>
                <w:szCs w:val="14"/>
                <w:color w:val="00053B"/>
              </w:rPr>
              <w:t>Investment(3)</w:t>
            </w:r>
          </w:p>
        </w:tc>
        <w:tc>
          <w:tcPr>
            <w:tcW w:w="1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1480" w:type="dxa"/>
            <w:vAlign w:val="bottom"/>
            <w:vMerge w:val="restart"/>
          </w:tcPr>
          <w:p>
            <w:pPr>
              <w:jc w:val="right"/>
              <w:ind w:right="83"/>
              <w:spacing w:after="0"/>
              <w:rPr>
                <w:sz w:val="20"/>
                <w:szCs w:val="20"/>
                <w:color w:val="auto"/>
              </w:rPr>
            </w:pPr>
            <w:r>
              <w:rPr>
                <w:rFonts w:ascii="Arial" w:cs="Arial" w:eastAsia="Arial" w:hAnsi="Arial"/>
                <w:sz w:val="14"/>
                <w:szCs w:val="14"/>
                <w:color w:val="00053B"/>
              </w:rPr>
              <w:t>Summary</w:t>
            </w:r>
          </w:p>
        </w:tc>
        <w:tc>
          <w:tcPr>
            <w:tcW w:w="1280" w:type="dxa"/>
            <w:vAlign w:val="bottom"/>
          </w:tcPr>
          <w:p>
            <w:pPr>
              <w:spacing w:after="0"/>
              <w:rPr>
                <w:sz w:val="12"/>
                <w:szCs w:val="12"/>
                <w:color w:val="auto"/>
              </w:rPr>
            </w:pPr>
          </w:p>
        </w:tc>
        <w:tc>
          <w:tcPr>
            <w:tcW w:w="1340" w:type="dxa"/>
            <w:vAlign w:val="bottom"/>
          </w:tcPr>
          <w:p>
            <w:pPr>
              <w:jc w:val="right"/>
              <w:ind w:right="3"/>
              <w:spacing w:after="0" w:line="142" w:lineRule="exact"/>
              <w:rPr>
                <w:sz w:val="20"/>
                <w:szCs w:val="20"/>
                <w:color w:val="auto"/>
              </w:rPr>
            </w:pPr>
            <w:r>
              <w:rPr>
                <w:rFonts w:ascii="Arial" w:cs="Arial" w:eastAsia="Arial" w:hAnsi="Arial"/>
                <w:sz w:val="14"/>
                <w:szCs w:val="14"/>
                <w:color w:val="00053B"/>
              </w:rPr>
              <w:t>Average Summary</w:t>
            </w:r>
          </w:p>
        </w:tc>
        <w:tc>
          <w:tcPr>
            <w:tcW w:w="1300" w:type="dxa"/>
            <w:vAlign w:val="bottom"/>
          </w:tcPr>
          <w:p>
            <w:pPr>
              <w:jc w:val="right"/>
              <w:spacing w:after="0" w:line="142" w:lineRule="exact"/>
              <w:rPr>
                <w:sz w:val="20"/>
                <w:szCs w:val="20"/>
                <w:color w:val="auto"/>
              </w:rPr>
            </w:pPr>
            <w:r>
              <w:rPr>
                <w:rFonts w:ascii="Arial" w:cs="Arial" w:eastAsia="Arial" w:hAnsi="Arial"/>
                <w:sz w:val="14"/>
                <w:szCs w:val="14"/>
                <w:color w:val="00053B"/>
              </w:rPr>
              <w:t>Average</w:t>
            </w:r>
          </w:p>
        </w:tc>
        <w:tc>
          <w:tcPr>
            <w:tcW w:w="1220" w:type="dxa"/>
            <w:vAlign w:val="bottom"/>
            <w:vMerge w:val="restart"/>
          </w:tcPr>
          <w:p>
            <w:pPr>
              <w:jc w:val="right"/>
              <w:ind w:right="84"/>
              <w:spacing w:after="0"/>
              <w:rPr>
                <w:sz w:val="20"/>
                <w:szCs w:val="20"/>
                <w:color w:val="auto"/>
              </w:rPr>
            </w:pPr>
            <w:r>
              <w:rPr>
                <w:rFonts w:ascii="Arial" w:cs="Arial" w:eastAsia="Arial" w:hAnsi="Arial"/>
                <w:sz w:val="14"/>
                <w:szCs w:val="14"/>
                <w:color w:val="00053B"/>
              </w:rPr>
              <w:t>Total</w:t>
            </w: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00053B"/>
              </w:rPr>
              <w:t>Peer Group</w:t>
            </w:r>
          </w:p>
        </w:tc>
        <w:tc>
          <w:tcPr>
            <w:tcW w:w="1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620" w:type="dxa"/>
            <w:vAlign w:val="bottom"/>
            <w:gridSpan w:val="2"/>
          </w:tcPr>
          <w:p>
            <w:pPr>
              <w:jc w:val="right"/>
              <w:ind w:right="3"/>
              <w:spacing w:after="0" w:line="149" w:lineRule="exact"/>
              <w:rPr>
                <w:sz w:val="20"/>
                <w:szCs w:val="20"/>
                <w:color w:val="auto"/>
              </w:rPr>
            </w:pPr>
            <w:r>
              <w:rPr>
                <w:rFonts w:ascii="Arial" w:cs="Arial" w:eastAsia="Arial" w:hAnsi="Arial"/>
                <w:sz w:val="14"/>
                <w:szCs w:val="14"/>
                <w:color w:val="00053B"/>
              </w:rPr>
              <w:t>Compensation Compensation Table</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00053B"/>
              </w:rPr>
              <w:t>Compensation</w:t>
            </w:r>
          </w:p>
        </w:tc>
        <w:tc>
          <w:tcPr>
            <w:tcW w:w="1220" w:type="dxa"/>
            <w:vAlign w:val="bottom"/>
            <w:vMerge w:val="continue"/>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00053B"/>
              </w:rPr>
              <w:t>Total</w:t>
            </w:r>
          </w:p>
        </w:tc>
        <w:tc>
          <w:tcPr>
            <w:tcW w:w="1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60" w:type="dxa"/>
            <w:vAlign w:val="bottom"/>
            <w:vMerge w:val="restart"/>
          </w:tcPr>
          <w:p>
            <w:pPr>
              <w:ind w:left="360"/>
              <w:spacing w:after="0"/>
              <w:rPr>
                <w:sz w:val="20"/>
                <w:szCs w:val="20"/>
                <w:color w:val="auto"/>
              </w:rPr>
            </w:pPr>
            <w:r>
              <w:rPr>
                <w:rFonts w:ascii="Arial" w:cs="Arial" w:eastAsia="Arial" w:hAnsi="Arial"/>
                <w:sz w:val="14"/>
                <w:szCs w:val="14"/>
                <w:color w:val="00053B"/>
              </w:rPr>
              <w:t>Year(1)</w:t>
            </w:r>
          </w:p>
        </w:tc>
        <w:tc>
          <w:tcPr>
            <w:tcW w:w="1480" w:type="dxa"/>
            <w:vAlign w:val="bottom"/>
          </w:tcPr>
          <w:p>
            <w:pPr>
              <w:jc w:val="right"/>
              <w:ind w:right="83"/>
              <w:spacing w:after="0" w:line="139" w:lineRule="exact"/>
              <w:rPr>
                <w:sz w:val="20"/>
                <w:szCs w:val="20"/>
                <w:color w:val="auto"/>
              </w:rPr>
            </w:pPr>
            <w:r>
              <w:rPr>
                <w:rFonts w:ascii="Arial" w:cs="Arial" w:eastAsia="Arial" w:hAnsi="Arial"/>
                <w:sz w:val="14"/>
                <w:szCs w:val="14"/>
                <w:color w:val="00053B"/>
              </w:rPr>
              <w:t>Compensation Table</w:t>
            </w:r>
          </w:p>
        </w:tc>
        <w:tc>
          <w:tcPr>
            <w:tcW w:w="1280" w:type="dxa"/>
            <w:vAlign w:val="bottom"/>
          </w:tcPr>
          <w:p>
            <w:pPr>
              <w:jc w:val="right"/>
              <w:ind w:right="3"/>
              <w:spacing w:after="0" w:line="139" w:lineRule="exact"/>
              <w:rPr>
                <w:sz w:val="20"/>
                <w:szCs w:val="20"/>
                <w:color w:val="auto"/>
              </w:rPr>
            </w:pPr>
            <w:r>
              <w:rPr>
                <w:rFonts w:ascii="Arial" w:cs="Arial" w:eastAsia="Arial" w:hAnsi="Arial"/>
                <w:sz w:val="14"/>
                <w:szCs w:val="14"/>
                <w:color w:val="00053B"/>
              </w:rPr>
              <w:t>Actually Paid for</w:t>
            </w:r>
          </w:p>
        </w:tc>
        <w:tc>
          <w:tcPr>
            <w:tcW w:w="1340" w:type="dxa"/>
            <w:vAlign w:val="bottom"/>
          </w:tcPr>
          <w:p>
            <w:pPr>
              <w:jc w:val="right"/>
              <w:ind w:right="3"/>
              <w:spacing w:after="0" w:line="139" w:lineRule="exact"/>
              <w:rPr>
                <w:sz w:val="20"/>
                <w:szCs w:val="20"/>
                <w:color w:val="auto"/>
              </w:rPr>
            </w:pPr>
            <w:r>
              <w:rPr>
                <w:rFonts w:ascii="Arial" w:cs="Arial" w:eastAsia="Arial" w:hAnsi="Arial"/>
                <w:sz w:val="14"/>
                <w:szCs w:val="14"/>
                <w:color w:val="00053B"/>
              </w:rPr>
              <w:t>Total for Non-PEO</w:t>
            </w:r>
          </w:p>
        </w:tc>
        <w:tc>
          <w:tcPr>
            <w:tcW w:w="1300" w:type="dxa"/>
            <w:vAlign w:val="bottom"/>
          </w:tcPr>
          <w:p>
            <w:pPr>
              <w:jc w:val="right"/>
              <w:spacing w:after="0" w:line="139" w:lineRule="exact"/>
              <w:rPr>
                <w:sz w:val="20"/>
                <w:szCs w:val="20"/>
                <w:color w:val="auto"/>
              </w:rPr>
            </w:pPr>
            <w:r>
              <w:rPr>
                <w:rFonts w:ascii="Arial" w:cs="Arial" w:eastAsia="Arial" w:hAnsi="Arial"/>
                <w:sz w:val="14"/>
                <w:szCs w:val="14"/>
                <w:color w:val="00053B"/>
              </w:rPr>
              <w:t>Actually Paid for</w:t>
            </w:r>
          </w:p>
        </w:tc>
        <w:tc>
          <w:tcPr>
            <w:tcW w:w="1220" w:type="dxa"/>
            <w:vAlign w:val="bottom"/>
          </w:tcPr>
          <w:p>
            <w:pPr>
              <w:jc w:val="right"/>
              <w:ind w:right="84"/>
              <w:spacing w:after="0" w:line="139" w:lineRule="exact"/>
              <w:rPr>
                <w:sz w:val="20"/>
                <w:szCs w:val="20"/>
                <w:color w:val="auto"/>
              </w:rPr>
            </w:pPr>
            <w:r>
              <w:rPr>
                <w:rFonts w:ascii="Arial" w:cs="Arial" w:eastAsia="Arial" w:hAnsi="Arial"/>
                <w:sz w:val="14"/>
                <w:szCs w:val="14"/>
                <w:color w:val="00053B"/>
              </w:rPr>
              <w:t>Shareholder</w:t>
            </w:r>
          </w:p>
        </w:tc>
        <w:tc>
          <w:tcPr>
            <w:tcW w:w="940" w:type="dxa"/>
            <w:vAlign w:val="bottom"/>
          </w:tcPr>
          <w:p>
            <w:pPr>
              <w:jc w:val="right"/>
              <w:spacing w:after="0" w:line="139" w:lineRule="exact"/>
              <w:rPr>
                <w:sz w:val="20"/>
                <w:szCs w:val="20"/>
                <w:color w:val="auto"/>
              </w:rPr>
            </w:pPr>
            <w:r>
              <w:rPr>
                <w:rFonts w:ascii="Arial" w:cs="Arial" w:eastAsia="Arial" w:hAnsi="Arial"/>
                <w:sz w:val="14"/>
                <w:szCs w:val="14"/>
                <w:color w:val="00053B"/>
              </w:rPr>
              <w:t>Shareholder</w:t>
            </w:r>
          </w:p>
        </w:tc>
        <w:tc>
          <w:tcPr>
            <w:tcW w:w="1580" w:type="dxa"/>
            <w:vAlign w:val="bottom"/>
            <w:vMerge w:val="restart"/>
          </w:tcPr>
          <w:p>
            <w:pPr>
              <w:jc w:val="right"/>
              <w:ind w:right="121"/>
              <w:spacing w:after="0"/>
              <w:rPr>
                <w:sz w:val="20"/>
                <w:szCs w:val="20"/>
                <w:color w:val="auto"/>
              </w:rPr>
            </w:pPr>
            <w:r>
              <w:rPr>
                <w:rFonts w:ascii="Arial" w:cs="Arial" w:eastAsia="Arial" w:hAnsi="Arial"/>
                <w:sz w:val="14"/>
                <w:szCs w:val="14"/>
                <w:color w:val="00053B"/>
              </w:rPr>
              <w:t>Net Income /(Loss)</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00053B"/>
              </w:rPr>
              <w:t>Revenue(5)</w:t>
            </w:r>
          </w:p>
        </w:tc>
        <w:tc>
          <w:tcPr>
            <w:tcW w:w="0" w:type="dxa"/>
            <w:vAlign w:val="bottom"/>
          </w:tcPr>
          <w:p>
            <w:pPr>
              <w:spacing w:after="0"/>
              <w:rPr>
                <w:sz w:val="1"/>
                <w:szCs w:val="1"/>
                <w:color w:val="auto"/>
              </w:rPr>
            </w:pPr>
          </w:p>
        </w:tc>
      </w:tr>
      <w:tr>
        <w:trPr>
          <w:trHeight w:val="194"/>
        </w:trPr>
        <w:tc>
          <w:tcPr>
            <w:tcW w:w="860" w:type="dxa"/>
            <w:vAlign w:val="bottom"/>
            <w:tcBorders>
              <w:bottom w:val="single" w:sz="8" w:color="844896"/>
            </w:tcBorders>
            <w:vMerge w:val="continue"/>
          </w:tcPr>
          <w:p>
            <w:pPr>
              <w:spacing w:after="0"/>
              <w:rPr>
                <w:sz w:val="16"/>
                <w:szCs w:val="16"/>
                <w:color w:val="auto"/>
              </w:rPr>
            </w:pPr>
          </w:p>
        </w:tc>
        <w:tc>
          <w:tcPr>
            <w:tcW w:w="1480" w:type="dxa"/>
            <w:vAlign w:val="bottom"/>
            <w:tcBorders>
              <w:bottom w:val="single" w:sz="8" w:color="844896"/>
            </w:tcBorders>
          </w:tcPr>
          <w:p>
            <w:pPr>
              <w:jc w:val="right"/>
              <w:ind w:right="83"/>
              <w:spacing w:after="0"/>
              <w:rPr>
                <w:sz w:val="20"/>
                <w:szCs w:val="20"/>
                <w:color w:val="auto"/>
              </w:rPr>
            </w:pPr>
            <w:r>
              <w:rPr>
                <w:rFonts w:ascii="Arial" w:cs="Arial" w:eastAsia="Arial" w:hAnsi="Arial"/>
                <w:sz w:val="14"/>
                <w:szCs w:val="14"/>
                <w:color w:val="00053B"/>
              </w:rPr>
              <w:t>Total for PEO</w:t>
            </w:r>
          </w:p>
        </w:tc>
        <w:tc>
          <w:tcPr>
            <w:tcW w:w="1280" w:type="dxa"/>
            <w:vAlign w:val="bottom"/>
            <w:tcBorders>
              <w:bottom w:val="single" w:sz="8" w:color="844896"/>
            </w:tcBorders>
          </w:tcPr>
          <w:p>
            <w:pPr>
              <w:jc w:val="right"/>
              <w:ind w:right="3"/>
              <w:spacing w:after="0"/>
              <w:rPr>
                <w:sz w:val="20"/>
                <w:szCs w:val="20"/>
                <w:color w:val="auto"/>
              </w:rPr>
            </w:pPr>
            <w:r>
              <w:rPr>
                <w:rFonts w:ascii="Arial" w:cs="Arial" w:eastAsia="Arial" w:hAnsi="Arial"/>
                <w:sz w:val="14"/>
                <w:szCs w:val="14"/>
                <w:color w:val="00053B"/>
              </w:rPr>
              <w:t>PEO(2)</w:t>
            </w:r>
          </w:p>
        </w:tc>
        <w:tc>
          <w:tcPr>
            <w:tcW w:w="1340" w:type="dxa"/>
            <w:vAlign w:val="bottom"/>
            <w:tcBorders>
              <w:bottom w:val="single" w:sz="8" w:color="844896"/>
            </w:tcBorders>
          </w:tcPr>
          <w:p>
            <w:pPr>
              <w:jc w:val="right"/>
              <w:ind w:right="3"/>
              <w:spacing w:after="0"/>
              <w:rPr>
                <w:sz w:val="20"/>
                <w:szCs w:val="20"/>
                <w:color w:val="auto"/>
              </w:rPr>
            </w:pPr>
            <w:r>
              <w:rPr>
                <w:rFonts w:ascii="Arial" w:cs="Arial" w:eastAsia="Arial" w:hAnsi="Arial"/>
                <w:sz w:val="14"/>
                <w:szCs w:val="14"/>
                <w:color w:val="00053B"/>
              </w:rPr>
              <w:t>NEOs</w:t>
            </w:r>
          </w:p>
        </w:tc>
        <w:tc>
          <w:tcPr>
            <w:tcW w:w="1300" w:type="dxa"/>
            <w:vAlign w:val="bottom"/>
            <w:tcBorders>
              <w:bottom w:val="single" w:sz="8" w:color="844896"/>
            </w:tcBorders>
          </w:tcPr>
          <w:p>
            <w:pPr>
              <w:jc w:val="right"/>
              <w:spacing w:after="0"/>
              <w:rPr>
                <w:sz w:val="20"/>
                <w:szCs w:val="20"/>
                <w:color w:val="auto"/>
              </w:rPr>
            </w:pPr>
            <w:r>
              <w:rPr>
                <w:rFonts w:ascii="Arial" w:cs="Arial" w:eastAsia="Arial" w:hAnsi="Arial"/>
                <w:sz w:val="14"/>
                <w:szCs w:val="14"/>
                <w:color w:val="00053B"/>
              </w:rPr>
              <w:t>Non-PEO NEOs(2)</w:t>
            </w:r>
          </w:p>
        </w:tc>
        <w:tc>
          <w:tcPr>
            <w:tcW w:w="1220" w:type="dxa"/>
            <w:vAlign w:val="bottom"/>
            <w:tcBorders>
              <w:bottom w:val="single" w:sz="8" w:color="844896"/>
            </w:tcBorders>
          </w:tcPr>
          <w:p>
            <w:pPr>
              <w:jc w:val="right"/>
              <w:ind w:right="84"/>
              <w:spacing w:after="0"/>
              <w:rPr>
                <w:sz w:val="20"/>
                <w:szCs w:val="20"/>
                <w:color w:val="auto"/>
              </w:rPr>
            </w:pPr>
            <w:r>
              <w:rPr>
                <w:rFonts w:ascii="Arial" w:cs="Arial" w:eastAsia="Arial" w:hAnsi="Arial"/>
                <w:sz w:val="14"/>
                <w:szCs w:val="14"/>
                <w:color w:val="00053B"/>
              </w:rPr>
              <w:t>Return</w:t>
            </w:r>
          </w:p>
        </w:tc>
        <w:tc>
          <w:tcPr>
            <w:tcW w:w="940" w:type="dxa"/>
            <w:vAlign w:val="bottom"/>
            <w:tcBorders>
              <w:bottom w:val="single" w:sz="8" w:color="844896"/>
            </w:tcBorders>
          </w:tcPr>
          <w:p>
            <w:pPr>
              <w:jc w:val="right"/>
              <w:spacing w:after="0"/>
              <w:rPr>
                <w:sz w:val="20"/>
                <w:szCs w:val="20"/>
                <w:color w:val="auto"/>
              </w:rPr>
            </w:pPr>
            <w:r>
              <w:rPr>
                <w:rFonts w:ascii="Arial" w:cs="Arial" w:eastAsia="Arial" w:hAnsi="Arial"/>
                <w:sz w:val="14"/>
                <w:szCs w:val="14"/>
                <w:color w:val="00053B"/>
              </w:rPr>
              <w:t>Return(4)</w:t>
            </w:r>
          </w:p>
        </w:tc>
        <w:tc>
          <w:tcPr>
            <w:tcW w:w="1580" w:type="dxa"/>
            <w:vAlign w:val="bottom"/>
            <w:tcBorders>
              <w:bottom w:val="single" w:sz="8" w:color="844896"/>
            </w:tcBorders>
            <w:vMerge w:val="continue"/>
          </w:tcPr>
          <w:p>
            <w:pPr>
              <w:spacing w:after="0"/>
              <w:rPr>
                <w:sz w:val="16"/>
                <w:szCs w:val="16"/>
                <w:color w:val="auto"/>
              </w:rPr>
            </w:pPr>
          </w:p>
        </w:tc>
        <w:tc>
          <w:tcPr>
            <w:tcW w:w="1200" w:type="dxa"/>
            <w:vAlign w:val="bottom"/>
            <w:tcBorders>
              <w:bottom w:val="single" w:sz="8" w:color="844896"/>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60" w:type="dxa"/>
            <w:vAlign w:val="bottom"/>
            <w:shd w:val="clear" w:color="auto" w:fill="EAEAEA"/>
          </w:tcPr>
          <w:p>
            <w:pPr>
              <w:ind w:left="380"/>
              <w:spacing w:after="0"/>
              <w:rPr>
                <w:sz w:val="20"/>
                <w:szCs w:val="20"/>
                <w:color w:val="auto"/>
              </w:rPr>
            </w:pPr>
            <w:r>
              <w:rPr>
                <w:rFonts w:ascii="Arial" w:cs="Arial" w:eastAsia="Arial" w:hAnsi="Arial"/>
                <w:sz w:val="16"/>
                <w:szCs w:val="16"/>
                <w:color w:val="00053B"/>
              </w:rPr>
              <w:t>2024</w:t>
            </w:r>
          </w:p>
        </w:tc>
        <w:tc>
          <w:tcPr>
            <w:tcW w:w="1480" w:type="dxa"/>
            <w:vAlign w:val="bottom"/>
            <w:shd w:val="clear" w:color="auto" w:fill="EAEAEA"/>
          </w:tcPr>
          <w:p>
            <w:pPr>
              <w:jc w:val="right"/>
              <w:ind w:right="83"/>
              <w:spacing w:after="0"/>
              <w:rPr>
                <w:sz w:val="20"/>
                <w:szCs w:val="20"/>
                <w:color w:val="auto"/>
              </w:rPr>
            </w:pPr>
            <w:r>
              <w:rPr>
                <w:rFonts w:ascii="Arial" w:cs="Arial" w:eastAsia="Arial" w:hAnsi="Arial"/>
                <w:sz w:val="16"/>
                <w:szCs w:val="16"/>
                <w:color w:val="00053B"/>
              </w:rPr>
              <w:t>$12,107,760</w:t>
            </w:r>
          </w:p>
        </w:tc>
        <w:tc>
          <w:tcPr>
            <w:tcW w:w="1280" w:type="dxa"/>
            <w:vAlign w:val="bottom"/>
            <w:shd w:val="clear" w:color="auto" w:fill="EAEAEA"/>
          </w:tcPr>
          <w:p>
            <w:pPr>
              <w:jc w:val="right"/>
              <w:ind w:right="3"/>
              <w:spacing w:after="0"/>
              <w:rPr>
                <w:sz w:val="20"/>
                <w:szCs w:val="20"/>
                <w:color w:val="auto"/>
              </w:rPr>
            </w:pPr>
            <w:r>
              <w:rPr>
                <w:rFonts w:ascii="Arial" w:cs="Arial" w:eastAsia="Arial" w:hAnsi="Arial"/>
                <w:sz w:val="16"/>
                <w:szCs w:val="16"/>
                <w:color w:val="00053B"/>
              </w:rPr>
              <w:t>$30,293,753</w:t>
            </w:r>
          </w:p>
        </w:tc>
        <w:tc>
          <w:tcPr>
            <w:tcW w:w="1340" w:type="dxa"/>
            <w:vAlign w:val="bottom"/>
            <w:shd w:val="clear" w:color="auto" w:fill="EAEAEA"/>
          </w:tcPr>
          <w:p>
            <w:pPr>
              <w:jc w:val="right"/>
              <w:ind w:right="3"/>
              <w:spacing w:after="0"/>
              <w:rPr>
                <w:sz w:val="20"/>
                <w:szCs w:val="20"/>
                <w:color w:val="auto"/>
              </w:rPr>
            </w:pPr>
            <w:r>
              <w:rPr>
                <w:rFonts w:ascii="Arial" w:cs="Arial" w:eastAsia="Arial" w:hAnsi="Arial"/>
                <w:sz w:val="16"/>
                <w:szCs w:val="16"/>
                <w:color w:val="00053B"/>
              </w:rPr>
              <w:t>$3,901,453</w:t>
            </w:r>
          </w:p>
        </w:tc>
        <w:tc>
          <w:tcPr>
            <w:tcW w:w="130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$3,890,783</w:t>
            </w:r>
          </w:p>
        </w:tc>
        <w:tc>
          <w:tcPr>
            <w:tcW w:w="1220" w:type="dxa"/>
            <w:vAlign w:val="bottom"/>
            <w:shd w:val="clear" w:color="auto" w:fill="EAEAEA"/>
          </w:tcPr>
          <w:p>
            <w:pPr>
              <w:jc w:val="right"/>
              <w:ind w:right="84"/>
              <w:spacing w:after="0"/>
              <w:rPr>
                <w:sz w:val="20"/>
                <w:szCs w:val="20"/>
                <w:color w:val="auto"/>
              </w:rPr>
            </w:pPr>
            <w:r>
              <w:rPr>
                <w:rFonts w:ascii="Arial" w:cs="Arial" w:eastAsia="Arial" w:hAnsi="Arial"/>
                <w:sz w:val="16"/>
                <w:szCs w:val="16"/>
                <w:color w:val="00053B"/>
              </w:rPr>
              <w:t>$251</w:t>
            </w:r>
          </w:p>
        </w:tc>
        <w:tc>
          <w:tcPr>
            <w:tcW w:w="94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$282</w:t>
            </w:r>
          </w:p>
        </w:tc>
        <w:tc>
          <w:tcPr>
            <w:tcW w:w="158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00053B"/>
              </w:rPr>
              <w:t>$168,906,000</w:t>
            </w:r>
          </w:p>
        </w:tc>
        <w:tc>
          <w:tcPr>
            <w:tcW w:w="120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$839,247,000</w:t>
            </w:r>
          </w:p>
        </w:tc>
        <w:tc>
          <w:tcPr>
            <w:tcW w:w="0" w:type="dxa"/>
            <w:vAlign w:val="bottom"/>
          </w:tcPr>
          <w:p>
            <w:pPr>
              <w:spacing w:after="0"/>
              <w:rPr>
                <w:sz w:val="1"/>
                <w:szCs w:val="1"/>
                <w:color w:val="auto"/>
              </w:rPr>
            </w:pPr>
          </w:p>
        </w:tc>
      </w:tr>
      <w:tr>
        <w:trPr>
          <w:trHeight w:val="215"/>
        </w:trPr>
        <w:tc>
          <w:tcPr>
            <w:tcW w:w="860" w:type="dxa"/>
            <w:vAlign w:val="bottom"/>
          </w:tcPr>
          <w:p>
            <w:pPr>
              <w:ind w:left="380"/>
              <w:spacing w:after="0"/>
              <w:rPr>
                <w:sz w:val="20"/>
                <w:szCs w:val="20"/>
                <w:color w:val="auto"/>
              </w:rPr>
            </w:pPr>
            <w:r>
              <w:rPr>
                <w:rFonts w:ascii="Arial" w:cs="Arial" w:eastAsia="Arial" w:hAnsi="Arial"/>
                <w:sz w:val="16"/>
                <w:szCs w:val="16"/>
                <w:color w:val="00053B"/>
              </w:rPr>
              <w:t>2023</w:t>
            </w:r>
          </w:p>
        </w:tc>
        <w:tc>
          <w:tcPr>
            <w:tcW w:w="1480" w:type="dxa"/>
            <w:vAlign w:val="bottom"/>
          </w:tcPr>
          <w:p>
            <w:pPr>
              <w:jc w:val="right"/>
              <w:ind w:right="83"/>
              <w:spacing w:after="0"/>
              <w:rPr>
                <w:sz w:val="20"/>
                <w:szCs w:val="20"/>
                <w:color w:val="auto"/>
              </w:rPr>
            </w:pPr>
            <w:r>
              <w:rPr>
                <w:rFonts w:ascii="Arial" w:cs="Arial" w:eastAsia="Arial" w:hAnsi="Arial"/>
                <w:sz w:val="16"/>
                <w:szCs w:val="16"/>
                <w:color w:val="00053B"/>
              </w:rPr>
              <w:t>$10,852,803</w:t>
            </w:r>
          </w:p>
        </w:tc>
        <w:tc>
          <w:tcPr>
            <w:tcW w:w="1280" w:type="dxa"/>
            <w:vAlign w:val="bottom"/>
          </w:tcPr>
          <w:p>
            <w:pPr>
              <w:jc w:val="right"/>
              <w:ind w:right="3"/>
              <w:spacing w:after="0"/>
              <w:rPr>
                <w:sz w:val="20"/>
                <w:szCs w:val="20"/>
                <w:color w:val="auto"/>
              </w:rPr>
            </w:pPr>
            <w:r>
              <w:rPr>
                <w:rFonts w:ascii="Arial" w:cs="Arial" w:eastAsia="Arial" w:hAnsi="Arial"/>
                <w:sz w:val="16"/>
                <w:szCs w:val="16"/>
                <w:color w:val="00053B"/>
              </w:rPr>
              <w:t>$8,128,462</w:t>
            </w:r>
          </w:p>
        </w:tc>
        <w:tc>
          <w:tcPr>
            <w:tcW w:w="1340" w:type="dxa"/>
            <w:vAlign w:val="bottom"/>
          </w:tcPr>
          <w:p>
            <w:pPr>
              <w:jc w:val="right"/>
              <w:ind w:right="3"/>
              <w:spacing w:after="0"/>
              <w:rPr>
                <w:sz w:val="20"/>
                <w:szCs w:val="20"/>
                <w:color w:val="auto"/>
              </w:rPr>
            </w:pPr>
            <w:r>
              <w:rPr>
                <w:rFonts w:ascii="Arial" w:cs="Arial" w:eastAsia="Arial" w:hAnsi="Arial"/>
                <w:sz w:val="16"/>
                <w:szCs w:val="16"/>
                <w:color w:val="00053B"/>
              </w:rPr>
              <w:t>$3,237,743</w:t>
            </w:r>
          </w:p>
        </w:tc>
        <w:tc>
          <w:tcPr>
            <w:tcW w:w="1300" w:type="dxa"/>
            <w:vAlign w:val="bottom"/>
          </w:tcPr>
          <w:p>
            <w:pPr>
              <w:jc w:val="right"/>
              <w:spacing w:after="0"/>
              <w:rPr>
                <w:sz w:val="20"/>
                <w:szCs w:val="20"/>
                <w:color w:val="auto"/>
              </w:rPr>
            </w:pPr>
            <w:r>
              <w:rPr>
                <w:rFonts w:ascii="Arial" w:cs="Arial" w:eastAsia="Arial" w:hAnsi="Arial"/>
                <w:sz w:val="16"/>
                <w:szCs w:val="16"/>
                <w:color w:val="00053B"/>
              </w:rPr>
              <w:t>$1,706,699</w:t>
            </w:r>
          </w:p>
        </w:tc>
        <w:tc>
          <w:tcPr>
            <w:tcW w:w="1220" w:type="dxa"/>
            <w:vAlign w:val="bottom"/>
          </w:tcPr>
          <w:p>
            <w:pPr>
              <w:jc w:val="right"/>
              <w:ind w:right="84"/>
              <w:spacing w:after="0"/>
              <w:rPr>
                <w:sz w:val="20"/>
                <w:szCs w:val="20"/>
                <w:color w:val="auto"/>
              </w:rPr>
            </w:pPr>
            <w:r>
              <w:rPr>
                <w:rFonts w:ascii="Arial" w:cs="Arial" w:eastAsia="Arial" w:hAnsi="Arial"/>
                <w:sz w:val="16"/>
                <w:szCs w:val="16"/>
                <w:color w:val="00053B"/>
              </w:rPr>
              <w:t>$140</w:t>
            </w:r>
          </w:p>
        </w:tc>
        <w:tc>
          <w:tcPr>
            <w:tcW w:w="940" w:type="dxa"/>
            <w:vAlign w:val="bottom"/>
          </w:tcPr>
          <w:p>
            <w:pPr>
              <w:jc w:val="right"/>
              <w:spacing w:after="0"/>
              <w:rPr>
                <w:sz w:val="20"/>
                <w:szCs w:val="20"/>
                <w:color w:val="auto"/>
              </w:rPr>
            </w:pPr>
            <w:r>
              <w:rPr>
                <w:rFonts w:ascii="Arial" w:cs="Arial" w:eastAsia="Arial" w:hAnsi="Arial"/>
                <w:sz w:val="16"/>
                <w:szCs w:val="16"/>
                <w:color w:val="00053B"/>
              </w:rPr>
              <w:t>$189</w:t>
            </w:r>
          </w:p>
        </w:tc>
        <w:tc>
          <w:tcPr>
            <w:tcW w:w="1580" w:type="dxa"/>
            <w:vAlign w:val="bottom"/>
          </w:tcPr>
          <w:p>
            <w:pPr>
              <w:jc w:val="right"/>
              <w:ind w:right="121"/>
              <w:spacing w:after="0"/>
              <w:rPr>
                <w:sz w:val="20"/>
                <w:szCs w:val="20"/>
                <w:color w:val="auto"/>
              </w:rPr>
            </w:pPr>
            <w:r>
              <w:rPr>
                <w:rFonts w:ascii="Arial" w:cs="Arial" w:eastAsia="Arial" w:hAnsi="Arial"/>
                <w:sz w:val="16"/>
                <w:szCs w:val="16"/>
                <w:color w:val="00053B"/>
              </w:rPr>
              <w:t>$(35,774,000)</w:t>
            </w:r>
          </w:p>
        </w:tc>
        <w:tc>
          <w:tcPr>
            <w:tcW w:w="1200" w:type="dxa"/>
            <w:vAlign w:val="bottom"/>
          </w:tcPr>
          <w:p>
            <w:pPr>
              <w:jc w:val="right"/>
              <w:spacing w:after="0"/>
              <w:rPr>
                <w:sz w:val="20"/>
                <w:szCs w:val="20"/>
                <w:color w:val="auto"/>
              </w:rPr>
            </w:pPr>
            <w:r>
              <w:rPr>
                <w:rFonts w:ascii="Arial" w:cs="Arial" w:eastAsia="Arial" w:hAnsi="Arial"/>
                <w:sz w:val="16"/>
                <w:szCs w:val="16"/>
                <w:color w:val="00053B"/>
              </w:rPr>
              <w:t>$784,590,000</w:t>
            </w:r>
          </w:p>
        </w:tc>
        <w:tc>
          <w:tcPr>
            <w:tcW w:w="0" w:type="dxa"/>
            <w:vAlign w:val="bottom"/>
          </w:tcPr>
          <w:p>
            <w:pPr>
              <w:spacing w:after="0"/>
              <w:rPr>
                <w:sz w:val="1"/>
                <w:szCs w:val="1"/>
                <w:color w:val="auto"/>
              </w:rPr>
            </w:pPr>
          </w:p>
        </w:tc>
      </w:tr>
      <w:tr>
        <w:trPr>
          <w:trHeight w:val="217"/>
        </w:trPr>
        <w:tc>
          <w:tcPr>
            <w:tcW w:w="860" w:type="dxa"/>
            <w:vAlign w:val="bottom"/>
            <w:shd w:val="clear" w:color="auto" w:fill="EAEAEA"/>
          </w:tcPr>
          <w:p>
            <w:pPr>
              <w:ind w:left="380"/>
              <w:spacing w:after="0"/>
              <w:rPr>
                <w:sz w:val="20"/>
                <w:szCs w:val="20"/>
                <w:color w:val="auto"/>
              </w:rPr>
            </w:pPr>
            <w:r>
              <w:rPr>
                <w:rFonts w:ascii="Arial" w:cs="Arial" w:eastAsia="Arial" w:hAnsi="Arial"/>
                <w:sz w:val="16"/>
                <w:szCs w:val="16"/>
                <w:color w:val="00053B"/>
              </w:rPr>
              <w:t>2022</w:t>
            </w:r>
          </w:p>
        </w:tc>
        <w:tc>
          <w:tcPr>
            <w:tcW w:w="1480" w:type="dxa"/>
            <w:vAlign w:val="bottom"/>
            <w:shd w:val="clear" w:color="auto" w:fill="EAEAEA"/>
          </w:tcPr>
          <w:p>
            <w:pPr>
              <w:jc w:val="right"/>
              <w:ind w:right="83"/>
              <w:spacing w:after="0"/>
              <w:rPr>
                <w:sz w:val="20"/>
                <w:szCs w:val="20"/>
                <w:color w:val="auto"/>
              </w:rPr>
            </w:pPr>
            <w:r>
              <w:rPr>
                <w:rFonts w:ascii="Arial" w:cs="Arial" w:eastAsia="Arial" w:hAnsi="Arial"/>
                <w:sz w:val="16"/>
                <w:szCs w:val="16"/>
                <w:color w:val="00053B"/>
              </w:rPr>
              <w:t>$10,760,212</w:t>
            </w:r>
          </w:p>
        </w:tc>
        <w:tc>
          <w:tcPr>
            <w:tcW w:w="1280" w:type="dxa"/>
            <w:vAlign w:val="bottom"/>
            <w:shd w:val="clear" w:color="auto" w:fill="EAEAEA"/>
          </w:tcPr>
          <w:p>
            <w:pPr>
              <w:jc w:val="right"/>
              <w:ind w:right="3"/>
              <w:spacing w:after="0"/>
              <w:rPr>
                <w:sz w:val="20"/>
                <w:szCs w:val="20"/>
                <w:color w:val="auto"/>
              </w:rPr>
            </w:pPr>
            <w:r>
              <w:rPr>
                <w:rFonts w:ascii="Arial" w:cs="Arial" w:eastAsia="Arial" w:hAnsi="Arial"/>
                <w:sz w:val="16"/>
                <w:szCs w:val="16"/>
                <w:color w:val="00053B"/>
              </w:rPr>
              <w:t>$11,275,932</w:t>
            </w:r>
          </w:p>
        </w:tc>
        <w:tc>
          <w:tcPr>
            <w:tcW w:w="1340" w:type="dxa"/>
            <w:vAlign w:val="bottom"/>
            <w:shd w:val="clear" w:color="auto" w:fill="EAEAEA"/>
          </w:tcPr>
          <w:p>
            <w:pPr>
              <w:jc w:val="right"/>
              <w:ind w:right="3"/>
              <w:spacing w:after="0"/>
              <w:rPr>
                <w:sz w:val="20"/>
                <w:szCs w:val="20"/>
                <w:color w:val="auto"/>
              </w:rPr>
            </w:pPr>
            <w:r>
              <w:rPr>
                <w:rFonts w:ascii="Arial" w:cs="Arial" w:eastAsia="Arial" w:hAnsi="Arial"/>
                <w:sz w:val="16"/>
                <w:szCs w:val="16"/>
                <w:color w:val="00053B"/>
              </w:rPr>
              <w:t>$3,342,790</w:t>
            </w:r>
          </w:p>
        </w:tc>
        <w:tc>
          <w:tcPr>
            <w:tcW w:w="130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$3,534,151</w:t>
            </w:r>
          </w:p>
        </w:tc>
        <w:tc>
          <w:tcPr>
            <w:tcW w:w="1220" w:type="dxa"/>
            <w:vAlign w:val="bottom"/>
            <w:shd w:val="clear" w:color="auto" w:fill="EAEAEA"/>
          </w:tcPr>
          <w:p>
            <w:pPr>
              <w:jc w:val="right"/>
              <w:ind w:right="84"/>
              <w:spacing w:after="0"/>
              <w:rPr>
                <w:sz w:val="20"/>
                <w:szCs w:val="20"/>
                <w:color w:val="auto"/>
              </w:rPr>
            </w:pPr>
            <w:r>
              <w:rPr>
                <w:rFonts w:ascii="Arial" w:cs="Arial" w:eastAsia="Arial" w:hAnsi="Arial"/>
                <w:sz w:val="16"/>
                <w:szCs w:val="16"/>
                <w:color w:val="00053B"/>
              </w:rPr>
              <w:t>$164</w:t>
            </w:r>
          </w:p>
        </w:tc>
        <w:tc>
          <w:tcPr>
            <w:tcW w:w="94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$211</w:t>
            </w:r>
          </w:p>
        </w:tc>
        <w:tc>
          <w:tcPr>
            <w:tcW w:w="1580" w:type="dxa"/>
            <w:vAlign w:val="bottom"/>
            <w:shd w:val="clear" w:color="auto" w:fill="EAEAEA"/>
          </w:tcPr>
          <w:p>
            <w:pPr>
              <w:jc w:val="right"/>
              <w:ind w:right="121"/>
              <w:spacing w:after="0"/>
              <w:rPr>
                <w:sz w:val="20"/>
                <w:szCs w:val="20"/>
                <w:color w:val="auto"/>
              </w:rPr>
            </w:pPr>
            <w:r>
              <w:rPr>
                <w:rFonts w:ascii="Arial" w:cs="Arial" w:eastAsia="Arial" w:hAnsi="Arial"/>
                <w:sz w:val="16"/>
                <w:szCs w:val="16"/>
                <w:color w:val="00053B"/>
              </w:rPr>
              <w:t>$33,624,000</w:t>
            </w:r>
          </w:p>
        </w:tc>
        <w:tc>
          <w:tcPr>
            <w:tcW w:w="120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$769,591,000</w:t>
            </w:r>
          </w:p>
        </w:tc>
        <w:tc>
          <w:tcPr>
            <w:tcW w:w="0" w:type="dxa"/>
            <w:vAlign w:val="bottom"/>
          </w:tcPr>
          <w:p>
            <w:pPr>
              <w:spacing w:after="0"/>
              <w:rPr>
                <w:sz w:val="1"/>
                <w:szCs w:val="1"/>
                <w:color w:val="auto"/>
              </w:rPr>
            </w:pPr>
          </w:p>
        </w:tc>
      </w:tr>
      <w:tr>
        <w:trPr>
          <w:trHeight w:val="215"/>
        </w:trPr>
        <w:tc>
          <w:tcPr>
            <w:tcW w:w="860" w:type="dxa"/>
            <w:vAlign w:val="bottom"/>
          </w:tcPr>
          <w:p>
            <w:pPr>
              <w:ind w:left="380"/>
              <w:spacing w:after="0"/>
              <w:rPr>
                <w:sz w:val="20"/>
                <w:szCs w:val="20"/>
                <w:color w:val="auto"/>
              </w:rPr>
            </w:pPr>
            <w:r>
              <w:rPr>
                <w:rFonts w:ascii="Arial" w:cs="Arial" w:eastAsia="Arial" w:hAnsi="Arial"/>
                <w:sz w:val="16"/>
                <w:szCs w:val="16"/>
                <w:color w:val="00053B"/>
              </w:rPr>
              <w:t>2021</w:t>
            </w:r>
          </w:p>
        </w:tc>
        <w:tc>
          <w:tcPr>
            <w:tcW w:w="1480" w:type="dxa"/>
            <w:vAlign w:val="bottom"/>
          </w:tcPr>
          <w:p>
            <w:pPr>
              <w:jc w:val="right"/>
              <w:ind w:right="83"/>
              <w:spacing w:after="0"/>
              <w:rPr>
                <w:sz w:val="20"/>
                <w:szCs w:val="20"/>
                <w:color w:val="auto"/>
              </w:rPr>
            </w:pPr>
            <w:r>
              <w:rPr>
                <w:rFonts w:ascii="Arial" w:cs="Arial" w:eastAsia="Arial" w:hAnsi="Arial"/>
                <w:sz w:val="16"/>
                <w:szCs w:val="16"/>
                <w:color w:val="00053B"/>
              </w:rPr>
              <w:t>$8,004,986</w:t>
            </w:r>
          </w:p>
        </w:tc>
        <w:tc>
          <w:tcPr>
            <w:tcW w:w="1280" w:type="dxa"/>
            <w:vAlign w:val="bottom"/>
          </w:tcPr>
          <w:p>
            <w:pPr>
              <w:jc w:val="right"/>
              <w:ind w:right="3"/>
              <w:spacing w:after="0"/>
              <w:rPr>
                <w:sz w:val="20"/>
                <w:szCs w:val="20"/>
                <w:color w:val="auto"/>
              </w:rPr>
            </w:pPr>
            <w:r>
              <w:rPr>
                <w:rFonts w:ascii="Arial" w:cs="Arial" w:eastAsia="Arial" w:hAnsi="Arial"/>
                <w:sz w:val="16"/>
                <w:szCs w:val="16"/>
                <w:color w:val="00053B"/>
              </w:rPr>
              <w:t>$15,975,930</w:t>
            </w:r>
          </w:p>
        </w:tc>
        <w:tc>
          <w:tcPr>
            <w:tcW w:w="1340" w:type="dxa"/>
            <w:vAlign w:val="bottom"/>
          </w:tcPr>
          <w:p>
            <w:pPr>
              <w:jc w:val="right"/>
              <w:ind w:right="3"/>
              <w:spacing w:after="0"/>
              <w:rPr>
                <w:sz w:val="20"/>
                <w:szCs w:val="20"/>
                <w:color w:val="auto"/>
              </w:rPr>
            </w:pPr>
            <w:r>
              <w:rPr>
                <w:rFonts w:ascii="Arial" w:cs="Arial" w:eastAsia="Arial" w:hAnsi="Arial"/>
                <w:sz w:val="16"/>
                <w:szCs w:val="16"/>
                <w:color w:val="00053B"/>
              </w:rPr>
              <w:t>$2,696,751</w:t>
            </w:r>
          </w:p>
        </w:tc>
        <w:tc>
          <w:tcPr>
            <w:tcW w:w="1300" w:type="dxa"/>
            <w:vAlign w:val="bottom"/>
          </w:tcPr>
          <w:p>
            <w:pPr>
              <w:jc w:val="right"/>
              <w:spacing w:after="0"/>
              <w:rPr>
                <w:sz w:val="20"/>
                <w:szCs w:val="20"/>
                <w:color w:val="auto"/>
              </w:rPr>
            </w:pPr>
            <w:r>
              <w:rPr>
                <w:rFonts w:ascii="Arial" w:cs="Arial" w:eastAsia="Arial" w:hAnsi="Arial"/>
                <w:sz w:val="16"/>
                <w:szCs w:val="16"/>
                <w:color w:val="00053B"/>
              </w:rPr>
              <w:t>$4,763,212</w:t>
            </w:r>
          </w:p>
        </w:tc>
        <w:tc>
          <w:tcPr>
            <w:tcW w:w="1220" w:type="dxa"/>
            <w:vAlign w:val="bottom"/>
          </w:tcPr>
          <w:p>
            <w:pPr>
              <w:jc w:val="right"/>
              <w:ind w:right="84"/>
              <w:spacing w:after="0"/>
              <w:rPr>
                <w:sz w:val="20"/>
                <w:szCs w:val="20"/>
                <w:color w:val="auto"/>
              </w:rPr>
            </w:pPr>
            <w:r>
              <w:rPr>
                <w:rFonts w:ascii="Arial" w:cs="Arial" w:eastAsia="Arial" w:hAnsi="Arial"/>
                <w:sz w:val="16"/>
                <w:szCs w:val="16"/>
                <w:color w:val="00053B"/>
              </w:rPr>
              <w:t>$159</w:t>
            </w:r>
          </w:p>
        </w:tc>
        <w:tc>
          <w:tcPr>
            <w:tcW w:w="940" w:type="dxa"/>
            <w:vAlign w:val="bottom"/>
          </w:tcPr>
          <w:p>
            <w:pPr>
              <w:jc w:val="right"/>
              <w:spacing w:after="0"/>
              <w:rPr>
                <w:sz w:val="20"/>
                <w:szCs w:val="20"/>
                <w:color w:val="auto"/>
              </w:rPr>
            </w:pPr>
            <w:r>
              <w:rPr>
                <w:rFonts w:ascii="Arial" w:cs="Arial" w:eastAsia="Arial" w:hAnsi="Arial"/>
                <w:sz w:val="16"/>
                <w:szCs w:val="16"/>
                <w:color w:val="00053B"/>
              </w:rPr>
              <w:t>$175</w:t>
            </w:r>
          </w:p>
        </w:tc>
        <w:tc>
          <w:tcPr>
            <w:tcW w:w="1580" w:type="dxa"/>
            <w:vAlign w:val="bottom"/>
          </w:tcPr>
          <w:p>
            <w:pPr>
              <w:jc w:val="right"/>
              <w:ind w:right="121"/>
              <w:spacing w:after="0"/>
              <w:rPr>
                <w:sz w:val="20"/>
                <w:szCs w:val="20"/>
                <w:color w:val="auto"/>
              </w:rPr>
            </w:pPr>
            <w:r>
              <w:rPr>
                <w:rFonts w:ascii="Arial" w:cs="Arial" w:eastAsia="Arial" w:hAnsi="Arial"/>
                <w:sz w:val="16"/>
                <w:szCs w:val="16"/>
                <w:color w:val="00053B"/>
              </w:rPr>
              <w:t>$(30,954,000)</w:t>
            </w:r>
          </w:p>
        </w:tc>
        <w:tc>
          <w:tcPr>
            <w:tcW w:w="1200" w:type="dxa"/>
            <w:vAlign w:val="bottom"/>
          </w:tcPr>
          <w:p>
            <w:pPr>
              <w:jc w:val="right"/>
              <w:spacing w:after="0"/>
              <w:rPr>
                <w:sz w:val="20"/>
                <w:szCs w:val="20"/>
                <w:color w:val="auto"/>
              </w:rPr>
            </w:pPr>
            <w:r>
              <w:rPr>
                <w:rFonts w:ascii="Arial" w:cs="Arial" w:eastAsia="Arial" w:hAnsi="Arial"/>
                <w:sz w:val="16"/>
                <w:szCs w:val="16"/>
                <w:color w:val="00053B"/>
              </w:rPr>
              <w:t>$723,472,000</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3"/>
          <w:szCs w:val="13"/>
          <w:color w:val="00053B"/>
        </w:rPr>
      </w:pPr>
      <w:r>
        <w:rPr>
          <w:rFonts w:ascii="Arial" w:cs="Arial" w:eastAsia="Arial" w:hAnsi="Arial"/>
          <w:sz w:val="13"/>
          <w:szCs w:val="13"/>
          <w:color w:val="00053B"/>
        </w:rPr>
        <w:t>During fiscal years 2024, 2023, 2022 and 2021, our PEO and non-PEO NEOs were as follows:</w:t>
      </w:r>
    </w:p>
    <w:p>
      <w:pPr>
        <w:spacing w:after="0" w:line="286" w:lineRule="exact"/>
        <w:rPr>
          <w:sz w:val="20"/>
          <w:szCs w:val="20"/>
          <w:color w:val="auto"/>
        </w:rPr>
      </w:pPr>
    </w:p>
    <w:tbl>
      <w:tblPr>
        <w:tblLayout w:type="fixed"/>
        <w:tblInd w:w="1580" w:type="dxa"/>
        <w:tblCellMar>
          <w:top w:w="0" w:type="dxa"/>
          <w:left w:w="0" w:type="dxa"/>
          <w:bottom w:w="0" w:type="dxa"/>
          <w:right w:w="0" w:type="dxa"/>
        </w:tblCellMar>
      </w:tblPr>
      <w:tr>
        <w:trPr>
          <w:trHeight w:val="229"/>
        </w:trPr>
        <w:tc>
          <w:tcPr>
            <w:tcW w:w="740" w:type="dxa"/>
            <w:vAlign w:val="bottom"/>
            <w:tcBorders>
              <w:bottom w:val="single" w:sz="8" w:color="A376B0"/>
            </w:tcBorders>
          </w:tcPr>
          <w:p>
            <w:pPr>
              <w:ind w:left="120"/>
              <w:spacing w:after="0"/>
              <w:rPr>
                <w:sz w:val="20"/>
                <w:szCs w:val="20"/>
                <w:color w:val="auto"/>
              </w:rPr>
            </w:pPr>
            <w:r>
              <w:rPr>
                <w:rFonts w:ascii="Arial" w:cs="Arial" w:eastAsia="Arial" w:hAnsi="Arial"/>
                <w:sz w:val="16"/>
                <w:szCs w:val="16"/>
                <w:color w:val="00053B"/>
              </w:rPr>
              <w:t>Year</w:t>
            </w:r>
          </w:p>
        </w:tc>
        <w:tc>
          <w:tcPr>
            <w:tcW w:w="2320" w:type="dxa"/>
            <w:vAlign w:val="bottom"/>
            <w:tcBorders>
              <w:bottom w:val="single" w:sz="8" w:color="A376B0"/>
            </w:tcBorders>
          </w:tcPr>
          <w:p>
            <w:pPr>
              <w:ind w:left="300"/>
              <w:spacing w:after="0"/>
              <w:rPr>
                <w:sz w:val="20"/>
                <w:szCs w:val="20"/>
                <w:color w:val="auto"/>
              </w:rPr>
            </w:pPr>
            <w:r>
              <w:rPr>
                <w:rFonts w:ascii="Arial" w:cs="Arial" w:eastAsia="Arial" w:hAnsi="Arial"/>
                <w:sz w:val="16"/>
                <w:szCs w:val="16"/>
                <w:color w:val="00053B"/>
              </w:rPr>
              <w:t>PEO (CEO)</w:t>
            </w:r>
          </w:p>
        </w:tc>
        <w:tc>
          <w:tcPr>
            <w:tcW w:w="5040" w:type="dxa"/>
            <w:vAlign w:val="bottom"/>
            <w:tcBorders>
              <w:bottom w:val="single" w:sz="8" w:color="A376B0"/>
            </w:tcBorders>
          </w:tcPr>
          <w:p>
            <w:pPr>
              <w:ind w:left="640"/>
              <w:spacing w:after="0"/>
              <w:rPr>
                <w:sz w:val="20"/>
                <w:szCs w:val="20"/>
                <w:color w:val="auto"/>
              </w:rPr>
            </w:pPr>
            <w:r>
              <w:rPr>
                <w:rFonts w:ascii="Arial" w:cs="Arial" w:eastAsia="Arial" w:hAnsi="Arial"/>
                <w:sz w:val="16"/>
                <w:szCs w:val="16"/>
                <w:color w:val="00053B"/>
              </w:rPr>
              <w:t>Non-PEO NEOs</w:t>
            </w:r>
          </w:p>
        </w:tc>
      </w:tr>
      <w:tr>
        <w:trPr>
          <w:trHeight w:val="211"/>
        </w:trPr>
        <w:tc>
          <w:tcPr>
            <w:tcW w:w="740" w:type="dxa"/>
            <w:vAlign w:val="bottom"/>
            <w:shd w:val="clear" w:color="auto" w:fill="EAEAEA"/>
          </w:tcPr>
          <w:p>
            <w:pPr>
              <w:ind w:left="100"/>
              <w:spacing w:after="0"/>
              <w:rPr>
                <w:sz w:val="20"/>
                <w:szCs w:val="20"/>
                <w:color w:val="auto"/>
              </w:rPr>
            </w:pPr>
            <w:r>
              <w:rPr>
                <w:rFonts w:ascii="Arial" w:cs="Arial" w:eastAsia="Arial" w:hAnsi="Arial"/>
                <w:sz w:val="16"/>
                <w:szCs w:val="16"/>
                <w:color w:val="00053B"/>
              </w:rPr>
              <w:t>2024</w:t>
            </w:r>
          </w:p>
        </w:tc>
        <w:tc>
          <w:tcPr>
            <w:tcW w:w="2320" w:type="dxa"/>
            <w:vAlign w:val="bottom"/>
            <w:shd w:val="clear" w:color="auto" w:fill="EAEAEA"/>
          </w:tcPr>
          <w:p>
            <w:pPr>
              <w:ind w:left="280"/>
              <w:spacing w:after="0"/>
              <w:rPr>
                <w:sz w:val="20"/>
                <w:szCs w:val="20"/>
                <w:color w:val="auto"/>
              </w:rPr>
            </w:pPr>
            <w:r>
              <w:rPr>
                <w:rFonts w:ascii="Arial" w:cs="Arial" w:eastAsia="Arial" w:hAnsi="Arial"/>
                <w:sz w:val="16"/>
                <w:szCs w:val="16"/>
                <w:color w:val="00053B"/>
              </w:rPr>
              <w:t>Sanjay Mirchandani</w:t>
            </w:r>
          </w:p>
        </w:tc>
        <w:tc>
          <w:tcPr>
            <w:tcW w:w="5040" w:type="dxa"/>
            <w:vAlign w:val="bottom"/>
            <w:shd w:val="clear" w:color="auto" w:fill="EAEAEA"/>
          </w:tcPr>
          <w:p>
            <w:pPr>
              <w:ind w:left="620"/>
              <w:spacing w:after="0"/>
              <w:rPr>
                <w:sz w:val="20"/>
                <w:szCs w:val="20"/>
                <w:color w:val="auto"/>
              </w:rPr>
            </w:pPr>
            <w:r>
              <w:rPr>
                <w:rFonts w:ascii="Arial" w:cs="Arial" w:eastAsia="Arial" w:hAnsi="Arial"/>
                <w:sz w:val="16"/>
                <w:szCs w:val="16"/>
                <w:color w:val="00053B"/>
              </w:rPr>
              <w:t>Gary Merrill, Riccardo Di Blasio</w:t>
            </w:r>
          </w:p>
        </w:tc>
      </w:tr>
      <w:tr>
        <w:trPr>
          <w:trHeight w:val="215"/>
        </w:trPr>
        <w:tc>
          <w:tcPr>
            <w:tcW w:w="740" w:type="dxa"/>
            <w:vAlign w:val="bottom"/>
          </w:tcPr>
          <w:p>
            <w:pPr>
              <w:ind w:left="100"/>
              <w:spacing w:after="0"/>
              <w:rPr>
                <w:sz w:val="20"/>
                <w:szCs w:val="20"/>
                <w:color w:val="auto"/>
              </w:rPr>
            </w:pPr>
            <w:r>
              <w:rPr>
                <w:rFonts w:ascii="Arial" w:cs="Arial" w:eastAsia="Arial" w:hAnsi="Arial"/>
                <w:sz w:val="16"/>
                <w:szCs w:val="16"/>
                <w:color w:val="00053B"/>
              </w:rPr>
              <w:t>2023</w:t>
            </w:r>
          </w:p>
        </w:tc>
        <w:tc>
          <w:tcPr>
            <w:tcW w:w="2320" w:type="dxa"/>
            <w:vAlign w:val="bottom"/>
          </w:tcPr>
          <w:p>
            <w:pPr>
              <w:ind w:left="280"/>
              <w:spacing w:after="0"/>
              <w:rPr>
                <w:sz w:val="20"/>
                <w:szCs w:val="20"/>
                <w:color w:val="auto"/>
              </w:rPr>
            </w:pPr>
            <w:r>
              <w:rPr>
                <w:rFonts w:ascii="Arial" w:cs="Arial" w:eastAsia="Arial" w:hAnsi="Arial"/>
                <w:sz w:val="16"/>
                <w:szCs w:val="16"/>
                <w:color w:val="00053B"/>
              </w:rPr>
              <w:t>Sanjay Mirchandani</w:t>
            </w:r>
          </w:p>
        </w:tc>
        <w:tc>
          <w:tcPr>
            <w:tcW w:w="5040" w:type="dxa"/>
            <w:vAlign w:val="bottom"/>
          </w:tcPr>
          <w:p>
            <w:pPr>
              <w:ind w:left="620"/>
              <w:spacing w:after="0"/>
              <w:rPr>
                <w:sz w:val="20"/>
                <w:szCs w:val="20"/>
                <w:color w:val="auto"/>
              </w:rPr>
            </w:pPr>
            <w:r>
              <w:rPr>
                <w:rFonts w:ascii="Arial" w:cs="Arial" w:eastAsia="Arial" w:hAnsi="Arial"/>
                <w:sz w:val="16"/>
                <w:szCs w:val="16"/>
                <w:color w:val="00053B"/>
              </w:rPr>
              <w:t>Gary Merrill, Riccardo Di Blasio, Brian Carolan</w:t>
            </w:r>
          </w:p>
        </w:tc>
      </w:tr>
      <w:tr>
        <w:trPr>
          <w:trHeight w:val="217"/>
        </w:trPr>
        <w:tc>
          <w:tcPr>
            <w:tcW w:w="740" w:type="dxa"/>
            <w:vAlign w:val="bottom"/>
            <w:shd w:val="clear" w:color="auto" w:fill="EAEAEA"/>
          </w:tcPr>
          <w:p>
            <w:pPr>
              <w:ind w:left="100"/>
              <w:spacing w:after="0"/>
              <w:rPr>
                <w:sz w:val="20"/>
                <w:szCs w:val="20"/>
                <w:color w:val="auto"/>
              </w:rPr>
            </w:pPr>
            <w:r>
              <w:rPr>
                <w:rFonts w:ascii="Arial" w:cs="Arial" w:eastAsia="Arial" w:hAnsi="Arial"/>
                <w:sz w:val="16"/>
                <w:szCs w:val="16"/>
                <w:color w:val="00053B"/>
              </w:rPr>
              <w:t>2022</w:t>
            </w:r>
          </w:p>
        </w:tc>
        <w:tc>
          <w:tcPr>
            <w:tcW w:w="2320" w:type="dxa"/>
            <w:vAlign w:val="bottom"/>
            <w:shd w:val="clear" w:color="auto" w:fill="EAEAEA"/>
          </w:tcPr>
          <w:p>
            <w:pPr>
              <w:ind w:left="280"/>
              <w:spacing w:after="0"/>
              <w:rPr>
                <w:sz w:val="20"/>
                <w:szCs w:val="20"/>
                <w:color w:val="auto"/>
              </w:rPr>
            </w:pPr>
            <w:r>
              <w:rPr>
                <w:rFonts w:ascii="Arial" w:cs="Arial" w:eastAsia="Arial" w:hAnsi="Arial"/>
                <w:sz w:val="16"/>
                <w:szCs w:val="16"/>
                <w:color w:val="00053B"/>
              </w:rPr>
              <w:t>Sanjay Mirchandani</w:t>
            </w:r>
          </w:p>
        </w:tc>
        <w:tc>
          <w:tcPr>
            <w:tcW w:w="5040" w:type="dxa"/>
            <w:vAlign w:val="bottom"/>
            <w:shd w:val="clear" w:color="auto" w:fill="EAEAEA"/>
          </w:tcPr>
          <w:p>
            <w:pPr>
              <w:ind w:left="620"/>
              <w:spacing w:after="0"/>
              <w:rPr>
                <w:sz w:val="20"/>
                <w:szCs w:val="20"/>
                <w:color w:val="auto"/>
              </w:rPr>
            </w:pPr>
            <w:r>
              <w:rPr>
                <w:rFonts w:ascii="Arial" w:cs="Arial" w:eastAsia="Arial" w:hAnsi="Arial"/>
                <w:sz w:val="16"/>
                <w:szCs w:val="16"/>
                <w:color w:val="00053B"/>
              </w:rPr>
              <w:t>Riccardo Di Blasio, Brian Carolan</w:t>
            </w:r>
          </w:p>
        </w:tc>
      </w:tr>
      <w:tr>
        <w:trPr>
          <w:trHeight w:val="215"/>
        </w:trPr>
        <w:tc>
          <w:tcPr>
            <w:tcW w:w="740" w:type="dxa"/>
            <w:vAlign w:val="bottom"/>
          </w:tcPr>
          <w:p>
            <w:pPr>
              <w:ind w:left="100"/>
              <w:spacing w:after="0"/>
              <w:rPr>
                <w:sz w:val="20"/>
                <w:szCs w:val="20"/>
                <w:color w:val="auto"/>
              </w:rPr>
            </w:pPr>
            <w:r>
              <w:rPr>
                <w:rFonts w:ascii="Arial" w:cs="Arial" w:eastAsia="Arial" w:hAnsi="Arial"/>
                <w:sz w:val="16"/>
                <w:szCs w:val="16"/>
                <w:color w:val="00053B"/>
              </w:rPr>
              <w:t>2021</w:t>
            </w:r>
          </w:p>
        </w:tc>
        <w:tc>
          <w:tcPr>
            <w:tcW w:w="2320" w:type="dxa"/>
            <w:vAlign w:val="bottom"/>
          </w:tcPr>
          <w:p>
            <w:pPr>
              <w:ind w:left="280"/>
              <w:spacing w:after="0"/>
              <w:rPr>
                <w:sz w:val="20"/>
                <w:szCs w:val="20"/>
                <w:color w:val="auto"/>
              </w:rPr>
            </w:pPr>
            <w:r>
              <w:rPr>
                <w:rFonts w:ascii="Arial" w:cs="Arial" w:eastAsia="Arial" w:hAnsi="Arial"/>
                <w:sz w:val="16"/>
                <w:szCs w:val="16"/>
                <w:color w:val="00053B"/>
              </w:rPr>
              <w:t>Sanjay Mirchandani</w:t>
            </w:r>
          </w:p>
        </w:tc>
        <w:tc>
          <w:tcPr>
            <w:tcW w:w="5040" w:type="dxa"/>
            <w:vAlign w:val="bottom"/>
          </w:tcPr>
          <w:p>
            <w:pPr>
              <w:ind w:left="620"/>
              <w:spacing w:after="0"/>
              <w:rPr>
                <w:sz w:val="20"/>
                <w:szCs w:val="20"/>
                <w:color w:val="auto"/>
              </w:rPr>
            </w:pPr>
            <w:r>
              <w:rPr>
                <w:rFonts w:ascii="Arial" w:cs="Arial" w:eastAsia="Arial" w:hAnsi="Arial"/>
                <w:sz w:val="16"/>
                <w:szCs w:val="16"/>
                <w:color w:val="00053B"/>
              </w:rPr>
              <w:t>Riccardo Di Blasio, Brian Carolan</w:t>
            </w:r>
          </w:p>
        </w:tc>
      </w:tr>
    </w:tbl>
    <w:p>
      <w:pPr>
        <w:spacing w:after="0" w:line="200" w:lineRule="exact"/>
        <w:rPr>
          <w:sz w:val="20"/>
          <w:szCs w:val="20"/>
          <w:color w:val="auto"/>
        </w:rPr>
      </w:pPr>
    </w:p>
    <w:p>
      <w:pPr>
        <w:sectPr>
          <w:pgSz w:w="11900" w:h="16885" w:orient="portrait"/>
          <w:cols w:equalWidth="0" w:num="1">
            <w:col w:w="11220"/>
          </w:cols>
          <w:pgMar w:left="320" w:top="122"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48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2024 PROXY STATEMENT</w:t>
      </w:r>
    </w:p>
    <w:p>
      <w:pPr>
        <w:sectPr>
          <w:pgSz w:w="11900" w:h="16885" w:orient="portrait"/>
          <w:cols w:equalWidth="0" w:num="1">
            <w:col w:w="11220"/>
          </w:cols>
          <w:pgMar w:left="320" w:top="122" w:right="359" w:bottom="0" w:gutter="0" w:footer="0" w:header="0"/>
          <w:type w:val="continuous"/>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15175" cy="1028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COMPENSATION TABLES | </w:t>
      </w:r>
      <w:r>
        <w:rPr>
          <w:rFonts w:ascii="Arial" w:cs="Arial" w:eastAsia="Arial" w:hAnsi="Arial"/>
          <w:sz w:val="11"/>
          <w:szCs w:val="11"/>
          <w:b w:val="1"/>
          <w:bCs w:val="1"/>
          <w:color w:val="00053B"/>
        </w:rPr>
        <w:t>PAY VERSUS PERFORMANCE</w:t>
      </w:r>
    </w:p>
    <w:p>
      <w:pPr>
        <w:spacing w:after="0" w:line="200" w:lineRule="exact"/>
        <w:rPr>
          <w:sz w:val="20"/>
          <w:szCs w:val="20"/>
          <w:color w:val="auto"/>
        </w:rPr>
      </w:pPr>
    </w:p>
    <w:p>
      <w:pPr>
        <w:spacing w:after="0" w:line="209" w:lineRule="exact"/>
        <w:rPr>
          <w:sz w:val="20"/>
          <w:szCs w:val="20"/>
          <w:color w:val="auto"/>
        </w:rPr>
      </w:pPr>
    </w:p>
    <w:p>
      <w:pPr>
        <w:ind w:left="340" w:hanging="332"/>
        <w:spacing w:after="0" w:line="274" w:lineRule="auto"/>
        <w:tabs>
          <w:tab w:leader="none" w:pos="331" w:val="left"/>
        </w:tabs>
        <w:numPr>
          <w:ilvl w:val="0"/>
          <w:numId w:val="52"/>
        </w:numPr>
        <w:rPr>
          <w:rFonts w:ascii="Arial" w:cs="Arial" w:eastAsia="Arial" w:hAnsi="Arial"/>
          <w:sz w:val="12"/>
          <w:szCs w:val="12"/>
          <w:color w:val="00053B"/>
        </w:rPr>
      </w:pPr>
      <w:r>
        <w:rPr>
          <w:rFonts w:ascii="Arial" w:cs="Arial" w:eastAsia="Arial" w:hAnsi="Arial"/>
          <w:sz w:val="12"/>
          <w:szCs w:val="12"/>
          <w:color w:val="00053B"/>
        </w:rPr>
        <w:t>The dollar amounts reported in these columns represent the amount of “compensation actually paid” to our PEO and Non-PEO NEOs in each respective year. The dollar amounts do not reflect the actual amount of compensation earned or received during the applicable fiscal year. There are no material differences between the assumptions used to compute the valuation of the equity awards for calculating the compensation actually paid from the assumptions used to compute the valuation of such equity awards as of the grant date. In accordance with the requirements of Item 402(v) of Regulation S-K, the following adjustments were made to the total compensation of our PEO and non-PEO NEOs for each year to determine the “compensation actually paid”:</w:t>
      </w:r>
    </w:p>
    <w:p>
      <w:pPr>
        <w:spacing w:after="0" w:line="310" w:lineRule="exact"/>
        <w:rPr>
          <w:sz w:val="20"/>
          <w:szCs w:val="20"/>
          <w:color w:val="auto"/>
        </w:rPr>
      </w:pPr>
    </w:p>
    <w:tbl>
      <w:tblPr>
        <w:tblLayout w:type="fixed"/>
        <w:tblInd w:w="500" w:type="dxa"/>
        <w:tblCellMar>
          <w:top w:w="0" w:type="dxa"/>
          <w:left w:w="0" w:type="dxa"/>
          <w:bottom w:w="0" w:type="dxa"/>
          <w:right w:w="0" w:type="dxa"/>
        </w:tblCellMar>
      </w:tblPr>
      <w:tr>
        <w:trPr>
          <w:trHeight w:val="196"/>
        </w:trPr>
        <w:tc>
          <w:tcPr>
            <w:tcW w:w="3480" w:type="dxa"/>
            <w:vAlign w:val="bottom"/>
          </w:tcPr>
          <w:p>
            <w:pPr>
              <w:spacing w:after="0"/>
              <w:rPr>
                <w:sz w:val="20"/>
                <w:szCs w:val="20"/>
                <w:color w:val="auto"/>
              </w:rPr>
            </w:pPr>
            <w:r>
              <w:rPr>
                <w:rFonts w:ascii="Arial" w:cs="Arial" w:eastAsia="Arial" w:hAnsi="Arial"/>
                <w:sz w:val="14"/>
                <w:szCs w:val="14"/>
                <w:b w:val="1"/>
                <w:bCs w:val="1"/>
                <w:color w:val="00053B"/>
              </w:rPr>
              <w:t>PEO</w:t>
            </w:r>
          </w:p>
        </w:tc>
        <w:tc>
          <w:tcPr>
            <w:tcW w:w="3920" w:type="dxa"/>
            <w:vAlign w:val="bottom"/>
          </w:tcPr>
          <w:p>
            <w:pPr>
              <w:jc w:val="right"/>
              <w:ind w:right="328"/>
              <w:spacing w:after="0"/>
              <w:rPr>
                <w:sz w:val="20"/>
                <w:szCs w:val="20"/>
                <w:color w:val="auto"/>
              </w:rPr>
            </w:pPr>
            <w:r>
              <w:rPr>
                <w:rFonts w:ascii="Arial" w:cs="Arial" w:eastAsia="Arial" w:hAnsi="Arial"/>
                <w:sz w:val="14"/>
                <w:szCs w:val="14"/>
                <w:color w:val="00053B"/>
              </w:rPr>
              <w:t>2021</w:t>
            </w:r>
          </w:p>
        </w:tc>
        <w:tc>
          <w:tcPr>
            <w:tcW w:w="1120" w:type="dxa"/>
            <w:vAlign w:val="bottom"/>
          </w:tcPr>
          <w:p>
            <w:pPr>
              <w:jc w:val="right"/>
              <w:ind w:right="328"/>
              <w:spacing w:after="0"/>
              <w:rPr>
                <w:sz w:val="20"/>
                <w:szCs w:val="20"/>
                <w:color w:val="auto"/>
              </w:rPr>
            </w:pPr>
            <w:r>
              <w:rPr>
                <w:rFonts w:ascii="Arial" w:cs="Arial" w:eastAsia="Arial" w:hAnsi="Arial"/>
                <w:sz w:val="14"/>
                <w:szCs w:val="14"/>
                <w:color w:val="00053B"/>
              </w:rPr>
              <w:t>2022</w:t>
            </w:r>
          </w:p>
        </w:tc>
        <w:tc>
          <w:tcPr>
            <w:tcW w:w="1120" w:type="dxa"/>
            <w:vAlign w:val="bottom"/>
          </w:tcPr>
          <w:p>
            <w:pPr>
              <w:jc w:val="right"/>
              <w:ind w:right="328"/>
              <w:spacing w:after="0"/>
              <w:rPr>
                <w:sz w:val="20"/>
                <w:szCs w:val="20"/>
                <w:color w:val="auto"/>
              </w:rPr>
            </w:pPr>
            <w:r>
              <w:rPr>
                <w:rFonts w:ascii="Arial" w:cs="Arial" w:eastAsia="Arial" w:hAnsi="Arial"/>
                <w:sz w:val="14"/>
                <w:szCs w:val="14"/>
                <w:color w:val="00053B"/>
              </w:rPr>
              <w:t>2023</w:t>
            </w:r>
          </w:p>
        </w:tc>
        <w:tc>
          <w:tcPr>
            <w:tcW w:w="720" w:type="dxa"/>
            <w:vAlign w:val="bottom"/>
          </w:tcPr>
          <w:p>
            <w:pPr>
              <w:jc w:val="right"/>
              <w:spacing w:after="0"/>
              <w:rPr>
                <w:sz w:val="20"/>
                <w:szCs w:val="20"/>
                <w:color w:val="auto"/>
              </w:rPr>
            </w:pPr>
            <w:r>
              <w:rPr>
                <w:rFonts w:ascii="Arial" w:cs="Arial" w:eastAsia="Arial" w:hAnsi="Arial"/>
                <w:sz w:val="14"/>
                <w:szCs w:val="14"/>
                <w:color w:val="00053B"/>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1270</wp:posOffset>
            </wp:positionV>
            <wp:extent cx="6677660"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6677660" cy="14541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15" w:lineRule="exact"/>
        <w:rPr>
          <w:sz w:val="20"/>
          <w:szCs w:val="20"/>
          <w:color w:val="auto"/>
        </w:rPr>
      </w:pPr>
    </w:p>
    <w:p>
      <w:pPr>
        <w:ind w:left="720"/>
        <w:spacing w:after="0"/>
        <w:rPr>
          <w:sz w:val="20"/>
          <w:szCs w:val="20"/>
          <w:color w:val="auto"/>
        </w:rPr>
      </w:pPr>
      <w:r>
        <w:rPr>
          <w:rFonts w:ascii="Arial" w:cs="Arial" w:eastAsia="Arial" w:hAnsi="Arial"/>
          <w:sz w:val="16"/>
          <w:szCs w:val="16"/>
          <w:color w:val="00053B"/>
        </w:rPr>
        <w:t>Summary Compensation Table - Total Compensation</w:t>
      </w:r>
    </w:p>
    <w:p>
      <w:pPr>
        <w:spacing w:after="0" w:line="32" w:lineRule="exact"/>
        <w:rPr>
          <w:sz w:val="20"/>
          <w:szCs w:val="20"/>
          <w:color w:val="auto"/>
        </w:rPr>
      </w:pPr>
    </w:p>
    <w:p>
      <w:pPr>
        <w:ind w:left="720" w:right="120" w:hanging="241"/>
        <w:spacing w:after="0"/>
        <w:tabs>
          <w:tab w:leader="none" w:pos="720" w:val="left"/>
        </w:tabs>
        <w:numPr>
          <w:ilvl w:val="0"/>
          <w:numId w:val="53"/>
        </w:numPr>
        <w:rPr>
          <w:rFonts w:ascii="Arial" w:cs="Arial" w:eastAsia="Arial" w:hAnsi="Arial"/>
          <w:sz w:val="29"/>
          <w:szCs w:val="29"/>
          <w:color w:val="00053B"/>
          <w:vertAlign w:val="subscript"/>
        </w:rPr>
      </w:pPr>
      <w:r>
        <w:rPr>
          <w:rFonts w:ascii="Arial" w:cs="Arial" w:eastAsia="Arial" w:hAnsi="Arial"/>
          <w:sz w:val="15"/>
          <w:szCs w:val="15"/>
          <w:color w:val="00053B"/>
        </w:rPr>
        <w:t>Grant Date Fair Value of Stock Awards and Option Awards Granted in Fiscal Year</w:t>
      </w:r>
    </w:p>
    <w:p>
      <w:pPr>
        <w:spacing w:after="0" w:line="45" w:lineRule="exact"/>
        <w:rPr>
          <w:sz w:val="20"/>
          <w:szCs w:val="20"/>
          <w:color w:val="auto"/>
        </w:rPr>
      </w:pPr>
    </w:p>
    <w:p>
      <w:pPr>
        <w:ind w:left="720" w:hanging="241"/>
        <w:spacing w:after="0" w:line="182" w:lineRule="auto"/>
        <w:tabs>
          <w:tab w:leader="none" w:pos="720" w:val="left"/>
        </w:tabs>
        <w:numPr>
          <w:ilvl w:val="0"/>
          <w:numId w:val="54"/>
        </w:numPr>
        <w:rPr>
          <w:rFonts w:ascii="Arial" w:cs="Arial" w:eastAsia="Arial" w:hAnsi="Arial"/>
          <w:sz w:val="28"/>
          <w:szCs w:val="28"/>
          <w:color w:val="00053B"/>
          <w:vertAlign w:val="subscript"/>
        </w:rPr>
      </w:pPr>
      <w:r>
        <w:rPr>
          <w:rFonts w:ascii="Arial" w:cs="Arial" w:eastAsia="Arial" w:hAnsi="Arial"/>
          <w:sz w:val="15"/>
          <w:szCs w:val="15"/>
          <w:color w:val="00053B"/>
        </w:rPr>
        <w:t>Fair Value at Fiscal Year End of Outstanding and Unvested Stock Awards and Option Awards Granted in Fiscal Year</w:t>
      </w:r>
    </w:p>
    <w:p>
      <w:pPr>
        <w:spacing w:after="0" w:line="3" w:lineRule="exact"/>
        <w:rPr>
          <w:rFonts w:ascii="Arial" w:cs="Arial" w:eastAsia="Arial" w:hAnsi="Arial"/>
          <w:sz w:val="28"/>
          <w:szCs w:val="28"/>
          <w:color w:val="00053B"/>
          <w:vertAlign w:val="subscript"/>
        </w:rPr>
      </w:pPr>
    </w:p>
    <w:p>
      <w:pPr>
        <w:ind w:left="720" w:right="60" w:hanging="241"/>
        <w:spacing w:after="0" w:line="182" w:lineRule="auto"/>
        <w:tabs>
          <w:tab w:leader="none" w:pos="720" w:val="left"/>
        </w:tabs>
        <w:numPr>
          <w:ilvl w:val="0"/>
          <w:numId w:val="54"/>
        </w:numPr>
        <w:rPr>
          <w:rFonts w:ascii="Arial" w:cs="Arial" w:eastAsia="Arial" w:hAnsi="Arial"/>
          <w:sz w:val="28"/>
          <w:szCs w:val="28"/>
          <w:color w:val="00053B"/>
          <w:vertAlign w:val="subscript"/>
        </w:rPr>
      </w:pPr>
      <w:r>
        <w:rPr>
          <w:rFonts w:ascii="Arial" w:cs="Arial" w:eastAsia="Arial" w:hAnsi="Arial"/>
          <w:sz w:val="15"/>
          <w:szCs w:val="15"/>
          <w:color w:val="00053B"/>
        </w:rPr>
        <w:t>Change in Fair Value of Outstanding and Unvested Stock Awards and Option Awards Granted in Prior Fiscal Years</w:t>
      </w:r>
    </w:p>
    <w:p>
      <w:pPr>
        <w:spacing w:after="0" w:line="3" w:lineRule="exact"/>
        <w:rPr>
          <w:rFonts w:ascii="Arial" w:cs="Arial" w:eastAsia="Arial" w:hAnsi="Arial"/>
          <w:sz w:val="28"/>
          <w:szCs w:val="28"/>
          <w:color w:val="00053B"/>
          <w:vertAlign w:val="subscript"/>
        </w:rPr>
      </w:pPr>
    </w:p>
    <w:p>
      <w:pPr>
        <w:ind w:left="720" w:right="200" w:hanging="241"/>
        <w:spacing w:after="0" w:line="182" w:lineRule="auto"/>
        <w:tabs>
          <w:tab w:leader="none" w:pos="720" w:val="left"/>
        </w:tabs>
        <w:numPr>
          <w:ilvl w:val="0"/>
          <w:numId w:val="54"/>
        </w:numPr>
        <w:rPr>
          <w:rFonts w:ascii="Arial" w:cs="Arial" w:eastAsia="Arial" w:hAnsi="Arial"/>
          <w:sz w:val="28"/>
          <w:szCs w:val="28"/>
          <w:color w:val="00053B"/>
          <w:vertAlign w:val="subscript"/>
        </w:rPr>
      </w:pPr>
      <w:r>
        <w:rPr>
          <w:rFonts w:ascii="Arial" w:cs="Arial" w:eastAsia="Arial" w:hAnsi="Arial"/>
          <w:sz w:val="15"/>
          <w:szCs w:val="15"/>
          <w:color w:val="00053B"/>
        </w:rPr>
        <w:t>Fair Value at Vesting of Stock Awards and Option Awards Granted in Fiscal Year That Vested During Fiscal Year</w:t>
      </w:r>
    </w:p>
    <w:p>
      <w:pPr>
        <w:spacing w:after="0" w:line="1" w:lineRule="exact"/>
        <w:rPr>
          <w:rFonts w:ascii="Arial" w:cs="Arial" w:eastAsia="Arial" w:hAnsi="Arial"/>
          <w:sz w:val="28"/>
          <w:szCs w:val="28"/>
          <w:color w:val="00053B"/>
          <w:vertAlign w:val="subscript"/>
        </w:rPr>
      </w:pPr>
    </w:p>
    <w:p>
      <w:pPr>
        <w:ind w:left="720"/>
        <w:spacing w:after="0" w:line="234" w:lineRule="auto"/>
        <w:rPr>
          <w:rFonts w:ascii="Arial" w:cs="Arial" w:eastAsia="Arial" w:hAnsi="Arial"/>
          <w:sz w:val="28"/>
          <w:szCs w:val="28"/>
          <w:color w:val="00053B"/>
          <w:vertAlign w:val="subscript"/>
        </w:rPr>
      </w:pPr>
      <w:r>
        <w:rPr>
          <w:rFonts w:ascii="Arial" w:cs="Arial" w:eastAsia="Arial" w:hAnsi="Arial"/>
          <w:sz w:val="16"/>
          <w:szCs w:val="16"/>
          <w:color w:val="00053B"/>
        </w:rPr>
        <w:t>Change in Fair Value as of Vesting Date of Stock Awards and Option Awards</w:t>
      </w:r>
    </w:p>
    <w:p>
      <w:pPr>
        <w:ind w:left="720" w:right="120" w:hanging="241"/>
        <w:spacing w:after="0" w:line="235" w:lineRule="auto"/>
        <w:tabs>
          <w:tab w:leader="none" w:pos="720" w:val="left"/>
        </w:tabs>
        <w:numPr>
          <w:ilvl w:val="0"/>
          <w:numId w:val="54"/>
        </w:numPr>
        <w:rPr>
          <w:rFonts w:ascii="Arial" w:cs="Arial" w:eastAsia="Arial" w:hAnsi="Arial"/>
          <w:sz w:val="16"/>
          <w:szCs w:val="16"/>
          <w:color w:val="00053B"/>
        </w:rPr>
      </w:pPr>
      <w:r>
        <w:rPr>
          <w:rFonts w:ascii="Arial" w:cs="Arial" w:eastAsia="Arial" w:hAnsi="Arial"/>
          <w:sz w:val="16"/>
          <w:szCs w:val="16"/>
          <w:color w:val="00053B"/>
        </w:rPr>
        <w:t>Granted in Prior Fiscal Years For Which Applicable Vesting Conditions Were Satisfied During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-1061085</wp:posOffset>
            </wp:positionV>
            <wp:extent cx="6677660" cy="2400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6677660" cy="240030"/>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-581025</wp:posOffset>
            </wp:positionV>
            <wp:extent cx="6677660" cy="2400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6677660" cy="240030"/>
                    </a:xfrm>
                    <a:prstGeom prst="rect">
                      <a:avLst/>
                    </a:prstGeom>
                    <a:noFill/>
                  </pic:spPr>
                </pic:pic>
              </a:graphicData>
            </a:graphic>
          </wp:anchor>
        </w:drawing>
      </w:r>
    </w:p>
    <w:p>
      <w:pPr>
        <w:ind w:left="720"/>
        <w:spacing w:after="0" w:line="234" w:lineRule="auto"/>
        <w:rPr>
          <w:sz w:val="20"/>
          <w:szCs w:val="20"/>
          <w:color w:val="auto"/>
        </w:rPr>
      </w:pPr>
      <w:r>
        <w:rPr>
          <w:rFonts w:ascii="Arial" w:cs="Arial" w:eastAsia="Arial" w:hAnsi="Arial"/>
          <w:sz w:val="16"/>
          <w:szCs w:val="16"/>
          <w:color w:val="00053B"/>
        </w:rPr>
        <w:t>Fair Value as of Prior Fiscal Year End of Stock Awards and 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-111760</wp:posOffset>
            </wp:positionV>
            <wp:extent cx="6677660" cy="3429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6677660" cy="342900"/>
                    </a:xfrm>
                    <a:prstGeom prst="rect">
                      <a:avLst/>
                    </a:prstGeom>
                    <a:noFill/>
                  </pic:spPr>
                </pic:pic>
              </a:graphicData>
            </a:graphic>
          </wp:anchor>
        </w:drawing>
      </w:r>
    </w:p>
    <w:p>
      <w:pPr>
        <w:ind w:left="720" w:right="280" w:hanging="241"/>
        <w:spacing w:after="0" w:line="235" w:lineRule="auto"/>
        <w:tabs>
          <w:tab w:leader="none" w:pos="720" w:val="left"/>
        </w:tabs>
        <w:numPr>
          <w:ilvl w:val="0"/>
          <w:numId w:val="55"/>
        </w:numPr>
        <w:rPr>
          <w:rFonts w:ascii="Arial" w:cs="Arial" w:eastAsia="Arial" w:hAnsi="Arial"/>
          <w:sz w:val="16"/>
          <w:szCs w:val="16"/>
          <w:color w:val="00053B"/>
        </w:rPr>
      </w:pPr>
      <w:r>
        <w:rPr>
          <w:rFonts w:ascii="Arial" w:cs="Arial" w:eastAsia="Arial" w:hAnsi="Arial"/>
          <w:sz w:val="16"/>
          <w:szCs w:val="16"/>
          <w:color w:val="00053B"/>
        </w:rPr>
        <w:t>Granted in Fiscal Years That Failed to Meet Applicable Vesting Conditions During Fiscal Year</w:t>
      </w:r>
    </w:p>
    <w:p>
      <w:pPr>
        <w:spacing w:after="0" w:line="2" w:lineRule="exact"/>
        <w:rPr>
          <w:sz w:val="20"/>
          <w:szCs w:val="20"/>
          <w:color w:val="auto"/>
        </w:rPr>
      </w:pPr>
    </w:p>
    <w:p>
      <w:pPr>
        <w:ind w:left="480"/>
        <w:spacing w:after="0"/>
        <w:tabs>
          <w:tab w:leader="none" w:pos="700" w:val="left"/>
        </w:tabs>
        <w:rPr>
          <w:sz w:val="20"/>
          <w:szCs w:val="20"/>
          <w:color w:val="auto"/>
        </w:rPr>
      </w:pPr>
      <w:r>
        <w:rPr>
          <w:rFonts w:ascii="Arial" w:cs="Arial" w:eastAsia="Arial" w:hAnsi="Arial"/>
          <w:sz w:val="16"/>
          <w:szCs w:val="16"/>
          <w:color w:val="FFFFFF"/>
        </w:rPr>
        <w:t>=</w:t>
        <w:tab/>
        <w:t>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-115570</wp:posOffset>
            </wp:positionV>
            <wp:extent cx="667766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6677660" cy="137160"/>
                    </a:xfrm>
                    <a:prstGeom prst="rect">
                      <a:avLst/>
                    </a:prstGeom>
                    <a:noFill/>
                  </pic:spPr>
                </pic:pic>
              </a:graphicData>
            </a:graphic>
          </wp:anchor>
        </w:drawing>
      </w:r>
    </w:p>
    <w:p>
      <w:pPr>
        <w:spacing w:after="0" w:line="381"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00053B"/>
        </w:rPr>
        <w:t>NEO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23495</wp:posOffset>
            </wp:positionV>
            <wp:extent cx="6677660" cy="145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667766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020" w:type="dxa"/>
            <w:vAlign w:val="bottom"/>
          </w:tcPr>
          <w:p>
            <w:pPr>
              <w:jc w:val="right"/>
              <w:ind w:right="40"/>
              <w:spacing w:after="0"/>
              <w:rPr>
                <w:sz w:val="20"/>
                <w:szCs w:val="20"/>
                <w:color w:val="auto"/>
              </w:rPr>
            </w:pPr>
            <w:r>
              <w:rPr>
                <w:rFonts w:ascii="Arial" w:cs="Arial" w:eastAsia="Arial" w:hAnsi="Arial"/>
                <w:sz w:val="16"/>
                <w:szCs w:val="16"/>
                <w:color w:val="00053B"/>
              </w:rPr>
              <w:t>$8,004,986</w:t>
            </w:r>
          </w:p>
        </w:tc>
        <w:tc>
          <w:tcPr>
            <w:tcW w:w="1100" w:type="dxa"/>
            <w:vAlign w:val="bottom"/>
          </w:tcPr>
          <w:p>
            <w:pPr>
              <w:jc w:val="right"/>
              <w:ind w:right="20"/>
              <w:spacing w:after="0"/>
              <w:rPr>
                <w:sz w:val="20"/>
                <w:szCs w:val="20"/>
                <w:color w:val="auto"/>
              </w:rPr>
            </w:pPr>
            <w:r>
              <w:rPr>
                <w:rFonts w:ascii="Arial" w:cs="Arial" w:eastAsia="Arial" w:hAnsi="Arial"/>
                <w:sz w:val="16"/>
                <w:szCs w:val="16"/>
                <w:color w:val="00053B"/>
              </w:rPr>
              <w:t>$10,760,212</w:t>
            </w:r>
          </w:p>
        </w:tc>
        <w:tc>
          <w:tcPr>
            <w:tcW w:w="1140" w:type="dxa"/>
            <w:vAlign w:val="bottom"/>
          </w:tcPr>
          <w:p>
            <w:pPr>
              <w:jc w:val="right"/>
              <w:ind w:right="40"/>
              <w:spacing w:after="0"/>
              <w:rPr>
                <w:sz w:val="20"/>
                <w:szCs w:val="20"/>
                <w:color w:val="auto"/>
              </w:rPr>
            </w:pPr>
            <w:r>
              <w:rPr>
                <w:rFonts w:ascii="Arial" w:cs="Arial" w:eastAsia="Arial" w:hAnsi="Arial"/>
                <w:sz w:val="16"/>
                <w:szCs w:val="16"/>
                <w:color w:val="00053B"/>
              </w:rPr>
              <w:t>$10,852,803</w:t>
            </w:r>
          </w:p>
        </w:tc>
        <w:tc>
          <w:tcPr>
            <w:tcW w:w="1000" w:type="dxa"/>
            <w:vAlign w:val="bottom"/>
          </w:tcPr>
          <w:p>
            <w:pPr>
              <w:jc w:val="right"/>
              <w:spacing w:after="0"/>
              <w:rPr>
                <w:sz w:val="20"/>
                <w:szCs w:val="20"/>
                <w:color w:val="auto"/>
              </w:rPr>
            </w:pPr>
            <w:r>
              <w:rPr>
                <w:rFonts w:ascii="Arial" w:cs="Arial" w:eastAsia="Arial" w:hAnsi="Arial"/>
                <w:sz w:val="16"/>
                <w:szCs w:val="16"/>
                <w:color w:val="00053B"/>
              </w:rPr>
              <w:t>$12,107,760</w:t>
            </w:r>
          </w:p>
        </w:tc>
      </w:tr>
      <w:tr>
        <w:trPr>
          <w:trHeight w:val="297"/>
        </w:trPr>
        <w:tc>
          <w:tcPr>
            <w:tcW w:w="1020" w:type="dxa"/>
            <w:vAlign w:val="bottom"/>
          </w:tcPr>
          <w:p>
            <w:pPr>
              <w:jc w:val="right"/>
              <w:ind w:right="40"/>
              <w:spacing w:after="0"/>
              <w:rPr>
                <w:sz w:val="20"/>
                <w:szCs w:val="20"/>
                <w:color w:val="auto"/>
              </w:rPr>
            </w:pPr>
            <w:r>
              <w:rPr>
                <w:rFonts w:ascii="Arial" w:cs="Arial" w:eastAsia="Arial" w:hAnsi="Arial"/>
                <w:sz w:val="16"/>
                <w:szCs w:val="16"/>
                <w:color w:val="00053B"/>
              </w:rPr>
              <w:t>$6,336,511</w:t>
            </w:r>
          </w:p>
        </w:tc>
        <w:tc>
          <w:tcPr>
            <w:tcW w:w="1100" w:type="dxa"/>
            <w:vAlign w:val="bottom"/>
          </w:tcPr>
          <w:p>
            <w:pPr>
              <w:jc w:val="right"/>
              <w:ind w:right="20"/>
              <w:spacing w:after="0"/>
              <w:rPr>
                <w:sz w:val="20"/>
                <w:szCs w:val="20"/>
                <w:color w:val="auto"/>
              </w:rPr>
            </w:pPr>
            <w:r>
              <w:rPr>
                <w:rFonts w:ascii="Arial" w:cs="Arial" w:eastAsia="Arial" w:hAnsi="Arial"/>
                <w:sz w:val="16"/>
                <w:szCs w:val="16"/>
                <w:color w:val="00053B"/>
              </w:rPr>
              <w:t>$9,413,382</w:t>
            </w:r>
          </w:p>
        </w:tc>
        <w:tc>
          <w:tcPr>
            <w:tcW w:w="1140" w:type="dxa"/>
            <w:vAlign w:val="bottom"/>
          </w:tcPr>
          <w:p>
            <w:pPr>
              <w:jc w:val="right"/>
              <w:ind w:right="40"/>
              <w:spacing w:after="0"/>
              <w:rPr>
                <w:sz w:val="20"/>
                <w:szCs w:val="20"/>
                <w:color w:val="auto"/>
              </w:rPr>
            </w:pPr>
            <w:r>
              <w:rPr>
                <w:rFonts w:ascii="Arial" w:cs="Arial" w:eastAsia="Arial" w:hAnsi="Arial"/>
                <w:sz w:val="16"/>
                <w:szCs w:val="16"/>
                <w:color w:val="00053B"/>
              </w:rPr>
              <w:t>$9,722,388</w:t>
            </w:r>
          </w:p>
        </w:tc>
        <w:tc>
          <w:tcPr>
            <w:tcW w:w="1000" w:type="dxa"/>
            <w:vAlign w:val="bottom"/>
          </w:tcPr>
          <w:p>
            <w:pPr>
              <w:jc w:val="right"/>
              <w:spacing w:after="0"/>
              <w:rPr>
                <w:sz w:val="20"/>
                <w:szCs w:val="20"/>
                <w:color w:val="auto"/>
              </w:rPr>
            </w:pPr>
            <w:r>
              <w:rPr>
                <w:rFonts w:ascii="Arial" w:cs="Arial" w:eastAsia="Arial" w:hAnsi="Arial"/>
                <w:sz w:val="16"/>
                <w:szCs w:val="16"/>
                <w:color w:val="00053B"/>
              </w:rPr>
              <w:t>$10,694,658</w:t>
            </w:r>
          </w:p>
        </w:tc>
      </w:tr>
      <w:tr>
        <w:trPr>
          <w:trHeight w:val="378"/>
        </w:trPr>
        <w:tc>
          <w:tcPr>
            <w:tcW w:w="1020" w:type="dxa"/>
            <w:vAlign w:val="bottom"/>
          </w:tcPr>
          <w:p>
            <w:pPr>
              <w:jc w:val="right"/>
              <w:ind w:right="40"/>
              <w:spacing w:after="0"/>
              <w:rPr>
                <w:sz w:val="20"/>
                <w:szCs w:val="20"/>
                <w:color w:val="auto"/>
              </w:rPr>
            </w:pPr>
            <w:r>
              <w:rPr>
                <w:rFonts w:ascii="Arial" w:cs="Arial" w:eastAsia="Arial" w:hAnsi="Arial"/>
                <w:sz w:val="16"/>
                <w:szCs w:val="16"/>
                <w:color w:val="00053B"/>
                <w:w w:val="98"/>
              </w:rPr>
              <w:t>$12,444,339</w:t>
            </w:r>
          </w:p>
        </w:tc>
        <w:tc>
          <w:tcPr>
            <w:tcW w:w="1100" w:type="dxa"/>
            <w:vAlign w:val="bottom"/>
          </w:tcPr>
          <w:p>
            <w:pPr>
              <w:jc w:val="right"/>
              <w:ind w:right="20"/>
              <w:spacing w:after="0"/>
              <w:rPr>
                <w:sz w:val="20"/>
                <w:szCs w:val="20"/>
                <w:color w:val="auto"/>
              </w:rPr>
            </w:pPr>
            <w:r>
              <w:rPr>
                <w:rFonts w:ascii="Arial" w:cs="Arial" w:eastAsia="Arial" w:hAnsi="Arial"/>
                <w:sz w:val="16"/>
                <w:szCs w:val="16"/>
                <w:color w:val="00053B"/>
              </w:rPr>
              <w:t>$10,030,014</w:t>
            </w:r>
          </w:p>
        </w:tc>
        <w:tc>
          <w:tcPr>
            <w:tcW w:w="1140" w:type="dxa"/>
            <w:vAlign w:val="bottom"/>
          </w:tcPr>
          <w:p>
            <w:pPr>
              <w:jc w:val="right"/>
              <w:ind w:right="40"/>
              <w:spacing w:after="0"/>
              <w:rPr>
                <w:sz w:val="20"/>
                <w:szCs w:val="20"/>
                <w:color w:val="auto"/>
              </w:rPr>
            </w:pPr>
            <w:r>
              <w:rPr>
                <w:rFonts w:ascii="Arial" w:cs="Arial" w:eastAsia="Arial" w:hAnsi="Arial"/>
                <w:sz w:val="16"/>
                <w:szCs w:val="16"/>
                <w:color w:val="00053B"/>
              </w:rPr>
              <w:t>$9,814,556</w:t>
            </w:r>
          </w:p>
        </w:tc>
        <w:tc>
          <w:tcPr>
            <w:tcW w:w="1000" w:type="dxa"/>
            <w:vAlign w:val="bottom"/>
          </w:tcPr>
          <w:p>
            <w:pPr>
              <w:jc w:val="right"/>
              <w:spacing w:after="0"/>
              <w:rPr>
                <w:sz w:val="20"/>
                <w:szCs w:val="20"/>
                <w:color w:val="auto"/>
              </w:rPr>
            </w:pPr>
            <w:r>
              <w:rPr>
                <w:rFonts w:ascii="Arial" w:cs="Arial" w:eastAsia="Arial" w:hAnsi="Arial"/>
                <w:sz w:val="16"/>
                <w:szCs w:val="16"/>
                <w:color w:val="00053B"/>
              </w:rPr>
              <w:t>$19,279,768</w:t>
            </w:r>
          </w:p>
        </w:tc>
      </w:tr>
      <w:tr>
        <w:trPr>
          <w:trHeight w:val="378"/>
        </w:trPr>
        <w:tc>
          <w:tcPr>
            <w:tcW w:w="1020" w:type="dxa"/>
            <w:vAlign w:val="bottom"/>
          </w:tcPr>
          <w:p>
            <w:pPr>
              <w:jc w:val="right"/>
              <w:ind w:right="40"/>
              <w:spacing w:after="0"/>
              <w:rPr>
                <w:sz w:val="20"/>
                <w:szCs w:val="20"/>
                <w:color w:val="auto"/>
              </w:rPr>
            </w:pPr>
            <w:r>
              <w:rPr>
                <w:rFonts w:ascii="Arial" w:cs="Arial" w:eastAsia="Arial" w:hAnsi="Arial"/>
                <w:sz w:val="16"/>
                <w:szCs w:val="16"/>
                <w:color w:val="00053B"/>
              </w:rPr>
              <w:t>$1,386,721</w:t>
            </w:r>
          </w:p>
        </w:tc>
        <w:tc>
          <w:tcPr>
            <w:tcW w:w="1100" w:type="dxa"/>
            <w:vAlign w:val="bottom"/>
          </w:tcPr>
          <w:p>
            <w:pPr>
              <w:jc w:val="right"/>
              <w:ind w:right="20"/>
              <w:spacing w:after="0"/>
              <w:rPr>
                <w:sz w:val="20"/>
                <w:szCs w:val="20"/>
                <w:color w:val="auto"/>
              </w:rPr>
            </w:pPr>
            <w:r>
              <w:rPr>
                <w:rFonts w:ascii="Arial" w:cs="Arial" w:eastAsia="Arial" w:hAnsi="Arial"/>
                <w:sz w:val="16"/>
                <w:szCs w:val="16"/>
                <w:color w:val="00053B"/>
              </w:rPr>
              <w:t>$(616,535)</w:t>
            </w:r>
          </w:p>
        </w:tc>
        <w:tc>
          <w:tcPr>
            <w:tcW w:w="1140" w:type="dxa"/>
            <w:vAlign w:val="bottom"/>
          </w:tcPr>
          <w:p>
            <w:pPr>
              <w:jc w:val="right"/>
              <w:ind w:right="40"/>
              <w:spacing w:after="0"/>
              <w:rPr>
                <w:sz w:val="20"/>
                <w:szCs w:val="20"/>
                <w:color w:val="auto"/>
              </w:rPr>
            </w:pPr>
            <w:r>
              <w:rPr>
                <w:rFonts w:ascii="Arial" w:cs="Arial" w:eastAsia="Arial" w:hAnsi="Arial"/>
                <w:sz w:val="16"/>
                <w:szCs w:val="16"/>
                <w:color w:val="00053B"/>
              </w:rPr>
              <w:t>$(1,773,893)</w:t>
            </w:r>
          </w:p>
        </w:tc>
        <w:tc>
          <w:tcPr>
            <w:tcW w:w="1000" w:type="dxa"/>
            <w:vAlign w:val="bottom"/>
          </w:tcPr>
          <w:p>
            <w:pPr>
              <w:jc w:val="right"/>
              <w:spacing w:after="0"/>
              <w:rPr>
                <w:sz w:val="20"/>
                <w:szCs w:val="20"/>
                <w:color w:val="auto"/>
              </w:rPr>
            </w:pPr>
            <w:r>
              <w:rPr>
                <w:rFonts w:ascii="Arial" w:cs="Arial" w:eastAsia="Arial" w:hAnsi="Arial"/>
                <w:sz w:val="16"/>
                <w:szCs w:val="16"/>
                <w:color w:val="00053B"/>
              </w:rPr>
              <w:t>$7,094,774</w:t>
            </w:r>
          </w:p>
        </w:tc>
      </w:tr>
      <w:tr>
        <w:trPr>
          <w:trHeight w:val="378"/>
        </w:trPr>
        <w:tc>
          <w:tcPr>
            <w:tcW w:w="1020" w:type="dxa"/>
            <w:vAlign w:val="bottom"/>
          </w:tcPr>
          <w:p>
            <w:pPr>
              <w:jc w:val="right"/>
              <w:ind w:right="40"/>
              <w:spacing w:after="0"/>
              <w:rPr>
                <w:sz w:val="20"/>
                <w:szCs w:val="20"/>
                <w:color w:val="auto"/>
              </w:rPr>
            </w:pPr>
            <w:r>
              <w:rPr>
                <w:rFonts w:ascii="Arial" w:cs="Arial" w:eastAsia="Arial" w:hAnsi="Arial"/>
                <w:sz w:val="16"/>
                <w:szCs w:val="16"/>
                <w:color w:val="00053B"/>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00053B"/>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00053B"/>
              </w:rPr>
              <w:t>$—</w:t>
            </w:r>
          </w:p>
        </w:tc>
        <w:tc>
          <w:tcPr>
            <w:tcW w:w="1000" w:type="dxa"/>
            <w:vAlign w:val="bottom"/>
          </w:tcPr>
          <w:p>
            <w:pPr>
              <w:jc w:val="right"/>
              <w:spacing w:after="0"/>
              <w:rPr>
                <w:sz w:val="20"/>
                <w:szCs w:val="20"/>
                <w:color w:val="auto"/>
              </w:rPr>
            </w:pPr>
            <w:r>
              <w:rPr>
                <w:rFonts w:ascii="Arial" w:cs="Arial" w:eastAsia="Arial" w:hAnsi="Arial"/>
                <w:sz w:val="16"/>
                <w:szCs w:val="16"/>
                <w:color w:val="00053B"/>
              </w:rPr>
              <w:t>$—</w:t>
            </w:r>
          </w:p>
        </w:tc>
      </w:tr>
      <w:tr>
        <w:trPr>
          <w:trHeight w:val="459"/>
        </w:trPr>
        <w:tc>
          <w:tcPr>
            <w:tcW w:w="1020" w:type="dxa"/>
            <w:vAlign w:val="bottom"/>
          </w:tcPr>
          <w:p>
            <w:pPr>
              <w:jc w:val="right"/>
              <w:ind w:right="40"/>
              <w:spacing w:after="0"/>
              <w:rPr>
                <w:sz w:val="20"/>
                <w:szCs w:val="20"/>
                <w:color w:val="auto"/>
              </w:rPr>
            </w:pPr>
            <w:r>
              <w:rPr>
                <w:rFonts w:ascii="Arial" w:cs="Arial" w:eastAsia="Arial" w:hAnsi="Arial"/>
                <w:sz w:val="16"/>
                <w:szCs w:val="16"/>
                <w:color w:val="00053B"/>
              </w:rPr>
              <w:t>$476,395</w:t>
            </w:r>
          </w:p>
        </w:tc>
        <w:tc>
          <w:tcPr>
            <w:tcW w:w="1100" w:type="dxa"/>
            <w:vAlign w:val="bottom"/>
          </w:tcPr>
          <w:p>
            <w:pPr>
              <w:jc w:val="right"/>
              <w:ind w:right="20"/>
              <w:spacing w:after="0"/>
              <w:rPr>
                <w:sz w:val="20"/>
                <w:szCs w:val="20"/>
                <w:color w:val="auto"/>
              </w:rPr>
            </w:pPr>
            <w:r>
              <w:rPr>
                <w:rFonts w:ascii="Arial" w:cs="Arial" w:eastAsia="Arial" w:hAnsi="Arial"/>
                <w:sz w:val="16"/>
                <w:szCs w:val="16"/>
                <w:color w:val="00053B"/>
              </w:rPr>
              <w:t>$515,623</w:t>
            </w:r>
          </w:p>
        </w:tc>
        <w:tc>
          <w:tcPr>
            <w:tcW w:w="1140" w:type="dxa"/>
            <w:vAlign w:val="bottom"/>
          </w:tcPr>
          <w:p>
            <w:pPr>
              <w:jc w:val="right"/>
              <w:ind w:right="40"/>
              <w:spacing w:after="0"/>
              <w:rPr>
                <w:sz w:val="20"/>
                <w:szCs w:val="20"/>
                <w:color w:val="auto"/>
              </w:rPr>
            </w:pPr>
            <w:r>
              <w:rPr>
                <w:rFonts w:ascii="Arial" w:cs="Arial" w:eastAsia="Arial" w:hAnsi="Arial"/>
                <w:sz w:val="16"/>
                <w:szCs w:val="16"/>
                <w:color w:val="00053B"/>
              </w:rPr>
              <w:t>$(1,042,616)</w:t>
            </w:r>
          </w:p>
        </w:tc>
        <w:tc>
          <w:tcPr>
            <w:tcW w:w="1000" w:type="dxa"/>
            <w:vAlign w:val="bottom"/>
          </w:tcPr>
          <w:p>
            <w:pPr>
              <w:jc w:val="right"/>
              <w:spacing w:after="0"/>
              <w:rPr>
                <w:sz w:val="20"/>
                <w:szCs w:val="20"/>
                <w:color w:val="auto"/>
              </w:rPr>
            </w:pPr>
            <w:r>
              <w:rPr>
                <w:rFonts w:ascii="Arial" w:cs="Arial" w:eastAsia="Arial" w:hAnsi="Arial"/>
                <w:sz w:val="16"/>
                <w:szCs w:val="16"/>
                <w:color w:val="00053B"/>
              </w:rPr>
              <w:t>$2,506,109</w:t>
            </w:r>
          </w:p>
        </w:tc>
      </w:tr>
      <w:tr>
        <w:trPr>
          <w:trHeight w:val="540"/>
        </w:trPr>
        <w:tc>
          <w:tcPr>
            <w:tcW w:w="1020" w:type="dxa"/>
            <w:vAlign w:val="bottom"/>
          </w:tcPr>
          <w:p>
            <w:pPr>
              <w:jc w:val="right"/>
              <w:ind w:right="40"/>
              <w:spacing w:after="0"/>
              <w:rPr>
                <w:sz w:val="20"/>
                <w:szCs w:val="20"/>
                <w:color w:val="auto"/>
              </w:rPr>
            </w:pPr>
            <w:r>
              <w:rPr>
                <w:rFonts w:ascii="Arial" w:cs="Arial" w:eastAsia="Arial" w:hAnsi="Arial"/>
                <w:sz w:val="16"/>
                <w:szCs w:val="16"/>
                <w:color w:val="00053B"/>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00053B"/>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00053B"/>
              </w:rPr>
              <w:t>$—</w:t>
            </w:r>
          </w:p>
        </w:tc>
        <w:tc>
          <w:tcPr>
            <w:tcW w:w="1000" w:type="dxa"/>
            <w:vAlign w:val="bottom"/>
          </w:tcPr>
          <w:p>
            <w:pPr>
              <w:jc w:val="right"/>
              <w:spacing w:after="0"/>
              <w:rPr>
                <w:sz w:val="20"/>
                <w:szCs w:val="20"/>
                <w:color w:val="auto"/>
              </w:rPr>
            </w:pPr>
            <w:r>
              <w:rPr>
                <w:rFonts w:ascii="Arial" w:cs="Arial" w:eastAsia="Arial" w:hAnsi="Arial"/>
                <w:sz w:val="16"/>
                <w:szCs w:val="16"/>
                <w:color w:val="00053B"/>
              </w:rPr>
              <w:t>$—</w:t>
            </w:r>
          </w:p>
        </w:tc>
      </w:tr>
      <w:tr>
        <w:trPr>
          <w:trHeight w:val="378"/>
        </w:trPr>
        <w:tc>
          <w:tcPr>
            <w:tcW w:w="1020" w:type="dxa"/>
            <w:vAlign w:val="bottom"/>
          </w:tcPr>
          <w:p>
            <w:pPr>
              <w:jc w:val="right"/>
              <w:ind w:right="40"/>
              <w:spacing w:after="0"/>
              <w:rPr>
                <w:sz w:val="20"/>
                <w:szCs w:val="20"/>
                <w:color w:val="auto"/>
              </w:rPr>
            </w:pPr>
            <w:r>
              <w:rPr>
                <w:rFonts w:ascii="Arial" w:cs="Arial" w:eastAsia="Arial" w:hAnsi="Arial"/>
                <w:sz w:val="16"/>
                <w:szCs w:val="16"/>
                <w:color w:val="FFFFFF"/>
                <w:w w:val="98"/>
              </w:rPr>
              <w:t>$15,975,930</w:t>
            </w:r>
          </w:p>
        </w:tc>
        <w:tc>
          <w:tcPr>
            <w:tcW w:w="1100" w:type="dxa"/>
            <w:vAlign w:val="bottom"/>
          </w:tcPr>
          <w:p>
            <w:pPr>
              <w:jc w:val="right"/>
              <w:ind w:right="20"/>
              <w:spacing w:after="0"/>
              <w:rPr>
                <w:sz w:val="20"/>
                <w:szCs w:val="20"/>
                <w:color w:val="auto"/>
              </w:rPr>
            </w:pPr>
            <w:r>
              <w:rPr>
                <w:rFonts w:ascii="Arial" w:cs="Arial" w:eastAsia="Arial" w:hAnsi="Arial"/>
                <w:sz w:val="16"/>
                <w:szCs w:val="16"/>
                <w:color w:val="FFFFFF"/>
              </w:rPr>
              <w:t>$11,275,932</w:t>
            </w:r>
          </w:p>
        </w:tc>
        <w:tc>
          <w:tcPr>
            <w:tcW w:w="1140" w:type="dxa"/>
            <w:vAlign w:val="bottom"/>
          </w:tcPr>
          <w:p>
            <w:pPr>
              <w:jc w:val="right"/>
              <w:ind w:right="40"/>
              <w:spacing w:after="0"/>
              <w:rPr>
                <w:sz w:val="20"/>
                <w:szCs w:val="20"/>
                <w:color w:val="auto"/>
              </w:rPr>
            </w:pPr>
            <w:r>
              <w:rPr>
                <w:rFonts w:ascii="Arial" w:cs="Arial" w:eastAsia="Arial" w:hAnsi="Arial"/>
                <w:sz w:val="16"/>
                <w:szCs w:val="16"/>
                <w:color w:val="FFFFFF"/>
              </w:rPr>
              <w:t>$8,128,462</w:t>
            </w:r>
          </w:p>
        </w:tc>
        <w:tc>
          <w:tcPr>
            <w:tcW w:w="1000" w:type="dxa"/>
            <w:vAlign w:val="bottom"/>
          </w:tcPr>
          <w:p>
            <w:pPr>
              <w:jc w:val="right"/>
              <w:spacing w:after="0"/>
              <w:rPr>
                <w:sz w:val="20"/>
                <w:szCs w:val="20"/>
                <w:color w:val="auto"/>
              </w:rPr>
            </w:pPr>
            <w:r>
              <w:rPr>
                <w:rFonts w:ascii="Arial" w:cs="Arial" w:eastAsia="Arial" w:hAnsi="Arial"/>
                <w:sz w:val="16"/>
                <w:szCs w:val="16"/>
                <w:color w:val="FFFFFF"/>
              </w:rPr>
              <w:t>$30,293,753</w:t>
            </w:r>
          </w:p>
        </w:tc>
      </w:tr>
      <w:tr>
        <w:trPr>
          <w:trHeight w:val="561"/>
        </w:trPr>
        <w:tc>
          <w:tcPr>
            <w:tcW w:w="1020" w:type="dxa"/>
            <w:vAlign w:val="bottom"/>
          </w:tcPr>
          <w:p>
            <w:pPr>
              <w:jc w:val="right"/>
              <w:ind w:right="40"/>
              <w:spacing w:after="0"/>
              <w:rPr>
                <w:sz w:val="20"/>
                <w:szCs w:val="20"/>
                <w:color w:val="auto"/>
              </w:rPr>
            </w:pPr>
            <w:r>
              <w:rPr>
                <w:rFonts w:ascii="Arial" w:cs="Arial" w:eastAsia="Arial" w:hAnsi="Arial"/>
                <w:sz w:val="14"/>
                <w:szCs w:val="14"/>
                <w:color w:val="00053B"/>
              </w:rPr>
              <w:t>2021</w:t>
            </w:r>
          </w:p>
        </w:tc>
        <w:tc>
          <w:tcPr>
            <w:tcW w:w="1100" w:type="dxa"/>
            <w:vAlign w:val="bottom"/>
          </w:tcPr>
          <w:p>
            <w:pPr>
              <w:jc w:val="right"/>
              <w:ind w:right="20"/>
              <w:spacing w:after="0"/>
              <w:rPr>
                <w:sz w:val="20"/>
                <w:szCs w:val="20"/>
                <w:color w:val="auto"/>
              </w:rPr>
            </w:pPr>
            <w:r>
              <w:rPr>
                <w:rFonts w:ascii="Arial" w:cs="Arial" w:eastAsia="Arial" w:hAnsi="Arial"/>
                <w:sz w:val="14"/>
                <w:szCs w:val="14"/>
                <w:color w:val="00053B"/>
              </w:rPr>
              <w:t>2022</w:t>
            </w:r>
          </w:p>
        </w:tc>
        <w:tc>
          <w:tcPr>
            <w:tcW w:w="1140" w:type="dxa"/>
            <w:vAlign w:val="bottom"/>
          </w:tcPr>
          <w:p>
            <w:pPr>
              <w:jc w:val="right"/>
              <w:ind w:right="40"/>
              <w:spacing w:after="0"/>
              <w:rPr>
                <w:sz w:val="20"/>
                <w:szCs w:val="20"/>
                <w:color w:val="auto"/>
              </w:rPr>
            </w:pPr>
            <w:r>
              <w:rPr>
                <w:rFonts w:ascii="Arial" w:cs="Arial" w:eastAsia="Arial" w:hAnsi="Arial"/>
                <w:sz w:val="14"/>
                <w:szCs w:val="14"/>
                <w:color w:val="00053B"/>
              </w:rPr>
              <w:t>2023</w:t>
            </w:r>
          </w:p>
        </w:tc>
        <w:tc>
          <w:tcPr>
            <w:tcW w:w="1000" w:type="dxa"/>
            <w:vAlign w:val="bottom"/>
          </w:tcPr>
          <w:p>
            <w:pPr>
              <w:jc w:val="right"/>
              <w:spacing w:after="0"/>
              <w:rPr>
                <w:sz w:val="20"/>
                <w:szCs w:val="20"/>
                <w:color w:val="auto"/>
              </w:rPr>
            </w:pPr>
            <w:r>
              <w:rPr>
                <w:rFonts w:ascii="Arial" w:cs="Arial" w:eastAsia="Arial" w:hAnsi="Arial"/>
                <w:sz w:val="14"/>
                <w:szCs w:val="14"/>
                <w:color w:val="00053B"/>
              </w:rPr>
              <w:t>2024</w:t>
            </w:r>
          </w:p>
        </w:tc>
      </w:tr>
    </w:tbl>
    <w:p>
      <w:pPr>
        <w:spacing w:after="0" w:line="21" w:lineRule="exact"/>
        <w:rPr>
          <w:sz w:val="20"/>
          <w:szCs w:val="20"/>
          <w:color w:val="auto"/>
        </w:rPr>
      </w:pPr>
    </w:p>
    <w:p>
      <w:pPr>
        <w:sectPr>
          <w:pgSz w:w="11900" w:h="16838" w:orient="portrait"/>
          <w:cols w:equalWidth="0" w:num="2">
            <w:col w:w="6300" w:space="300"/>
            <w:col w:w="4620"/>
          </w:cols>
          <w:pgMar w:left="320" w:top="122" w:right="359" w:bottom="1440" w:gutter="0" w:footer="0" w:header="0"/>
          <w:type w:val="continuous"/>
        </w:sectPr>
      </w:pPr>
    </w:p>
    <w:p>
      <w:pPr>
        <w:ind w:left="720"/>
        <w:spacing w:after="0"/>
        <w:rPr>
          <w:sz w:val="20"/>
          <w:szCs w:val="20"/>
          <w:color w:val="auto"/>
        </w:rPr>
      </w:pPr>
      <w:r>
        <w:rPr>
          <w:rFonts w:ascii="Arial" w:cs="Arial" w:eastAsia="Arial" w:hAnsi="Arial"/>
          <w:sz w:val="16"/>
          <w:szCs w:val="16"/>
          <w:color w:val="00053B"/>
        </w:rPr>
        <w:t>Summary Compensation Table - Total Compensation</w:t>
      </w:r>
    </w:p>
    <w:p>
      <w:pPr>
        <w:spacing w:after="0" w:line="32" w:lineRule="exact"/>
        <w:rPr>
          <w:sz w:val="20"/>
          <w:szCs w:val="20"/>
          <w:color w:val="auto"/>
        </w:rPr>
      </w:pPr>
    </w:p>
    <w:p>
      <w:pPr>
        <w:ind w:left="720" w:right="120" w:hanging="241"/>
        <w:spacing w:after="0"/>
        <w:tabs>
          <w:tab w:leader="none" w:pos="720" w:val="left"/>
        </w:tabs>
        <w:numPr>
          <w:ilvl w:val="0"/>
          <w:numId w:val="56"/>
        </w:numPr>
        <w:rPr>
          <w:rFonts w:ascii="Arial" w:cs="Arial" w:eastAsia="Arial" w:hAnsi="Arial"/>
          <w:sz w:val="29"/>
          <w:szCs w:val="29"/>
          <w:color w:val="B6B6B6"/>
          <w:vertAlign w:val="subscript"/>
        </w:rPr>
      </w:pPr>
      <w:r>
        <w:rPr>
          <w:rFonts w:ascii="Arial" w:cs="Arial" w:eastAsia="Arial" w:hAnsi="Arial"/>
          <w:sz w:val="15"/>
          <w:szCs w:val="15"/>
          <w:color w:val="00053B"/>
        </w:rPr>
        <w:t>Grant Date Fair Value of Stock Awards and Option Awards Granted in Fiscal Year</w:t>
      </w:r>
    </w:p>
    <w:p>
      <w:pPr>
        <w:spacing w:after="0" w:line="45" w:lineRule="exact"/>
        <w:rPr>
          <w:sz w:val="20"/>
          <w:szCs w:val="20"/>
          <w:color w:val="auto"/>
        </w:rPr>
      </w:pPr>
    </w:p>
    <w:p>
      <w:pPr>
        <w:ind w:left="720" w:hanging="241"/>
        <w:spacing w:after="0" w:line="182" w:lineRule="auto"/>
        <w:tabs>
          <w:tab w:leader="none" w:pos="720" w:val="left"/>
        </w:tabs>
        <w:numPr>
          <w:ilvl w:val="0"/>
          <w:numId w:val="57"/>
        </w:numPr>
        <w:rPr>
          <w:rFonts w:ascii="Arial" w:cs="Arial" w:eastAsia="Arial" w:hAnsi="Arial"/>
          <w:sz w:val="28"/>
          <w:szCs w:val="28"/>
          <w:color w:val="B6B6B6"/>
          <w:vertAlign w:val="subscript"/>
        </w:rPr>
      </w:pPr>
      <w:r>
        <w:rPr>
          <w:rFonts w:ascii="Arial" w:cs="Arial" w:eastAsia="Arial" w:hAnsi="Arial"/>
          <w:sz w:val="15"/>
          <w:szCs w:val="15"/>
          <w:color w:val="00053B"/>
        </w:rPr>
        <w:t>Fair Value at Fiscal Year End of Outstanding and Unvested Stock Awards and Option Awards Granted in Fiscal Year</w:t>
      </w:r>
    </w:p>
    <w:p>
      <w:pPr>
        <w:spacing w:after="0" w:line="3" w:lineRule="exact"/>
        <w:rPr>
          <w:rFonts w:ascii="Arial" w:cs="Arial" w:eastAsia="Arial" w:hAnsi="Arial"/>
          <w:sz w:val="28"/>
          <w:szCs w:val="28"/>
          <w:color w:val="B6B6B6"/>
          <w:vertAlign w:val="subscript"/>
        </w:rPr>
      </w:pPr>
    </w:p>
    <w:p>
      <w:pPr>
        <w:ind w:left="720" w:right="60" w:hanging="241"/>
        <w:spacing w:after="0" w:line="182" w:lineRule="auto"/>
        <w:tabs>
          <w:tab w:leader="none" w:pos="720" w:val="left"/>
        </w:tabs>
        <w:numPr>
          <w:ilvl w:val="0"/>
          <w:numId w:val="57"/>
        </w:numPr>
        <w:rPr>
          <w:rFonts w:ascii="Arial" w:cs="Arial" w:eastAsia="Arial" w:hAnsi="Arial"/>
          <w:sz w:val="28"/>
          <w:szCs w:val="28"/>
          <w:color w:val="B6B6B6"/>
          <w:vertAlign w:val="subscript"/>
        </w:rPr>
      </w:pPr>
      <w:r>
        <w:rPr>
          <w:rFonts w:ascii="Arial" w:cs="Arial" w:eastAsia="Arial" w:hAnsi="Arial"/>
          <w:sz w:val="15"/>
          <w:szCs w:val="15"/>
          <w:color w:val="00053B"/>
        </w:rPr>
        <w:t>Change in Fair Value of Outstanding and Unvested Stock Awards and Option Awards Granted in Prior Fiscal Years</w:t>
      </w:r>
    </w:p>
    <w:p>
      <w:pPr>
        <w:spacing w:after="0" w:line="3" w:lineRule="exact"/>
        <w:rPr>
          <w:rFonts w:ascii="Arial" w:cs="Arial" w:eastAsia="Arial" w:hAnsi="Arial"/>
          <w:sz w:val="28"/>
          <w:szCs w:val="28"/>
          <w:color w:val="B6B6B6"/>
          <w:vertAlign w:val="subscript"/>
        </w:rPr>
      </w:pPr>
    </w:p>
    <w:p>
      <w:pPr>
        <w:ind w:left="720" w:right="200" w:hanging="241"/>
        <w:spacing w:after="0" w:line="182" w:lineRule="auto"/>
        <w:tabs>
          <w:tab w:leader="none" w:pos="720" w:val="left"/>
        </w:tabs>
        <w:numPr>
          <w:ilvl w:val="0"/>
          <w:numId w:val="57"/>
        </w:numPr>
        <w:rPr>
          <w:rFonts w:ascii="Arial" w:cs="Arial" w:eastAsia="Arial" w:hAnsi="Arial"/>
          <w:sz w:val="28"/>
          <w:szCs w:val="28"/>
          <w:color w:val="B6B6B6"/>
          <w:vertAlign w:val="subscript"/>
        </w:rPr>
      </w:pPr>
      <w:r>
        <w:rPr>
          <w:rFonts w:ascii="Arial" w:cs="Arial" w:eastAsia="Arial" w:hAnsi="Arial"/>
          <w:sz w:val="15"/>
          <w:szCs w:val="15"/>
          <w:color w:val="00053B"/>
        </w:rPr>
        <w:t>Fair Value at Vesting of Stock Awards and Option Awards Granted in Fiscal Year That Vested During Fiscal Year</w:t>
      </w:r>
    </w:p>
    <w:p>
      <w:pPr>
        <w:spacing w:after="0" w:line="1" w:lineRule="exact"/>
        <w:rPr>
          <w:rFonts w:ascii="Arial" w:cs="Arial" w:eastAsia="Arial" w:hAnsi="Arial"/>
          <w:sz w:val="28"/>
          <w:szCs w:val="28"/>
          <w:color w:val="B6B6B6"/>
          <w:vertAlign w:val="subscript"/>
        </w:rPr>
      </w:pPr>
    </w:p>
    <w:p>
      <w:pPr>
        <w:ind w:left="720"/>
        <w:spacing w:after="0" w:line="234" w:lineRule="auto"/>
        <w:rPr>
          <w:rFonts w:ascii="Arial" w:cs="Arial" w:eastAsia="Arial" w:hAnsi="Arial"/>
          <w:sz w:val="28"/>
          <w:szCs w:val="28"/>
          <w:color w:val="B6B6B6"/>
          <w:vertAlign w:val="subscript"/>
        </w:rPr>
      </w:pPr>
      <w:r>
        <w:rPr>
          <w:rFonts w:ascii="Arial" w:cs="Arial" w:eastAsia="Arial" w:hAnsi="Arial"/>
          <w:sz w:val="16"/>
          <w:szCs w:val="16"/>
          <w:color w:val="00053B"/>
        </w:rPr>
        <w:t>Change in Fair Value as of Vesting Date of Stock Awards and Option Awards</w:t>
      </w:r>
    </w:p>
    <w:p>
      <w:pPr>
        <w:ind w:left="720" w:right="120" w:hanging="241"/>
        <w:spacing w:after="0" w:line="235" w:lineRule="auto"/>
        <w:tabs>
          <w:tab w:leader="none" w:pos="720" w:val="left"/>
        </w:tabs>
        <w:numPr>
          <w:ilvl w:val="0"/>
          <w:numId w:val="57"/>
        </w:numPr>
        <w:rPr>
          <w:rFonts w:ascii="Arial" w:cs="Arial" w:eastAsia="Arial" w:hAnsi="Arial"/>
          <w:sz w:val="16"/>
          <w:szCs w:val="16"/>
          <w:color w:val="B6B6B6"/>
        </w:rPr>
      </w:pPr>
      <w:r>
        <w:rPr>
          <w:rFonts w:ascii="Arial" w:cs="Arial" w:eastAsia="Arial" w:hAnsi="Arial"/>
          <w:sz w:val="16"/>
          <w:szCs w:val="16"/>
          <w:color w:val="00053B"/>
        </w:rPr>
        <w:t>Granted in Prior Fiscal Years For Which Applicable Vesting Conditions Were Satisfied During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-1061085</wp:posOffset>
            </wp:positionV>
            <wp:extent cx="6677660" cy="2400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6677660" cy="240030"/>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-581025</wp:posOffset>
            </wp:positionV>
            <wp:extent cx="6677660" cy="2400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6677660" cy="240030"/>
                    </a:xfrm>
                    <a:prstGeom prst="rect">
                      <a:avLst/>
                    </a:prstGeom>
                    <a:noFill/>
                  </pic:spPr>
                </pic:pic>
              </a:graphicData>
            </a:graphic>
          </wp:anchor>
        </w:drawing>
      </w:r>
    </w:p>
    <w:p>
      <w:pPr>
        <w:jc w:val="center"/>
        <w:ind w:left="460"/>
        <w:spacing w:after="0" w:line="234" w:lineRule="auto"/>
        <w:rPr>
          <w:sz w:val="20"/>
          <w:szCs w:val="20"/>
          <w:color w:val="auto"/>
        </w:rPr>
      </w:pPr>
      <w:r>
        <w:rPr>
          <w:rFonts w:ascii="Arial" w:cs="Arial" w:eastAsia="Arial" w:hAnsi="Arial"/>
          <w:sz w:val="16"/>
          <w:szCs w:val="16"/>
          <w:color w:val="00053B"/>
        </w:rPr>
        <w:t>Fair Value as of Prior Fiscal Year End of Stock Awards and 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-111760</wp:posOffset>
            </wp:positionV>
            <wp:extent cx="6677660" cy="3429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6677660" cy="342900"/>
                    </a:xfrm>
                    <a:prstGeom prst="rect">
                      <a:avLst/>
                    </a:prstGeom>
                    <a:noFill/>
                  </pic:spPr>
                </pic:pic>
              </a:graphicData>
            </a:graphic>
          </wp:anchor>
        </w:drawing>
      </w:r>
    </w:p>
    <w:p>
      <w:pPr>
        <w:ind w:left="720" w:right="280" w:hanging="241"/>
        <w:spacing w:after="0" w:line="235" w:lineRule="auto"/>
        <w:tabs>
          <w:tab w:leader="none" w:pos="720" w:val="left"/>
        </w:tabs>
        <w:numPr>
          <w:ilvl w:val="0"/>
          <w:numId w:val="58"/>
        </w:numPr>
        <w:rPr>
          <w:rFonts w:ascii="Arial" w:cs="Arial" w:eastAsia="Arial" w:hAnsi="Arial"/>
          <w:sz w:val="16"/>
          <w:szCs w:val="16"/>
          <w:color w:val="B6B6B6"/>
        </w:rPr>
      </w:pPr>
      <w:r>
        <w:rPr>
          <w:rFonts w:ascii="Arial" w:cs="Arial" w:eastAsia="Arial" w:hAnsi="Arial"/>
          <w:sz w:val="16"/>
          <w:szCs w:val="16"/>
          <w:color w:val="00053B"/>
        </w:rPr>
        <w:t>Granted in Fiscal Years That Failed to Meet Applicable Vesting Conditions During Fiscal Year</w:t>
      </w:r>
    </w:p>
    <w:p>
      <w:pPr>
        <w:spacing w:after="0" w:line="2" w:lineRule="exact"/>
        <w:rPr>
          <w:sz w:val="20"/>
          <w:szCs w:val="20"/>
          <w:color w:val="auto"/>
        </w:rPr>
      </w:pPr>
    </w:p>
    <w:p>
      <w:pPr>
        <w:ind w:left="720" w:hanging="241"/>
        <w:spacing w:after="0"/>
        <w:tabs>
          <w:tab w:leader="none" w:pos="720" w:val="left"/>
        </w:tabs>
        <w:numPr>
          <w:ilvl w:val="0"/>
          <w:numId w:val="59"/>
        </w:numPr>
        <w:rPr>
          <w:rFonts w:ascii="Arial" w:cs="Arial" w:eastAsia="Arial" w:hAnsi="Arial"/>
          <w:sz w:val="16"/>
          <w:szCs w:val="16"/>
          <w:color w:val="B6B6B6"/>
        </w:rPr>
      </w:pPr>
      <w:r>
        <w:rPr>
          <w:rFonts w:ascii="Arial" w:cs="Arial" w:eastAsia="Arial" w:hAnsi="Arial"/>
          <w:sz w:val="16"/>
          <w:szCs w:val="16"/>
          <w:color w:val="FFFFFF"/>
        </w:rPr>
        <w:t>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-115570</wp:posOffset>
            </wp:positionV>
            <wp:extent cx="667766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66776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960" w:type="dxa"/>
            <w:vAlign w:val="bottom"/>
          </w:tcPr>
          <w:p>
            <w:pPr>
              <w:jc w:val="right"/>
              <w:ind w:right="79"/>
              <w:spacing w:after="0"/>
              <w:rPr>
                <w:sz w:val="20"/>
                <w:szCs w:val="20"/>
                <w:color w:val="auto"/>
              </w:rPr>
            </w:pPr>
            <w:r>
              <w:rPr>
                <w:rFonts w:ascii="Arial" w:cs="Arial" w:eastAsia="Arial" w:hAnsi="Arial"/>
                <w:sz w:val="16"/>
                <w:szCs w:val="16"/>
                <w:color w:val="00053B"/>
                <w:w w:val="97"/>
              </w:rPr>
              <w:t>$2,696,751</w:t>
            </w:r>
          </w:p>
        </w:tc>
        <w:tc>
          <w:tcPr>
            <w:tcW w:w="1120" w:type="dxa"/>
            <w:vAlign w:val="bottom"/>
          </w:tcPr>
          <w:p>
            <w:pPr>
              <w:jc w:val="right"/>
              <w:ind w:right="79"/>
              <w:spacing w:after="0"/>
              <w:rPr>
                <w:sz w:val="20"/>
                <w:szCs w:val="20"/>
                <w:color w:val="auto"/>
              </w:rPr>
            </w:pPr>
            <w:r>
              <w:rPr>
                <w:rFonts w:ascii="Arial" w:cs="Arial" w:eastAsia="Arial" w:hAnsi="Arial"/>
                <w:sz w:val="16"/>
                <w:szCs w:val="16"/>
                <w:color w:val="00053B"/>
              </w:rPr>
              <w:t>$3,342,790</w:t>
            </w:r>
          </w:p>
        </w:tc>
        <w:tc>
          <w:tcPr>
            <w:tcW w:w="1120" w:type="dxa"/>
            <w:vAlign w:val="bottom"/>
          </w:tcPr>
          <w:p>
            <w:pPr>
              <w:jc w:val="right"/>
              <w:ind w:right="79"/>
              <w:spacing w:after="0"/>
              <w:rPr>
                <w:sz w:val="20"/>
                <w:szCs w:val="20"/>
                <w:color w:val="auto"/>
              </w:rPr>
            </w:pPr>
            <w:r>
              <w:rPr>
                <w:rFonts w:ascii="Arial" w:cs="Arial" w:eastAsia="Arial" w:hAnsi="Arial"/>
                <w:sz w:val="16"/>
                <w:szCs w:val="16"/>
                <w:color w:val="00053B"/>
              </w:rPr>
              <w:t>$3,237,743</w:t>
            </w:r>
          </w:p>
        </w:tc>
        <w:tc>
          <w:tcPr>
            <w:tcW w:w="960" w:type="dxa"/>
            <w:vAlign w:val="bottom"/>
          </w:tcPr>
          <w:p>
            <w:pPr>
              <w:jc w:val="right"/>
              <w:spacing w:after="0"/>
              <w:rPr>
                <w:sz w:val="20"/>
                <w:szCs w:val="20"/>
                <w:color w:val="auto"/>
              </w:rPr>
            </w:pPr>
            <w:r>
              <w:rPr>
                <w:rFonts w:ascii="Arial" w:cs="Arial" w:eastAsia="Arial" w:hAnsi="Arial"/>
                <w:sz w:val="16"/>
                <w:szCs w:val="16"/>
                <w:color w:val="00053B"/>
              </w:rPr>
              <w:t>$3,901,453</w:t>
            </w:r>
          </w:p>
        </w:tc>
      </w:tr>
      <w:tr>
        <w:trPr>
          <w:trHeight w:val="297"/>
        </w:trPr>
        <w:tc>
          <w:tcPr>
            <w:tcW w:w="960" w:type="dxa"/>
            <w:vAlign w:val="bottom"/>
          </w:tcPr>
          <w:p>
            <w:pPr>
              <w:jc w:val="right"/>
              <w:ind w:right="79"/>
              <w:spacing w:after="0"/>
              <w:rPr>
                <w:sz w:val="20"/>
                <w:szCs w:val="20"/>
                <w:color w:val="auto"/>
              </w:rPr>
            </w:pPr>
            <w:r>
              <w:rPr>
                <w:rFonts w:ascii="Arial" w:cs="Arial" w:eastAsia="Arial" w:hAnsi="Arial"/>
                <w:sz w:val="16"/>
                <w:szCs w:val="16"/>
                <w:color w:val="00053B"/>
                <w:w w:val="97"/>
              </w:rPr>
              <w:t>$1,808,753</w:t>
            </w:r>
          </w:p>
        </w:tc>
        <w:tc>
          <w:tcPr>
            <w:tcW w:w="1120" w:type="dxa"/>
            <w:vAlign w:val="bottom"/>
          </w:tcPr>
          <w:p>
            <w:pPr>
              <w:jc w:val="right"/>
              <w:ind w:right="79"/>
              <w:spacing w:after="0"/>
              <w:rPr>
                <w:sz w:val="20"/>
                <w:szCs w:val="20"/>
                <w:color w:val="auto"/>
              </w:rPr>
            </w:pPr>
            <w:r>
              <w:rPr>
                <w:rFonts w:ascii="Arial" w:cs="Arial" w:eastAsia="Arial" w:hAnsi="Arial"/>
                <w:sz w:val="16"/>
                <w:szCs w:val="16"/>
                <w:color w:val="00053B"/>
              </w:rPr>
              <w:t>$2,491,707</w:t>
            </w:r>
          </w:p>
        </w:tc>
        <w:tc>
          <w:tcPr>
            <w:tcW w:w="1120" w:type="dxa"/>
            <w:vAlign w:val="bottom"/>
          </w:tcPr>
          <w:p>
            <w:pPr>
              <w:jc w:val="right"/>
              <w:ind w:right="79"/>
              <w:spacing w:after="0"/>
              <w:rPr>
                <w:sz w:val="20"/>
                <w:szCs w:val="20"/>
                <w:color w:val="auto"/>
              </w:rPr>
            </w:pPr>
            <w:r>
              <w:rPr>
                <w:rFonts w:ascii="Arial" w:cs="Arial" w:eastAsia="Arial" w:hAnsi="Arial"/>
                <w:sz w:val="16"/>
                <w:szCs w:val="16"/>
                <w:color w:val="00053B"/>
              </w:rPr>
              <w:t>$2,559,448</w:t>
            </w:r>
          </w:p>
        </w:tc>
        <w:tc>
          <w:tcPr>
            <w:tcW w:w="960" w:type="dxa"/>
            <w:vAlign w:val="bottom"/>
          </w:tcPr>
          <w:p>
            <w:pPr>
              <w:jc w:val="right"/>
              <w:spacing w:after="0"/>
              <w:rPr>
                <w:sz w:val="20"/>
                <w:szCs w:val="20"/>
                <w:color w:val="auto"/>
              </w:rPr>
            </w:pPr>
            <w:r>
              <w:rPr>
                <w:rFonts w:ascii="Arial" w:cs="Arial" w:eastAsia="Arial" w:hAnsi="Arial"/>
                <w:sz w:val="16"/>
                <w:szCs w:val="16"/>
                <w:color w:val="00053B"/>
              </w:rPr>
              <w:t>$3,142,162</w:t>
            </w:r>
          </w:p>
        </w:tc>
      </w:tr>
      <w:tr>
        <w:trPr>
          <w:trHeight w:val="378"/>
        </w:trPr>
        <w:tc>
          <w:tcPr>
            <w:tcW w:w="960" w:type="dxa"/>
            <w:vAlign w:val="bottom"/>
          </w:tcPr>
          <w:p>
            <w:pPr>
              <w:jc w:val="right"/>
              <w:ind w:right="79"/>
              <w:spacing w:after="0"/>
              <w:rPr>
                <w:sz w:val="20"/>
                <w:szCs w:val="20"/>
                <w:color w:val="auto"/>
              </w:rPr>
            </w:pPr>
            <w:r>
              <w:rPr>
                <w:rFonts w:ascii="Arial" w:cs="Arial" w:eastAsia="Arial" w:hAnsi="Arial"/>
                <w:sz w:val="16"/>
                <w:szCs w:val="16"/>
                <w:color w:val="00053B"/>
                <w:w w:val="97"/>
              </w:rPr>
              <w:t>$3,552,227</w:t>
            </w:r>
          </w:p>
        </w:tc>
        <w:tc>
          <w:tcPr>
            <w:tcW w:w="1120" w:type="dxa"/>
            <w:vAlign w:val="bottom"/>
          </w:tcPr>
          <w:p>
            <w:pPr>
              <w:jc w:val="right"/>
              <w:ind w:right="79"/>
              <w:spacing w:after="0"/>
              <w:rPr>
                <w:sz w:val="20"/>
                <w:szCs w:val="20"/>
                <w:color w:val="auto"/>
              </w:rPr>
            </w:pPr>
            <w:r>
              <w:rPr>
                <w:rFonts w:ascii="Arial" w:cs="Arial" w:eastAsia="Arial" w:hAnsi="Arial"/>
                <w:sz w:val="16"/>
                <w:szCs w:val="16"/>
                <w:color w:val="00053B"/>
              </w:rPr>
              <w:t>$2,655,470</w:t>
            </w:r>
          </w:p>
        </w:tc>
        <w:tc>
          <w:tcPr>
            <w:tcW w:w="1120" w:type="dxa"/>
            <w:vAlign w:val="bottom"/>
          </w:tcPr>
          <w:p>
            <w:pPr>
              <w:jc w:val="right"/>
              <w:ind w:right="79"/>
              <w:spacing w:after="0"/>
              <w:rPr>
                <w:sz w:val="20"/>
                <w:szCs w:val="20"/>
                <w:color w:val="auto"/>
              </w:rPr>
            </w:pPr>
            <w:r>
              <w:rPr>
                <w:rFonts w:ascii="Arial" w:cs="Arial" w:eastAsia="Arial" w:hAnsi="Arial"/>
                <w:sz w:val="16"/>
                <w:szCs w:val="16"/>
                <w:color w:val="00053B"/>
              </w:rPr>
              <w:t>$2,185,843</w:t>
            </w:r>
          </w:p>
        </w:tc>
        <w:tc>
          <w:tcPr>
            <w:tcW w:w="960" w:type="dxa"/>
            <w:vAlign w:val="bottom"/>
          </w:tcPr>
          <w:p>
            <w:pPr>
              <w:jc w:val="right"/>
              <w:spacing w:after="0"/>
              <w:rPr>
                <w:sz w:val="20"/>
                <w:szCs w:val="20"/>
                <w:color w:val="auto"/>
              </w:rPr>
            </w:pPr>
            <w:r>
              <w:rPr>
                <w:rFonts w:ascii="Arial" w:cs="Arial" w:eastAsia="Arial" w:hAnsi="Arial"/>
                <w:sz w:val="16"/>
                <w:szCs w:val="16"/>
                <w:color w:val="00053B"/>
              </w:rPr>
              <w:t>$3,179,994</w:t>
            </w:r>
          </w:p>
        </w:tc>
      </w:tr>
      <w:tr>
        <w:trPr>
          <w:trHeight w:val="378"/>
        </w:trPr>
        <w:tc>
          <w:tcPr>
            <w:tcW w:w="960" w:type="dxa"/>
            <w:vAlign w:val="bottom"/>
          </w:tcPr>
          <w:p>
            <w:pPr>
              <w:jc w:val="right"/>
              <w:ind w:right="79"/>
              <w:spacing w:after="0"/>
              <w:rPr>
                <w:sz w:val="20"/>
                <w:szCs w:val="20"/>
                <w:color w:val="auto"/>
              </w:rPr>
            </w:pPr>
            <w:r>
              <w:rPr>
                <w:rFonts w:ascii="Arial" w:cs="Arial" w:eastAsia="Arial" w:hAnsi="Arial"/>
                <w:sz w:val="16"/>
                <w:szCs w:val="16"/>
                <w:color w:val="00053B"/>
              </w:rPr>
              <w:t>$296,856</w:t>
            </w:r>
          </w:p>
        </w:tc>
        <w:tc>
          <w:tcPr>
            <w:tcW w:w="1120" w:type="dxa"/>
            <w:vAlign w:val="bottom"/>
          </w:tcPr>
          <w:p>
            <w:pPr>
              <w:jc w:val="right"/>
              <w:ind w:right="79"/>
              <w:spacing w:after="0"/>
              <w:rPr>
                <w:sz w:val="20"/>
                <w:szCs w:val="20"/>
                <w:color w:val="auto"/>
              </w:rPr>
            </w:pPr>
            <w:r>
              <w:rPr>
                <w:rFonts w:ascii="Arial" w:cs="Arial" w:eastAsia="Arial" w:hAnsi="Arial"/>
                <w:sz w:val="16"/>
                <w:szCs w:val="16"/>
                <w:color w:val="00053B"/>
              </w:rPr>
              <w:t>$(165,930)</w:t>
            </w:r>
          </w:p>
        </w:tc>
        <w:tc>
          <w:tcPr>
            <w:tcW w:w="1120" w:type="dxa"/>
            <w:vAlign w:val="bottom"/>
          </w:tcPr>
          <w:p>
            <w:pPr>
              <w:jc w:val="right"/>
              <w:ind w:right="79"/>
              <w:spacing w:after="0"/>
              <w:rPr>
                <w:sz w:val="20"/>
                <w:szCs w:val="20"/>
                <w:color w:val="auto"/>
              </w:rPr>
            </w:pPr>
            <w:r>
              <w:rPr>
                <w:rFonts w:ascii="Arial" w:cs="Arial" w:eastAsia="Arial" w:hAnsi="Arial"/>
                <w:sz w:val="16"/>
                <w:szCs w:val="16"/>
                <w:color w:val="00053B"/>
              </w:rPr>
              <w:t>$(924,865)</w:t>
            </w:r>
          </w:p>
        </w:tc>
        <w:tc>
          <w:tcPr>
            <w:tcW w:w="960" w:type="dxa"/>
            <w:vAlign w:val="bottom"/>
          </w:tcPr>
          <w:p>
            <w:pPr>
              <w:jc w:val="right"/>
              <w:spacing w:after="0"/>
              <w:rPr>
                <w:sz w:val="20"/>
                <w:szCs w:val="20"/>
                <w:color w:val="auto"/>
              </w:rPr>
            </w:pPr>
            <w:r>
              <w:rPr>
                <w:rFonts w:ascii="Arial" w:cs="Arial" w:eastAsia="Arial" w:hAnsi="Arial"/>
                <w:sz w:val="16"/>
                <w:szCs w:val="16"/>
                <w:color w:val="00053B"/>
              </w:rPr>
              <w:t>$625,474</w:t>
            </w:r>
          </w:p>
        </w:tc>
      </w:tr>
      <w:tr>
        <w:trPr>
          <w:trHeight w:val="378"/>
        </w:trPr>
        <w:tc>
          <w:tcPr>
            <w:tcW w:w="960" w:type="dxa"/>
            <w:vAlign w:val="bottom"/>
          </w:tcPr>
          <w:p>
            <w:pPr>
              <w:jc w:val="right"/>
              <w:ind w:right="79"/>
              <w:spacing w:after="0"/>
              <w:rPr>
                <w:sz w:val="20"/>
                <w:szCs w:val="20"/>
                <w:color w:val="auto"/>
              </w:rPr>
            </w:pPr>
            <w:r>
              <w:rPr>
                <w:rFonts w:ascii="Arial" w:cs="Arial" w:eastAsia="Arial" w:hAnsi="Arial"/>
                <w:sz w:val="16"/>
                <w:szCs w:val="16"/>
                <w:color w:val="00053B"/>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00053B"/>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00053B"/>
              </w:rPr>
              <w:t>$287,324</w:t>
            </w:r>
          </w:p>
        </w:tc>
        <w:tc>
          <w:tcPr>
            <w:tcW w:w="960" w:type="dxa"/>
            <w:vAlign w:val="bottom"/>
          </w:tcPr>
          <w:p>
            <w:pPr>
              <w:jc w:val="right"/>
              <w:spacing w:after="0"/>
              <w:rPr>
                <w:sz w:val="20"/>
                <w:szCs w:val="20"/>
                <w:color w:val="auto"/>
              </w:rPr>
            </w:pPr>
            <w:r>
              <w:rPr>
                <w:rFonts w:ascii="Arial" w:cs="Arial" w:eastAsia="Arial" w:hAnsi="Arial"/>
                <w:sz w:val="16"/>
                <w:szCs w:val="16"/>
                <w:color w:val="00053B"/>
              </w:rPr>
              <w:t>$—</w:t>
            </w:r>
          </w:p>
        </w:tc>
      </w:tr>
      <w:tr>
        <w:trPr>
          <w:trHeight w:val="459"/>
        </w:trPr>
        <w:tc>
          <w:tcPr>
            <w:tcW w:w="960" w:type="dxa"/>
            <w:vAlign w:val="bottom"/>
          </w:tcPr>
          <w:p>
            <w:pPr>
              <w:jc w:val="right"/>
              <w:ind w:right="79"/>
              <w:spacing w:after="0"/>
              <w:rPr>
                <w:sz w:val="20"/>
                <w:szCs w:val="20"/>
                <w:color w:val="auto"/>
              </w:rPr>
            </w:pPr>
            <w:r>
              <w:rPr>
                <w:rFonts w:ascii="Arial" w:cs="Arial" w:eastAsia="Arial" w:hAnsi="Arial"/>
                <w:sz w:val="16"/>
                <w:szCs w:val="16"/>
                <w:color w:val="00053B"/>
              </w:rPr>
              <w:t>$26,131</w:t>
            </w:r>
          </w:p>
        </w:tc>
        <w:tc>
          <w:tcPr>
            <w:tcW w:w="1120" w:type="dxa"/>
            <w:vAlign w:val="bottom"/>
          </w:tcPr>
          <w:p>
            <w:pPr>
              <w:jc w:val="right"/>
              <w:ind w:right="79"/>
              <w:spacing w:after="0"/>
              <w:rPr>
                <w:sz w:val="20"/>
                <w:szCs w:val="20"/>
                <w:color w:val="auto"/>
              </w:rPr>
            </w:pPr>
            <w:r>
              <w:rPr>
                <w:rFonts w:ascii="Arial" w:cs="Arial" w:eastAsia="Arial" w:hAnsi="Arial"/>
                <w:sz w:val="16"/>
                <w:szCs w:val="16"/>
                <w:color w:val="00053B"/>
              </w:rPr>
              <w:t>$193,528</w:t>
            </w:r>
          </w:p>
        </w:tc>
        <w:tc>
          <w:tcPr>
            <w:tcW w:w="1120" w:type="dxa"/>
            <w:vAlign w:val="bottom"/>
          </w:tcPr>
          <w:p>
            <w:pPr>
              <w:jc w:val="right"/>
              <w:ind w:right="79"/>
              <w:spacing w:after="0"/>
              <w:rPr>
                <w:sz w:val="20"/>
                <w:szCs w:val="20"/>
                <w:color w:val="auto"/>
              </w:rPr>
            </w:pPr>
            <w:r>
              <w:rPr>
                <w:rFonts w:ascii="Arial" w:cs="Arial" w:eastAsia="Arial" w:hAnsi="Arial"/>
                <w:sz w:val="16"/>
                <w:szCs w:val="16"/>
                <w:color w:val="00053B"/>
              </w:rPr>
              <w:t>$(209,402)</w:t>
            </w:r>
          </w:p>
        </w:tc>
        <w:tc>
          <w:tcPr>
            <w:tcW w:w="960" w:type="dxa"/>
            <w:vAlign w:val="bottom"/>
          </w:tcPr>
          <w:p>
            <w:pPr>
              <w:jc w:val="right"/>
              <w:spacing w:after="0"/>
              <w:rPr>
                <w:sz w:val="20"/>
                <w:szCs w:val="20"/>
                <w:color w:val="auto"/>
              </w:rPr>
            </w:pPr>
            <w:r>
              <w:rPr>
                <w:rFonts w:ascii="Arial" w:cs="Arial" w:eastAsia="Arial" w:hAnsi="Arial"/>
                <w:sz w:val="16"/>
                <w:szCs w:val="16"/>
                <w:color w:val="00053B"/>
              </w:rPr>
              <w:t>$432,318</w:t>
            </w:r>
          </w:p>
        </w:tc>
      </w:tr>
      <w:tr>
        <w:trPr>
          <w:trHeight w:val="540"/>
        </w:trPr>
        <w:tc>
          <w:tcPr>
            <w:tcW w:w="960" w:type="dxa"/>
            <w:vAlign w:val="bottom"/>
          </w:tcPr>
          <w:p>
            <w:pPr>
              <w:jc w:val="right"/>
              <w:ind w:right="79"/>
              <w:spacing w:after="0"/>
              <w:rPr>
                <w:sz w:val="20"/>
                <w:szCs w:val="20"/>
                <w:color w:val="auto"/>
              </w:rPr>
            </w:pPr>
            <w:r>
              <w:rPr>
                <w:rFonts w:ascii="Arial" w:cs="Arial" w:eastAsia="Arial" w:hAnsi="Arial"/>
                <w:sz w:val="16"/>
                <w:szCs w:val="16"/>
                <w:color w:val="00053B"/>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00053B"/>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00053B"/>
              </w:rPr>
              <w:t>$310,496</w:t>
            </w:r>
          </w:p>
        </w:tc>
        <w:tc>
          <w:tcPr>
            <w:tcW w:w="960" w:type="dxa"/>
            <w:vAlign w:val="bottom"/>
          </w:tcPr>
          <w:p>
            <w:pPr>
              <w:jc w:val="right"/>
              <w:spacing w:after="0"/>
              <w:rPr>
                <w:sz w:val="20"/>
                <w:szCs w:val="20"/>
                <w:color w:val="auto"/>
              </w:rPr>
            </w:pPr>
            <w:r>
              <w:rPr>
                <w:rFonts w:ascii="Arial" w:cs="Arial" w:eastAsia="Arial" w:hAnsi="Arial"/>
                <w:sz w:val="16"/>
                <w:szCs w:val="16"/>
                <w:color w:val="00053B"/>
              </w:rPr>
              <w:t>$1,106,294</w:t>
            </w:r>
          </w:p>
        </w:tc>
      </w:tr>
      <w:tr>
        <w:trPr>
          <w:trHeight w:val="378"/>
        </w:trPr>
        <w:tc>
          <w:tcPr>
            <w:tcW w:w="960" w:type="dxa"/>
            <w:vAlign w:val="bottom"/>
          </w:tcPr>
          <w:p>
            <w:pPr>
              <w:jc w:val="right"/>
              <w:ind w:right="79"/>
              <w:spacing w:after="0"/>
              <w:rPr>
                <w:sz w:val="20"/>
                <w:szCs w:val="20"/>
                <w:color w:val="auto"/>
              </w:rPr>
            </w:pPr>
            <w:r>
              <w:rPr>
                <w:rFonts w:ascii="Arial" w:cs="Arial" w:eastAsia="Arial" w:hAnsi="Arial"/>
                <w:sz w:val="16"/>
                <w:szCs w:val="16"/>
                <w:color w:val="FFFFFF"/>
                <w:w w:val="97"/>
              </w:rPr>
              <w:t>$4,763,212</w:t>
            </w:r>
          </w:p>
        </w:tc>
        <w:tc>
          <w:tcPr>
            <w:tcW w:w="1120" w:type="dxa"/>
            <w:vAlign w:val="bottom"/>
          </w:tcPr>
          <w:p>
            <w:pPr>
              <w:jc w:val="right"/>
              <w:ind w:right="79"/>
              <w:spacing w:after="0"/>
              <w:rPr>
                <w:sz w:val="20"/>
                <w:szCs w:val="20"/>
                <w:color w:val="auto"/>
              </w:rPr>
            </w:pPr>
            <w:r>
              <w:rPr>
                <w:rFonts w:ascii="Arial" w:cs="Arial" w:eastAsia="Arial" w:hAnsi="Arial"/>
                <w:sz w:val="16"/>
                <w:szCs w:val="16"/>
                <w:color w:val="FFFFFF"/>
              </w:rPr>
              <w:t>$3,534,151</w:t>
            </w:r>
          </w:p>
        </w:tc>
        <w:tc>
          <w:tcPr>
            <w:tcW w:w="1120" w:type="dxa"/>
            <w:vAlign w:val="bottom"/>
          </w:tcPr>
          <w:p>
            <w:pPr>
              <w:jc w:val="right"/>
              <w:ind w:right="79"/>
              <w:spacing w:after="0"/>
              <w:rPr>
                <w:sz w:val="20"/>
                <w:szCs w:val="20"/>
                <w:color w:val="auto"/>
              </w:rPr>
            </w:pPr>
            <w:r>
              <w:rPr>
                <w:rFonts w:ascii="Arial" w:cs="Arial" w:eastAsia="Arial" w:hAnsi="Arial"/>
                <w:sz w:val="16"/>
                <w:szCs w:val="16"/>
                <w:color w:val="FFFFFF"/>
              </w:rPr>
              <w:t>$1,706,699</w:t>
            </w:r>
          </w:p>
        </w:tc>
        <w:tc>
          <w:tcPr>
            <w:tcW w:w="960" w:type="dxa"/>
            <w:vAlign w:val="bottom"/>
          </w:tcPr>
          <w:p>
            <w:pPr>
              <w:jc w:val="right"/>
              <w:spacing w:after="0"/>
              <w:rPr>
                <w:sz w:val="20"/>
                <w:szCs w:val="20"/>
                <w:color w:val="auto"/>
              </w:rPr>
            </w:pPr>
            <w:r>
              <w:rPr>
                <w:rFonts w:ascii="Arial" w:cs="Arial" w:eastAsia="Arial" w:hAnsi="Arial"/>
                <w:sz w:val="16"/>
                <w:szCs w:val="16"/>
                <w:color w:val="FFFFFF"/>
              </w:rPr>
              <w:t>$3,890,783</w:t>
            </w:r>
          </w:p>
        </w:tc>
      </w:tr>
    </w:tbl>
    <w:p>
      <w:pPr>
        <w:spacing w:after="0" w:line="200" w:lineRule="exact"/>
        <w:rPr>
          <w:sz w:val="20"/>
          <w:szCs w:val="20"/>
          <w:color w:val="auto"/>
        </w:rPr>
      </w:pPr>
    </w:p>
    <w:p>
      <w:pPr>
        <w:sectPr>
          <w:pgSz w:w="11900" w:h="16838" w:orient="portrait"/>
          <w:cols w:equalWidth="0" w:num="2">
            <w:col w:w="6300" w:space="400"/>
            <w:col w:w="4520"/>
          </w:cols>
          <w:pgMar w:left="320" w:top="122" w:right="359" w:bottom="1440" w:gutter="0" w:footer="0" w:header="0"/>
          <w:type w:val="continuous"/>
        </w:sectPr>
      </w:pPr>
    </w:p>
    <w:p>
      <w:pPr>
        <w:spacing w:after="0" w:line="176"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3"/>
          <w:szCs w:val="13"/>
          <w:color w:val="00053B"/>
        </w:rPr>
      </w:pPr>
      <w:r>
        <w:rPr>
          <w:rFonts w:ascii="Arial" w:cs="Arial" w:eastAsia="Arial" w:hAnsi="Arial"/>
          <w:sz w:val="13"/>
          <w:szCs w:val="13"/>
          <w:color w:val="00053B"/>
        </w:rPr>
        <w:t>Pursuant to SEC rules, the comparison assumes $100 was invested on March 31, 2020. Historical stock price performance is not necessarily indicative of future stock price performance.</w:t>
      </w:r>
    </w:p>
    <w:p>
      <w:pPr>
        <w:spacing w:after="0" w:line="53" w:lineRule="exact"/>
        <w:rPr>
          <w:rFonts w:ascii="Arial" w:cs="Arial" w:eastAsia="Arial" w:hAnsi="Arial"/>
          <w:sz w:val="13"/>
          <w:szCs w:val="13"/>
          <w:color w:val="00053B"/>
        </w:rPr>
      </w:pPr>
    </w:p>
    <w:p>
      <w:pPr>
        <w:ind w:left="320" w:hanging="312"/>
        <w:spacing w:after="0"/>
        <w:tabs>
          <w:tab w:leader="none" w:pos="320" w:val="left"/>
        </w:tabs>
        <w:numPr>
          <w:ilvl w:val="0"/>
          <w:numId w:val="60"/>
        </w:numPr>
        <w:rPr>
          <w:rFonts w:ascii="Arial" w:cs="Arial" w:eastAsia="Arial" w:hAnsi="Arial"/>
          <w:sz w:val="13"/>
          <w:szCs w:val="13"/>
          <w:color w:val="00053B"/>
        </w:rPr>
      </w:pPr>
      <w:r>
        <w:rPr>
          <w:rFonts w:ascii="Arial" w:cs="Arial" w:eastAsia="Arial" w:hAnsi="Arial"/>
          <w:sz w:val="13"/>
          <w:szCs w:val="13"/>
          <w:color w:val="00053B"/>
        </w:rPr>
        <w:t>The Total Shareholder Return Peer Group consists of the companies included in the NASDAQ Computer Index.</w:t>
      </w:r>
    </w:p>
    <w:p>
      <w:pPr>
        <w:spacing w:after="0" w:line="53" w:lineRule="exact"/>
        <w:rPr>
          <w:rFonts w:ascii="Arial" w:cs="Arial" w:eastAsia="Arial" w:hAnsi="Arial"/>
          <w:sz w:val="13"/>
          <w:szCs w:val="13"/>
          <w:color w:val="00053B"/>
        </w:rPr>
      </w:pPr>
    </w:p>
    <w:p>
      <w:pPr>
        <w:ind w:left="340" w:hanging="332"/>
        <w:spacing w:after="0" w:line="264" w:lineRule="auto"/>
        <w:tabs>
          <w:tab w:leader="none" w:pos="331" w:val="left"/>
        </w:tabs>
        <w:numPr>
          <w:ilvl w:val="0"/>
          <w:numId w:val="60"/>
        </w:numPr>
        <w:rPr>
          <w:rFonts w:ascii="Arial" w:cs="Arial" w:eastAsia="Arial" w:hAnsi="Arial"/>
          <w:sz w:val="13"/>
          <w:szCs w:val="13"/>
          <w:color w:val="00053B"/>
        </w:rPr>
      </w:pPr>
      <w:r>
        <w:rPr>
          <w:rFonts w:ascii="Arial" w:cs="Arial" w:eastAsia="Arial" w:hAnsi="Arial"/>
          <w:sz w:val="13"/>
          <w:szCs w:val="13"/>
          <w:color w:val="00053B"/>
        </w:rPr>
        <w:t>The measure has been designated as the “Company-Selected Measure” for fiscal year 2024, in accordance with SEC rules, and represents the most important financial performance measure (that is not otherwise required to be disclosed in the table) used by the Company to link compensation actually paid to our NEOs in fiscal year 2024.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49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15175" cy="1028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COMPENSATION TABLES | </w:t>
      </w:r>
      <w:r>
        <w:rPr>
          <w:rFonts w:ascii="Arial" w:cs="Arial" w:eastAsia="Arial" w:hAnsi="Arial"/>
          <w:sz w:val="11"/>
          <w:szCs w:val="11"/>
          <w:b w:val="1"/>
          <w:bCs w:val="1"/>
          <w:color w:val="00053B"/>
        </w:rPr>
        <w:t>PAY VERSUS PERFORMANCE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00053B"/>
        </w:rPr>
        <w:t>Financial Performance Measures</w:t>
      </w:r>
    </w:p>
    <w:p>
      <w:pPr>
        <w:spacing w:after="0" w:line="6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00053B"/>
        </w:rPr>
        <w:t>In no particular order, the following table sets forth the company's most important financial performance measures used to link NEO compensation actually paid during fiscal year 2024 to company performance.</w:t>
      </w:r>
    </w:p>
    <w:p>
      <w:pPr>
        <w:spacing w:after="0" w:line="93" w:lineRule="exact"/>
        <w:rPr>
          <w:sz w:val="20"/>
          <w:szCs w:val="20"/>
          <w:color w:val="auto"/>
        </w:rPr>
      </w:pPr>
    </w:p>
    <w:p>
      <w:pPr>
        <w:ind w:left="140"/>
        <w:spacing w:after="0"/>
        <w:rPr>
          <w:sz w:val="20"/>
          <w:szCs w:val="20"/>
          <w:color w:val="auto"/>
        </w:rPr>
      </w:pPr>
      <w:r>
        <w:rPr>
          <w:rFonts w:ascii="Arial" w:cs="Arial" w:eastAsia="Arial" w:hAnsi="Arial"/>
          <w:sz w:val="14"/>
          <w:szCs w:val="14"/>
          <w:color w:val="00053B"/>
        </w:rPr>
        <w:t>Company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311150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3111500" cy="171450"/>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6"/>
          <w:szCs w:val="16"/>
          <w:color w:val="00053B"/>
        </w:rPr>
        <w:t>Revenue</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00053B"/>
        </w:rPr>
        <w:t>Non-GAAP EBIT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311150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311150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00053B"/>
        </w:rPr>
        <w:t>Relative Total Shareholder Return</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00053B"/>
        </w:rPr>
        <w:t>ARR</w:t>
      </w:r>
    </w:p>
    <w:p>
      <w:pPr>
        <w:spacing w:after="0" w:line="200" w:lineRule="exact"/>
        <w:rPr>
          <w:sz w:val="20"/>
          <w:szCs w:val="20"/>
          <w:color w:val="auto"/>
        </w:rPr>
      </w:pPr>
    </w:p>
    <w:p>
      <w:pPr>
        <w:spacing w:after="0" w:line="251" w:lineRule="exact"/>
        <w:rPr>
          <w:sz w:val="20"/>
          <w:szCs w:val="20"/>
          <w:color w:val="auto"/>
        </w:rPr>
      </w:pPr>
    </w:p>
    <w:p>
      <w:pPr>
        <w:spacing w:after="0" w:line="286" w:lineRule="auto"/>
        <w:rPr>
          <w:sz w:val="20"/>
          <w:szCs w:val="20"/>
          <w:color w:val="auto"/>
        </w:rPr>
      </w:pPr>
      <w:r>
        <w:rPr>
          <w:rFonts w:ascii="Arial" w:cs="Arial" w:eastAsia="Arial" w:hAnsi="Arial"/>
          <w:sz w:val="16"/>
          <w:szCs w:val="16"/>
          <w:color w:val="00053B"/>
        </w:rPr>
        <w:t>Additional information about each of these performance measures and the role of our performance in each of these measures in determining our executive compensation are discussed in greater detail in the Compensation Discussion and Analysis</w:t>
      </w:r>
      <w:r>
        <w:rPr>
          <w:rFonts w:ascii="Arial" w:cs="Arial" w:eastAsia="Arial" w:hAnsi="Arial"/>
          <w:sz w:val="16"/>
          <w:szCs w:val="16"/>
          <w:i w:val="1"/>
          <w:iCs w:val="1"/>
          <w:color w:val="00053B"/>
        </w:rPr>
        <w: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00053B"/>
        </w:rPr>
        <w:t>Analysis of Information Presented in Pay-Versus-Performance Table</w:t>
      </w:r>
    </w:p>
    <w:p>
      <w:pPr>
        <w:spacing w:after="0" w:line="68"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00053B"/>
        </w:rPr>
        <w:t>The following graph illustrates the relationship between compensation actually paid to our PEO and our non-PEO NEOs and our TSR for the period presented in the Pay-Versus-Performance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90805</wp:posOffset>
            </wp:positionV>
            <wp:extent cx="5143500" cy="32918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514350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50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2" w:right="49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15175" cy="1028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1"/>
          <w:szCs w:val="11"/>
          <w:color w:val="00053B"/>
        </w:rPr>
        <w:t xml:space="preserve">COMPENSATION TABLES | </w:t>
      </w:r>
      <w:r>
        <w:rPr>
          <w:rFonts w:ascii="Arial" w:cs="Arial" w:eastAsia="Arial" w:hAnsi="Arial"/>
          <w:sz w:val="11"/>
          <w:szCs w:val="11"/>
          <w:b w:val="1"/>
          <w:bCs w:val="1"/>
          <w:color w:val="00053B"/>
        </w:rPr>
        <w:t>PAY VERSUS PERFORMANCE</w:t>
      </w:r>
    </w:p>
    <w:p>
      <w:pPr>
        <w:spacing w:after="0" w:line="200" w:lineRule="exact"/>
        <w:rPr>
          <w:sz w:val="20"/>
          <w:szCs w:val="20"/>
          <w:color w:val="auto"/>
        </w:rPr>
      </w:pPr>
    </w:p>
    <w:p>
      <w:pPr>
        <w:spacing w:after="0" w:line="213" w:lineRule="exact"/>
        <w:rPr>
          <w:sz w:val="20"/>
          <w:szCs w:val="20"/>
          <w:color w:val="auto"/>
        </w:rPr>
      </w:pPr>
    </w:p>
    <w:p>
      <w:pPr>
        <w:spacing w:after="0" w:line="286" w:lineRule="auto"/>
        <w:rPr>
          <w:sz w:val="20"/>
          <w:szCs w:val="20"/>
          <w:color w:val="auto"/>
        </w:rPr>
      </w:pPr>
      <w:r>
        <w:rPr>
          <w:rFonts w:ascii="Arial" w:cs="Arial" w:eastAsia="Arial" w:hAnsi="Arial"/>
          <w:sz w:val="16"/>
          <w:szCs w:val="16"/>
          <w:color w:val="00053B"/>
        </w:rPr>
        <w:t>The following graph illustrates the relationship between compensation actually paid to our PEO and our non-PEO NEOs and our net income for the period presented in the Pay-Versus-Performance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90805</wp:posOffset>
            </wp:positionV>
            <wp:extent cx="5143500" cy="30003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51435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00053B"/>
        </w:rPr>
        <w:t>The following graph illustrates the relationship between compensation actually paid to our PEO and our non-PEO NEOs and our revenue for the period presented in the Pay-Versus-Performance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73025</wp:posOffset>
            </wp:positionV>
            <wp:extent cx="5143500" cy="30003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51435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51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2" w:right="55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6995160" cy="17399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 xml:space="preserve">The Audit Committee has reviewed and discussed Commvault’s audited financial statements for the fiscal year ended </w:t>
      </w:r>
      <w:r>
        <w:rPr>
          <w:rFonts w:ascii="Arial" w:cs="Arial" w:eastAsia="Arial" w:hAnsi="Arial"/>
          <w:sz w:val="16"/>
          <w:szCs w:val="16"/>
          <w:color w:val="00053B"/>
        </w:rPr>
        <w:t>March 31, 2024</w:t>
      </w:r>
      <w:r>
        <w:rPr>
          <w:rFonts w:ascii="Arial" w:cs="Arial" w:eastAsia="Arial" w:hAnsi="Arial"/>
          <w:sz w:val="16"/>
          <w:szCs w:val="16"/>
          <w:color w:val="auto"/>
        </w:rPr>
        <w:t xml:space="preserve"> with our management. In addition, the Audit Committee has discussed with Ernst &amp; Young LLP, our independent auditors, the matters required to be discussed by the applicable requirements of the Public Company Accounting Oversight Board (“PCAOB”) and the SEC.</w:t>
      </w:r>
    </w:p>
    <w:p>
      <w:pPr>
        <w:spacing w:after="0" w:line="69"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The Audit Committee has received from the independent auditors written disclosures and the letter regarding the independent auditors’ communications with the Audit Committee concerning independence required by the applicable requirements of the PCAOB and has discussed with the independent auditors the firm’s independence.</w:t>
      </w:r>
    </w:p>
    <w:p>
      <w:pPr>
        <w:spacing w:after="0" w:line="77"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The Audit Committee has considered whether the services rendered by our independent public accountants with respect to audit, audit-related, tax, and other non-audit fees are compatible with maintaining the firm’s independence.</w:t>
      </w:r>
    </w:p>
    <w:p>
      <w:pPr>
        <w:spacing w:after="0" w:line="6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 xml:space="preserve">Based on the review and discussions referred to above, the Audit Committee recommended to the Board of Directors that Commvault’s audited financial statements for the fiscal year ended </w:t>
      </w:r>
      <w:r>
        <w:rPr>
          <w:rFonts w:ascii="Arial" w:cs="Arial" w:eastAsia="Arial" w:hAnsi="Arial"/>
          <w:sz w:val="16"/>
          <w:szCs w:val="16"/>
          <w:color w:val="00053B"/>
        </w:rPr>
        <w:t>March 31, 2024</w:t>
      </w:r>
      <w:r>
        <w:rPr>
          <w:rFonts w:ascii="Arial" w:cs="Arial" w:eastAsia="Arial" w:hAnsi="Arial"/>
          <w:sz w:val="16"/>
          <w:szCs w:val="16"/>
          <w:color w:val="auto"/>
        </w:rPr>
        <w:t xml:space="preserve">, be included in our Annual Report on Form 10-K for the fiscal year ended </w:t>
      </w:r>
      <w:r>
        <w:rPr>
          <w:rFonts w:ascii="Arial" w:cs="Arial" w:eastAsia="Arial" w:hAnsi="Arial"/>
          <w:sz w:val="16"/>
          <w:szCs w:val="16"/>
          <w:color w:val="00053B"/>
        </w:rPr>
        <w:t>March 31, 2024</w:t>
      </w:r>
      <w:r>
        <w:rPr>
          <w:rFonts w:ascii="Arial" w:cs="Arial" w:eastAsia="Arial" w:hAnsi="Arial"/>
          <w:sz w:val="16"/>
          <w:szCs w:val="16"/>
          <w:color w:val="auto"/>
        </w:rPr>
        <w:t>, for filing with the SEC.</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844896"/>
        </w:rPr>
        <w:t>Audit Committee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Shane Sanders—Chair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Martha Bejar</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Chuck Moran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Allison Pickens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52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6995160" cy="17399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540"/>
        </w:trPr>
        <w:tc>
          <w:tcPr>
            <w:tcW w:w="7800" w:type="dxa"/>
            <w:vAlign w:val="bottom"/>
            <w:shd w:val="clear" w:color="auto" w:fill="00053B"/>
          </w:tcPr>
          <w:p>
            <w:pPr>
              <w:ind w:left="160"/>
              <w:spacing w:after="0"/>
              <w:rPr>
                <w:sz w:val="20"/>
                <w:szCs w:val="20"/>
                <w:color w:val="auto"/>
              </w:rPr>
            </w:pPr>
            <w:r>
              <w:rPr>
                <w:rFonts w:ascii="Arial" w:cs="Arial" w:eastAsia="Arial" w:hAnsi="Arial"/>
                <w:sz w:val="18"/>
                <w:szCs w:val="18"/>
                <w:b w:val="1"/>
                <w:bCs w:val="1"/>
                <w:color w:val="FFFFFF"/>
              </w:rPr>
              <w:t>What am I voting on?</w:t>
            </w:r>
          </w:p>
        </w:tc>
        <w:tc>
          <w:tcPr>
            <w:tcW w:w="100" w:type="dxa"/>
            <w:vAlign w:val="bottom"/>
          </w:tcPr>
          <w:p>
            <w:pPr>
              <w:spacing w:after="0"/>
              <w:rPr>
                <w:sz w:val="24"/>
                <w:szCs w:val="24"/>
                <w:color w:val="auto"/>
              </w:rPr>
            </w:pPr>
          </w:p>
        </w:tc>
        <w:tc>
          <w:tcPr>
            <w:tcW w:w="3300" w:type="dxa"/>
            <w:vAlign w:val="bottom"/>
            <w:shd w:val="clear" w:color="auto" w:fill="00053B"/>
          </w:tcPr>
          <w:p>
            <w:pPr>
              <w:ind w:left="160"/>
              <w:spacing w:after="0"/>
              <w:rPr>
                <w:sz w:val="20"/>
                <w:szCs w:val="20"/>
                <w:color w:val="auto"/>
              </w:rPr>
            </w:pPr>
            <w:r>
              <w:rPr>
                <w:rFonts w:ascii="Arial" w:cs="Arial" w:eastAsia="Arial" w:hAnsi="Arial"/>
                <w:sz w:val="18"/>
                <w:szCs w:val="18"/>
                <w:b w:val="1"/>
                <w:bCs w:val="1"/>
                <w:color w:val="FFFFFF"/>
              </w:rPr>
              <w:t>Vote Recommendation</w:t>
            </w:r>
          </w:p>
        </w:tc>
      </w:tr>
      <w:tr>
        <w:trPr>
          <w:trHeight w:val="216"/>
        </w:trPr>
        <w:tc>
          <w:tcPr>
            <w:tcW w:w="7800" w:type="dxa"/>
            <w:vAlign w:val="bottom"/>
            <w:shd w:val="clear" w:color="auto" w:fill="00053B"/>
          </w:tcPr>
          <w:p>
            <w:pPr>
              <w:ind w:left="160"/>
              <w:spacing w:after="0"/>
              <w:rPr>
                <w:sz w:val="20"/>
                <w:szCs w:val="20"/>
                <w:color w:val="auto"/>
              </w:rPr>
            </w:pPr>
            <w:r>
              <w:rPr>
                <w:rFonts w:ascii="Arial" w:cs="Arial" w:eastAsia="Arial" w:hAnsi="Arial"/>
                <w:sz w:val="16"/>
                <w:szCs w:val="16"/>
                <w:color w:val="FFFFFF"/>
              </w:rPr>
              <w:t>As a matter of good corporate governance, we are asking stockholders to ratify the appointment of</w:t>
            </w:r>
          </w:p>
        </w:tc>
        <w:tc>
          <w:tcPr>
            <w:tcW w:w="100" w:type="dxa"/>
            <w:vAlign w:val="bottom"/>
          </w:tcPr>
          <w:p>
            <w:pPr>
              <w:spacing w:after="0"/>
              <w:rPr>
                <w:sz w:val="18"/>
                <w:szCs w:val="18"/>
                <w:color w:val="auto"/>
              </w:rPr>
            </w:pPr>
          </w:p>
        </w:tc>
        <w:tc>
          <w:tcPr>
            <w:tcW w:w="3300" w:type="dxa"/>
            <w:vAlign w:val="bottom"/>
            <w:shd w:val="clear" w:color="auto" w:fill="00053B"/>
          </w:tcPr>
          <w:p>
            <w:pPr>
              <w:ind w:left="160"/>
              <w:spacing w:after="0"/>
              <w:rPr>
                <w:sz w:val="20"/>
                <w:szCs w:val="20"/>
                <w:color w:val="auto"/>
              </w:rPr>
            </w:pPr>
            <w:r>
              <w:rPr>
                <w:rFonts w:ascii="Arial" w:cs="Arial" w:eastAsia="Arial" w:hAnsi="Arial"/>
                <w:sz w:val="16"/>
                <w:szCs w:val="16"/>
                <w:b w:val="1"/>
                <w:bCs w:val="1"/>
                <w:color w:val="FFFFFF"/>
              </w:rPr>
              <w:t xml:space="preserve">FOR </w:t>
            </w:r>
            <w:r>
              <w:rPr>
                <w:rFonts w:ascii="Arial" w:cs="Arial" w:eastAsia="Arial" w:hAnsi="Arial"/>
                <w:sz w:val="16"/>
                <w:szCs w:val="16"/>
                <w:color w:val="FFFFFF"/>
              </w:rPr>
              <w:t>ratification of the selection of the</w:t>
            </w:r>
          </w:p>
        </w:tc>
      </w:tr>
      <w:tr>
        <w:trPr>
          <w:trHeight w:val="215"/>
        </w:trPr>
        <w:tc>
          <w:tcPr>
            <w:tcW w:w="7800" w:type="dxa"/>
            <w:vAlign w:val="bottom"/>
            <w:shd w:val="clear" w:color="auto" w:fill="00053B"/>
          </w:tcPr>
          <w:p>
            <w:pPr>
              <w:ind w:left="160"/>
              <w:spacing w:after="0"/>
              <w:rPr>
                <w:sz w:val="20"/>
                <w:szCs w:val="20"/>
                <w:color w:val="auto"/>
              </w:rPr>
            </w:pPr>
            <w:r>
              <w:rPr>
                <w:rFonts w:ascii="Arial" w:cs="Arial" w:eastAsia="Arial" w:hAnsi="Arial"/>
                <w:sz w:val="16"/>
                <w:szCs w:val="16"/>
                <w:color w:val="FFFFFF"/>
              </w:rPr>
              <w:t>Ernst &amp; Young LLP as Commvault’s independent auditors for fiscal year 2025.</w:t>
            </w:r>
          </w:p>
        </w:tc>
        <w:tc>
          <w:tcPr>
            <w:tcW w:w="100" w:type="dxa"/>
            <w:vAlign w:val="bottom"/>
          </w:tcPr>
          <w:p>
            <w:pPr>
              <w:spacing w:after="0"/>
              <w:rPr>
                <w:sz w:val="18"/>
                <w:szCs w:val="18"/>
                <w:color w:val="auto"/>
              </w:rPr>
            </w:pPr>
          </w:p>
        </w:tc>
        <w:tc>
          <w:tcPr>
            <w:tcW w:w="3300" w:type="dxa"/>
            <w:vAlign w:val="bottom"/>
            <w:shd w:val="clear" w:color="auto" w:fill="00053B"/>
          </w:tcPr>
          <w:p>
            <w:pPr>
              <w:ind w:left="160"/>
              <w:spacing w:after="0"/>
              <w:rPr>
                <w:sz w:val="20"/>
                <w:szCs w:val="20"/>
                <w:color w:val="auto"/>
              </w:rPr>
            </w:pPr>
            <w:r>
              <w:rPr>
                <w:rFonts w:ascii="Arial" w:cs="Arial" w:eastAsia="Arial" w:hAnsi="Arial"/>
                <w:sz w:val="16"/>
                <w:szCs w:val="16"/>
                <w:color w:val="FFFFFF"/>
              </w:rPr>
              <w:t>auditors.</w:t>
            </w:r>
          </w:p>
        </w:tc>
      </w:tr>
      <w:tr>
        <w:trPr>
          <w:trHeight w:val="312"/>
        </w:trPr>
        <w:tc>
          <w:tcPr>
            <w:tcW w:w="7800" w:type="dxa"/>
            <w:vAlign w:val="bottom"/>
            <w:shd w:val="clear" w:color="auto" w:fill="00053B"/>
          </w:tcPr>
          <w:p>
            <w:pPr>
              <w:spacing w:after="0"/>
              <w:rPr>
                <w:sz w:val="24"/>
                <w:szCs w:val="24"/>
                <w:color w:val="auto"/>
              </w:rPr>
            </w:pPr>
          </w:p>
        </w:tc>
        <w:tc>
          <w:tcPr>
            <w:tcW w:w="100" w:type="dxa"/>
            <w:vAlign w:val="bottom"/>
          </w:tcPr>
          <w:p>
            <w:pPr>
              <w:spacing w:after="0"/>
              <w:rPr>
                <w:sz w:val="24"/>
                <w:szCs w:val="24"/>
                <w:color w:val="auto"/>
              </w:rPr>
            </w:pPr>
          </w:p>
        </w:tc>
        <w:tc>
          <w:tcPr>
            <w:tcW w:w="3300" w:type="dxa"/>
            <w:vAlign w:val="bottom"/>
            <w:shd w:val="clear" w:color="auto" w:fill="00053B"/>
          </w:tcPr>
          <w:p>
            <w:pPr>
              <w:spacing w:after="0"/>
              <w:rPr>
                <w:sz w:val="24"/>
                <w:szCs w:val="24"/>
                <w:color w:val="auto"/>
              </w:rPr>
            </w:pPr>
          </w:p>
        </w:tc>
      </w:tr>
    </w:tbl>
    <w:p>
      <w:pPr>
        <w:spacing w:after="0" w:line="175"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00053B"/>
        </w:rPr>
        <w:t>Financial statements of the Company and our consolidated subsidiaries will be included in our Annual Report furnished to all stockholders. The Audit Committee of the Board of Directors has appointed Ernst &amp; Young LLP as independent public accountants for us to examine our consolidated financial statements for the fiscal year ending March 31, 2025 and has determined as a matter of good governance to seek stockholders’ ratification of the appointment. If the stockholders do not ratify the appointment, the Audit Committee will reconsider the appointment for the 2026 fiscal year, rather than the 2025 fiscal year, because of the difficulty and expense involved in changing independent auditors on short notice.</w:t>
      </w:r>
    </w:p>
    <w:p>
      <w:pPr>
        <w:spacing w:after="0" w:line="6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00053B"/>
        </w:rPr>
        <w:t>Ernst &amp; Young LLP has been engaged as our principal independent public accountants continuously since fiscal year 1998. Representatives of Ernst &amp; Young LLP are expected to attend the Annual Meeting. They will have the opportunity to make a statement if they wish and are also expected to be available to respond to appropriate questions.</w:t>
      </w:r>
    </w:p>
    <w:p>
      <w:pPr>
        <w:spacing w:after="0" w:line="181"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Audit, Audit-Related, Tax, and All Other Fees</w:t>
      </w:r>
    </w:p>
    <w:p>
      <w:pPr>
        <w:spacing w:after="0" w:line="87"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00053B"/>
        </w:rPr>
        <w:t>The following table summarizes the aggregate fees and expenses billed to us for the fiscal years ended March 31, 2024 and 2023, by our principal accounting firm, Ernst &amp; Young LLP.</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tcPr>
          <w:p>
            <w:pPr>
              <w:spacing w:after="0"/>
              <w:rPr>
                <w:sz w:val="16"/>
                <w:szCs w:val="16"/>
                <w:color w:val="auto"/>
              </w:rPr>
            </w:pPr>
          </w:p>
        </w:tc>
        <w:tc>
          <w:tcPr>
            <w:tcW w:w="1780" w:type="dxa"/>
            <w:vAlign w:val="bottom"/>
          </w:tcPr>
          <w:p>
            <w:pPr>
              <w:jc w:val="right"/>
              <w:ind w:right="742"/>
              <w:spacing w:after="0"/>
              <w:rPr>
                <w:sz w:val="20"/>
                <w:szCs w:val="20"/>
                <w:color w:val="auto"/>
              </w:rPr>
            </w:pPr>
            <w:r>
              <w:rPr>
                <w:rFonts w:ascii="Arial" w:cs="Arial" w:eastAsia="Arial" w:hAnsi="Arial"/>
                <w:sz w:val="14"/>
                <w:szCs w:val="14"/>
                <w:color w:val="0B2E44"/>
              </w:rPr>
              <w:t>2024</w:t>
            </w:r>
          </w:p>
        </w:tc>
        <w:tc>
          <w:tcPr>
            <w:tcW w:w="660" w:type="dxa"/>
            <w:vAlign w:val="bottom"/>
          </w:tcPr>
          <w:p>
            <w:pPr>
              <w:jc w:val="right"/>
              <w:ind w:right="141"/>
              <w:spacing w:after="0"/>
              <w:rPr>
                <w:sz w:val="20"/>
                <w:szCs w:val="20"/>
                <w:color w:val="auto"/>
              </w:rPr>
            </w:pPr>
            <w:r>
              <w:rPr>
                <w:rFonts w:ascii="Arial" w:cs="Arial" w:eastAsia="Arial" w:hAnsi="Arial"/>
                <w:sz w:val="14"/>
                <w:szCs w:val="14"/>
                <w:color w:val="0B2E44"/>
              </w:rPr>
              <w:t>2023</w:t>
            </w:r>
          </w:p>
        </w:tc>
      </w:tr>
      <w:tr>
        <w:trPr>
          <w:trHeight w:val="22"/>
        </w:trPr>
        <w:tc>
          <w:tcPr>
            <w:tcW w:w="8800" w:type="dxa"/>
            <w:vAlign w:val="bottom"/>
          </w:tcPr>
          <w:p>
            <w:pPr>
              <w:spacing w:after="0" w:line="20" w:lineRule="exact"/>
              <w:rPr>
                <w:sz w:val="1"/>
                <w:szCs w:val="1"/>
                <w:color w:val="auto"/>
              </w:rPr>
            </w:pPr>
          </w:p>
        </w:tc>
        <w:tc>
          <w:tcPr>
            <w:tcW w:w="1780" w:type="dxa"/>
            <w:vAlign w:val="bottom"/>
            <w:tcBorders>
              <w:bottom w:val="single" w:sz="8" w:color="844896"/>
            </w:tcBorders>
          </w:tcPr>
          <w:p>
            <w:pPr>
              <w:spacing w:after="0" w:line="20" w:lineRule="exact"/>
              <w:rPr>
                <w:sz w:val="1"/>
                <w:szCs w:val="1"/>
                <w:color w:val="auto"/>
              </w:rPr>
            </w:pPr>
          </w:p>
        </w:tc>
        <w:tc>
          <w:tcPr>
            <w:tcW w:w="660" w:type="dxa"/>
            <w:vAlign w:val="bottom"/>
            <w:tcBorders>
              <w:bottom w:val="single" w:sz="8" w:color="844896"/>
            </w:tcBorders>
          </w:tcPr>
          <w:p>
            <w:pPr>
              <w:spacing w:after="0" w:line="20" w:lineRule="exact"/>
              <w:rPr>
                <w:sz w:val="1"/>
                <w:szCs w:val="1"/>
                <w:color w:val="auto"/>
              </w:rPr>
            </w:pPr>
          </w:p>
        </w:tc>
      </w:tr>
      <w:tr>
        <w:trPr>
          <w:trHeight w:val="192"/>
        </w:trPr>
        <w:tc>
          <w:tcPr>
            <w:tcW w:w="8800" w:type="dxa"/>
            <w:vAlign w:val="bottom"/>
            <w:tcBorders>
              <w:bottom w:val="single" w:sz="8" w:color="844896"/>
            </w:tcBorders>
          </w:tcPr>
          <w:p>
            <w:pPr>
              <w:spacing w:after="0"/>
              <w:rPr>
                <w:sz w:val="16"/>
                <w:szCs w:val="16"/>
                <w:color w:val="auto"/>
              </w:rPr>
            </w:pPr>
          </w:p>
        </w:tc>
        <w:tc>
          <w:tcPr>
            <w:tcW w:w="1780" w:type="dxa"/>
            <w:vAlign w:val="bottom"/>
            <w:tcBorders>
              <w:bottom w:val="single" w:sz="8" w:color="844896"/>
            </w:tcBorders>
          </w:tcPr>
          <w:p>
            <w:pPr>
              <w:jc w:val="right"/>
              <w:ind w:right="22"/>
              <w:spacing w:after="0"/>
              <w:rPr>
                <w:sz w:val="20"/>
                <w:szCs w:val="20"/>
                <w:color w:val="auto"/>
              </w:rPr>
            </w:pPr>
            <w:r>
              <w:rPr>
                <w:rFonts w:ascii="Arial" w:cs="Arial" w:eastAsia="Arial" w:hAnsi="Arial"/>
                <w:sz w:val="14"/>
                <w:szCs w:val="14"/>
                <w:color w:val="0B2E44"/>
              </w:rPr>
              <w:t>(In thousands)</w:t>
            </w:r>
          </w:p>
        </w:tc>
        <w:tc>
          <w:tcPr>
            <w:tcW w:w="660" w:type="dxa"/>
            <w:vAlign w:val="bottom"/>
            <w:tcBorders>
              <w:bottom w:val="single" w:sz="8" w:color="844896"/>
            </w:tcBorders>
          </w:tcPr>
          <w:p>
            <w:pPr>
              <w:spacing w:after="0"/>
              <w:rPr>
                <w:sz w:val="16"/>
                <w:szCs w:val="16"/>
                <w:color w:val="auto"/>
              </w:rPr>
            </w:pPr>
          </w:p>
        </w:tc>
      </w:tr>
      <w:tr>
        <w:trPr>
          <w:trHeight w:val="213"/>
        </w:trPr>
        <w:tc>
          <w:tcPr>
            <w:tcW w:w="8800" w:type="dxa"/>
            <w:vAlign w:val="bottom"/>
            <w:shd w:val="clear" w:color="auto" w:fill="EAEAEA"/>
          </w:tcPr>
          <w:p>
            <w:pPr>
              <w:ind w:left="120"/>
              <w:spacing w:after="0"/>
              <w:rPr>
                <w:sz w:val="20"/>
                <w:szCs w:val="20"/>
                <w:color w:val="auto"/>
              </w:rPr>
            </w:pPr>
            <w:r>
              <w:rPr>
                <w:rFonts w:ascii="Arial" w:cs="Arial" w:eastAsia="Arial" w:hAnsi="Arial"/>
                <w:sz w:val="16"/>
                <w:szCs w:val="16"/>
                <w:color w:val="0B2E44"/>
              </w:rPr>
              <w:t>Audit fees</w:t>
            </w:r>
          </w:p>
        </w:tc>
        <w:tc>
          <w:tcPr>
            <w:tcW w:w="1780" w:type="dxa"/>
            <w:vAlign w:val="bottom"/>
            <w:shd w:val="clear" w:color="auto" w:fill="EAEAEA"/>
          </w:tcPr>
          <w:p>
            <w:pPr>
              <w:jc w:val="right"/>
              <w:ind w:right="522"/>
              <w:spacing w:after="0"/>
              <w:rPr>
                <w:sz w:val="20"/>
                <w:szCs w:val="20"/>
                <w:color w:val="auto"/>
              </w:rPr>
            </w:pPr>
            <w:r>
              <w:rPr>
                <w:rFonts w:ascii="Arial" w:cs="Arial" w:eastAsia="Arial" w:hAnsi="Arial"/>
                <w:sz w:val="16"/>
                <w:szCs w:val="16"/>
                <w:color w:val="0B2E44"/>
              </w:rPr>
              <w:t>$2,497</w:t>
            </w:r>
          </w:p>
        </w:tc>
        <w:tc>
          <w:tcPr>
            <w:tcW w:w="660" w:type="dxa"/>
            <w:vAlign w:val="bottom"/>
            <w:shd w:val="clear" w:color="auto" w:fill="EAEAEA"/>
          </w:tcPr>
          <w:p>
            <w:pPr>
              <w:jc w:val="right"/>
              <w:spacing w:after="0"/>
              <w:rPr>
                <w:sz w:val="20"/>
                <w:szCs w:val="20"/>
                <w:color w:val="auto"/>
              </w:rPr>
            </w:pPr>
            <w:r>
              <w:rPr>
                <w:rFonts w:ascii="Arial" w:cs="Arial" w:eastAsia="Arial" w:hAnsi="Arial"/>
                <w:sz w:val="16"/>
                <w:szCs w:val="16"/>
                <w:color w:val="0B2E44"/>
              </w:rPr>
              <w:t>$2,266</w:t>
            </w:r>
          </w:p>
        </w:tc>
      </w:tr>
      <w:tr>
        <w:trPr>
          <w:trHeight w:val="215"/>
        </w:trPr>
        <w:tc>
          <w:tcPr>
            <w:tcW w:w="8800" w:type="dxa"/>
            <w:vAlign w:val="bottom"/>
          </w:tcPr>
          <w:p>
            <w:pPr>
              <w:ind w:left="120"/>
              <w:spacing w:after="0"/>
              <w:rPr>
                <w:sz w:val="20"/>
                <w:szCs w:val="20"/>
                <w:color w:val="auto"/>
              </w:rPr>
            </w:pPr>
            <w:r>
              <w:rPr>
                <w:rFonts w:ascii="Arial" w:cs="Arial" w:eastAsia="Arial" w:hAnsi="Arial"/>
                <w:sz w:val="16"/>
                <w:szCs w:val="16"/>
                <w:color w:val="0B2E44"/>
              </w:rPr>
              <w:t>Audit-related fees</w:t>
            </w:r>
          </w:p>
        </w:tc>
        <w:tc>
          <w:tcPr>
            <w:tcW w:w="1780" w:type="dxa"/>
            <w:vAlign w:val="bottom"/>
          </w:tcPr>
          <w:p>
            <w:pPr>
              <w:jc w:val="right"/>
              <w:ind w:right="522"/>
              <w:spacing w:after="0"/>
              <w:rPr>
                <w:sz w:val="20"/>
                <w:szCs w:val="20"/>
                <w:color w:val="auto"/>
              </w:rPr>
            </w:pPr>
            <w:r>
              <w:rPr>
                <w:rFonts w:ascii="Arial" w:cs="Arial" w:eastAsia="Arial" w:hAnsi="Arial"/>
                <w:sz w:val="16"/>
                <w:szCs w:val="16"/>
                <w:color w:val="0B2E44"/>
              </w:rPr>
              <w:t>13</w:t>
            </w:r>
          </w:p>
        </w:tc>
        <w:tc>
          <w:tcPr>
            <w:tcW w:w="660" w:type="dxa"/>
            <w:vAlign w:val="bottom"/>
          </w:tcPr>
          <w:p>
            <w:pPr>
              <w:jc w:val="right"/>
              <w:spacing w:after="0"/>
              <w:rPr>
                <w:sz w:val="20"/>
                <w:szCs w:val="20"/>
                <w:color w:val="auto"/>
              </w:rPr>
            </w:pPr>
            <w:r>
              <w:rPr>
                <w:rFonts w:ascii="Arial" w:cs="Arial" w:eastAsia="Arial" w:hAnsi="Arial"/>
                <w:sz w:val="16"/>
                <w:szCs w:val="16"/>
                <w:color w:val="0B2E44"/>
              </w:rPr>
              <w:t>10</w:t>
            </w:r>
          </w:p>
        </w:tc>
      </w:tr>
      <w:tr>
        <w:trPr>
          <w:trHeight w:val="217"/>
        </w:trPr>
        <w:tc>
          <w:tcPr>
            <w:tcW w:w="8800" w:type="dxa"/>
            <w:vAlign w:val="bottom"/>
            <w:shd w:val="clear" w:color="auto" w:fill="EAEAEA"/>
          </w:tcPr>
          <w:p>
            <w:pPr>
              <w:ind w:left="120"/>
              <w:spacing w:after="0"/>
              <w:rPr>
                <w:sz w:val="20"/>
                <w:szCs w:val="20"/>
                <w:color w:val="auto"/>
              </w:rPr>
            </w:pPr>
            <w:r>
              <w:rPr>
                <w:rFonts w:ascii="Arial" w:cs="Arial" w:eastAsia="Arial" w:hAnsi="Arial"/>
                <w:sz w:val="16"/>
                <w:szCs w:val="16"/>
                <w:color w:val="0B2E44"/>
              </w:rPr>
              <w:t>Tax fees</w:t>
            </w:r>
          </w:p>
        </w:tc>
        <w:tc>
          <w:tcPr>
            <w:tcW w:w="1780" w:type="dxa"/>
            <w:vAlign w:val="bottom"/>
            <w:shd w:val="clear" w:color="auto" w:fill="EAEAEA"/>
          </w:tcPr>
          <w:p>
            <w:pPr>
              <w:jc w:val="right"/>
              <w:ind w:right="522"/>
              <w:spacing w:after="0"/>
              <w:rPr>
                <w:sz w:val="20"/>
                <w:szCs w:val="20"/>
                <w:color w:val="auto"/>
              </w:rPr>
            </w:pPr>
            <w:r>
              <w:rPr>
                <w:rFonts w:ascii="Arial" w:cs="Arial" w:eastAsia="Arial" w:hAnsi="Arial"/>
                <w:sz w:val="16"/>
                <w:szCs w:val="16"/>
                <w:color w:val="0B2E44"/>
              </w:rPr>
              <w:t>1,207</w:t>
            </w:r>
          </w:p>
        </w:tc>
        <w:tc>
          <w:tcPr>
            <w:tcW w:w="660" w:type="dxa"/>
            <w:vAlign w:val="bottom"/>
            <w:shd w:val="clear" w:color="auto" w:fill="EAEAEA"/>
          </w:tcPr>
          <w:p>
            <w:pPr>
              <w:jc w:val="right"/>
              <w:spacing w:after="0"/>
              <w:rPr>
                <w:sz w:val="20"/>
                <w:szCs w:val="20"/>
                <w:color w:val="auto"/>
              </w:rPr>
            </w:pPr>
            <w:r>
              <w:rPr>
                <w:rFonts w:ascii="Arial" w:cs="Arial" w:eastAsia="Arial" w:hAnsi="Arial"/>
                <w:sz w:val="16"/>
                <w:szCs w:val="16"/>
                <w:color w:val="0B2E44"/>
              </w:rPr>
              <w:t>1,149</w:t>
            </w:r>
          </w:p>
        </w:tc>
      </w:tr>
      <w:tr>
        <w:trPr>
          <w:trHeight w:val="215"/>
        </w:trPr>
        <w:tc>
          <w:tcPr>
            <w:tcW w:w="8800" w:type="dxa"/>
            <w:vAlign w:val="bottom"/>
          </w:tcPr>
          <w:p>
            <w:pPr>
              <w:ind w:left="120"/>
              <w:spacing w:after="0"/>
              <w:rPr>
                <w:sz w:val="20"/>
                <w:szCs w:val="20"/>
                <w:color w:val="auto"/>
              </w:rPr>
            </w:pPr>
            <w:r>
              <w:rPr>
                <w:rFonts w:ascii="Arial" w:cs="Arial" w:eastAsia="Arial" w:hAnsi="Arial"/>
                <w:sz w:val="16"/>
                <w:szCs w:val="16"/>
                <w:color w:val="0B2E44"/>
              </w:rPr>
              <w:t>All other fees</w:t>
            </w:r>
          </w:p>
        </w:tc>
        <w:tc>
          <w:tcPr>
            <w:tcW w:w="1780" w:type="dxa"/>
            <w:vAlign w:val="bottom"/>
          </w:tcPr>
          <w:p>
            <w:pPr>
              <w:jc w:val="right"/>
              <w:ind w:right="522"/>
              <w:spacing w:after="0"/>
              <w:rPr>
                <w:sz w:val="20"/>
                <w:szCs w:val="20"/>
                <w:color w:val="auto"/>
              </w:rPr>
            </w:pPr>
            <w:r>
              <w:rPr>
                <w:rFonts w:ascii="Arial" w:cs="Arial" w:eastAsia="Arial" w:hAnsi="Arial"/>
                <w:sz w:val="16"/>
                <w:szCs w:val="16"/>
                <w:color w:val="0B2E44"/>
              </w:rPr>
              <w:t>—</w:t>
            </w:r>
          </w:p>
        </w:tc>
        <w:tc>
          <w:tcPr>
            <w:tcW w:w="660" w:type="dxa"/>
            <w:vAlign w:val="bottom"/>
          </w:tcPr>
          <w:p>
            <w:pPr>
              <w:jc w:val="right"/>
              <w:spacing w:after="0"/>
              <w:rPr>
                <w:sz w:val="20"/>
                <w:szCs w:val="20"/>
                <w:color w:val="auto"/>
              </w:rPr>
            </w:pPr>
            <w:r>
              <w:rPr>
                <w:rFonts w:ascii="Arial" w:cs="Arial" w:eastAsia="Arial" w:hAnsi="Arial"/>
                <w:sz w:val="16"/>
                <w:szCs w:val="16"/>
                <w:color w:val="0B2E44"/>
              </w:rPr>
              <w:t>—</w:t>
            </w:r>
          </w:p>
        </w:tc>
      </w:tr>
      <w:tr>
        <w:trPr>
          <w:trHeight w:val="230"/>
        </w:trPr>
        <w:tc>
          <w:tcPr>
            <w:tcW w:w="8800" w:type="dxa"/>
            <w:vAlign w:val="bottom"/>
            <w:shd w:val="clear" w:color="auto" w:fill="00053B"/>
          </w:tcPr>
          <w:p>
            <w:pPr>
              <w:ind w:left="140"/>
              <w:spacing w:after="0"/>
              <w:rPr>
                <w:sz w:val="20"/>
                <w:szCs w:val="20"/>
                <w:color w:val="auto"/>
              </w:rPr>
            </w:pPr>
            <w:r>
              <w:rPr>
                <w:rFonts w:ascii="Arial" w:cs="Arial" w:eastAsia="Arial" w:hAnsi="Arial"/>
                <w:sz w:val="18"/>
                <w:szCs w:val="18"/>
                <w:color w:val="FFFFFF"/>
              </w:rPr>
              <w:t>Total fees</w:t>
            </w:r>
          </w:p>
        </w:tc>
        <w:tc>
          <w:tcPr>
            <w:tcW w:w="1780" w:type="dxa"/>
            <w:vAlign w:val="bottom"/>
            <w:shd w:val="clear" w:color="auto" w:fill="00053B"/>
          </w:tcPr>
          <w:p>
            <w:pPr>
              <w:jc w:val="right"/>
              <w:ind w:right="522"/>
              <w:spacing w:after="0"/>
              <w:rPr>
                <w:sz w:val="20"/>
                <w:szCs w:val="20"/>
                <w:color w:val="auto"/>
              </w:rPr>
            </w:pPr>
            <w:r>
              <w:rPr>
                <w:rFonts w:ascii="Arial" w:cs="Arial" w:eastAsia="Arial" w:hAnsi="Arial"/>
                <w:sz w:val="16"/>
                <w:szCs w:val="16"/>
                <w:color w:val="FFFFFF"/>
              </w:rPr>
              <w:t>$3,717</w:t>
            </w:r>
          </w:p>
        </w:tc>
        <w:tc>
          <w:tcPr>
            <w:tcW w:w="660" w:type="dxa"/>
            <w:vAlign w:val="bottom"/>
            <w:shd w:val="clear" w:color="auto" w:fill="00053B"/>
          </w:tcPr>
          <w:p>
            <w:pPr>
              <w:jc w:val="right"/>
              <w:spacing w:after="0"/>
              <w:rPr>
                <w:sz w:val="20"/>
                <w:szCs w:val="20"/>
                <w:color w:val="auto"/>
              </w:rPr>
            </w:pPr>
            <w:r>
              <w:rPr>
                <w:rFonts w:ascii="Arial" w:cs="Arial" w:eastAsia="Arial" w:hAnsi="Arial"/>
                <w:sz w:val="16"/>
                <w:szCs w:val="16"/>
                <w:color w:val="FFFFFF"/>
              </w:rPr>
              <w:t>$3,425</w:t>
            </w:r>
          </w:p>
        </w:tc>
      </w:tr>
    </w:tbl>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b w:val="1"/>
          <w:bCs w:val="1"/>
          <w:color w:val="00053B"/>
        </w:rPr>
        <w:t>Audit Fees—</w:t>
      </w:r>
      <w:r>
        <w:rPr>
          <w:rFonts w:ascii="Arial" w:cs="Arial" w:eastAsia="Arial" w:hAnsi="Arial"/>
          <w:sz w:val="16"/>
          <w:szCs w:val="16"/>
          <w:color w:val="00053B"/>
        </w:rPr>
        <w:t>all services necessary to perform an audit of the consolidated financial statements of our company presented in our annual report on Form 10-K; the reviews of our company’s quarterly reports on Form 10-Q; services in connection with statutory and regulatory filings or engagements; statutory audits; consents and review of documents filed with the SEC.</w:t>
      </w:r>
    </w:p>
    <w:p>
      <w:pPr>
        <w:spacing w:after="0" w:line="56"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b w:val="1"/>
          <w:bCs w:val="1"/>
          <w:color w:val="00053B"/>
        </w:rPr>
        <w:t>Audit-Related Fees—</w:t>
      </w:r>
      <w:r>
        <w:rPr>
          <w:rFonts w:ascii="Arial" w:cs="Arial" w:eastAsia="Arial" w:hAnsi="Arial"/>
          <w:sz w:val="16"/>
          <w:szCs w:val="16"/>
          <w:color w:val="00053B"/>
        </w:rPr>
        <w:t>other assurance and related services that are reasonably related to the performance of an audit that are not included in Audit Fees,</w:t>
      </w:r>
      <w:r>
        <w:rPr>
          <w:rFonts w:ascii="Arial" w:cs="Arial" w:eastAsia="Arial" w:hAnsi="Arial"/>
          <w:sz w:val="16"/>
          <w:szCs w:val="16"/>
          <w:b w:val="1"/>
          <w:bCs w:val="1"/>
          <w:color w:val="00053B"/>
        </w:rPr>
        <w:t xml:space="preserve"> </w:t>
      </w:r>
      <w:r>
        <w:rPr>
          <w:rFonts w:ascii="Arial" w:cs="Arial" w:eastAsia="Arial" w:hAnsi="Arial"/>
          <w:sz w:val="16"/>
          <w:szCs w:val="16"/>
          <w:color w:val="00053B"/>
        </w:rPr>
        <w:t>including fees related to the performance of audit and attest services not required by statute or regulation and subscription to EY’s online research tool.</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Tax Fees—</w:t>
      </w:r>
      <w:r>
        <w:rPr>
          <w:rFonts w:ascii="Arial" w:cs="Arial" w:eastAsia="Arial" w:hAnsi="Arial"/>
          <w:sz w:val="16"/>
          <w:szCs w:val="16"/>
          <w:color w:val="00053B"/>
        </w:rPr>
        <w:t>tax compliance; tax planning; and other tax advice.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All Other Fees—</w:t>
      </w:r>
      <w:r>
        <w:rPr>
          <w:rFonts w:ascii="Arial" w:cs="Arial" w:eastAsia="Arial" w:hAnsi="Arial"/>
          <w:sz w:val="16"/>
          <w:szCs w:val="16"/>
          <w:color w:val="00053B"/>
        </w:rPr>
        <w:t>any other work that is not Audit, Audit-Related, or a Tax Service.</w:t>
      </w:r>
    </w:p>
    <w:p>
      <w:pPr>
        <w:spacing w:after="0" w:line="11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00053B"/>
        </w:rPr>
        <w:t>In considering the nature of the services provided by Ernst &amp; Young LLP, the Audit Committee determined that such services are compatible with the provision of independent audit services. The Audit Committee discussed these services with Ernst &amp; Young LLP and our management to determine that they are permitted under the rules and regulations concerning auditor independence promulgated by the SEC to implement the Sarbanes-Oxley Act of 2002.</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53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53B"/>
        </w:rPr>
        <w:t>Table of Contents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vMerge w:val="restart"/>
            <w:shd w:val="clear" w:color="auto" w:fill="EAEAEA"/>
          </w:tcPr>
          <w:p>
            <w:pPr>
              <w:ind w:left="20"/>
              <w:spacing w:after="0"/>
              <w:rPr>
                <w:sz w:val="20"/>
                <w:szCs w:val="20"/>
                <w:color w:val="auto"/>
              </w:rPr>
            </w:pPr>
            <w:r>
              <w:rPr>
                <w:rFonts w:ascii="Arial" w:cs="Arial" w:eastAsia="Arial" w:hAnsi="Arial"/>
                <w:sz w:val="11"/>
                <w:szCs w:val="11"/>
                <w:color w:val="00053B"/>
              </w:rPr>
              <w:t>PROPOSAL NO. 3: RATIFICATION OF THE APPOINTMENT OF INDEPENDENT AUDITORS |</w:t>
            </w:r>
          </w:p>
        </w:tc>
        <w:tc>
          <w:tcPr>
            <w:tcW w:w="6200" w:type="dxa"/>
            <w:vAlign w:val="bottom"/>
            <w:shd w:val="clear" w:color="auto" w:fill="EAEAEA"/>
          </w:tcPr>
          <w:p>
            <w:pPr>
              <w:ind w:left="460"/>
              <w:spacing w:after="0"/>
              <w:rPr>
                <w:sz w:val="20"/>
                <w:szCs w:val="20"/>
                <w:color w:val="auto"/>
              </w:rPr>
            </w:pPr>
            <w:r>
              <w:rPr>
                <w:rFonts w:ascii="Arial" w:cs="Arial" w:eastAsia="Arial" w:hAnsi="Arial"/>
                <w:sz w:val="11"/>
                <w:szCs w:val="11"/>
                <w:b w:val="1"/>
                <w:bCs w:val="1"/>
                <w:color w:val="00053B"/>
              </w:rPr>
              <w:t>POLICY ON AUDIT COMMITTEE PRE-APPROVAL OF AUDIT AND NON-AUDIT SERVICES OF INDEPENDENT</w:t>
            </w:r>
          </w:p>
        </w:tc>
        <w:tc>
          <w:tcPr>
            <w:tcW w:w="0" w:type="dxa"/>
            <w:vAlign w:val="bottom"/>
          </w:tcPr>
          <w:p>
            <w:pPr>
              <w:spacing w:after="0"/>
              <w:rPr>
                <w:sz w:val="1"/>
                <w:szCs w:val="1"/>
                <w:color w:val="auto"/>
              </w:rPr>
            </w:pPr>
          </w:p>
        </w:tc>
      </w:tr>
      <w:tr>
        <w:trPr>
          <w:trHeight w:val="88"/>
        </w:trPr>
        <w:tc>
          <w:tcPr>
            <w:tcW w:w="5040" w:type="dxa"/>
            <w:vAlign w:val="bottom"/>
            <w:vMerge w:val="continue"/>
            <w:shd w:val="clear" w:color="auto" w:fill="EAEAEA"/>
          </w:tcPr>
          <w:p>
            <w:pPr>
              <w:spacing w:after="0"/>
              <w:rPr>
                <w:sz w:val="7"/>
                <w:szCs w:val="7"/>
                <w:color w:val="auto"/>
              </w:rPr>
            </w:pPr>
          </w:p>
        </w:tc>
        <w:tc>
          <w:tcPr>
            <w:tcW w:w="6200" w:type="dxa"/>
            <w:vAlign w:val="bottom"/>
            <w:vMerge w:val="restart"/>
            <w:shd w:val="clear" w:color="auto" w:fill="EAEAEA"/>
          </w:tcPr>
          <w:p>
            <w:pPr>
              <w:ind w:left="460"/>
              <w:spacing w:after="0"/>
              <w:rPr>
                <w:sz w:val="20"/>
                <w:szCs w:val="20"/>
                <w:color w:val="auto"/>
              </w:rPr>
            </w:pPr>
            <w:r>
              <w:rPr>
                <w:rFonts w:ascii="Arial" w:cs="Arial" w:eastAsia="Arial" w:hAnsi="Arial"/>
                <w:sz w:val="11"/>
                <w:szCs w:val="11"/>
                <w:b w:val="1"/>
                <w:bCs w:val="1"/>
                <w:color w:val="00053B"/>
              </w:rPr>
              <w:t>AUDITOR</w:t>
            </w:r>
          </w:p>
        </w:tc>
        <w:tc>
          <w:tcPr>
            <w:tcW w:w="0" w:type="dxa"/>
            <w:vAlign w:val="bottom"/>
          </w:tcPr>
          <w:p>
            <w:pPr>
              <w:spacing w:after="0"/>
              <w:rPr>
                <w:sz w:val="1"/>
                <w:szCs w:val="1"/>
                <w:color w:val="auto"/>
              </w:rPr>
            </w:pPr>
          </w:p>
        </w:tc>
      </w:tr>
      <w:tr>
        <w:trPr>
          <w:trHeight w:val="74"/>
        </w:trPr>
        <w:tc>
          <w:tcPr>
            <w:tcW w:w="5040" w:type="dxa"/>
            <w:vAlign w:val="bottom"/>
            <w:shd w:val="clear" w:color="auto" w:fill="EAEAEA"/>
          </w:tcPr>
          <w:p>
            <w:pPr>
              <w:spacing w:after="0"/>
              <w:rPr>
                <w:sz w:val="6"/>
                <w:szCs w:val="6"/>
                <w:color w:val="auto"/>
              </w:rPr>
            </w:pPr>
          </w:p>
        </w:tc>
        <w:tc>
          <w:tcPr>
            <w:tcW w:w="6200" w:type="dxa"/>
            <w:vAlign w:val="bottom"/>
            <w:vMerge w:val="continue"/>
            <w:shd w:val="clear" w:color="auto" w:fill="EAEAEA"/>
          </w:tcPr>
          <w:p>
            <w:pPr>
              <w:spacing w:after="0"/>
              <w:rPr>
                <w:sz w:val="6"/>
                <w:szCs w:val="6"/>
                <w:color w:val="auto"/>
              </w:rPr>
            </w:pPr>
          </w:p>
        </w:tc>
        <w:tc>
          <w:tcPr>
            <w:tcW w:w="0" w:type="dxa"/>
            <w:vAlign w:val="bottom"/>
          </w:tcPr>
          <w:p>
            <w:pPr>
              <w:spacing w:after="0"/>
              <w:rPr>
                <w:sz w:val="1"/>
                <w:szCs w:val="1"/>
                <w:color w:val="auto"/>
              </w:rPr>
            </w:pPr>
          </w:p>
        </w:tc>
      </w:tr>
    </w:tbl>
    <w:p>
      <w:pPr>
        <w:spacing w:after="0" w:line="367" w:lineRule="exact"/>
        <w:rPr>
          <w:sz w:val="20"/>
          <w:szCs w:val="20"/>
          <w:color w:val="auto"/>
        </w:rPr>
      </w:pPr>
    </w:p>
    <w:p>
      <w:pPr>
        <w:ind w:right="560"/>
        <w:spacing w:after="0" w:line="297" w:lineRule="auto"/>
        <w:rPr>
          <w:sz w:val="20"/>
          <w:szCs w:val="20"/>
          <w:color w:val="auto"/>
        </w:rPr>
      </w:pPr>
      <w:r>
        <w:rPr>
          <w:rFonts w:ascii="Arial" w:cs="Arial" w:eastAsia="Arial" w:hAnsi="Arial"/>
          <w:sz w:val="25"/>
          <w:szCs w:val="25"/>
          <w:b w:val="1"/>
          <w:bCs w:val="1"/>
          <w:color w:val="844896"/>
        </w:rPr>
        <w:t>Policy on Audit Committee Pre-Approval of Audit and Non-Audit Services of Independent Auditor</w:t>
      </w:r>
    </w:p>
    <w:p>
      <w:pPr>
        <w:spacing w:after="0" w:line="1"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00053B"/>
        </w:rPr>
        <w:t>The Audit Committee is responsible for appointing, setting compensation for, and overseeing the work of the independent auditor. The Audit Committee has established a policy regarding pre-approval of permissible non-audit services provided by the independent auditor. Generally, pre-approvals may be made by the chairperson of the Audit Committee and ratified by the full Audit Committee at its next meeting thereafter. All of the services performed by Ernst &amp; Young LLP in the year ended March 31, 2024, were pre-approved in accordance with the pre-approval policy adopted by the Audit Committee.</w:t>
      </w:r>
    </w:p>
    <w:p>
      <w:pPr>
        <w:spacing w:after="0" w:line="293" w:lineRule="exact"/>
        <w:rPr>
          <w:sz w:val="20"/>
          <w:szCs w:val="20"/>
          <w:color w:val="auto"/>
        </w:rPr>
      </w:pPr>
    </w:p>
    <w:p>
      <w:pPr>
        <w:spacing w:after="0"/>
        <w:rPr>
          <w:sz w:val="20"/>
          <w:szCs w:val="20"/>
          <w:color w:val="auto"/>
        </w:rPr>
      </w:pPr>
      <w:r>
        <w:rPr>
          <w:rFonts w:ascii="Arial" w:cs="Arial" w:eastAsia="Arial" w:hAnsi="Arial"/>
          <w:sz w:val="25"/>
          <w:szCs w:val="25"/>
          <w:b w:val="1"/>
          <w:bCs w:val="1"/>
          <w:color w:val="00053B"/>
        </w:rPr>
        <w:t xml:space="preserve">The Board of Directors recommends that you vote </w:t>
      </w:r>
      <w:r>
        <w:rPr>
          <w:rFonts w:ascii="Arial" w:cs="Arial" w:eastAsia="Arial" w:hAnsi="Arial"/>
          <w:sz w:val="25"/>
          <w:szCs w:val="25"/>
          <w:b w:val="1"/>
          <w:bCs w:val="1"/>
          <w:color w:val="844896"/>
        </w:rPr>
        <w:t>FOR</w:t>
      </w:r>
      <w:r>
        <w:rPr>
          <w:rFonts w:ascii="Arial" w:cs="Arial" w:eastAsia="Arial" w:hAnsi="Arial"/>
          <w:sz w:val="25"/>
          <w:szCs w:val="25"/>
          <w:b w:val="1"/>
          <w:bCs w:val="1"/>
          <w:color w:val="00053B"/>
        </w:rPr>
        <w:t xml:space="preserve">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54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462915</wp:posOffset>
            </wp:positionV>
            <wp:extent cx="6995160" cy="17316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00053B"/>
        </w:rPr>
        <w:t xml:space="preserve">This proxy statement is furnished in connection with the solicitation on behalf of the Board of Directors of Commvault Systems, Inc. of proxies to be voted at the Annual Meeting of Stockholders, including any adjournment or postponement thereof. This proxy statement is first being made available at </w:t>
      </w:r>
      <w:r>
        <w:rPr>
          <w:rFonts w:ascii="Arial" w:cs="Arial" w:eastAsia="Arial" w:hAnsi="Arial"/>
          <w:sz w:val="16"/>
          <w:szCs w:val="16"/>
          <w:u w:val="single" w:color="auto"/>
          <w:color w:val="844896"/>
        </w:rPr>
        <w:t>www.edocumentview.com/CVLT</w:t>
      </w:r>
      <w:r>
        <w:rPr>
          <w:rFonts w:ascii="Arial" w:cs="Arial" w:eastAsia="Arial" w:hAnsi="Arial"/>
          <w:sz w:val="16"/>
          <w:szCs w:val="16"/>
          <w:color w:val="00053B"/>
        </w:rPr>
        <w:t>, and we intend to begin distribution of the Notice Regarding the Availability of Proxy Materials to stockholders on or about</w:t>
      </w:r>
      <w:r>
        <w:rPr>
          <w:rFonts w:ascii="Arial" w:cs="Arial" w:eastAsia="Arial" w:hAnsi="Arial"/>
          <w:sz w:val="16"/>
          <w:szCs w:val="16"/>
          <w:color w:val="844896"/>
        </w:rPr>
        <w:t xml:space="preserve"> </w:t>
      </w:r>
      <w:r>
        <w:rPr>
          <w:rFonts w:ascii="Arial" w:cs="Arial" w:eastAsia="Arial" w:hAnsi="Arial"/>
          <w:sz w:val="16"/>
          <w:szCs w:val="16"/>
          <w:color w:val="00053B"/>
        </w:rPr>
        <w:t xml:space="preserve">June 25, 2024. A copy of our Annual Report on Form 10-K for the fiscal year ended March 31, 2024, which includes audited financial statements, is also being made available concurrently with the proxy statement at </w:t>
      </w:r>
      <w:r>
        <w:rPr>
          <w:rFonts w:ascii="Arial" w:cs="Arial" w:eastAsia="Arial" w:hAnsi="Arial"/>
          <w:sz w:val="16"/>
          <w:szCs w:val="16"/>
          <w:u w:val="single" w:color="auto"/>
          <w:color w:val="844896"/>
        </w:rPr>
        <w:t>www.edocumentview.com/CVLT</w:t>
      </w:r>
      <w:r>
        <w:rPr>
          <w:rFonts w:ascii="Arial" w:cs="Arial" w:eastAsia="Arial" w:hAnsi="Arial"/>
          <w:sz w:val="16"/>
          <w:szCs w:val="16"/>
          <w:color w:val="00053B"/>
        </w:rPr>
        <w:t>.</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640" w:type="dxa"/>
            <w:vAlign w:val="bottom"/>
            <w:shd w:val="clear" w:color="auto" w:fill="00053B"/>
          </w:tcPr>
          <w:p>
            <w:pPr>
              <w:jc w:val="center"/>
              <w:spacing w:after="0"/>
              <w:rPr>
                <w:sz w:val="20"/>
                <w:szCs w:val="20"/>
                <w:color w:val="auto"/>
              </w:rPr>
            </w:pPr>
            <w:r>
              <w:rPr>
                <w:rFonts w:ascii="Arial" w:cs="Arial" w:eastAsia="Arial" w:hAnsi="Arial"/>
                <w:sz w:val="18"/>
                <w:szCs w:val="18"/>
                <w:b w:val="1"/>
                <w:bCs w:val="1"/>
                <w:color w:val="FFFFFF"/>
                <w:w w:val="99"/>
              </w:rPr>
              <w:t>Time and Date:</w:t>
            </w:r>
          </w:p>
        </w:tc>
        <w:tc>
          <w:tcPr>
            <w:tcW w:w="100" w:type="dxa"/>
            <w:vAlign w:val="bottom"/>
          </w:tcPr>
          <w:p>
            <w:pPr>
              <w:spacing w:after="0"/>
              <w:rPr>
                <w:sz w:val="19"/>
                <w:szCs w:val="19"/>
                <w:color w:val="auto"/>
              </w:rPr>
            </w:pPr>
          </w:p>
        </w:tc>
        <w:tc>
          <w:tcPr>
            <w:tcW w:w="3660" w:type="dxa"/>
            <w:vAlign w:val="bottom"/>
            <w:shd w:val="clear" w:color="auto" w:fill="00053B"/>
          </w:tcPr>
          <w:p>
            <w:pPr>
              <w:jc w:val="center"/>
              <w:spacing w:after="0"/>
              <w:rPr>
                <w:sz w:val="20"/>
                <w:szCs w:val="20"/>
                <w:color w:val="auto"/>
              </w:rPr>
            </w:pPr>
            <w:r>
              <w:rPr>
                <w:rFonts w:ascii="Arial" w:cs="Arial" w:eastAsia="Arial" w:hAnsi="Arial"/>
                <w:sz w:val="18"/>
                <w:szCs w:val="18"/>
                <w:b w:val="1"/>
                <w:bCs w:val="1"/>
                <w:color w:val="FFFFFF"/>
                <w:w w:val="98"/>
              </w:rPr>
              <w:t>Location:</w:t>
            </w:r>
          </w:p>
        </w:tc>
        <w:tc>
          <w:tcPr>
            <w:tcW w:w="120" w:type="dxa"/>
            <w:vAlign w:val="bottom"/>
          </w:tcPr>
          <w:p>
            <w:pPr>
              <w:spacing w:after="0"/>
              <w:rPr>
                <w:sz w:val="19"/>
                <w:szCs w:val="19"/>
                <w:color w:val="auto"/>
              </w:rPr>
            </w:pPr>
          </w:p>
        </w:tc>
        <w:tc>
          <w:tcPr>
            <w:tcW w:w="3640" w:type="dxa"/>
            <w:vAlign w:val="bottom"/>
            <w:shd w:val="clear" w:color="auto" w:fill="00053B"/>
          </w:tcPr>
          <w:p>
            <w:pPr>
              <w:jc w:val="center"/>
              <w:spacing w:after="0"/>
              <w:rPr>
                <w:sz w:val="20"/>
                <w:szCs w:val="20"/>
                <w:color w:val="auto"/>
              </w:rPr>
            </w:pPr>
            <w:r>
              <w:rPr>
                <w:rFonts w:ascii="Arial" w:cs="Arial" w:eastAsia="Arial" w:hAnsi="Arial"/>
                <w:sz w:val="18"/>
                <w:szCs w:val="18"/>
                <w:b w:val="1"/>
                <w:bCs w:val="1"/>
                <w:color w:val="FFFFFF"/>
                <w:w w:val="99"/>
              </w:rPr>
              <w:t>Record Date:</w:t>
            </w:r>
          </w:p>
        </w:tc>
      </w:tr>
      <w:tr>
        <w:trPr>
          <w:trHeight w:val="215"/>
        </w:trPr>
        <w:tc>
          <w:tcPr>
            <w:tcW w:w="3640" w:type="dxa"/>
            <w:vAlign w:val="bottom"/>
            <w:shd w:val="clear" w:color="auto" w:fill="00053B"/>
          </w:tcPr>
          <w:p>
            <w:pPr>
              <w:jc w:val="center"/>
              <w:spacing w:after="0"/>
              <w:rPr>
                <w:sz w:val="20"/>
                <w:szCs w:val="20"/>
                <w:color w:val="auto"/>
              </w:rPr>
            </w:pPr>
            <w:r>
              <w:rPr>
                <w:rFonts w:ascii="Arial" w:cs="Arial" w:eastAsia="Arial" w:hAnsi="Arial"/>
                <w:sz w:val="16"/>
                <w:szCs w:val="16"/>
                <w:color w:val="FFFFFF"/>
              </w:rPr>
              <w:t>Thursday, August 8, 2024</w:t>
            </w:r>
          </w:p>
        </w:tc>
        <w:tc>
          <w:tcPr>
            <w:tcW w:w="100" w:type="dxa"/>
            <w:vAlign w:val="bottom"/>
          </w:tcPr>
          <w:p>
            <w:pPr>
              <w:spacing w:after="0"/>
              <w:rPr>
                <w:sz w:val="18"/>
                <w:szCs w:val="18"/>
                <w:color w:val="auto"/>
              </w:rPr>
            </w:pPr>
          </w:p>
        </w:tc>
        <w:tc>
          <w:tcPr>
            <w:tcW w:w="3660" w:type="dxa"/>
            <w:vAlign w:val="bottom"/>
            <w:shd w:val="clear" w:color="auto" w:fill="00053B"/>
          </w:tcPr>
          <w:p>
            <w:pPr>
              <w:jc w:val="center"/>
              <w:spacing w:after="0"/>
              <w:rPr>
                <w:sz w:val="20"/>
                <w:szCs w:val="20"/>
                <w:color w:val="auto"/>
              </w:rPr>
            </w:pPr>
            <w:r>
              <w:rPr>
                <w:rFonts w:ascii="Arial" w:cs="Arial" w:eastAsia="Arial" w:hAnsi="Arial"/>
                <w:sz w:val="16"/>
                <w:szCs w:val="16"/>
                <w:color w:val="FFFFFF"/>
              </w:rPr>
              <w:t>Virtual only</w:t>
            </w:r>
          </w:p>
        </w:tc>
        <w:tc>
          <w:tcPr>
            <w:tcW w:w="120" w:type="dxa"/>
            <w:vAlign w:val="bottom"/>
          </w:tcPr>
          <w:p>
            <w:pPr>
              <w:spacing w:after="0"/>
              <w:rPr>
                <w:sz w:val="18"/>
                <w:szCs w:val="18"/>
                <w:color w:val="auto"/>
              </w:rPr>
            </w:pPr>
          </w:p>
        </w:tc>
        <w:tc>
          <w:tcPr>
            <w:tcW w:w="3640" w:type="dxa"/>
            <w:vAlign w:val="bottom"/>
            <w:shd w:val="clear" w:color="auto" w:fill="00053B"/>
          </w:tcPr>
          <w:p>
            <w:pPr>
              <w:jc w:val="center"/>
              <w:spacing w:after="0"/>
              <w:rPr>
                <w:sz w:val="20"/>
                <w:szCs w:val="20"/>
                <w:color w:val="auto"/>
              </w:rPr>
            </w:pPr>
            <w:r>
              <w:rPr>
                <w:rFonts w:ascii="Arial" w:cs="Arial" w:eastAsia="Arial" w:hAnsi="Arial"/>
                <w:sz w:val="16"/>
                <w:szCs w:val="16"/>
                <w:color w:val="FFFFFF"/>
              </w:rPr>
              <w:t>June 13, 2024</w:t>
            </w:r>
          </w:p>
        </w:tc>
      </w:tr>
      <w:tr>
        <w:trPr>
          <w:trHeight w:val="164"/>
        </w:trPr>
        <w:tc>
          <w:tcPr>
            <w:tcW w:w="3640" w:type="dxa"/>
            <w:vAlign w:val="bottom"/>
            <w:shd w:val="clear" w:color="auto" w:fill="00053B"/>
          </w:tcPr>
          <w:p>
            <w:pPr>
              <w:jc w:val="center"/>
              <w:spacing w:after="0" w:line="164" w:lineRule="exact"/>
              <w:rPr>
                <w:sz w:val="20"/>
                <w:szCs w:val="20"/>
                <w:color w:val="auto"/>
              </w:rPr>
            </w:pPr>
            <w:r>
              <w:rPr>
                <w:rFonts w:ascii="Arial" w:cs="Arial" w:eastAsia="Arial" w:hAnsi="Arial"/>
                <w:sz w:val="16"/>
                <w:szCs w:val="16"/>
                <w:color w:val="FFFFFF"/>
              </w:rPr>
              <w:t>10:00 a.m., Eastern Time</w:t>
            </w:r>
          </w:p>
        </w:tc>
        <w:tc>
          <w:tcPr>
            <w:tcW w:w="100" w:type="dxa"/>
            <w:vAlign w:val="bottom"/>
          </w:tcPr>
          <w:p>
            <w:pPr>
              <w:spacing w:after="0"/>
              <w:rPr>
                <w:sz w:val="14"/>
                <w:szCs w:val="14"/>
                <w:color w:val="auto"/>
              </w:rPr>
            </w:pPr>
          </w:p>
        </w:tc>
        <w:tc>
          <w:tcPr>
            <w:tcW w:w="3660" w:type="dxa"/>
            <w:vAlign w:val="bottom"/>
            <w:shd w:val="clear" w:color="auto" w:fill="00053B"/>
          </w:tcPr>
          <w:p>
            <w:pPr>
              <w:jc w:val="center"/>
              <w:spacing w:after="0" w:line="164" w:lineRule="exact"/>
              <w:rPr>
                <w:sz w:val="20"/>
                <w:szCs w:val="20"/>
                <w:color w:val="auto"/>
              </w:rPr>
            </w:pPr>
            <w:r>
              <w:rPr>
                <w:rFonts w:ascii="Arial" w:cs="Arial" w:eastAsia="Arial" w:hAnsi="Arial"/>
                <w:sz w:val="16"/>
                <w:szCs w:val="16"/>
                <w:color w:val="FFFFFF"/>
              </w:rPr>
              <w:t>https://ir.commvault.com/news-and-events/annual-</w:t>
            </w:r>
          </w:p>
        </w:tc>
        <w:tc>
          <w:tcPr>
            <w:tcW w:w="120" w:type="dxa"/>
            <w:vAlign w:val="bottom"/>
          </w:tcPr>
          <w:p>
            <w:pPr>
              <w:spacing w:after="0"/>
              <w:rPr>
                <w:sz w:val="14"/>
                <w:szCs w:val="14"/>
                <w:color w:val="auto"/>
              </w:rPr>
            </w:pPr>
          </w:p>
        </w:tc>
        <w:tc>
          <w:tcPr>
            <w:tcW w:w="3640" w:type="dxa"/>
            <w:vAlign w:val="bottom"/>
            <w:shd w:val="clear" w:color="auto" w:fill="00053B"/>
          </w:tcPr>
          <w:p>
            <w:pPr>
              <w:spacing w:after="0"/>
              <w:rPr>
                <w:sz w:val="14"/>
                <w:szCs w:val="14"/>
                <w:color w:val="auto"/>
              </w:rPr>
            </w:pPr>
          </w:p>
        </w:tc>
      </w:tr>
      <w:tr>
        <w:trPr>
          <w:trHeight w:val="216"/>
        </w:trPr>
        <w:tc>
          <w:tcPr>
            <w:tcW w:w="3640" w:type="dxa"/>
            <w:vAlign w:val="bottom"/>
            <w:shd w:val="clear" w:color="auto" w:fill="00053B"/>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shd w:val="clear" w:color="auto" w:fill="00053B"/>
          </w:tcPr>
          <w:p>
            <w:pPr>
              <w:jc w:val="center"/>
              <w:spacing w:after="0"/>
              <w:rPr>
                <w:sz w:val="20"/>
                <w:szCs w:val="20"/>
                <w:color w:val="auto"/>
              </w:rPr>
            </w:pPr>
            <w:r>
              <w:rPr>
                <w:rFonts w:ascii="Arial" w:cs="Arial" w:eastAsia="Arial" w:hAnsi="Arial"/>
                <w:sz w:val="16"/>
                <w:szCs w:val="16"/>
                <w:color w:val="FFFFFF"/>
              </w:rPr>
              <w:t>meeting</w:t>
            </w:r>
          </w:p>
        </w:tc>
        <w:tc>
          <w:tcPr>
            <w:tcW w:w="120" w:type="dxa"/>
            <w:vAlign w:val="bottom"/>
          </w:tcPr>
          <w:p>
            <w:pPr>
              <w:spacing w:after="0"/>
              <w:rPr>
                <w:sz w:val="18"/>
                <w:szCs w:val="18"/>
                <w:color w:val="auto"/>
              </w:rPr>
            </w:pPr>
          </w:p>
        </w:tc>
        <w:tc>
          <w:tcPr>
            <w:tcW w:w="3640" w:type="dxa"/>
            <w:vAlign w:val="bottom"/>
            <w:shd w:val="clear" w:color="auto" w:fill="00053B"/>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2420620</wp:posOffset>
            </wp:positionH>
            <wp:positionV relativeFrom="paragraph">
              <wp:posOffset>-128270</wp:posOffset>
            </wp:positionV>
            <wp:extent cx="22923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229235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-25400</wp:posOffset>
            </wp:positionV>
            <wp:extent cx="3657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365760" cy="825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How can I participate in the virtual annual meeting?</w:t>
      </w:r>
    </w:p>
    <w:p>
      <w:pPr>
        <w:spacing w:after="0" w:line="36"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00053B"/>
        </w:rPr>
        <w:t xml:space="preserve">Our virtual annual meeting format will enable all stockholders to participate, regardless of their location. To participate in the Annual Meeting, please access the meeting website at </w:t>
      </w:r>
      <w:r>
        <w:rPr>
          <w:rFonts w:ascii="Arial" w:cs="Arial" w:eastAsia="Arial" w:hAnsi="Arial"/>
          <w:sz w:val="16"/>
          <w:szCs w:val="16"/>
          <w:u w:val="single" w:color="auto"/>
          <w:color w:val="844896"/>
        </w:rPr>
        <w:t>https://ir.commvault.com/news-and-events/annual-meeting</w:t>
      </w:r>
      <w:r>
        <w:rPr>
          <w:rFonts w:ascii="Arial" w:cs="Arial" w:eastAsia="Arial" w:hAnsi="Arial"/>
          <w:sz w:val="16"/>
          <w:szCs w:val="16"/>
          <w:color w:val="00053B"/>
        </w:rPr>
        <w:t xml:space="preserve"> and follow the instructions found there. You will be required to establish your identity as a stockholder in order to vote during the meeting. Please have the control number found on your Notice of Internet Availability of Proxy Materials available.</w:t>
      </w:r>
    </w:p>
    <w:p>
      <w:pPr>
        <w:spacing w:after="0" w:line="95" w:lineRule="exact"/>
        <w:rPr>
          <w:sz w:val="20"/>
          <w:szCs w:val="20"/>
          <w:color w:val="auto"/>
        </w:rPr>
      </w:pPr>
    </w:p>
    <w:p>
      <w:pPr>
        <w:ind w:right="580"/>
        <w:spacing w:after="0" w:line="266" w:lineRule="auto"/>
        <w:rPr>
          <w:sz w:val="20"/>
          <w:szCs w:val="20"/>
          <w:color w:val="auto"/>
        </w:rPr>
      </w:pPr>
      <w:r>
        <w:rPr>
          <w:rFonts w:ascii="Arial" w:cs="Arial" w:eastAsia="Arial" w:hAnsi="Arial"/>
          <w:sz w:val="16"/>
          <w:szCs w:val="16"/>
          <w:color w:val="00053B"/>
        </w:rPr>
        <w:t xml:space="preserve">Stockholders can submit questions for the Annual Meeting’s question and answer session prior to or during the meeting through </w:t>
      </w:r>
      <w:r>
        <w:rPr>
          <w:rFonts w:ascii="Arial" w:cs="Arial" w:eastAsia="Arial" w:hAnsi="Arial"/>
          <w:sz w:val="16"/>
          <w:szCs w:val="16"/>
          <w:u w:val="single" w:color="auto"/>
          <w:color w:val="844896"/>
        </w:rPr>
        <w:t>https://ir.commvault.com/news-and-events/annual-meeting</w:t>
      </w:r>
      <w:r>
        <w:rPr>
          <w:rFonts w:ascii="Arial" w:cs="Arial" w:eastAsia="Arial" w:hAnsi="Arial"/>
          <w:sz w:val="16"/>
          <w:szCs w:val="16"/>
          <w:color w:val="00053B"/>
        </w:rPr>
        <w:t>. Once the meeting has concluded, the webcast will be available for replay on the Investor</w:t>
      </w:r>
      <w:r>
        <w:rPr>
          <w:rFonts w:ascii="Arial" w:cs="Arial" w:eastAsia="Arial" w:hAnsi="Arial"/>
          <w:sz w:val="16"/>
          <w:szCs w:val="16"/>
          <w:color w:val="844896"/>
        </w:rPr>
        <w:t xml:space="preserve"> </w:t>
      </w:r>
      <w:r>
        <w:rPr>
          <w:rFonts w:ascii="Arial" w:cs="Arial" w:eastAsia="Arial" w:hAnsi="Arial"/>
          <w:sz w:val="16"/>
          <w:szCs w:val="16"/>
          <w:color w:val="00053B"/>
        </w:rPr>
        <w:t>Relations section of our website for 12 months.</w:t>
      </w: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Who is entitled to vote at the Annual Meeting?</w:t>
      </w:r>
    </w:p>
    <w:p>
      <w:pPr>
        <w:spacing w:after="0" w:line="128" w:lineRule="exact"/>
        <w:rPr>
          <w:sz w:val="20"/>
          <w:szCs w:val="20"/>
          <w:color w:val="auto"/>
        </w:rPr>
      </w:pPr>
    </w:p>
    <w:p>
      <w:pPr>
        <w:spacing w:after="0" w:line="259" w:lineRule="auto"/>
        <w:rPr>
          <w:sz w:val="20"/>
          <w:szCs w:val="20"/>
          <w:color w:val="auto"/>
        </w:rPr>
      </w:pPr>
      <w:r>
        <w:rPr>
          <w:rFonts w:ascii="Arial" w:cs="Arial" w:eastAsia="Arial" w:hAnsi="Arial"/>
          <w:sz w:val="16"/>
          <w:szCs w:val="16"/>
          <w:color w:val="00053B"/>
        </w:rPr>
        <w:t>The record date for determining stockholders entitled to vote at the Annual Meeting was June 13, 2024. On that date, 43,817,135 shares of Commvault common stock were outstanding, of which 43,767,630 were registered and entitled to vote. Each stockholder is entitled to one vote for each registered share of common stock held of record for each matter to be considered. A list of stockholders entitled to vote at the Annual Meeting will be available for examination by stockholders by arrangement made with Commvault during the 10 days preceding the meeting. Information regarding how to examine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53B"/>
        </w:rPr>
        <w:t xml:space="preserve">stockholder list is available at the meeting website at </w:t>
      </w:r>
      <w:r>
        <w:rPr>
          <w:rFonts w:ascii="Arial" w:cs="Arial" w:eastAsia="Arial" w:hAnsi="Arial"/>
          <w:sz w:val="16"/>
          <w:szCs w:val="16"/>
          <w:u w:val="single" w:color="auto"/>
          <w:color w:val="844896"/>
        </w:rPr>
        <w:t>https://ir.commvault.com/news-and-events/annual-meeting</w:t>
      </w:r>
      <w:r>
        <w:rPr>
          <w:rFonts w:ascii="Arial" w:cs="Arial" w:eastAsia="Arial" w:hAnsi="Arial"/>
          <w:sz w:val="16"/>
          <w:szCs w:val="16"/>
          <w:color w:val="00053B"/>
        </w:rPr>
        <w:t>.</w:t>
      </w:r>
    </w:p>
    <w:p>
      <w:pPr>
        <w:spacing w:after="0" w:line="101"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00053B"/>
        </w:rPr>
        <w:t>The presence at the Annual Meeting, in person (including virtually) or by proxy, of holders of a majority of the issued and outstanding shares of common stock entitled to vote thereat as of the record date is considered a quorum for the transaction of business. If you submit a properly completed proxy or if you appear at the Annual Meeting to vote in person (including virtually), your shares of common stock will be considered part of the quorum. Abstentions and broker non-votes will be counted for the purpose of establishing a quorum.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55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631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60"/>
        <w:spacing w:after="0"/>
        <w:rPr>
          <w:sz w:val="20"/>
          <w:szCs w:val="20"/>
          <w:color w:val="auto"/>
        </w:rPr>
      </w:pPr>
      <w:r>
        <w:rPr>
          <w:rFonts w:ascii="Arial" w:cs="Arial" w:eastAsia="Arial" w:hAnsi="Arial"/>
          <w:sz w:val="11"/>
          <w:szCs w:val="11"/>
          <w:color w:val="00053B"/>
        </w:rPr>
        <w:t>ADDITIONAL INFORMATION ABOUT THE ANNUAL MEETING</w:t>
      </w:r>
    </w:p>
    <w:p>
      <w:pPr>
        <w:spacing w:after="0" w:line="200" w:lineRule="exact"/>
        <w:rPr>
          <w:sz w:val="20"/>
          <w:szCs w:val="20"/>
          <w:color w:val="auto"/>
        </w:rPr>
      </w:pPr>
    </w:p>
    <w:p>
      <w:pPr>
        <w:spacing w:after="0" w:line="226"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00053B"/>
        </w:rPr>
        <w:t>If you choose to vote your shares at the Annual Meeting, you will be required to provide your control number, which is included in the Notice Regarding the Availability of Proxy Materials that you received. If you hold your Commvault shares through a broker, bank, or other nominee, you may vote during the Annual Meeting only if you obtain a signed proxy from your bank, broker, or other nominee giving you the right to vote the shares. You will be asked to submit that proxy to Commvault via the email address provided on the meeting website at or prior to the Annual Meeting, along with an account statement or letter from the broker, bank, or other nominee indicating that you are the beneficial owner of the shares and that you were the beneficial owner of the shares on June 13, 2024.</w:t>
      </w:r>
    </w:p>
    <w:p>
      <w:pPr>
        <w:spacing w:after="0" w:line="301" w:lineRule="exact"/>
        <w:rPr>
          <w:sz w:val="20"/>
          <w:szCs w:val="20"/>
          <w:color w:val="auto"/>
        </w:rPr>
      </w:pPr>
    </w:p>
    <w:p>
      <w:pPr>
        <w:ind w:right="1340"/>
        <w:spacing w:after="0" w:line="280" w:lineRule="auto"/>
        <w:rPr>
          <w:sz w:val="20"/>
          <w:szCs w:val="20"/>
          <w:color w:val="auto"/>
        </w:rPr>
      </w:pPr>
      <w:r>
        <w:rPr>
          <w:rFonts w:ascii="Arial" w:cs="Arial" w:eastAsia="Arial" w:hAnsi="Arial"/>
          <w:sz w:val="25"/>
          <w:szCs w:val="25"/>
          <w:b w:val="1"/>
          <w:bCs w:val="1"/>
          <w:color w:val="844896"/>
        </w:rPr>
        <w:t>What proposals will be considered at the Annual Meeting, and how does the Board recommend that I vote?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053B"/>
        </w:rPr>
        <w:t>The following table summarizes the matters we expect to present to stockholders during the Annual Meeting.</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092E44"/>
              </w:rPr>
              <w:t>Effect of</w:t>
            </w:r>
          </w:p>
        </w:tc>
        <w:tc>
          <w:tcPr>
            <w:tcW w:w="0" w:type="dxa"/>
            <w:vAlign w:val="bottom"/>
          </w:tcPr>
          <w:p>
            <w:pPr>
              <w:spacing w:after="0"/>
              <w:rPr>
                <w:sz w:val="1"/>
                <w:szCs w:val="1"/>
                <w:color w:val="auto"/>
              </w:rPr>
            </w:pPr>
          </w:p>
        </w:tc>
      </w:tr>
      <w:tr>
        <w:trPr>
          <w:trHeight w:val="144"/>
        </w:trPr>
        <w:tc>
          <w:tcPr>
            <w:tcW w:w="2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540" w:type="dxa"/>
            <w:vAlign w:val="bottom"/>
            <w:vMerge w:val="restart"/>
          </w:tcPr>
          <w:p>
            <w:pPr>
              <w:ind w:left="260"/>
              <w:spacing w:after="0"/>
              <w:rPr>
                <w:sz w:val="20"/>
                <w:szCs w:val="20"/>
                <w:color w:val="auto"/>
              </w:rPr>
            </w:pPr>
            <w:r>
              <w:rPr>
                <w:rFonts w:ascii="Arial" w:cs="Arial" w:eastAsia="Arial" w:hAnsi="Arial"/>
                <w:sz w:val="14"/>
                <w:szCs w:val="14"/>
                <w:color w:val="092E44"/>
              </w:rPr>
              <w:t>Board</w:t>
            </w:r>
          </w:p>
        </w:tc>
        <w:tc>
          <w:tcPr>
            <w:tcW w:w="4220" w:type="dxa"/>
            <w:vAlign w:val="bottom"/>
          </w:tcPr>
          <w:p>
            <w:pPr>
              <w:spacing w:after="0"/>
              <w:rPr>
                <w:sz w:val="12"/>
                <w:szCs w:val="12"/>
                <w:color w:val="auto"/>
              </w:rPr>
            </w:pPr>
          </w:p>
        </w:tc>
        <w:tc>
          <w:tcPr>
            <w:tcW w:w="1400" w:type="dxa"/>
            <w:vAlign w:val="bottom"/>
          </w:tcPr>
          <w:p>
            <w:pPr>
              <w:ind w:left="100"/>
              <w:spacing w:after="0" w:line="145" w:lineRule="exact"/>
              <w:rPr>
                <w:sz w:val="20"/>
                <w:szCs w:val="20"/>
                <w:color w:val="auto"/>
              </w:rPr>
            </w:pPr>
            <w:r>
              <w:rPr>
                <w:rFonts w:ascii="Arial" w:cs="Arial" w:eastAsia="Arial" w:hAnsi="Arial"/>
                <w:sz w:val="14"/>
                <w:szCs w:val="14"/>
                <w:color w:val="092E44"/>
              </w:rPr>
              <w:t>abstentions,</w:t>
            </w:r>
          </w:p>
        </w:tc>
        <w:tc>
          <w:tcPr>
            <w:tcW w:w="0" w:type="dxa"/>
            <w:vAlign w:val="bottom"/>
          </w:tcPr>
          <w:p>
            <w:pPr>
              <w:spacing w:after="0"/>
              <w:rPr>
                <w:sz w:val="1"/>
                <w:szCs w:val="1"/>
                <w:color w:val="auto"/>
              </w:rPr>
            </w:pPr>
          </w:p>
        </w:tc>
      </w:tr>
      <w:tr>
        <w:trPr>
          <w:trHeight w:val="148"/>
        </w:trPr>
        <w:tc>
          <w:tcPr>
            <w:tcW w:w="2400" w:type="dxa"/>
            <w:vAlign w:val="bottom"/>
            <w:vMerge w:val="restart"/>
          </w:tcPr>
          <w:p>
            <w:pPr>
              <w:ind w:left="140"/>
              <w:spacing w:after="0"/>
              <w:rPr>
                <w:sz w:val="20"/>
                <w:szCs w:val="20"/>
                <w:color w:val="auto"/>
              </w:rPr>
            </w:pPr>
            <w:r>
              <w:rPr>
                <w:rFonts w:ascii="Arial" w:cs="Arial" w:eastAsia="Arial" w:hAnsi="Arial"/>
                <w:sz w:val="14"/>
                <w:szCs w:val="14"/>
                <w:color w:val="092E44"/>
              </w:rPr>
              <w:t>Proposal</w:t>
            </w:r>
          </w:p>
        </w:tc>
        <w:tc>
          <w:tcPr>
            <w:tcW w:w="1680" w:type="dxa"/>
            <w:vAlign w:val="bottom"/>
            <w:vMerge w:val="restart"/>
          </w:tcPr>
          <w:p>
            <w:pPr>
              <w:ind w:left="80"/>
              <w:spacing w:after="0"/>
              <w:rPr>
                <w:sz w:val="20"/>
                <w:szCs w:val="20"/>
                <w:color w:val="auto"/>
              </w:rPr>
            </w:pPr>
            <w:r>
              <w:rPr>
                <w:rFonts w:ascii="Arial" w:cs="Arial" w:eastAsia="Arial" w:hAnsi="Arial"/>
                <w:sz w:val="14"/>
                <w:szCs w:val="14"/>
                <w:color w:val="092E44"/>
              </w:rPr>
              <w:t>Voting options</w:t>
            </w:r>
          </w:p>
        </w:tc>
        <w:tc>
          <w:tcPr>
            <w:tcW w:w="1540" w:type="dxa"/>
            <w:vAlign w:val="bottom"/>
            <w:vMerge w:val="continue"/>
          </w:tcPr>
          <w:p>
            <w:pPr>
              <w:spacing w:after="0"/>
              <w:rPr>
                <w:sz w:val="12"/>
                <w:szCs w:val="12"/>
                <w:color w:val="auto"/>
              </w:rPr>
            </w:pPr>
          </w:p>
        </w:tc>
        <w:tc>
          <w:tcPr>
            <w:tcW w:w="4220" w:type="dxa"/>
            <w:vAlign w:val="bottom"/>
            <w:vMerge w:val="restart"/>
          </w:tcPr>
          <w:p>
            <w:pPr>
              <w:ind w:left="200"/>
              <w:spacing w:after="0"/>
              <w:rPr>
                <w:sz w:val="20"/>
                <w:szCs w:val="20"/>
                <w:color w:val="auto"/>
              </w:rPr>
            </w:pPr>
            <w:r>
              <w:rPr>
                <w:rFonts w:ascii="Arial" w:cs="Arial" w:eastAsia="Arial" w:hAnsi="Arial"/>
                <w:sz w:val="14"/>
                <w:szCs w:val="14"/>
                <w:color w:val="092E44"/>
              </w:rPr>
              <w:t>Vote required to pass</w:t>
            </w:r>
          </w:p>
        </w:tc>
        <w:tc>
          <w:tcPr>
            <w:tcW w:w="1400" w:type="dxa"/>
            <w:vAlign w:val="bottom"/>
          </w:tcPr>
          <w:p>
            <w:pPr>
              <w:ind w:left="100"/>
              <w:spacing w:after="0" w:line="149" w:lineRule="exact"/>
              <w:rPr>
                <w:sz w:val="20"/>
                <w:szCs w:val="20"/>
                <w:color w:val="auto"/>
              </w:rPr>
            </w:pPr>
            <w:r>
              <w:rPr>
                <w:rFonts w:ascii="Arial" w:cs="Arial" w:eastAsia="Arial" w:hAnsi="Arial"/>
                <w:sz w:val="14"/>
                <w:szCs w:val="14"/>
                <w:color w:val="092E44"/>
              </w:rPr>
              <w:t>and broker</w:t>
            </w:r>
          </w:p>
        </w:tc>
        <w:tc>
          <w:tcPr>
            <w:tcW w:w="0" w:type="dxa"/>
            <w:vAlign w:val="bottom"/>
          </w:tcPr>
          <w:p>
            <w:pPr>
              <w:spacing w:after="0"/>
              <w:rPr>
                <w:sz w:val="1"/>
                <w:szCs w:val="1"/>
                <w:color w:val="auto"/>
              </w:rPr>
            </w:pPr>
          </w:p>
        </w:tc>
      </w:tr>
      <w:tr>
        <w:trPr>
          <w:trHeight w:val="189"/>
        </w:trPr>
        <w:tc>
          <w:tcPr>
            <w:tcW w:w="2400" w:type="dxa"/>
            <w:vAlign w:val="bottom"/>
            <w:tcBorders>
              <w:bottom w:val="single" w:sz="8" w:color="844896"/>
            </w:tcBorders>
            <w:vMerge w:val="continue"/>
          </w:tcPr>
          <w:p>
            <w:pPr>
              <w:spacing w:after="0"/>
              <w:rPr>
                <w:sz w:val="16"/>
                <w:szCs w:val="16"/>
                <w:color w:val="auto"/>
              </w:rPr>
            </w:pPr>
          </w:p>
        </w:tc>
        <w:tc>
          <w:tcPr>
            <w:tcW w:w="1680" w:type="dxa"/>
            <w:vAlign w:val="bottom"/>
            <w:tcBorders>
              <w:bottom w:val="single" w:sz="8" w:color="844896"/>
            </w:tcBorders>
            <w:vMerge w:val="continue"/>
          </w:tcPr>
          <w:p>
            <w:pPr>
              <w:spacing w:after="0"/>
              <w:rPr>
                <w:sz w:val="16"/>
                <w:szCs w:val="16"/>
                <w:color w:val="auto"/>
              </w:rPr>
            </w:pPr>
          </w:p>
        </w:tc>
        <w:tc>
          <w:tcPr>
            <w:tcW w:w="1540" w:type="dxa"/>
            <w:vAlign w:val="bottom"/>
            <w:tcBorders>
              <w:bottom w:val="single" w:sz="8" w:color="844896"/>
            </w:tcBorders>
          </w:tcPr>
          <w:p>
            <w:pPr>
              <w:ind w:left="260"/>
              <w:spacing w:after="0"/>
              <w:rPr>
                <w:sz w:val="20"/>
                <w:szCs w:val="20"/>
                <w:color w:val="auto"/>
              </w:rPr>
            </w:pPr>
            <w:r>
              <w:rPr>
                <w:rFonts w:ascii="Arial" w:cs="Arial" w:eastAsia="Arial" w:hAnsi="Arial"/>
                <w:sz w:val="14"/>
                <w:szCs w:val="14"/>
                <w:color w:val="092E44"/>
              </w:rPr>
              <w:t>recommendation</w:t>
            </w:r>
          </w:p>
        </w:tc>
        <w:tc>
          <w:tcPr>
            <w:tcW w:w="4220" w:type="dxa"/>
            <w:vAlign w:val="bottom"/>
            <w:tcBorders>
              <w:bottom w:val="single" w:sz="8" w:color="844896"/>
            </w:tcBorders>
            <w:vMerge w:val="continue"/>
          </w:tcPr>
          <w:p>
            <w:pPr>
              <w:spacing w:after="0"/>
              <w:rPr>
                <w:sz w:val="16"/>
                <w:szCs w:val="16"/>
                <w:color w:val="auto"/>
              </w:rPr>
            </w:pPr>
          </w:p>
        </w:tc>
        <w:tc>
          <w:tcPr>
            <w:tcW w:w="1400" w:type="dxa"/>
            <w:vAlign w:val="bottom"/>
            <w:tcBorders>
              <w:bottom w:val="single" w:sz="8" w:color="844896"/>
            </w:tcBorders>
          </w:tcPr>
          <w:p>
            <w:pPr>
              <w:ind w:left="100"/>
              <w:spacing w:after="0"/>
              <w:rPr>
                <w:sz w:val="20"/>
                <w:szCs w:val="20"/>
                <w:color w:val="auto"/>
              </w:rPr>
            </w:pPr>
            <w:r>
              <w:rPr>
                <w:rFonts w:ascii="Arial" w:cs="Arial" w:eastAsia="Arial" w:hAnsi="Arial"/>
                <w:sz w:val="14"/>
                <w:szCs w:val="14"/>
                <w:color w:val="092E44"/>
              </w:rPr>
              <w:t>non-votes(1)</w:t>
            </w:r>
          </w:p>
        </w:tc>
        <w:tc>
          <w:tcPr>
            <w:tcW w:w="0" w:type="dxa"/>
            <w:vAlign w:val="bottom"/>
          </w:tcPr>
          <w:p>
            <w:pPr>
              <w:spacing w:after="0"/>
              <w:rPr>
                <w:sz w:val="1"/>
                <w:szCs w:val="1"/>
                <w:color w:val="auto"/>
              </w:rPr>
            </w:pPr>
          </w:p>
        </w:tc>
      </w:tr>
      <w:tr>
        <w:trPr>
          <w:trHeight w:val="209"/>
        </w:trPr>
        <w:tc>
          <w:tcPr>
            <w:tcW w:w="2400" w:type="dxa"/>
            <w:vAlign w:val="bottom"/>
            <w:shd w:val="clear" w:color="auto" w:fill="EAEAEA"/>
          </w:tcPr>
          <w:p>
            <w:pPr>
              <w:ind w:left="120"/>
              <w:spacing w:after="0"/>
              <w:rPr>
                <w:sz w:val="20"/>
                <w:szCs w:val="20"/>
                <w:color w:val="auto"/>
              </w:rPr>
            </w:pPr>
            <w:r>
              <w:rPr>
                <w:rFonts w:ascii="Arial" w:cs="Arial" w:eastAsia="Arial" w:hAnsi="Arial"/>
                <w:sz w:val="16"/>
                <w:szCs w:val="16"/>
                <w:color w:val="092E44"/>
              </w:rPr>
              <w:t>Election of directors</w:t>
            </w:r>
          </w:p>
        </w:tc>
        <w:tc>
          <w:tcPr>
            <w:tcW w:w="1680" w:type="dxa"/>
            <w:vAlign w:val="bottom"/>
            <w:shd w:val="clear" w:color="auto" w:fill="EAEAEA"/>
          </w:tcPr>
          <w:p>
            <w:pPr>
              <w:ind w:left="80"/>
              <w:spacing w:after="0"/>
              <w:rPr>
                <w:sz w:val="20"/>
                <w:szCs w:val="20"/>
                <w:color w:val="auto"/>
              </w:rPr>
            </w:pPr>
            <w:r>
              <w:rPr>
                <w:rFonts w:ascii="Arial" w:cs="Arial" w:eastAsia="Arial" w:hAnsi="Arial"/>
                <w:sz w:val="16"/>
                <w:szCs w:val="16"/>
                <w:color w:val="092E44"/>
              </w:rPr>
              <w:t>FOR, AGAINST, or</w:t>
            </w:r>
          </w:p>
        </w:tc>
        <w:tc>
          <w:tcPr>
            <w:tcW w:w="1540" w:type="dxa"/>
            <w:vAlign w:val="bottom"/>
            <w:shd w:val="clear" w:color="auto" w:fill="EAEAEA"/>
          </w:tcPr>
          <w:p>
            <w:pPr>
              <w:ind w:left="260"/>
              <w:spacing w:after="0"/>
              <w:rPr>
                <w:sz w:val="20"/>
                <w:szCs w:val="20"/>
                <w:color w:val="auto"/>
              </w:rPr>
            </w:pPr>
            <w:r>
              <w:rPr>
                <w:rFonts w:ascii="Arial" w:cs="Arial" w:eastAsia="Arial" w:hAnsi="Arial"/>
                <w:sz w:val="16"/>
                <w:szCs w:val="16"/>
                <w:b w:val="1"/>
                <w:bCs w:val="1"/>
                <w:color w:val="844896"/>
              </w:rPr>
              <w:t>FOR each</w:t>
            </w:r>
          </w:p>
        </w:tc>
        <w:tc>
          <w:tcPr>
            <w:tcW w:w="4220" w:type="dxa"/>
            <w:vAlign w:val="bottom"/>
            <w:shd w:val="clear" w:color="auto" w:fill="EAEAEA"/>
          </w:tcPr>
          <w:p>
            <w:pPr>
              <w:ind w:left="200"/>
              <w:spacing w:after="0"/>
              <w:rPr>
                <w:sz w:val="20"/>
                <w:szCs w:val="20"/>
                <w:color w:val="auto"/>
              </w:rPr>
            </w:pPr>
            <w:r>
              <w:rPr>
                <w:rFonts w:ascii="Arial" w:cs="Arial" w:eastAsia="Arial" w:hAnsi="Arial"/>
                <w:sz w:val="16"/>
                <w:szCs w:val="16"/>
                <w:color w:val="092E44"/>
              </w:rPr>
              <w:t>Each nominee must receive the affirmative vote of a</w:t>
            </w:r>
          </w:p>
        </w:tc>
        <w:tc>
          <w:tcPr>
            <w:tcW w:w="1400" w:type="dxa"/>
            <w:vAlign w:val="bottom"/>
            <w:shd w:val="clear" w:color="auto" w:fill="EAEAEA"/>
          </w:tcPr>
          <w:p>
            <w:pPr>
              <w:ind w:left="100"/>
              <w:spacing w:after="0"/>
              <w:rPr>
                <w:sz w:val="20"/>
                <w:szCs w:val="20"/>
                <w:color w:val="auto"/>
              </w:rPr>
            </w:pPr>
            <w:r>
              <w:rPr>
                <w:rFonts w:ascii="Arial" w:cs="Arial" w:eastAsia="Arial" w:hAnsi="Arial"/>
                <w:sz w:val="16"/>
                <w:szCs w:val="16"/>
                <w:color w:val="092E44"/>
              </w:rPr>
              <w:t>No effect</w:t>
            </w:r>
          </w:p>
        </w:tc>
        <w:tc>
          <w:tcPr>
            <w:tcW w:w="0" w:type="dxa"/>
            <w:vAlign w:val="bottom"/>
          </w:tcPr>
          <w:p>
            <w:pPr>
              <w:spacing w:after="0"/>
              <w:rPr>
                <w:sz w:val="1"/>
                <w:szCs w:val="1"/>
                <w:color w:val="auto"/>
              </w:rPr>
            </w:pPr>
          </w:p>
        </w:tc>
      </w:tr>
      <w:tr>
        <w:trPr>
          <w:trHeight w:val="189"/>
        </w:trPr>
        <w:tc>
          <w:tcPr>
            <w:tcW w:w="2400" w:type="dxa"/>
            <w:vAlign w:val="bottom"/>
            <w:shd w:val="clear" w:color="auto" w:fill="EAEAEA"/>
          </w:tcPr>
          <w:p>
            <w:pPr>
              <w:spacing w:after="0"/>
              <w:rPr>
                <w:sz w:val="16"/>
                <w:szCs w:val="16"/>
                <w:color w:val="auto"/>
              </w:rPr>
            </w:pPr>
          </w:p>
        </w:tc>
        <w:tc>
          <w:tcPr>
            <w:tcW w:w="1680" w:type="dxa"/>
            <w:vAlign w:val="bottom"/>
            <w:shd w:val="clear" w:color="auto" w:fill="EAEAEA"/>
          </w:tcPr>
          <w:p>
            <w:pPr>
              <w:ind w:left="80"/>
              <w:spacing w:after="0"/>
              <w:rPr>
                <w:sz w:val="20"/>
                <w:szCs w:val="20"/>
                <w:color w:val="auto"/>
              </w:rPr>
            </w:pPr>
            <w:r>
              <w:rPr>
                <w:rFonts w:ascii="Arial" w:cs="Arial" w:eastAsia="Arial" w:hAnsi="Arial"/>
                <w:sz w:val="16"/>
                <w:szCs w:val="16"/>
                <w:color w:val="092E44"/>
              </w:rPr>
              <w:t>ABSTAIN for</w:t>
            </w:r>
          </w:p>
        </w:tc>
        <w:tc>
          <w:tcPr>
            <w:tcW w:w="1540" w:type="dxa"/>
            <w:vAlign w:val="bottom"/>
            <w:shd w:val="clear" w:color="auto" w:fill="EAEAEA"/>
          </w:tcPr>
          <w:p>
            <w:pPr>
              <w:ind w:left="260"/>
              <w:spacing w:after="0"/>
              <w:rPr>
                <w:sz w:val="20"/>
                <w:szCs w:val="20"/>
                <w:color w:val="auto"/>
              </w:rPr>
            </w:pPr>
            <w:r>
              <w:rPr>
                <w:rFonts w:ascii="Arial" w:cs="Arial" w:eastAsia="Arial" w:hAnsi="Arial"/>
                <w:sz w:val="16"/>
                <w:szCs w:val="16"/>
                <w:b w:val="1"/>
                <w:bCs w:val="1"/>
                <w:color w:val="844896"/>
              </w:rPr>
              <w:t>nominee</w:t>
            </w:r>
          </w:p>
        </w:tc>
        <w:tc>
          <w:tcPr>
            <w:tcW w:w="4220" w:type="dxa"/>
            <w:vAlign w:val="bottom"/>
            <w:shd w:val="clear" w:color="auto" w:fill="EAEAEA"/>
          </w:tcPr>
          <w:p>
            <w:pPr>
              <w:ind w:left="200"/>
              <w:spacing w:after="0"/>
              <w:rPr>
                <w:sz w:val="20"/>
                <w:szCs w:val="20"/>
                <w:color w:val="auto"/>
              </w:rPr>
            </w:pPr>
            <w:r>
              <w:rPr>
                <w:rFonts w:ascii="Arial" w:cs="Arial" w:eastAsia="Arial" w:hAnsi="Arial"/>
                <w:sz w:val="16"/>
                <w:szCs w:val="16"/>
                <w:color w:val="092E44"/>
              </w:rPr>
              <w:t>majority of the votes cast on the proposal.</w:t>
            </w:r>
          </w:p>
        </w:tc>
        <w:tc>
          <w:tcPr>
            <w:tcW w:w="140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EAEAEA"/>
          </w:tcPr>
          <w:p>
            <w:pPr>
              <w:spacing w:after="0"/>
              <w:rPr>
                <w:sz w:val="20"/>
                <w:szCs w:val="20"/>
                <w:color w:val="auto"/>
              </w:rPr>
            </w:pPr>
          </w:p>
        </w:tc>
        <w:tc>
          <w:tcPr>
            <w:tcW w:w="1680" w:type="dxa"/>
            <w:vAlign w:val="bottom"/>
            <w:shd w:val="clear" w:color="auto" w:fill="EAEAEA"/>
          </w:tcPr>
          <w:p>
            <w:pPr>
              <w:ind w:left="80"/>
              <w:spacing w:after="0"/>
              <w:rPr>
                <w:sz w:val="20"/>
                <w:szCs w:val="20"/>
                <w:color w:val="auto"/>
              </w:rPr>
            </w:pPr>
            <w:r>
              <w:rPr>
                <w:rFonts w:ascii="Arial" w:cs="Arial" w:eastAsia="Arial" w:hAnsi="Arial"/>
                <w:sz w:val="16"/>
                <w:szCs w:val="16"/>
                <w:color w:val="092E44"/>
              </w:rPr>
              <w:t>each nominee</w:t>
            </w:r>
          </w:p>
        </w:tc>
        <w:tc>
          <w:tcPr>
            <w:tcW w:w="1540" w:type="dxa"/>
            <w:vAlign w:val="bottom"/>
            <w:shd w:val="clear" w:color="auto" w:fill="EAEAEA"/>
          </w:tcPr>
          <w:p>
            <w:pPr>
              <w:spacing w:after="0"/>
              <w:rPr>
                <w:sz w:val="20"/>
                <w:szCs w:val="20"/>
                <w:color w:val="auto"/>
              </w:rPr>
            </w:pPr>
          </w:p>
        </w:tc>
        <w:tc>
          <w:tcPr>
            <w:tcW w:w="4220" w:type="dxa"/>
            <w:vAlign w:val="bottom"/>
            <w:shd w:val="clear" w:color="auto" w:fill="EAEAEA"/>
          </w:tcPr>
          <w:p>
            <w:pPr>
              <w:spacing w:after="0"/>
              <w:rPr>
                <w:sz w:val="20"/>
                <w:szCs w:val="20"/>
                <w:color w:val="auto"/>
              </w:rPr>
            </w:pPr>
          </w:p>
        </w:tc>
        <w:tc>
          <w:tcPr>
            <w:tcW w:w="140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00" w:type="dxa"/>
            <w:vAlign w:val="bottom"/>
          </w:tcPr>
          <w:p>
            <w:pPr>
              <w:ind w:left="120"/>
              <w:spacing w:after="0"/>
              <w:rPr>
                <w:sz w:val="20"/>
                <w:szCs w:val="20"/>
                <w:color w:val="auto"/>
              </w:rPr>
            </w:pPr>
            <w:r>
              <w:rPr>
                <w:rFonts w:ascii="Arial" w:cs="Arial" w:eastAsia="Arial" w:hAnsi="Arial"/>
                <w:sz w:val="16"/>
                <w:szCs w:val="16"/>
                <w:color w:val="092E44"/>
              </w:rPr>
              <w:t>Advisory vote on Commvault’s</w:t>
            </w:r>
          </w:p>
        </w:tc>
        <w:tc>
          <w:tcPr>
            <w:tcW w:w="1680" w:type="dxa"/>
            <w:vAlign w:val="bottom"/>
          </w:tcPr>
          <w:p>
            <w:pPr>
              <w:ind w:left="80"/>
              <w:spacing w:after="0"/>
              <w:rPr>
                <w:sz w:val="20"/>
                <w:szCs w:val="20"/>
                <w:color w:val="auto"/>
              </w:rPr>
            </w:pPr>
            <w:r>
              <w:rPr>
                <w:rFonts w:ascii="Arial" w:cs="Arial" w:eastAsia="Arial" w:hAnsi="Arial"/>
                <w:sz w:val="16"/>
                <w:szCs w:val="16"/>
                <w:color w:val="092E44"/>
              </w:rPr>
              <w:t>FOR, AGAINST, or</w:t>
            </w:r>
          </w:p>
        </w:tc>
        <w:tc>
          <w:tcPr>
            <w:tcW w:w="1540" w:type="dxa"/>
            <w:vAlign w:val="bottom"/>
          </w:tcPr>
          <w:p>
            <w:pPr>
              <w:ind w:left="260"/>
              <w:spacing w:after="0"/>
              <w:rPr>
                <w:sz w:val="20"/>
                <w:szCs w:val="20"/>
                <w:color w:val="auto"/>
              </w:rPr>
            </w:pPr>
            <w:r>
              <w:rPr>
                <w:rFonts w:ascii="Arial" w:cs="Arial" w:eastAsia="Arial" w:hAnsi="Arial"/>
                <w:sz w:val="16"/>
                <w:szCs w:val="16"/>
                <w:b w:val="1"/>
                <w:bCs w:val="1"/>
                <w:color w:val="844896"/>
              </w:rPr>
              <w:t>FOR</w:t>
            </w:r>
          </w:p>
        </w:tc>
        <w:tc>
          <w:tcPr>
            <w:tcW w:w="4220" w:type="dxa"/>
            <w:vAlign w:val="bottom"/>
          </w:tcPr>
          <w:p>
            <w:pPr>
              <w:ind w:left="200"/>
              <w:spacing w:after="0"/>
              <w:rPr>
                <w:sz w:val="20"/>
                <w:szCs w:val="20"/>
                <w:color w:val="auto"/>
              </w:rPr>
            </w:pPr>
            <w:r>
              <w:rPr>
                <w:rFonts w:ascii="Arial" w:cs="Arial" w:eastAsia="Arial" w:hAnsi="Arial"/>
                <w:sz w:val="16"/>
                <w:szCs w:val="16"/>
                <w:color w:val="092E44"/>
              </w:rPr>
              <w:t>As a non-binding, advisory vote, there is no specific</w:t>
            </w:r>
          </w:p>
        </w:tc>
        <w:tc>
          <w:tcPr>
            <w:tcW w:w="1400" w:type="dxa"/>
            <w:vAlign w:val="bottom"/>
          </w:tcPr>
          <w:p>
            <w:pPr>
              <w:ind w:left="100"/>
              <w:spacing w:after="0"/>
              <w:rPr>
                <w:sz w:val="20"/>
                <w:szCs w:val="20"/>
                <w:color w:val="auto"/>
              </w:rPr>
            </w:pPr>
            <w:r>
              <w:rPr>
                <w:rFonts w:ascii="Arial" w:cs="Arial" w:eastAsia="Arial" w:hAnsi="Arial"/>
                <w:sz w:val="16"/>
                <w:szCs w:val="16"/>
                <w:color w:val="092E44"/>
              </w:rPr>
              <w:t>No effect</w:t>
            </w:r>
          </w:p>
        </w:tc>
        <w:tc>
          <w:tcPr>
            <w:tcW w:w="0" w:type="dxa"/>
            <w:vAlign w:val="bottom"/>
          </w:tcPr>
          <w:p>
            <w:pPr>
              <w:spacing w:after="0"/>
              <w:rPr>
                <w:sz w:val="1"/>
                <w:szCs w:val="1"/>
                <w:color w:val="auto"/>
              </w:rPr>
            </w:pPr>
          </w:p>
        </w:tc>
      </w:tr>
      <w:tr>
        <w:trPr>
          <w:trHeight w:val="189"/>
        </w:trPr>
        <w:tc>
          <w:tcPr>
            <w:tcW w:w="2400" w:type="dxa"/>
            <w:vAlign w:val="bottom"/>
          </w:tcPr>
          <w:p>
            <w:pPr>
              <w:ind w:left="120"/>
              <w:spacing w:after="0"/>
              <w:rPr>
                <w:sz w:val="20"/>
                <w:szCs w:val="20"/>
                <w:color w:val="auto"/>
              </w:rPr>
            </w:pPr>
            <w:r>
              <w:rPr>
                <w:rFonts w:ascii="Arial" w:cs="Arial" w:eastAsia="Arial" w:hAnsi="Arial"/>
                <w:sz w:val="16"/>
                <w:szCs w:val="16"/>
                <w:color w:val="092E44"/>
              </w:rPr>
              <w:t>executive compensation</w:t>
            </w:r>
          </w:p>
        </w:tc>
        <w:tc>
          <w:tcPr>
            <w:tcW w:w="1680" w:type="dxa"/>
            <w:vAlign w:val="bottom"/>
          </w:tcPr>
          <w:p>
            <w:pPr>
              <w:ind w:left="80"/>
              <w:spacing w:after="0"/>
              <w:rPr>
                <w:sz w:val="20"/>
                <w:szCs w:val="20"/>
                <w:color w:val="auto"/>
              </w:rPr>
            </w:pPr>
            <w:r>
              <w:rPr>
                <w:rFonts w:ascii="Arial" w:cs="Arial" w:eastAsia="Arial" w:hAnsi="Arial"/>
                <w:sz w:val="16"/>
                <w:szCs w:val="16"/>
                <w:color w:val="092E44"/>
              </w:rPr>
              <w:t>ABSTAIN</w:t>
            </w:r>
          </w:p>
        </w:tc>
        <w:tc>
          <w:tcPr>
            <w:tcW w:w="1540" w:type="dxa"/>
            <w:vAlign w:val="bottom"/>
          </w:tcPr>
          <w:p>
            <w:pPr>
              <w:spacing w:after="0"/>
              <w:rPr>
                <w:sz w:val="16"/>
                <w:szCs w:val="16"/>
                <w:color w:val="auto"/>
              </w:rPr>
            </w:pPr>
          </w:p>
        </w:tc>
        <w:tc>
          <w:tcPr>
            <w:tcW w:w="4220" w:type="dxa"/>
            <w:vAlign w:val="bottom"/>
          </w:tcPr>
          <w:p>
            <w:pPr>
              <w:ind w:left="200"/>
              <w:spacing w:after="0"/>
              <w:rPr>
                <w:sz w:val="20"/>
                <w:szCs w:val="20"/>
                <w:color w:val="auto"/>
              </w:rPr>
            </w:pPr>
            <w:r>
              <w:rPr>
                <w:rFonts w:ascii="Arial" w:cs="Arial" w:eastAsia="Arial" w:hAnsi="Arial"/>
                <w:sz w:val="16"/>
                <w:szCs w:val="16"/>
                <w:color w:val="092E44"/>
              </w:rPr>
              <w:t>approval requirement. However, Commvault’s Board of</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220" w:type="dxa"/>
            <w:vAlign w:val="bottom"/>
          </w:tcPr>
          <w:p>
            <w:pPr>
              <w:ind w:left="200"/>
              <w:spacing w:after="0"/>
              <w:rPr>
                <w:sz w:val="20"/>
                <w:szCs w:val="20"/>
                <w:color w:val="auto"/>
              </w:rPr>
            </w:pPr>
            <w:r>
              <w:rPr>
                <w:rFonts w:ascii="Arial" w:cs="Arial" w:eastAsia="Arial" w:hAnsi="Arial"/>
                <w:sz w:val="16"/>
                <w:szCs w:val="16"/>
                <w:color w:val="092E44"/>
              </w:rPr>
              <w:t>Directors will review and consider the outcome of this</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220" w:type="dxa"/>
            <w:vAlign w:val="bottom"/>
          </w:tcPr>
          <w:p>
            <w:pPr>
              <w:ind w:left="200"/>
              <w:spacing w:after="0"/>
              <w:rPr>
                <w:sz w:val="20"/>
                <w:szCs w:val="20"/>
                <w:color w:val="auto"/>
              </w:rPr>
            </w:pPr>
            <w:r>
              <w:rPr>
                <w:rFonts w:ascii="Arial" w:cs="Arial" w:eastAsia="Arial" w:hAnsi="Arial"/>
                <w:sz w:val="16"/>
                <w:szCs w:val="16"/>
                <w:color w:val="092E44"/>
              </w:rPr>
              <w:t>advisory vote and will take it into account when making</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220" w:type="dxa"/>
            <w:vAlign w:val="bottom"/>
          </w:tcPr>
          <w:p>
            <w:pPr>
              <w:ind w:left="200"/>
              <w:spacing w:after="0"/>
              <w:rPr>
                <w:sz w:val="20"/>
                <w:szCs w:val="20"/>
                <w:color w:val="auto"/>
              </w:rPr>
            </w:pPr>
            <w:r>
              <w:rPr>
                <w:rFonts w:ascii="Arial" w:cs="Arial" w:eastAsia="Arial" w:hAnsi="Arial"/>
                <w:sz w:val="16"/>
                <w:szCs w:val="16"/>
                <w:color w:val="092E44"/>
              </w:rPr>
              <w:t>future compensation decisions.</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0" w:type="dxa"/>
            <w:vAlign w:val="bottom"/>
            <w:shd w:val="clear" w:color="auto" w:fill="EAEAEA"/>
          </w:tcPr>
          <w:p>
            <w:pPr>
              <w:ind w:left="120"/>
              <w:spacing w:after="0"/>
              <w:rPr>
                <w:sz w:val="20"/>
                <w:szCs w:val="20"/>
                <w:color w:val="auto"/>
              </w:rPr>
            </w:pPr>
            <w:r>
              <w:rPr>
                <w:rFonts w:ascii="Arial" w:cs="Arial" w:eastAsia="Arial" w:hAnsi="Arial"/>
                <w:sz w:val="16"/>
                <w:szCs w:val="16"/>
                <w:color w:val="092E44"/>
              </w:rPr>
              <w:t>Ratification of the independent</w:t>
            </w:r>
          </w:p>
        </w:tc>
        <w:tc>
          <w:tcPr>
            <w:tcW w:w="1680" w:type="dxa"/>
            <w:vAlign w:val="bottom"/>
            <w:shd w:val="clear" w:color="auto" w:fill="EAEAEA"/>
          </w:tcPr>
          <w:p>
            <w:pPr>
              <w:ind w:left="80"/>
              <w:spacing w:after="0"/>
              <w:rPr>
                <w:sz w:val="20"/>
                <w:szCs w:val="20"/>
                <w:color w:val="auto"/>
              </w:rPr>
            </w:pPr>
            <w:r>
              <w:rPr>
                <w:rFonts w:ascii="Arial" w:cs="Arial" w:eastAsia="Arial" w:hAnsi="Arial"/>
                <w:sz w:val="16"/>
                <w:szCs w:val="16"/>
                <w:color w:val="092E44"/>
              </w:rPr>
              <w:t>FOR, AGAINST, or</w:t>
            </w:r>
          </w:p>
        </w:tc>
        <w:tc>
          <w:tcPr>
            <w:tcW w:w="1540" w:type="dxa"/>
            <w:vAlign w:val="bottom"/>
            <w:shd w:val="clear" w:color="auto" w:fill="EAEAEA"/>
          </w:tcPr>
          <w:p>
            <w:pPr>
              <w:ind w:left="260"/>
              <w:spacing w:after="0"/>
              <w:rPr>
                <w:sz w:val="20"/>
                <w:szCs w:val="20"/>
                <w:color w:val="auto"/>
              </w:rPr>
            </w:pPr>
            <w:r>
              <w:rPr>
                <w:rFonts w:ascii="Arial" w:cs="Arial" w:eastAsia="Arial" w:hAnsi="Arial"/>
                <w:sz w:val="16"/>
                <w:szCs w:val="16"/>
                <w:b w:val="1"/>
                <w:bCs w:val="1"/>
                <w:color w:val="844896"/>
              </w:rPr>
              <w:t>FOR</w:t>
            </w:r>
          </w:p>
        </w:tc>
        <w:tc>
          <w:tcPr>
            <w:tcW w:w="4220" w:type="dxa"/>
            <w:vAlign w:val="bottom"/>
            <w:shd w:val="clear" w:color="auto" w:fill="EAEAEA"/>
          </w:tcPr>
          <w:p>
            <w:pPr>
              <w:ind w:left="200"/>
              <w:spacing w:after="0"/>
              <w:rPr>
                <w:sz w:val="20"/>
                <w:szCs w:val="20"/>
                <w:color w:val="auto"/>
              </w:rPr>
            </w:pPr>
            <w:r>
              <w:rPr>
                <w:rFonts w:ascii="Arial" w:cs="Arial" w:eastAsia="Arial" w:hAnsi="Arial"/>
                <w:sz w:val="16"/>
                <w:szCs w:val="16"/>
                <w:color w:val="092E44"/>
              </w:rPr>
              <w:t>The affirmative vote of a majority of the votes cast on</w:t>
            </w:r>
          </w:p>
        </w:tc>
        <w:tc>
          <w:tcPr>
            <w:tcW w:w="1400" w:type="dxa"/>
            <w:vAlign w:val="bottom"/>
            <w:shd w:val="clear" w:color="auto" w:fill="EAEAEA"/>
          </w:tcPr>
          <w:p>
            <w:pPr>
              <w:ind w:left="100"/>
              <w:spacing w:after="0"/>
              <w:rPr>
                <w:sz w:val="20"/>
                <w:szCs w:val="20"/>
                <w:color w:val="auto"/>
              </w:rPr>
            </w:pPr>
            <w:r>
              <w:rPr>
                <w:rFonts w:ascii="Arial" w:cs="Arial" w:eastAsia="Arial" w:hAnsi="Arial"/>
                <w:sz w:val="16"/>
                <w:szCs w:val="16"/>
                <w:color w:val="092E44"/>
              </w:rPr>
              <w:t>No effect</w:t>
            </w:r>
          </w:p>
        </w:tc>
        <w:tc>
          <w:tcPr>
            <w:tcW w:w="0" w:type="dxa"/>
            <w:vAlign w:val="bottom"/>
          </w:tcPr>
          <w:p>
            <w:pPr>
              <w:spacing w:after="0"/>
              <w:rPr>
                <w:sz w:val="1"/>
                <w:szCs w:val="1"/>
                <w:color w:val="auto"/>
              </w:rPr>
            </w:pPr>
          </w:p>
        </w:tc>
      </w:tr>
      <w:tr>
        <w:trPr>
          <w:trHeight w:val="230"/>
        </w:trPr>
        <w:tc>
          <w:tcPr>
            <w:tcW w:w="2400" w:type="dxa"/>
            <w:vAlign w:val="bottom"/>
            <w:shd w:val="clear" w:color="auto" w:fill="EAEAEA"/>
          </w:tcPr>
          <w:p>
            <w:pPr>
              <w:ind w:left="120"/>
              <w:spacing w:after="0"/>
              <w:rPr>
                <w:sz w:val="20"/>
                <w:szCs w:val="20"/>
                <w:color w:val="auto"/>
              </w:rPr>
            </w:pPr>
            <w:r>
              <w:rPr>
                <w:rFonts w:ascii="Arial" w:cs="Arial" w:eastAsia="Arial" w:hAnsi="Arial"/>
                <w:sz w:val="16"/>
                <w:szCs w:val="16"/>
                <w:color w:val="092E44"/>
              </w:rPr>
              <w:t>auditors</w:t>
            </w:r>
          </w:p>
        </w:tc>
        <w:tc>
          <w:tcPr>
            <w:tcW w:w="1680" w:type="dxa"/>
            <w:vAlign w:val="bottom"/>
            <w:shd w:val="clear" w:color="auto" w:fill="EAEAEA"/>
          </w:tcPr>
          <w:p>
            <w:pPr>
              <w:ind w:left="80"/>
              <w:spacing w:after="0"/>
              <w:rPr>
                <w:sz w:val="20"/>
                <w:szCs w:val="20"/>
                <w:color w:val="auto"/>
              </w:rPr>
            </w:pPr>
            <w:r>
              <w:rPr>
                <w:rFonts w:ascii="Arial" w:cs="Arial" w:eastAsia="Arial" w:hAnsi="Arial"/>
                <w:sz w:val="16"/>
                <w:szCs w:val="16"/>
                <w:color w:val="092E44"/>
              </w:rPr>
              <w:t>ABSTAIN</w:t>
            </w:r>
          </w:p>
        </w:tc>
        <w:tc>
          <w:tcPr>
            <w:tcW w:w="1540" w:type="dxa"/>
            <w:vAlign w:val="bottom"/>
            <w:shd w:val="clear" w:color="auto" w:fill="EAEAEA"/>
          </w:tcPr>
          <w:p>
            <w:pPr>
              <w:spacing w:after="0"/>
              <w:rPr>
                <w:sz w:val="20"/>
                <w:szCs w:val="20"/>
                <w:color w:val="auto"/>
              </w:rPr>
            </w:pPr>
          </w:p>
        </w:tc>
        <w:tc>
          <w:tcPr>
            <w:tcW w:w="4220" w:type="dxa"/>
            <w:vAlign w:val="bottom"/>
            <w:shd w:val="clear" w:color="auto" w:fill="EAEAEA"/>
          </w:tcPr>
          <w:p>
            <w:pPr>
              <w:ind w:left="200"/>
              <w:spacing w:after="0"/>
              <w:rPr>
                <w:sz w:val="20"/>
                <w:szCs w:val="20"/>
                <w:color w:val="auto"/>
              </w:rPr>
            </w:pPr>
            <w:r>
              <w:rPr>
                <w:rFonts w:ascii="Arial" w:cs="Arial" w:eastAsia="Arial" w:hAnsi="Arial"/>
                <w:sz w:val="16"/>
                <w:szCs w:val="16"/>
                <w:color w:val="092E44"/>
              </w:rPr>
              <w:t>the proposal.</w:t>
            </w:r>
          </w:p>
        </w:tc>
        <w:tc>
          <w:tcPr>
            <w:tcW w:w="140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320" w:hanging="312"/>
        <w:spacing w:after="0"/>
        <w:tabs>
          <w:tab w:leader="none" w:pos="320" w:val="left"/>
        </w:tabs>
        <w:numPr>
          <w:ilvl w:val="0"/>
          <w:numId w:val="61"/>
        </w:numPr>
        <w:rPr>
          <w:rFonts w:ascii="Arial" w:cs="Arial" w:eastAsia="Arial" w:hAnsi="Arial"/>
          <w:sz w:val="13"/>
          <w:szCs w:val="13"/>
          <w:color w:val="00053B"/>
        </w:rPr>
      </w:pPr>
      <w:r>
        <w:rPr>
          <w:rFonts w:ascii="Arial" w:cs="Arial" w:eastAsia="Arial" w:hAnsi="Arial"/>
          <w:sz w:val="13"/>
          <w:szCs w:val="13"/>
          <w:color w:val="00053B"/>
        </w:rPr>
        <w:t>For an explanation of broker non-votes, please see “How can I vote if I hold my Commvault stock through a broker?”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How can I vote if I do not plan to attend the Annual Meeting?</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00053B"/>
        </w:rPr>
        <w:t>Registered stockholders of record may provide voting instructions before the Annual Meeting in one of three ways:</w:t>
      </w:r>
    </w:p>
    <w:p>
      <w:pPr>
        <w:spacing w:after="0" w:line="305" w:lineRule="exact"/>
        <w:rPr>
          <w:sz w:val="20"/>
          <w:szCs w:val="20"/>
          <w:color w:val="auto"/>
        </w:rPr>
      </w:pPr>
    </w:p>
    <w:p>
      <w:pPr>
        <w:ind w:left="940"/>
        <w:spacing w:after="0"/>
        <w:tabs>
          <w:tab w:leader="none" w:pos="3808" w:val="left"/>
        </w:tabs>
        <w:rPr>
          <w:sz w:val="20"/>
          <w:szCs w:val="20"/>
          <w:color w:val="auto"/>
        </w:rPr>
      </w:pPr>
      <w:r>
        <w:rPr>
          <w:rFonts w:ascii="Arial" w:cs="Arial" w:eastAsia="Arial" w:hAnsi="Arial"/>
          <w:sz w:val="18"/>
          <w:szCs w:val="18"/>
          <w:b w:val="1"/>
          <w:bCs w:val="1"/>
          <w:color w:val="844896"/>
        </w:rPr>
        <w:t>Mail</w:t>
      </w:r>
      <w:r>
        <w:rPr>
          <w:sz w:val="20"/>
          <w:szCs w:val="20"/>
          <w:color w:val="auto"/>
        </w:rPr>
        <w:tab/>
      </w:r>
      <w:r>
        <w:rPr>
          <w:sz w:val="1"/>
          <w:szCs w:val="1"/>
          <w:color w:val="auto"/>
        </w:rPr>
        <w:drawing>
          <wp:inline distT="0" distB="0" distL="0" distR="0">
            <wp:extent cx="325755" cy="31686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325755" cy="316865"/>
                    </a:xfrm>
                    <a:prstGeom prst="rect">
                      <a:avLst/>
                    </a:prstGeom>
                    <a:noFill/>
                    <a:ln>
                      <a:noFill/>
                    </a:ln>
                  </pic:spPr>
                </pic:pic>
              </a:graphicData>
            </a:graphic>
          </wp:inline>
        </w:drawing>
      </w:r>
      <w:r>
        <w:rPr>
          <w:rFonts w:ascii="Arial" w:cs="Arial" w:eastAsia="Arial" w:hAnsi="Arial"/>
          <w:sz w:val="18"/>
          <w:szCs w:val="18"/>
          <w:b w:val="1"/>
          <w:bCs w:val="1"/>
          <w:color w:val="844896"/>
        </w:rPr>
        <w:t xml:space="preserve">   Online Before the Meeting       </w:t>
      </w:r>
      <w:r>
        <w:rPr>
          <w:sz w:val="1"/>
          <w:szCs w:val="1"/>
          <w:color w:val="auto"/>
        </w:rPr>
        <w:drawing>
          <wp:inline distT="0" distB="0" distL="0" distR="0">
            <wp:extent cx="325755" cy="31686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325755" cy="316865"/>
                    </a:xfrm>
                    <a:prstGeom prst="rect">
                      <a:avLst/>
                    </a:prstGeom>
                    <a:noFill/>
                    <a:ln>
                      <a:noFill/>
                    </a:ln>
                  </pic:spPr>
                </pic:pic>
              </a:graphicData>
            </a:graphic>
          </wp:inline>
        </w:drawing>
      </w:r>
      <w:r>
        <w:rPr>
          <w:rFonts w:ascii="Arial" w:cs="Arial" w:eastAsia="Arial" w:hAnsi="Arial"/>
          <w:sz w:val="18"/>
          <w:szCs w:val="18"/>
          <w:b w:val="1"/>
          <w:bCs w:val="1"/>
          <w:color w:val="844896"/>
        </w:rPr>
        <w:t xml:space="preserve">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-307975</wp:posOffset>
            </wp:positionV>
            <wp:extent cx="325755" cy="291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325755" cy="29146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94"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00053B"/>
        </w:rPr>
        <w:t>Sign, date and return your proxy card in the enclosed envelope</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color w:val="00053B"/>
        </w:rPr>
        <w:t xml:space="preserve">Visit </w:t>
      </w:r>
      <w:r>
        <w:rPr>
          <w:rFonts w:ascii="Arial" w:cs="Arial" w:eastAsia="Arial" w:hAnsi="Arial"/>
          <w:sz w:val="16"/>
          <w:szCs w:val="16"/>
          <w:u w:val="single" w:color="auto"/>
          <w:color w:val="844896"/>
        </w:rPr>
        <w:t>www.investorvote.com/CVLT</w:t>
      </w:r>
      <w:r>
        <w:rPr>
          <w:rFonts w:ascii="Arial" w:cs="Arial" w:eastAsia="Arial" w:hAnsi="Arial"/>
          <w:sz w:val="16"/>
          <w:szCs w:val="16"/>
          <w:color w:val="00053B"/>
        </w:rPr>
        <w:t xml:space="preserve"> and finish voting Call the telephone number on your proxy card before 3:00 a.m. EST on August 7, 2024.</w:t>
      </w:r>
    </w:p>
    <w:p>
      <w:pPr>
        <w:spacing w:after="0" w:line="155" w:lineRule="exact"/>
        <w:rPr>
          <w:sz w:val="20"/>
          <w:szCs w:val="20"/>
          <w:color w:val="auto"/>
        </w:rPr>
      </w:pPr>
    </w:p>
    <w:p>
      <w:pPr>
        <w:sectPr>
          <w:pgSz w:w="11900" w:h="16838" w:orient="portrait"/>
          <w:cols w:equalWidth="0" w:num="2">
            <w:col w:w="3320" w:space="520"/>
            <w:col w:w="7400"/>
          </w:cols>
          <w:pgMar w:left="320" w:top="122" w:right="339" w:bottom="1440" w:gutter="0" w:footer="0" w:header="0"/>
          <w:type w:val="continuous"/>
        </w:sectPr>
      </w:pPr>
    </w:p>
    <w:p>
      <w:pPr>
        <w:ind w:right="580"/>
        <w:spacing w:after="0" w:line="304" w:lineRule="auto"/>
        <w:rPr>
          <w:sz w:val="20"/>
          <w:szCs w:val="20"/>
          <w:color w:val="auto"/>
        </w:rPr>
      </w:pPr>
      <w:r>
        <w:rPr>
          <w:rFonts w:ascii="Arial" w:cs="Arial" w:eastAsia="Arial" w:hAnsi="Arial"/>
          <w:sz w:val="16"/>
          <w:szCs w:val="16"/>
          <w:color w:val="00053B"/>
        </w:rPr>
        <w:t>All properly completed, unrevoked proxies received prior to the close of voting at the Annual Meeting will be voted in accordance with the instructions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56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63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60"/>
        <w:spacing w:after="0"/>
        <w:rPr>
          <w:sz w:val="20"/>
          <w:szCs w:val="20"/>
          <w:color w:val="auto"/>
        </w:rPr>
      </w:pPr>
      <w:r>
        <w:rPr>
          <w:rFonts w:ascii="Arial" w:cs="Arial" w:eastAsia="Arial" w:hAnsi="Arial"/>
          <w:sz w:val="11"/>
          <w:szCs w:val="11"/>
          <w:color w:val="00053B"/>
        </w:rPr>
        <w:t>ADDITIONAL INFORMATION ABOUT THE ANNUAL MEETING</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How can I vote if I hold my Commvault stock through a broker?</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6"/>
          <w:szCs w:val="16"/>
          <w:color w:val="00053B"/>
        </w:rPr>
        <w:t>If you hold your shares through a bank, broker, or other nominee (meaning you are the “beneficial owner” of shares owned by someone else) your broker will ask how you want your shares to be voted. If you give voting instructions, your broker will vote your shares as you direct. If you do not provide voting instructions, your broker is only permitted to vote your shares on Proposal No. 3 regarding ratification of the auditors. Brokers holding shares beneficially owned by their clients do not have the authority to cast votes with respect to the election of directors or executive compensation unless they have received instructions from the beneficial owner of the shares. If you do not provide instructions to your broker, your vote will not be counted with respect to Proposal No. 1 (the election of nine directors for a one-year term) or Proposal No. 2 (the advisory vote on executive compensation). This is called a “broker non-vote.” Please submit voting instructions to your broker by 11:59 p.m. Eastern time on August 7, 2024.</w:t>
      </w:r>
    </w:p>
    <w:p>
      <w:pPr>
        <w:spacing w:after="0" w:line="314"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What if I return a proxy card but don’t mark all of my choices?</w:t>
      </w:r>
    </w:p>
    <w:p>
      <w:pPr>
        <w:spacing w:after="0" w:line="7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00053B"/>
        </w:rPr>
        <w:t>If we have a properly executed, unrevoked proxy card that does not specifically direct the voting of shares, the shares represented by such proxy will be voted (i) FOR the election of all nominees for election as director described in this proxy statement, (ii) FOR approval, on an advisory basis, of our executive compensation, (iii) FOR the ratification of the appointment of Ernst &amp; Young LLP as our independent public accountants for the fiscal year ending March 31, 2025, and (iv) in accordance with the judgment of the individuals named on the proxy card as to such other matters as may properly come before the Annual Meeting.</w:t>
      </w: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What if I change my mind after I vote?</w:t>
      </w:r>
    </w:p>
    <w:p>
      <w:pPr>
        <w:spacing w:after="0" w:line="87"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00053B"/>
        </w:rPr>
        <w:t>You can revoke your proxy at any time prior to the voting at the Annual Meeting by submitting a later-dated proxy (including a later-dated proxy via the Internet or telephone), by giving timely written notice of such revocation to our Corporate Secretary, or by attending the Annual Meeting and voting in person (virtually). If you attend the Annual Meeting and do not vote, it will not affect any previously submitted proxy or voting instructions.</w:t>
      </w: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Who is paying for this solicitation?</w:t>
      </w:r>
    </w:p>
    <w:p>
      <w:pPr>
        <w:spacing w:after="0" w:line="74"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00053B"/>
        </w:rPr>
        <w:t>Commvault will pay all expenses related to the solicitation of proxies. Solicitation will be made by mail, and may be made by directors, officers, and employees, personally or by telephone, email, or other electronic means. Proxy cards and material also will be distributed to beneficial owners of our stock through brokers, custodians, nominees, and other like parties, and we expect to reimburse such parties for their charges and expenses.</w:t>
      </w: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b w:val="1"/>
          <w:bCs w:val="1"/>
          <w:color w:val="844896"/>
        </w:rPr>
        <w:t>How can I submit a proposal or a nomination for the 2025 Annual Meeting?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00053B"/>
        </w:rPr>
        <w:t>Stockholder proposals to be included in Commvault’s Proxy Statement</w:t>
      </w:r>
    </w:p>
    <w:p>
      <w:pPr>
        <w:spacing w:after="0" w:line="68"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00053B"/>
        </w:rPr>
        <w:t>We must receive any stockholder proposal to be considered for inclusion in our proxy statement and form of proxy relating to the 2025 Annual Meeting of stockholders by February 25, 2025. Such submissions must comply with applicable SEC rules, including without limitation Rule 14a-8.</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00053B"/>
        </w:rPr>
        <w:t>Stockholder nominations under proxy access</w:t>
      </w:r>
    </w:p>
    <w:p>
      <w:pPr>
        <w:spacing w:after="0" w:line="54"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00053B"/>
        </w:rPr>
        <w:t>Our Bylaws permit qualifying stockholders to include a certain number of director nominees in our proxy statement. For any such nomination for our 2025 Annual Meeting to be timely, we must receive notice and certain required information at our principal executive offices between January 26, 2025 and February 25, 2025. Stockholders who make nominations pursuant to our proxy access provision should be mindful of the requirements set forth in our Bylaws, which are available on the Investor Relations section of our website.</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57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631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60"/>
        <w:spacing w:after="0"/>
        <w:rPr>
          <w:sz w:val="20"/>
          <w:szCs w:val="20"/>
          <w:color w:val="auto"/>
        </w:rPr>
      </w:pPr>
      <w:r>
        <w:rPr>
          <w:rFonts w:ascii="Arial" w:cs="Arial" w:eastAsia="Arial" w:hAnsi="Arial"/>
          <w:sz w:val="11"/>
          <w:szCs w:val="11"/>
          <w:color w:val="00053B"/>
        </w:rPr>
        <w:t>ADDITIONAL INFORMATION ABOUT THE ANNUAL MEETING</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00053B"/>
        </w:rPr>
        <w:t>Other stockholder proposals</w:t>
      </w:r>
    </w:p>
    <w:p>
      <w:pPr>
        <w:spacing w:after="0" w:line="68"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00053B"/>
        </w:rPr>
        <w:t>If you wish to submit a proposal for consideration at the 2025 Annual Meeting or to nominate a candidate for election as a director at that meeting without utilizing our proxy access provision, we must receive notice and certain required information at our principal executive offices no later than March 27, 2025. Any such notice must describe the proposal or nomination in sufficient detail for the matter to be summarized on the agenda for the meeting. Among other things, the notice must set forth:</w:t>
      </w:r>
    </w:p>
    <w:p>
      <w:pPr>
        <w:spacing w:after="0" w:line="11" w:lineRule="exact"/>
        <w:rPr>
          <w:sz w:val="20"/>
          <w:szCs w:val="20"/>
          <w:color w:val="auto"/>
        </w:rPr>
      </w:pPr>
    </w:p>
    <w:p>
      <w:pPr>
        <w:ind w:left="300" w:right="120" w:hanging="130"/>
        <w:spacing w:after="0" w:line="290" w:lineRule="auto"/>
        <w:tabs>
          <w:tab w:leader="none" w:pos="294" w:val="left"/>
        </w:tabs>
        <w:numPr>
          <w:ilvl w:val="0"/>
          <w:numId w:val="62"/>
        </w:numPr>
        <w:rPr>
          <w:rFonts w:ascii="Times New Roman" w:cs="Times New Roman" w:eastAsia="Times New Roman" w:hAnsi="Times New Roman"/>
          <w:sz w:val="16"/>
          <w:szCs w:val="16"/>
          <w:color w:val="00053B"/>
        </w:rPr>
      </w:pPr>
      <w:r>
        <w:rPr>
          <w:rFonts w:ascii="Arial" w:cs="Arial" w:eastAsia="Arial" w:hAnsi="Arial"/>
          <w:sz w:val="16"/>
          <w:szCs w:val="16"/>
          <w:color w:val="00053B"/>
        </w:rPr>
        <w:t>the name and address, as it appears on our books, of the stockholder who intends to make the proposal or nomination and the beneficial owner, if any, on whose behalf the nomination or proposal is made;</w:t>
      </w:r>
    </w:p>
    <w:p>
      <w:pPr>
        <w:ind w:left="300" w:right="120" w:hanging="130"/>
        <w:spacing w:after="0" w:line="285" w:lineRule="auto"/>
        <w:tabs>
          <w:tab w:leader="none" w:pos="294" w:val="left"/>
        </w:tabs>
        <w:numPr>
          <w:ilvl w:val="0"/>
          <w:numId w:val="62"/>
        </w:numPr>
        <w:rPr>
          <w:rFonts w:ascii="Times New Roman" w:cs="Times New Roman" w:eastAsia="Times New Roman" w:hAnsi="Times New Roman"/>
          <w:sz w:val="16"/>
          <w:szCs w:val="16"/>
          <w:color w:val="00053B"/>
        </w:rPr>
      </w:pPr>
      <w:r>
        <w:rPr>
          <w:rFonts w:ascii="Arial" w:cs="Arial" w:eastAsia="Arial" w:hAnsi="Arial"/>
          <w:sz w:val="16"/>
          <w:szCs w:val="16"/>
          <w:color w:val="00053B"/>
        </w:rPr>
        <w:t>a representation that the stockholder is a holder of record of our stock entitled to vote at the meeting and intends to appear in person or by proxy at the meeting to present such proposal or nomination;</w:t>
      </w:r>
    </w:p>
    <w:p>
      <w:pPr>
        <w:spacing w:after="0" w:line="7" w:lineRule="exact"/>
        <w:rPr>
          <w:rFonts w:ascii="Times New Roman" w:cs="Times New Roman" w:eastAsia="Times New Roman" w:hAnsi="Times New Roman"/>
          <w:sz w:val="16"/>
          <w:szCs w:val="16"/>
          <w:color w:val="00053B"/>
        </w:rPr>
      </w:pPr>
    </w:p>
    <w:p>
      <w:pPr>
        <w:ind w:left="300" w:hanging="130"/>
        <w:spacing w:after="0"/>
        <w:tabs>
          <w:tab w:leader="none" w:pos="300" w:val="left"/>
        </w:tabs>
        <w:numPr>
          <w:ilvl w:val="0"/>
          <w:numId w:val="62"/>
        </w:numPr>
        <w:rPr>
          <w:rFonts w:ascii="Times New Roman" w:cs="Times New Roman" w:eastAsia="Times New Roman" w:hAnsi="Times New Roman"/>
          <w:sz w:val="16"/>
          <w:szCs w:val="16"/>
          <w:color w:val="00053B"/>
        </w:rPr>
      </w:pPr>
      <w:r>
        <w:rPr>
          <w:rFonts w:ascii="Arial" w:cs="Arial" w:eastAsia="Arial" w:hAnsi="Arial"/>
          <w:sz w:val="16"/>
          <w:szCs w:val="16"/>
          <w:color w:val="00053B"/>
        </w:rPr>
        <w:t>whether the stockholder plans to deliver or solicit proxies from other stockholders; and</w:t>
      </w:r>
    </w:p>
    <w:p>
      <w:pPr>
        <w:spacing w:after="0" w:line="58" w:lineRule="exact"/>
        <w:rPr>
          <w:rFonts w:ascii="Times New Roman" w:cs="Times New Roman" w:eastAsia="Times New Roman" w:hAnsi="Times New Roman"/>
          <w:sz w:val="16"/>
          <w:szCs w:val="16"/>
          <w:color w:val="00053B"/>
        </w:rPr>
      </w:pPr>
    </w:p>
    <w:p>
      <w:pPr>
        <w:ind w:left="300" w:hanging="130"/>
        <w:spacing w:after="0"/>
        <w:tabs>
          <w:tab w:leader="none" w:pos="300" w:val="left"/>
        </w:tabs>
        <w:numPr>
          <w:ilvl w:val="0"/>
          <w:numId w:val="62"/>
        </w:numPr>
        <w:rPr>
          <w:rFonts w:ascii="Times New Roman" w:cs="Times New Roman" w:eastAsia="Times New Roman" w:hAnsi="Times New Roman"/>
          <w:sz w:val="16"/>
          <w:szCs w:val="16"/>
          <w:color w:val="00053B"/>
        </w:rPr>
      </w:pPr>
      <w:r>
        <w:rPr>
          <w:rFonts w:ascii="Arial" w:cs="Arial" w:eastAsia="Arial" w:hAnsi="Arial"/>
          <w:sz w:val="16"/>
          <w:szCs w:val="16"/>
          <w:color w:val="00053B"/>
        </w:rPr>
        <w:t>the class and number of our shares that the stockholder beneficially owns.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00053B"/>
        </w:rPr>
        <w:t>If you are nominating a candidate to be elected as a director, your notice must include the following additional information:</w:t>
      </w:r>
    </w:p>
    <w:p>
      <w:pPr>
        <w:spacing w:after="0" w:line="113" w:lineRule="exact"/>
        <w:rPr>
          <w:sz w:val="20"/>
          <w:szCs w:val="20"/>
          <w:color w:val="auto"/>
        </w:rPr>
      </w:pPr>
    </w:p>
    <w:p>
      <w:pPr>
        <w:ind w:left="380" w:hanging="210"/>
        <w:spacing w:after="0"/>
        <w:tabs>
          <w:tab w:leader="none" w:pos="380" w:val="left"/>
        </w:tabs>
        <w:numPr>
          <w:ilvl w:val="0"/>
          <w:numId w:val="63"/>
        </w:numPr>
        <w:rPr>
          <w:rFonts w:ascii="Arial" w:cs="Arial" w:eastAsia="Arial" w:hAnsi="Arial"/>
          <w:sz w:val="16"/>
          <w:szCs w:val="16"/>
          <w:color w:val="00053B"/>
        </w:rPr>
      </w:pPr>
      <w:r>
        <w:rPr>
          <w:rFonts w:ascii="Arial" w:cs="Arial" w:eastAsia="Arial" w:hAnsi="Arial"/>
          <w:sz w:val="16"/>
          <w:szCs w:val="16"/>
          <w:color w:val="00053B"/>
        </w:rPr>
        <w:t>the name and address of any person to be nominated,</w:t>
      </w:r>
    </w:p>
    <w:p>
      <w:pPr>
        <w:spacing w:after="0" w:line="126" w:lineRule="exact"/>
        <w:rPr>
          <w:rFonts w:ascii="Arial" w:cs="Arial" w:eastAsia="Arial" w:hAnsi="Arial"/>
          <w:sz w:val="16"/>
          <w:szCs w:val="16"/>
          <w:color w:val="00053B"/>
        </w:rPr>
      </w:pPr>
    </w:p>
    <w:p>
      <w:pPr>
        <w:ind w:left="180" w:right="620" w:hanging="10"/>
        <w:spacing w:after="0" w:line="304" w:lineRule="auto"/>
        <w:tabs>
          <w:tab w:leader="none" w:pos="420" w:val="left"/>
        </w:tabs>
        <w:numPr>
          <w:ilvl w:val="0"/>
          <w:numId w:val="63"/>
        </w:numPr>
        <w:rPr>
          <w:rFonts w:ascii="Arial" w:cs="Arial" w:eastAsia="Arial" w:hAnsi="Arial"/>
          <w:sz w:val="16"/>
          <w:szCs w:val="16"/>
          <w:color w:val="00053B"/>
        </w:rPr>
      </w:pPr>
      <w:r>
        <w:rPr>
          <w:rFonts w:ascii="Arial" w:cs="Arial" w:eastAsia="Arial" w:hAnsi="Arial"/>
          <w:sz w:val="16"/>
          <w:szCs w:val="16"/>
          <w:color w:val="00053B"/>
        </w:rPr>
        <w:t>a description of all arrangements or understandings between you and each nominee and any other person or persons (naming such person or persons) pursuant to which the nomination or nominations are to be made,</w:t>
      </w:r>
    </w:p>
    <w:p>
      <w:pPr>
        <w:spacing w:after="0" w:line="46" w:lineRule="exact"/>
        <w:rPr>
          <w:rFonts w:ascii="Arial" w:cs="Arial" w:eastAsia="Arial" w:hAnsi="Arial"/>
          <w:sz w:val="16"/>
          <w:szCs w:val="16"/>
          <w:color w:val="00053B"/>
        </w:rPr>
      </w:pPr>
    </w:p>
    <w:p>
      <w:pPr>
        <w:ind w:left="180" w:right="180" w:hanging="10"/>
        <w:spacing w:after="0" w:line="304" w:lineRule="auto"/>
        <w:tabs>
          <w:tab w:leader="none" w:pos="456" w:val="left"/>
        </w:tabs>
        <w:numPr>
          <w:ilvl w:val="0"/>
          <w:numId w:val="63"/>
        </w:numPr>
        <w:rPr>
          <w:rFonts w:ascii="Arial" w:cs="Arial" w:eastAsia="Arial" w:hAnsi="Arial"/>
          <w:sz w:val="16"/>
          <w:szCs w:val="16"/>
          <w:color w:val="00053B"/>
        </w:rPr>
      </w:pPr>
      <w:r>
        <w:rPr>
          <w:rFonts w:ascii="Arial" w:cs="Arial" w:eastAsia="Arial" w:hAnsi="Arial"/>
          <w:sz w:val="16"/>
          <w:szCs w:val="16"/>
          <w:color w:val="00053B"/>
        </w:rPr>
        <w:t>such other information regarding each nominee as would be required to be included in a proxy statement filed pursuant to Regulation 14A under the Securities Exchange Act of 1934, as amended,</w:t>
      </w:r>
    </w:p>
    <w:p>
      <w:pPr>
        <w:spacing w:after="0" w:line="33" w:lineRule="exact"/>
        <w:rPr>
          <w:rFonts w:ascii="Arial" w:cs="Arial" w:eastAsia="Arial" w:hAnsi="Arial"/>
          <w:sz w:val="16"/>
          <w:szCs w:val="16"/>
          <w:color w:val="00053B"/>
        </w:rPr>
      </w:pPr>
    </w:p>
    <w:p>
      <w:pPr>
        <w:ind w:left="460" w:hanging="290"/>
        <w:spacing w:after="0"/>
        <w:tabs>
          <w:tab w:leader="none" w:pos="460" w:val="left"/>
        </w:tabs>
        <w:numPr>
          <w:ilvl w:val="0"/>
          <w:numId w:val="63"/>
        </w:numPr>
        <w:rPr>
          <w:rFonts w:ascii="Arial" w:cs="Arial" w:eastAsia="Arial" w:hAnsi="Arial"/>
          <w:sz w:val="16"/>
          <w:szCs w:val="16"/>
          <w:color w:val="00053B"/>
        </w:rPr>
      </w:pPr>
      <w:r>
        <w:rPr>
          <w:rFonts w:ascii="Arial" w:cs="Arial" w:eastAsia="Arial" w:hAnsi="Arial"/>
          <w:sz w:val="16"/>
          <w:szCs w:val="16"/>
          <w:color w:val="00053B"/>
        </w:rPr>
        <w:t>the consent of each nominee to serve as a director if so elected, and</w:t>
      </w:r>
    </w:p>
    <w:p>
      <w:pPr>
        <w:spacing w:after="0" w:line="126" w:lineRule="exact"/>
        <w:rPr>
          <w:rFonts w:ascii="Arial" w:cs="Arial" w:eastAsia="Arial" w:hAnsi="Arial"/>
          <w:sz w:val="16"/>
          <w:szCs w:val="16"/>
          <w:color w:val="00053B"/>
        </w:rPr>
      </w:pPr>
    </w:p>
    <w:p>
      <w:pPr>
        <w:ind w:left="420" w:hanging="250"/>
        <w:spacing w:after="0"/>
        <w:tabs>
          <w:tab w:leader="none" w:pos="420" w:val="left"/>
        </w:tabs>
        <w:numPr>
          <w:ilvl w:val="0"/>
          <w:numId w:val="63"/>
        </w:numPr>
        <w:rPr>
          <w:rFonts w:ascii="Arial" w:cs="Arial" w:eastAsia="Arial" w:hAnsi="Arial"/>
          <w:sz w:val="16"/>
          <w:szCs w:val="16"/>
          <w:color w:val="00053B"/>
        </w:rPr>
      </w:pPr>
      <w:r>
        <w:rPr>
          <w:rFonts w:ascii="Arial" w:cs="Arial" w:eastAsia="Arial" w:hAnsi="Arial"/>
          <w:sz w:val="16"/>
          <w:szCs w:val="16"/>
          <w:color w:val="00053B"/>
        </w:rPr>
        <w:t>such other information as is set forth in our Bylaws, which are available on the Investor Relations section of our website.</w:t>
      </w:r>
    </w:p>
    <w:p>
      <w:pPr>
        <w:spacing w:after="0" w:line="86" w:lineRule="exact"/>
        <w:rPr>
          <w:sz w:val="20"/>
          <w:szCs w:val="20"/>
          <w:color w:val="auto"/>
        </w:rPr>
      </w:pPr>
    </w:p>
    <w:p>
      <w:pPr>
        <w:spacing w:after="0" w:line="266" w:lineRule="auto"/>
        <w:rPr>
          <w:sz w:val="20"/>
          <w:szCs w:val="20"/>
          <w:color w:val="auto"/>
        </w:rPr>
      </w:pPr>
      <w:r>
        <w:rPr>
          <w:rFonts w:ascii="Arial" w:cs="Arial" w:eastAsia="Arial" w:hAnsi="Arial"/>
          <w:sz w:val="16"/>
          <w:szCs w:val="16"/>
          <w:color w:val="00053B"/>
        </w:rPr>
        <w:t>In addition to satisfying the requirements of our Bylaws, including the earlier notice deadlines set out above and therein, to comply with universal proxy rules, stockholders who intend to solicit proxies in support of director nominees other than our nominees must also provide notice that sets forth the information required by Rule 14a-19 of the Securities Exchange Act of 1934, as amended, no later than June 9, 2025.</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00053B"/>
        </w:rPr>
        <w:t>****</w:t>
      </w:r>
    </w:p>
    <w:p>
      <w:pPr>
        <w:spacing w:after="0" w:line="59"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00053B"/>
        </w:rPr>
        <w:t>To the extent this proxy statement is incorporated by reference in any other filing by us under the Securities Act of 1933, as amended, or the Securities Exchange Act of 1934, as amended, the information included or incorporated in the section of this proxy statement entitled “Audit Committee Report” will not be deemed to be incorporated, unless specifically provided otherwise in such filing.</w:t>
      </w:r>
    </w:p>
    <w:p>
      <w:pPr>
        <w:spacing w:after="0" w:line="2"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00053B"/>
        </w:rPr>
        <w:t xml:space="preserve">We will furnish without charge to each person whose proxy is being solicited, upon written request, a copy of our Annual Report on Form 10-K for the fiscal year ended March 31, 2024, as filed with the SEC, including the financial statements and schedules thereto. Requests for copies of such report should be directed to Danielle Sheer, Chief Legal and Trust Officer, and Corporate Secretary Commvault Systems, Inc., 1 Commvault Way, Tinton Falls, New Jersey 07724. A copy of our Annual Report on Form 10-K for the fiscal year ended March 31, 2024, is also being made available concurrently with the proxy statement at </w:t>
      </w:r>
      <w:r>
        <w:rPr>
          <w:rFonts w:ascii="Arial" w:cs="Arial" w:eastAsia="Arial" w:hAnsi="Arial"/>
          <w:sz w:val="16"/>
          <w:szCs w:val="16"/>
          <w:u w:val="single" w:color="auto"/>
          <w:color w:val="844896"/>
        </w:rPr>
        <w:t>www.edocumentview.com/CVLT</w:t>
      </w:r>
      <w:r>
        <w:rPr>
          <w:rFonts w:ascii="Arial" w:cs="Arial" w:eastAsia="Arial" w:hAnsi="Arial"/>
          <w:sz w:val="16"/>
          <w:szCs w:val="16"/>
          <w:color w:val="00053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036955" cy="4457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03695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00053B"/>
        </w:rPr>
        <w:t>Danielle Sheer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00053B"/>
        </w:rPr>
        <w:t>Chief Legal and Trust Officer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58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53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291465</wp:posOffset>
            </wp:positionV>
            <wp:extent cx="6995160" cy="17399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00053B"/>
        </w:rPr>
        <w:t>The following table provides a reconciliation of our reported GAAP results to the non-GAAP financial measures discussed above and used in certain of our named executive officers’ fiscal 2024 compensation arrangements. The following results are based on the accounting principles that were used to prepare the fiscal 2024 consolidated financial statements included in our Annual Report on Form 10-K for the fiscal year ended March 31, 2024. Amounts below are in thousands, except per share data.</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tcPr>
          <w:p>
            <w:pPr>
              <w:spacing w:after="0"/>
              <w:rPr>
                <w:sz w:val="16"/>
                <w:szCs w:val="16"/>
                <w:color w:val="auto"/>
              </w:rPr>
            </w:pPr>
          </w:p>
        </w:tc>
        <w:tc>
          <w:tcPr>
            <w:tcW w:w="2560" w:type="dxa"/>
            <w:vAlign w:val="bottom"/>
            <w:gridSpan w:val="2"/>
          </w:tcPr>
          <w:p>
            <w:pPr>
              <w:jc w:val="right"/>
              <w:ind w:right="279"/>
              <w:spacing w:after="0"/>
              <w:rPr>
                <w:sz w:val="20"/>
                <w:szCs w:val="20"/>
                <w:color w:val="auto"/>
              </w:rPr>
            </w:pPr>
            <w:r>
              <w:rPr>
                <w:rFonts w:ascii="Arial" w:cs="Arial" w:eastAsia="Arial" w:hAnsi="Arial"/>
                <w:sz w:val="14"/>
                <w:szCs w:val="14"/>
                <w:color w:val="00053B"/>
              </w:rPr>
              <w:t>Fiscal Year Ended March 31,</w:t>
            </w:r>
          </w:p>
        </w:tc>
      </w:tr>
      <w:tr>
        <w:trPr>
          <w:trHeight w:val="22"/>
        </w:trPr>
        <w:tc>
          <w:tcPr>
            <w:tcW w:w="8680" w:type="dxa"/>
            <w:vAlign w:val="bottom"/>
          </w:tcPr>
          <w:p>
            <w:pPr>
              <w:spacing w:after="0" w:line="20" w:lineRule="exact"/>
              <w:rPr>
                <w:sz w:val="1"/>
                <w:szCs w:val="1"/>
                <w:color w:val="auto"/>
              </w:rPr>
            </w:pPr>
          </w:p>
        </w:tc>
        <w:tc>
          <w:tcPr>
            <w:tcW w:w="1540" w:type="dxa"/>
            <w:vAlign w:val="bottom"/>
            <w:tcBorders>
              <w:bottom w:val="single" w:sz="8" w:color="844896"/>
            </w:tcBorders>
          </w:tcPr>
          <w:p>
            <w:pPr>
              <w:spacing w:after="0" w:line="20" w:lineRule="exact"/>
              <w:rPr>
                <w:sz w:val="1"/>
                <w:szCs w:val="1"/>
                <w:color w:val="auto"/>
              </w:rPr>
            </w:pPr>
          </w:p>
        </w:tc>
        <w:tc>
          <w:tcPr>
            <w:tcW w:w="1020" w:type="dxa"/>
            <w:vAlign w:val="bottom"/>
            <w:tcBorders>
              <w:bottom w:val="single" w:sz="8" w:color="844896"/>
            </w:tcBorders>
          </w:tcPr>
          <w:p>
            <w:pPr>
              <w:spacing w:after="0" w:line="20" w:lineRule="exact"/>
              <w:rPr>
                <w:sz w:val="1"/>
                <w:szCs w:val="1"/>
                <w:color w:val="auto"/>
              </w:rPr>
            </w:pPr>
          </w:p>
        </w:tc>
      </w:tr>
      <w:tr>
        <w:trPr>
          <w:trHeight w:val="192"/>
        </w:trPr>
        <w:tc>
          <w:tcPr>
            <w:tcW w:w="8680" w:type="dxa"/>
            <w:vAlign w:val="bottom"/>
            <w:tcBorders>
              <w:bottom w:val="single" w:sz="8" w:color="844896"/>
            </w:tcBorders>
          </w:tcPr>
          <w:p>
            <w:pPr>
              <w:spacing w:after="0"/>
              <w:rPr>
                <w:sz w:val="16"/>
                <w:szCs w:val="16"/>
                <w:color w:val="auto"/>
              </w:rPr>
            </w:pPr>
          </w:p>
        </w:tc>
        <w:tc>
          <w:tcPr>
            <w:tcW w:w="1540" w:type="dxa"/>
            <w:vAlign w:val="bottom"/>
            <w:tcBorders>
              <w:bottom w:val="single" w:sz="8" w:color="844896"/>
            </w:tcBorders>
          </w:tcPr>
          <w:p>
            <w:pPr>
              <w:jc w:val="right"/>
              <w:ind w:right="240"/>
              <w:spacing w:after="0"/>
              <w:rPr>
                <w:sz w:val="20"/>
                <w:szCs w:val="20"/>
                <w:color w:val="auto"/>
              </w:rPr>
            </w:pPr>
            <w:r>
              <w:rPr>
                <w:rFonts w:ascii="Arial" w:cs="Arial" w:eastAsia="Arial" w:hAnsi="Arial"/>
                <w:sz w:val="14"/>
                <w:szCs w:val="14"/>
                <w:color w:val="00053B"/>
              </w:rPr>
              <w:t>2024</w:t>
            </w:r>
          </w:p>
        </w:tc>
        <w:tc>
          <w:tcPr>
            <w:tcW w:w="1020" w:type="dxa"/>
            <w:vAlign w:val="bottom"/>
            <w:tcBorders>
              <w:bottom w:val="single" w:sz="8" w:color="844896"/>
            </w:tcBorders>
          </w:tcPr>
          <w:p>
            <w:pPr>
              <w:jc w:val="right"/>
              <w:spacing w:after="0"/>
              <w:rPr>
                <w:sz w:val="20"/>
                <w:szCs w:val="20"/>
                <w:color w:val="auto"/>
              </w:rPr>
            </w:pPr>
            <w:r>
              <w:rPr>
                <w:rFonts w:ascii="Arial" w:cs="Arial" w:eastAsia="Arial" w:hAnsi="Arial"/>
                <w:sz w:val="14"/>
                <w:szCs w:val="14"/>
                <w:color w:val="00053B"/>
              </w:rPr>
              <w:t>2023</w:t>
            </w:r>
          </w:p>
        </w:tc>
      </w:tr>
      <w:tr>
        <w:trPr>
          <w:trHeight w:val="213"/>
        </w:trPr>
        <w:tc>
          <w:tcPr>
            <w:tcW w:w="8680" w:type="dxa"/>
            <w:vAlign w:val="bottom"/>
          </w:tcPr>
          <w:p>
            <w:pPr>
              <w:ind w:left="120"/>
              <w:spacing w:after="0"/>
              <w:rPr>
                <w:sz w:val="20"/>
                <w:szCs w:val="20"/>
                <w:color w:val="auto"/>
              </w:rPr>
            </w:pPr>
            <w:r>
              <w:rPr>
                <w:rFonts w:ascii="Arial" w:cs="Arial" w:eastAsia="Arial" w:hAnsi="Arial"/>
                <w:sz w:val="16"/>
                <w:szCs w:val="16"/>
                <w:b w:val="1"/>
                <w:bCs w:val="1"/>
                <w:color w:val="00053B"/>
              </w:rPr>
              <w:t>Non-GAAP financial measures and reconciliation:</w:t>
            </w:r>
          </w:p>
        </w:tc>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680" w:type="dxa"/>
            <w:vAlign w:val="bottom"/>
            <w:shd w:val="clear" w:color="auto" w:fill="EAEAEA"/>
          </w:tcPr>
          <w:p>
            <w:pPr>
              <w:ind w:left="340"/>
              <w:spacing w:after="0"/>
              <w:rPr>
                <w:sz w:val="20"/>
                <w:szCs w:val="20"/>
                <w:color w:val="auto"/>
              </w:rPr>
            </w:pPr>
            <w:r>
              <w:rPr>
                <w:rFonts w:ascii="Arial" w:cs="Arial" w:eastAsia="Arial" w:hAnsi="Arial"/>
                <w:sz w:val="16"/>
                <w:szCs w:val="16"/>
                <w:color w:val="00053B"/>
              </w:rPr>
              <w:t>GAAP income (loss) from operations</w:t>
            </w:r>
          </w:p>
        </w:tc>
        <w:tc>
          <w:tcPr>
            <w:tcW w:w="1540" w:type="dxa"/>
            <w:vAlign w:val="bottom"/>
            <w:shd w:val="clear" w:color="auto" w:fill="EAEAEA"/>
          </w:tcPr>
          <w:p>
            <w:pPr>
              <w:jc w:val="right"/>
              <w:ind w:right="240"/>
              <w:spacing w:after="0"/>
              <w:rPr>
                <w:sz w:val="20"/>
                <w:szCs w:val="20"/>
                <w:color w:val="auto"/>
              </w:rPr>
            </w:pPr>
            <w:r>
              <w:rPr>
                <w:rFonts w:ascii="Arial" w:cs="Arial" w:eastAsia="Arial" w:hAnsi="Arial"/>
                <w:sz w:val="16"/>
                <w:szCs w:val="16"/>
                <w:color w:val="00053B"/>
              </w:rPr>
              <w:t>$75,355</w:t>
            </w:r>
          </w:p>
        </w:tc>
        <w:tc>
          <w:tcPr>
            <w:tcW w:w="102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$(15,885)</w:t>
            </w:r>
          </w:p>
        </w:tc>
      </w:tr>
      <w:tr>
        <w:trPr>
          <w:trHeight w:val="215"/>
        </w:trPr>
        <w:tc>
          <w:tcPr>
            <w:tcW w:w="8680" w:type="dxa"/>
            <w:vAlign w:val="bottom"/>
          </w:tcPr>
          <w:p>
            <w:pPr>
              <w:ind w:left="560"/>
              <w:spacing w:after="0"/>
              <w:rPr>
                <w:sz w:val="20"/>
                <w:szCs w:val="20"/>
                <w:color w:val="auto"/>
              </w:rPr>
            </w:pPr>
            <w:r>
              <w:rPr>
                <w:rFonts w:ascii="Arial" w:cs="Arial" w:eastAsia="Arial" w:hAnsi="Arial"/>
                <w:sz w:val="16"/>
                <w:szCs w:val="16"/>
                <w:color w:val="00053B"/>
              </w:rPr>
              <w:t>Noncash stock-based compensation(1)</w:t>
            </w:r>
          </w:p>
        </w:tc>
        <w:tc>
          <w:tcPr>
            <w:tcW w:w="1540" w:type="dxa"/>
            <w:vAlign w:val="bottom"/>
          </w:tcPr>
          <w:p>
            <w:pPr>
              <w:jc w:val="right"/>
              <w:ind w:right="240"/>
              <w:spacing w:after="0"/>
              <w:rPr>
                <w:sz w:val="20"/>
                <w:szCs w:val="20"/>
                <w:color w:val="auto"/>
              </w:rPr>
            </w:pPr>
            <w:r>
              <w:rPr>
                <w:rFonts w:ascii="Arial" w:cs="Arial" w:eastAsia="Arial" w:hAnsi="Arial"/>
                <w:sz w:val="16"/>
                <w:szCs w:val="16"/>
                <w:color w:val="00053B"/>
              </w:rPr>
              <w:t>93,034</w:t>
            </w:r>
          </w:p>
        </w:tc>
        <w:tc>
          <w:tcPr>
            <w:tcW w:w="1020" w:type="dxa"/>
            <w:vAlign w:val="bottom"/>
          </w:tcPr>
          <w:p>
            <w:pPr>
              <w:jc w:val="right"/>
              <w:spacing w:after="0"/>
              <w:rPr>
                <w:sz w:val="20"/>
                <w:szCs w:val="20"/>
                <w:color w:val="auto"/>
              </w:rPr>
            </w:pPr>
            <w:r>
              <w:rPr>
                <w:rFonts w:ascii="Arial" w:cs="Arial" w:eastAsia="Arial" w:hAnsi="Arial"/>
                <w:sz w:val="16"/>
                <w:szCs w:val="16"/>
                <w:color w:val="00053B"/>
              </w:rPr>
              <w:t>103,139</w:t>
            </w:r>
          </w:p>
        </w:tc>
      </w:tr>
      <w:tr>
        <w:trPr>
          <w:trHeight w:val="217"/>
        </w:trPr>
        <w:tc>
          <w:tcPr>
            <w:tcW w:w="8680" w:type="dxa"/>
            <w:vAlign w:val="bottom"/>
            <w:shd w:val="clear" w:color="auto" w:fill="EAEAEA"/>
          </w:tcPr>
          <w:p>
            <w:pPr>
              <w:ind w:left="560"/>
              <w:spacing w:after="0"/>
              <w:rPr>
                <w:sz w:val="20"/>
                <w:szCs w:val="20"/>
                <w:color w:val="auto"/>
              </w:rPr>
            </w:pPr>
            <w:r>
              <w:rPr>
                <w:rFonts w:ascii="Arial" w:cs="Arial" w:eastAsia="Arial" w:hAnsi="Arial"/>
                <w:sz w:val="16"/>
                <w:szCs w:val="16"/>
                <w:color w:val="00053B"/>
              </w:rPr>
              <w:t>FICA and payroll tax expense related to stock-based compensation(2)</w:t>
            </w:r>
          </w:p>
        </w:tc>
        <w:tc>
          <w:tcPr>
            <w:tcW w:w="1540" w:type="dxa"/>
            <w:vAlign w:val="bottom"/>
            <w:shd w:val="clear" w:color="auto" w:fill="EAEAEA"/>
          </w:tcPr>
          <w:p>
            <w:pPr>
              <w:jc w:val="right"/>
              <w:ind w:right="240"/>
              <w:spacing w:after="0"/>
              <w:rPr>
                <w:sz w:val="20"/>
                <w:szCs w:val="20"/>
                <w:color w:val="auto"/>
              </w:rPr>
            </w:pPr>
            <w:r>
              <w:rPr>
                <w:rFonts w:ascii="Arial" w:cs="Arial" w:eastAsia="Arial" w:hAnsi="Arial"/>
                <w:sz w:val="16"/>
                <w:szCs w:val="16"/>
                <w:color w:val="00053B"/>
              </w:rPr>
              <w:t>3,285</w:t>
            </w:r>
          </w:p>
        </w:tc>
        <w:tc>
          <w:tcPr>
            <w:tcW w:w="102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2,465</w:t>
            </w:r>
          </w:p>
        </w:tc>
      </w:tr>
      <w:tr>
        <w:trPr>
          <w:trHeight w:val="215"/>
        </w:trPr>
        <w:tc>
          <w:tcPr>
            <w:tcW w:w="8680" w:type="dxa"/>
            <w:vAlign w:val="bottom"/>
          </w:tcPr>
          <w:p>
            <w:pPr>
              <w:ind w:left="560"/>
              <w:spacing w:after="0"/>
              <w:rPr>
                <w:sz w:val="20"/>
                <w:szCs w:val="20"/>
                <w:color w:val="auto"/>
              </w:rPr>
            </w:pPr>
            <w:r>
              <w:rPr>
                <w:rFonts w:ascii="Arial" w:cs="Arial" w:eastAsia="Arial" w:hAnsi="Arial"/>
                <w:sz w:val="16"/>
                <w:szCs w:val="16"/>
                <w:color w:val="00053B"/>
              </w:rPr>
              <w:t>Restructuring(3)</w:t>
            </w:r>
          </w:p>
        </w:tc>
        <w:tc>
          <w:tcPr>
            <w:tcW w:w="1540" w:type="dxa"/>
            <w:vAlign w:val="bottom"/>
          </w:tcPr>
          <w:p>
            <w:pPr>
              <w:jc w:val="right"/>
              <w:ind w:right="240"/>
              <w:spacing w:after="0"/>
              <w:rPr>
                <w:sz w:val="20"/>
                <w:szCs w:val="20"/>
                <w:color w:val="auto"/>
              </w:rPr>
            </w:pPr>
            <w:r>
              <w:rPr>
                <w:rFonts w:ascii="Arial" w:cs="Arial" w:eastAsia="Arial" w:hAnsi="Arial"/>
                <w:sz w:val="16"/>
                <w:szCs w:val="16"/>
                <w:color w:val="00053B"/>
              </w:rPr>
              <w:t>4,548</w:t>
            </w:r>
          </w:p>
        </w:tc>
        <w:tc>
          <w:tcPr>
            <w:tcW w:w="1020" w:type="dxa"/>
            <w:vAlign w:val="bottom"/>
          </w:tcPr>
          <w:p>
            <w:pPr>
              <w:jc w:val="right"/>
              <w:spacing w:after="0"/>
              <w:rPr>
                <w:sz w:val="20"/>
                <w:szCs w:val="20"/>
                <w:color w:val="auto"/>
              </w:rPr>
            </w:pPr>
            <w:r>
              <w:rPr>
                <w:rFonts w:ascii="Arial" w:cs="Arial" w:eastAsia="Arial" w:hAnsi="Arial"/>
                <w:sz w:val="16"/>
                <w:szCs w:val="16"/>
                <w:color w:val="00053B"/>
              </w:rPr>
              <w:t>15,452</w:t>
            </w:r>
          </w:p>
        </w:tc>
      </w:tr>
      <w:tr>
        <w:trPr>
          <w:trHeight w:val="217"/>
        </w:trPr>
        <w:tc>
          <w:tcPr>
            <w:tcW w:w="8680" w:type="dxa"/>
            <w:vAlign w:val="bottom"/>
            <w:shd w:val="clear" w:color="auto" w:fill="EAEAEA"/>
          </w:tcPr>
          <w:p>
            <w:pPr>
              <w:ind w:left="560"/>
              <w:spacing w:after="0"/>
              <w:rPr>
                <w:sz w:val="20"/>
                <w:szCs w:val="20"/>
                <w:color w:val="auto"/>
              </w:rPr>
            </w:pPr>
            <w:r>
              <w:rPr>
                <w:rFonts w:ascii="Arial" w:cs="Arial" w:eastAsia="Arial" w:hAnsi="Arial"/>
                <w:sz w:val="16"/>
                <w:szCs w:val="16"/>
                <w:color w:val="00053B"/>
              </w:rPr>
              <w:t>Amortization of intangible assets(4)</w:t>
            </w:r>
          </w:p>
        </w:tc>
        <w:tc>
          <w:tcPr>
            <w:tcW w:w="1540" w:type="dxa"/>
            <w:vAlign w:val="bottom"/>
            <w:shd w:val="clear" w:color="auto" w:fill="EAEAEA"/>
          </w:tcPr>
          <w:p>
            <w:pPr>
              <w:jc w:val="right"/>
              <w:ind w:right="240"/>
              <w:spacing w:after="0"/>
              <w:rPr>
                <w:sz w:val="20"/>
                <w:szCs w:val="20"/>
                <w:color w:val="auto"/>
              </w:rPr>
            </w:pPr>
            <w:r>
              <w:rPr>
                <w:rFonts w:ascii="Arial" w:cs="Arial" w:eastAsia="Arial" w:hAnsi="Arial"/>
                <w:sz w:val="16"/>
                <w:szCs w:val="16"/>
                <w:color w:val="00053B"/>
              </w:rPr>
              <w:t>1,250</w:t>
            </w:r>
          </w:p>
        </w:tc>
        <w:tc>
          <w:tcPr>
            <w:tcW w:w="102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1,250</w:t>
            </w:r>
          </w:p>
        </w:tc>
      </w:tr>
      <w:tr>
        <w:trPr>
          <w:trHeight w:val="215"/>
        </w:trPr>
        <w:tc>
          <w:tcPr>
            <w:tcW w:w="8680" w:type="dxa"/>
            <w:vAlign w:val="bottom"/>
          </w:tcPr>
          <w:p>
            <w:pPr>
              <w:ind w:left="560"/>
              <w:spacing w:after="0"/>
              <w:rPr>
                <w:sz w:val="20"/>
                <w:szCs w:val="20"/>
                <w:color w:val="auto"/>
              </w:rPr>
            </w:pPr>
            <w:r>
              <w:rPr>
                <w:rFonts w:ascii="Arial" w:cs="Arial" w:eastAsia="Arial" w:hAnsi="Arial"/>
                <w:sz w:val="16"/>
                <w:szCs w:val="16"/>
                <w:color w:val="00053B"/>
              </w:rPr>
              <w:t>Headquarters impairment(5)</w:t>
            </w:r>
          </w:p>
        </w:tc>
        <w:tc>
          <w:tcPr>
            <w:tcW w:w="1540" w:type="dxa"/>
            <w:vAlign w:val="bottom"/>
          </w:tcPr>
          <w:p>
            <w:pPr>
              <w:jc w:val="right"/>
              <w:ind w:right="240"/>
              <w:spacing w:after="0"/>
              <w:rPr>
                <w:sz w:val="20"/>
                <w:szCs w:val="20"/>
                <w:color w:val="auto"/>
              </w:rPr>
            </w:pPr>
            <w:r>
              <w:rPr>
                <w:rFonts w:ascii="Arial" w:cs="Arial" w:eastAsia="Arial" w:hAnsi="Arial"/>
                <w:sz w:val="16"/>
                <w:szCs w:val="16"/>
                <w:color w:val="00053B"/>
              </w:rPr>
              <w:t>—</w:t>
            </w:r>
          </w:p>
        </w:tc>
        <w:tc>
          <w:tcPr>
            <w:tcW w:w="1020" w:type="dxa"/>
            <w:vAlign w:val="bottom"/>
          </w:tcPr>
          <w:p>
            <w:pPr>
              <w:jc w:val="right"/>
              <w:spacing w:after="0"/>
              <w:rPr>
                <w:sz w:val="20"/>
                <w:szCs w:val="20"/>
                <w:color w:val="auto"/>
              </w:rPr>
            </w:pPr>
            <w:r>
              <w:rPr>
                <w:rFonts w:ascii="Arial" w:cs="Arial" w:eastAsia="Arial" w:hAnsi="Arial"/>
                <w:sz w:val="16"/>
                <w:szCs w:val="16"/>
                <w:color w:val="00053B"/>
              </w:rPr>
              <w:t>53,481</w:t>
            </w:r>
          </w:p>
        </w:tc>
      </w:tr>
      <w:tr>
        <w:trPr>
          <w:trHeight w:val="217"/>
        </w:trPr>
        <w:tc>
          <w:tcPr>
            <w:tcW w:w="8680" w:type="dxa"/>
            <w:vAlign w:val="bottom"/>
            <w:shd w:val="clear" w:color="auto" w:fill="00053B"/>
          </w:tcPr>
          <w:p>
            <w:pPr>
              <w:ind w:left="120"/>
              <w:spacing w:after="0"/>
              <w:rPr>
                <w:sz w:val="20"/>
                <w:szCs w:val="20"/>
                <w:color w:val="auto"/>
              </w:rPr>
            </w:pPr>
            <w:r>
              <w:rPr>
                <w:rFonts w:ascii="Arial" w:cs="Arial" w:eastAsia="Arial" w:hAnsi="Arial"/>
                <w:sz w:val="16"/>
                <w:szCs w:val="16"/>
                <w:b w:val="1"/>
                <w:bCs w:val="1"/>
                <w:color w:val="FFFFFF"/>
              </w:rPr>
              <w:t>Non-GAAP income from operations</w:t>
            </w:r>
          </w:p>
        </w:tc>
        <w:tc>
          <w:tcPr>
            <w:tcW w:w="1540" w:type="dxa"/>
            <w:vAlign w:val="bottom"/>
            <w:shd w:val="clear" w:color="auto" w:fill="00053B"/>
          </w:tcPr>
          <w:p>
            <w:pPr>
              <w:jc w:val="right"/>
              <w:ind w:right="240"/>
              <w:spacing w:after="0"/>
              <w:rPr>
                <w:sz w:val="20"/>
                <w:szCs w:val="20"/>
                <w:color w:val="auto"/>
              </w:rPr>
            </w:pPr>
            <w:r>
              <w:rPr>
                <w:rFonts w:ascii="Arial" w:cs="Arial" w:eastAsia="Arial" w:hAnsi="Arial"/>
                <w:sz w:val="16"/>
                <w:szCs w:val="16"/>
                <w:b w:val="1"/>
                <w:bCs w:val="1"/>
                <w:color w:val="FFFFFF"/>
              </w:rPr>
              <w:t>$177,472</w:t>
            </w:r>
          </w:p>
        </w:tc>
        <w:tc>
          <w:tcPr>
            <w:tcW w:w="1020" w:type="dxa"/>
            <w:vAlign w:val="bottom"/>
            <w:shd w:val="clear" w:color="auto" w:fill="00053B"/>
          </w:tcPr>
          <w:p>
            <w:pPr>
              <w:jc w:val="right"/>
              <w:spacing w:after="0"/>
              <w:rPr>
                <w:sz w:val="20"/>
                <w:szCs w:val="20"/>
                <w:color w:val="auto"/>
              </w:rPr>
            </w:pPr>
            <w:r>
              <w:rPr>
                <w:rFonts w:ascii="Arial" w:cs="Arial" w:eastAsia="Arial" w:hAnsi="Arial"/>
                <w:sz w:val="16"/>
                <w:szCs w:val="16"/>
                <w:b w:val="1"/>
                <w:bCs w:val="1"/>
                <w:color w:val="FFFFFF"/>
              </w:rPr>
              <w:t>$159,902</w:t>
            </w:r>
          </w:p>
        </w:tc>
      </w:tr>
      <w:tr>
        <w:trPr>
          <w:trHeight w:val="216"/>
        </w:trPr>
        <w:tc>
          <w:tcPr>
            <w:tcW w:w="8680" w:type="dxa"/>
            <w:vAlign w:val="bottom"/>
          </w:tcPr>
          <w:p>
            <w:pPr>
              <w:ind w:left="160"/>
              <w:spacing w:after="0"/>
              <w:rPr>
                <w:sz w:val="20"/>
                <w:szCs w:val="20"/>
                <w:color w:val="auto"/>
              </w:rPr>
            </w:pPr>
            <w:r>
              <w:rPr>
                <w:rFonts w:ascii="Arial" w:cs="Arial" w:eastAsia="Arial" w:hAnsi="Arial"/>
                <w:sz w:val="16"/>
                <w:szCs w:val="16"/>
                <w:b w:val="1"/>
                <w:bCs w:val="1"/>
                <w:color w:val="00053B"/>
              </w:rPr>
              <w:t>GAAP net income (loss)</w:t>
            </w:r>
          </w:p>
        </w:tc>
        <w:tc>
          <w:tcPr>
            <w:tcW w:w="1540" w:type="dxa"/>
            <w:vAlign w:val="bottom"/>
          </w:tcPr>
          <w:p>
            <w:pPr>
              <w:jc w:val="right"/>
              <w:ind w:right="240"/>
              <w:spacing w:after="0"/>
              <w:rPr>
                <w:sz w:val="20"/>
                <w:szCs w:val="20"/>
                <w:color w:val="auto"/>
              </w:rPr>
            </w:pPr>
            <w:r>
              <w:rPr>
                <w:rFonts w:ascii="Arial" w:cs="Arial" w:eastAsia="Arial" w:hAnsi="Arial"/>
                <w:sz w:val="16"/>
                <w:szCs w:val="16"/>
                <w:color w:val="00053B"/>
              </w:rPr>
              <w:t>$168,906</w:t>
            </w:r>
          </w:p>
        </w:tc>
        <w:tc>
          <w:tcPr>
            <w:tcW w:w="1020" w:type="dxa"/>
            <w:vAlign w:val="bottom"/>
          </w:tcPr>
          <w:p>
            <w:pPr>
              <w:jc w:val="right"/>
              <w:spacing w:after="0"/>
              <w:rPr>
                <w:sz w:val="20"/>
                <w:szCs w:val="20"/>
                <w:color w:val="auto"/>
              </w:rPr>
            </w:pPr>
            <w:r>
              <w:rPr>
                <w:rFonts w:ascii="Arial" w:cs="Arial" w:eastAsia="Arial" w:hAnsi="Arial"/>
                <w:sz w:val="16"/>
                <w:szCs w:val="16"/>
                <w:color w:val="00053B"/>
              </w:rPr>
              <w:t>$(35,774)</w:t>
            </w:r>
          </w:p>
        </w:tc>
      </w:tr>
      <w:tr>
        <w:trPr>
          <w:trHeight w:val="216"/>
        </w:trPr>
        <w:tc>
          <w:tcPr>
            <w:tcW w:w="8680" w:type="dxa"/>
            <w:vAlign w:val="bottom"/>
            <w:shd w:val="clear" w:color="auto" w:fill="EAEAEA"/>
          </w:tcPr>
          <w:p>
            <w:pPr>
              <w:ind w:left="560"/>
              <w:spacing w:after="0"/>
              <w:rPr>
                <w:sz w:val="20"/>
                <w:szCs w:val="20"/>
                <w:color w:val="auto"/>
              </w:rPr>
            </w:pPr>
            <w:r>
              <w:rPr>
                <w:rFonts w:ascii="Arial" w:cs="Arial" w:eastAsia="Arial" w:hAnsi="Arial"/>
                <w:sz w:val="16"/>
                <w:szCs w:val="16"/>
                <w:color w:val="00053B"/>
              </w:rPr>
              <w:t>Noncash stock-based compensation(1)</w:t>
            </w:r>
          </w:p>
        </w:tc>
        <w:tc>
          <w:tcPr>
            <w:tcW w:w="1540" w:type="dxa"/>
            <w:vAlign w:val="bottom"/>
            <w:shd w:val="clear" w:color="auto" w:fill="EAEAEA"/>
          </w:tcPr>
          <w:p>
            <w:pPr>
              <w:jc w:val="right"/>
              <w:ind w:right="240"/>
              <w:spacing w:after="0"/>
              <w:rPr>
                <w:sz w:val="20"/>
                <w:szCs w:val="20"/>
                <w:color w:val="auto"/>
              </w:rPr>
            </w:pPr>
            <w:r>
              <w:rPr>
                <w:rFonts w:ascii="Arial" w:cs="Arial" w:eastAsia="Arial" w:hAnsi="Arial"/>
                <w:sz w:val="16"/>
                <w:szCs w:val="16"/>
                <w:color w:val="00053B"/>
              </w:rPr>
              <w:t>93,034</w:t>
            </w:r>
          </w:p>
        </w:tc>
        <w:tc>
          <w:tcPr>
            <w:tcW w:w="102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103,139</w:t>
            </w:r>
          </w:p>
        </w:tc>
      </w:tr>
      <w:tr>
        <w:trPr>
          <w:trHeight w:val="215"/>
        </w:trPr>
        <w:tc>
          <w:tcPr>
            <w:tcW w:w="8680" w:type="dxa"/>
            <w:vAlign w:val="bottom"/>
          </w:tcPr>
          <w:p>
            <w:pPr>
              <w:ind w:left="560"/>
              <w:spacing w:after="0"/>
              <w:rPr>
                <w:sz w:val="20"/>
                <w:szCs w:val="20"/>
                <w:color w:val="auto"/>
              </w:rPr>
            </w:pPr>
            <w:r>
              <w:rPr>
                <w:rFonts w:ascii="Arial" w:cs="Arial" w:eastAsia="Arial" w:hAnsi="Arial"/>
                <w:sz w:val="16"/>
                <w:szCs w:val="16"/>
                <w:color w:val="00053B"/>
              </w:rPr>
              <w:t>FICA and payroll tax expense related to stock-based compensation(2)</w:t>
            </w:r>
          </w:p>
        </w:tc>
        <w:tc>
          <w:tcPr>
            <w:tcW w:w="1540" w:type="dxa"/>
            <w:vAlign w:val="bottom"/>
          </w:tcPr>
          <w:p>
            <w:pPr>
              <w:jc w:val="right"/>
              <w:ind w:right="240"/>
              <w:spacing w:after="0"/>
              <w:rPr>
                <w:sz w:val="20"/>
                <w:szCs w:val="20"/>
                <w:color w:val="auto"/>
              </w:rPr>
            </w:pPr>
            <w:r>
              <w:rPr>
                <w:rFonts w:ascii="Arial" w:cs="Arial" w:eastAsia="Arial" w:hAnsi="Arial"/>
                <w:sz w:val="16"/>
                <w:szCs w:val="16"/>
                <w:color w:val="00053B"/>
              </w:rPr>
              <w:t>3,285</w:t>
            </w:r>
          </w:p>
        </w:tc>
        <w:tc>
          <w:tcPr>
            <w:tcW w:w="1020" w:type="dxa"/>
            <w:vAlign w:val="bottom"/>
          </w:tcPr>
          <w:p>
            <w:pPr>
              <w:jc w:val="right"/>
              <w:spacing w:after="0"/>
              <w:rPr>
                <w:sz w:val="20"/>
                <w:szCs w:val="20"/>
                <w:color w:val="auto"/>
              </w:rPr>
            </w:pPr>
            <w:r>
              <w:rPr>
                <w:rFonts w:ascii="Arial" w:cs="Arial" w:eastAsia="Arial" w:hAnsi="Arial"/>
                <w:sz w:val="16"/>
                <w:szCs w:val="16"/>
                <w:color w:val="00053B"/>
              </w:rPr>
              <w:t>2,465</w:t>
            </w:r>
          </w:p>
        </w:tc>
      </w:tr>
      <w:tr>
        <w:trPr>
          <w:trHeight w:val="217"/>
        </w:trPr>
        <w:tc>
          <w:tcPr>
            <w:tcW w:w="8680" w:type="dxa"/>
            <w:vAlign w:val="bottom"/>
            <w:shd w:val="clear" w:color="auto" w:fill="EAEAEA"/>
          </w:tcPr>
          <w:p>
            <w:pPr>
              <w:ind w:left="560"/>
              <w:spacing w:after="0"/>
              <w:rPr>
                <w:sz w:val="20"/>
                <w:szCs w:val="20"/>
                <w:color w:val="auto"/>
              </w:rPr>
            </w:pPr>
            <w:r>
              <w:rPr>
                <w:rFonts w:ascii="Arial" w:cs="Arial" w:eastAsia="Arial" w:hAnsi="Arial"/>
                <w:sz w:val="16"/>
                <w:szCs w:val="16"/>
                <w:color w:val="00053B"/>
              </w:rPr>
              <w:t>Restructuring(3)</w:t>
            </w:r>
          </w:p>
        </w:tc>
        <w:tc>
          <w:tcPr>
            <w:tcW w:w="1540" w:type="dxa"/>
            <w:vAlign w:val="bottom"/>
            <w:shd w:val="clear" w:color="auto" w:fill="EAEAEA"/>
          </w:tcPr>
          <w:p>
            <w:pPr>
              <w:jc w:val="right"/>
              <w:ind w:right="240"/>
              <w:spacing w:after="0"/>
              <w:rPr>
                <w:sz w:val="20"/>
                <w:szCs w:val="20"/>
                <w:color w:val="auto"/>
              </w:rPr>
            </w:pPr>
            <w:r>
              <w:rPr>
                <w:rFonts w:ascii="Arial" w:cs="Arial" w:eastAsia="Arial" w:hAnsi="Arial"/>
                <w:sz w:val="16"/>
                <w:szCs w:val="16"/>
                <w:color w:val="00053B"/>
              </w:rPr>
              <w:t>4,548</w:t>
            </w:r>
          </w:p>
        </w:tc>
        <w:tc>
          <w:tcPr>
            <w:tcW w:w="102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15,452</w:t>
            </w:r>
          </w:p>
        </w:tc>
      </w:tr>
      <w:tr>
        <w:trPr>
          <w:trHeight w:val="215"/>
        </w:trPr>
        <w:tc>
          <w:tcPr>
            <w:tcW w:w="8680" w:type="dxa"/>
            <w:vAlign w:val="bottom"/>
          </w:tcPr>
          <w:p>
            <w:pPr>
              <w:ind w:left="560"/>
              <w:spacing w:after="0"/>
              <w:rPr>
                <w:sz w:val="20"/>
                <w:szCs w:val="20"/>
                <w:color w:val="auto"/>
              </w:rPr>
            </w:pPr>
            <w:r>
              <w:rPr>
                <w:rFonts w:ascii="Arial" w:cs="Arial" w:eastAsia="Arial" w:hAnsi="Arial"/>
                <w:sz w:val="16"/>
                <w:szCs w:val="16"/>
                <w:color w:val="00053B"/>
              </w:rPr>
              <w:t>Amortization of intangible assets(4)</w:t>
            </w:r>
          </w:p>
        </w:tc>
        <w:tc>
          <w:tcPr>
            <w:tcW w:w="1540" w:type="dxa"/>
            <w:vAlign w:val="bottom"/>
          </w:tcPr>
          <w:p>
            <w:pPr>
              <w:jc w:val="right"/>
              <w:ind w:right="240"/>
              <w:spacing w:after="0"/>
              <w:rPr>
                <w:sz w:val="20"/>
                <w:szCs w:val="20"/>
                <w:color w:val="auto"/>
              </w:rPr>
            </w:pPr>
            <w:r>
              <w:rPr>
                <w:rFonts w:ascii="Arial" w:cs="Arial" w:eastAsia="Arial" w:hAnsi="Arial"/>
                <w:sz w:val="16"/>
                <w:szCs w:val="16"/>
                <w:color w:val="00053B"/>
              </w:rPr>
              <w:t>1,250</w:t>
            </w:r>
          </w:p>
        </w:tc>
        <w:tc>
          <w:tcPr>
            <w:tcW w:w="1020" w:type="dxa"/>
            <w:vAlign w:val="bottom"/>
          </w:tcPr>
          <w:p>
            <w:pPr>
              <w:jc w:val="right"/>
              <w:spacing w:after="0"/>
              <w:rPr>
                <w:sz w:val="20"/>
                <w:szCs w:val="20"/>
                <w:color w:val="auto"/>
              </w:rPr>
            </w:pPr>
            <w:r>
              <w:rPr>
                <w:rFonts w:ascii="Arial" w:cs="Arial" w:eastAsia="Arial" w:hAnsi="Arial"/>
                <w:sz w:val="16"/>
                <w:szCs w:val="16"/>
                <w:color w:val="00053B"/>
              </w:rPr>
              <w:t>1,250</w:t>
            </w:r>
          </w:p>
        </w:tc>
      </w:tr>
      <w:tr>
        <w:trPr>
          <w:trHeight w:val="217"/>
        </w:trPr>
        <w:tc>
          <w:tcPr>
            <w:tcW w:w="8680" w:type="dxa"/>
            <w:vAlign w:val="bottom"/>
            <w:shd w:val="clear" w:color="auto" w:fill="EAEAEA"/>
          </w:tcPr>
          <w:p>
            <w:pPr>
              <w:ind w:left="560"/>
              <w:spacing w:after="0"/>
              <w:rPr>
                <w:sz w:val="20"/>
                <w:szCs w:val="20"/>
                <w:color w:val="auto"/>
              </w:rPr>
            </w:pPr>
            <w:r>
              <w:rPr>
                <w:rFonts w:ascii="Arial" w:cs="Arial" w:eastAsia="Arial" w:hAnsi="Arial"/>
                <w:sz w:val="16"/>
                <w:szCs w:val="16"/>
                <w:color w:val="00053B"/>
              </w:rPr>
              <w:t>Headquarters impairment(5)</w:t>
            </w:r>
          </w:p>
        </w:tc>
        <w:tc>
          <w:tcPr>
            <w:tcW w:w="1540" w:type="dxa"/>
            <w:vAlign w:val="bottom"/>
            <w:shd w:val="clear" w:color="auto" w:fill="EAEAEA"/>
          </w:tcPr>
          <w:p>
            <w:pPr>
              <w:jc w:val="right"/>
              <w:ind w:right="240"/>
              <w:spacing w:after="0"/>
              <w:rPr>
                <w:sz w:val="20"/>
                <w:szCs w:val="20"/>
                <w:color w:val="auto"/>
              </w:rPr>
            </w:pPr>
            <w:r>
              <w:rPr>
                <w:rFonts w:ascii="Arial" w:cs="Arial" w:eastAsia="Arial" w:hAnsi="Arial"/>
                <w:sz w:val="16"/>
                <w:szCs w:val="16"/>
                <w:color w:val="00053B"/>
              </w:rPr>
              <w:t>—</w:t>
            </w:r>
          </w:p>
        </w:tc>
        <w:tc>
          <w:tcPr>
            <w:tcW w:w="102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53,481</w:t>
            </w:r>
          </w:p>
        </w:tc>
      </w:tr>
      <w:tr>
        <w:trPr>
          <w:trHeight w:val="215"/>
        </w:trPr>
        <w:tc>
          <w:tcPr>
            <w:tcW w:w="8680" w:type="dxa"/>
            <w:vAlign w:val="bottom"/>
          </w:tcPr>
          <w:p>
            <w:pPr>
              <w:ind w:left="560"/>
              <w:spacing w:after="0"/>
              <w:rPr>
                <w:sz w:val="20"/>
                <w:szCs w:val="20"/>
                <w:color w:val="auto"/>
              </w:rPr>
            </w:pPr>
            <w:r>
              <w:rPr>
                <w:rFonts w:ascii="Arial" w:cs="Arial" w:eastAsia="Arial" w:hAnsi="Arial"/>
                <w:sz w:val="16"/>
                <w:szCs w:val="16"/>
                <w:color w:val="00053B"/>
              </w:rPr>
              <w:t>Gain on escrow payment(6)</w:t>
            </w:r>
          </w:p>
        </w:tc>
        <w:tc>
          <w:tcPr>
            <w:tcW w:w="1540" w:type="dxa"/>
            <w:vAlign w:val="bottom"/>
          </w:tcPr>
          <w:p>
            <w:pPr>
              <w:jc w:val="right"/>
              <w:ind w:right="240"/>
              <w:spacing w:after="0"/>
              <w:rPr>
                <w:sz w:val="20"/>
                <w:szCs w:val="20"/>
                <w:color w:val="auto"/>
              </w:rPr>
            </w:pPr>
            <w:r>
              <w:rPr>
                <w:rFonts w:ascii="Arial" w:cs="Arial" w:eastAsia="Arial" w:hAnsi="Arial"/>
                <w:sz w:val="16"/>
                <w:szCs w:val="16"/>
                <w:color w:val="00053B"/>
              </w:rPr>
              <w:t>(1,670)</w:t>
            </w:r>
          </w:p>
        </w:tc>
        <w:tc>
          <w:tcPr>
            <w:tcW w:w="1020" w:type="dxa"/>
            <w:vAlign w:val="bottom"/>
          </w:tcPr>
          <w:p>
            <w:pPr>
              <w:jc w:val="right"/>
              <w:spacing w:after="0"/>
              <w:rPr>
                <w:sz w:val="20"/>
                <w:szCs w:val="20"/>
                <w:color w:val="auto"/>
              </w:rPr>
            </w:pPr>
            <w:r>
              <w:rPr>
                <w:rFonts w:ascii="Arial" w:cs="Arial" w:eastAsia="Arial" w:hAnsi="Arial"/>
                <w:sz w:val="16"/>
                <w:szCs w:val="16"/>
                <w:color w:val="00053B"/>
              </w:rPr>
              <w:t>—</w:t>
            </w:r>
          </w:p>
        </w:tc>
      </w:tr>
      <w:tr>
        <w:trPr>
          <w:trHeight w:val="216"/>
        </w:trPr>
        <w:tc>
          <w:tcPr>
            <w:tcW w:w="8680" w:type="dxa"/>
            <w:vAlign w:val="bottom"/>
            <w:shd w:val="clear" w:color="auto" w:fill="EAEAEA"/>
          </w:tcPr>
          <w:p>
            <w:pPr>
              <w:ind w:left="560"/>
              <w:spacing w:after="0"/>
              <w:rPr>
                <w:sz w:val="20"/>
                <w:szCs w:val="20"/>
                <w:color w:val="auto"/>
              </w:rPr>
            </w:pPr>
            <w:r>
              <w:rPr>
                <w:rFonts w:ascii="Arial" w:cs="Arial" w:eastAsia="Arial" w:hAnsi="Arial"/>
                <w:sz w:val="16"/>
                <w:szCs w:val="16"/>
                <w:color w:val="00053B"/>
              </w:rPr>
              <w:t>Non-GAAP provision for income taxes adjustment(7)</w:t>
            </w:r>
          </w:p>
        </w:tc>
        <w:tc>
          <w:tcPr>
            <w:tcW w:w="1540" w:type="dxa"/>
            <w:vAlign w:val="bottom"/>
            <w:shd w:val="clear" w:color="auto" w:fill="EAEAEA"/>
          </w:tcPr>
          <w:p>
            <w:pPr>
              <w:jc w:val="right"/>
              <w:ind w:right="240"/>
              <w:spacing w:after="0"/>
              <w:rPr>
                <w:sz w:val="20"/>
                <w:szCs w:val="20"/>
                <w:color w:val="auto"/>
              </w:rPr>
            </w:pPr>
            <w:r>
              <w:rPr>
                <w:rFonts w:ascii="Arial" w:cs="Arial" w:eastAsia="Arial" w:hAnsi="Arial"/>
                <w:sz w:val="16"/>
                <w:szCs w:val="16"/>
                <w:color w:val="00053B"/>
              </w:rPr>
              <w:t>(134,989)</w:t>
            </w:r>
          </w:p>
        </w:tc>
        <w:tc>
          <w:tcPr>
            <w:tcW w:w="102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(22,904)</w:t>
            </w:r>
          </w:p>
        </w:tc>
      </w:tr>
      <w:tr>
        <w:trPr>
          <w:trHeight w:val="217"/>
        </w:trPr>
        <w:tc>
          <w:tcPr>
            <w:tcW w:w="8680" w:type="dxa"/>
            <w:vAlign w:val="bottom"/>
            <w:shd w:val="clear" w:color="auto" w:fill="00053B"/>
          </w:tcPr>
          <w:p>
            <w:pPr>
              <w:ind w:left="120"/>
              <w:spacing w:after="0"/>
              <w:rPr>
                <w:sz w:val="20"/>
                <w:szCs w:val="20"/>
                <w:color w:val="auto"/>
              </w:rPr>
            </w:pPr>
            <w:r>
              <w:rPr>
                <w:rFonts w:ascii="Arial" w:cs="Arial" w:eastAsia="Arial" w:hAnsi="Arial"/>
                <w:sz w:val="16"/>
                <w:szCs w:val="16"/>
                <w:b w:val="1"/>
                <w:bCs w:val="1"/>
                <w:color w:val="FFFFFF"/>
              </w:rPr>
              <w:t>Non-GAAP net income</w:t>
            </w:r>
          </w:p>
        </w:tc>
        <w:tc>
          <w:tcPr>
            <w:tcW w:w="1540" w:type="dxa"/>
            <w:vAlign w:val="bottom"/>
            <w:shd w:val="clear" w:color="auto" w:fill="00053B"/>
          </w:tcPr>
          <w:p>
            <w:pPr>
              <w:jc w:val="right"/>
              <w:ind w:right="240"/>
              <w:spacing w:after="0"/>
              <w:rPr>
                <w:sz w:val="20"/>
                <w:szCs w:val="20"/>
                <w:color w:val="auto"/>
              </w:rPr>
            </w:pPr>
            <w:r>
              <w:rPr>
                <w:rFonts w:ascii="Arial" w:cs="Arial" w:eastAsia="Arial" w:hAnsi="Arial"/>
                <w:sz w:val="16"/>
                <w:szCs w:val="16"/>
                <w:b w:val="1"/>
                <w:bCs w:val="1"/>
                <w:color w:val="FFFFFF"/>
              </w:rPr>
              <w:t>$134,364</w:t>
            </w:r>
          </w:p>
        </w:tc>
        <w:tc>
          <w:tcPr>
            <w:tcW w:w="1020" w:type="dxa"/>
            <w:vAlign w:val="bottom"/>
            <w:shd w:val="clear" w:color="auto" w:fill="00053B"/>
          </w:tcPr>
          <w:p>
            <w:pPr>
              <w:jc w:val="right"/>
              <w:spacing w:after="0"/>
              <w:rPr>
                <w:sz w:val="20"/>
                <w:szCs w:val="20"/>
                <w:color w:val="auto"/>
              </w:rPr>
            </w:pPr>
            <w:r>
              <w:rPr>
                <w:rFonts w:ascii="Arial" w:cs="Arial" w:eastAsia="Arial" w:hAnsi="Arial"/>
                <w:sz w:val="16"/>
                <w:szCs w:val="16"/>
                <w:b w:val="1"/>
                <w:bCs w:val="1"/>
                <w:color w:val="FFFFFF"/>
              </w:rPr>
              <w:t>$117,109</w:t>
            </w:r>
          </w:p>
        </w:tc>
      </w:tr>
      <w:tr>
        <w:trPr>
          <w:trHeight w:val="216"/>
        </w:trPr>
        <w:tc>
          <w:tcPr>
            <w:tcW w:w="8680" w:type="dxa"/>
            <w:vAlign w:val="bottom"/>
          </w:tcPr>
          <w:p>
            <w:pPr>
              <w:ind w:left="120"/>
              <w:spacing w:after="0"/>
              <w:rPr>
                <w:sz w:val="20"/>
                <w:szCs w:val="20"/>
                <w:color w:val="auto"/>
              </w:rPr>
            </w:pPr>
            <w:r>
              <w:rPr>
                <w:rFonts w:ascii="Arial" w:cs="Arial" w:eastAsia="Arial" w:hAnsi="Arial"/>
                <w:sz w:val="16"/>
                <w:szCs w:val="16"/>
                <w:b w:val="1"/>
                <w:bCs w:val="1"/>
                <w:color w:val="00053B"/>
              </w:rPr>
              <w:t>Non-GAAP free cash flow reconciliation:</w:t>
            </w:r>
          </w:p>
        </w:tc>
        <w:tc>
          <w:tcPr>
            <w:tcW w:w="1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680" w:type="dxa"/>
            <w:vAlign w:val="bottom"/>
            <w:shd w:val="clear" w:color="auto" w:fill="EAEAEA"/>
          </w:tcPr>
          <w:p>
            <w:pPr>
              <w:ind w:left="560"/>
              <w:spacing w:after="0"/>
              <w:rPr>
                <w:sz w:val="20"/>
                <w:szCs w:val="20"/>
                <w:color w:val="auto"/>
              </w:rPr>
            </w:pPr>
            <w:r>
              <w:rPr>
                <w:rFonts w:ascii="Arial" w:cs="Arial" w:eastAsia="Arial" w:hAnsi="Arial"/>
                <w:sz w:val="16"/>
                <w:szCs w:val="16"/>
                <w:color w:val="00053B"/>
              </w:rPr>
              <w:t>GAAP cash provided by operating activities</w:t>
            </w:r>
          </w:p>
        </w:tc>
        <w:tc>
          <w:tcPr>
            <w:tcW w:w="1540" w:type="dxa"/>
            <w:vAlign w:val="bottom"/>
            <w:shd w:val="clear" w:color="auto" w:fill="EAEAEA"/>
          </w:tcPr>
          <w:p>
            <w:pPr>
              <w:jc w:val="right"/>
              <w:ind w:right="240"/>
              <w:spacing w:after="0"/>
              <w:rPr>
                <w:sz w:val="20"/>
                <w:szCs w:val="20"/>
                <w:color w:val="auto"/>
              </w:rPr>
            </w:pPr>
            <w:r>
              <w:rPr>
                <w:rFonts w:ascii="Arial" w:cs="Arial" w:eastAsia="Arial" w:hAnsi="Arial"/>
                <w:sz w:val="16"/>
                <w:szCs w:val="16"/>
                <w:color w:val="00053B"/>
              </w:rPr>
              <w:t>203,798</w:t>
            </w:r>
          </w:p>
        </w:tc>
        <w:tc>
          <w:tcPr>
            <w:tcW w:w="1020" w:type="dxa"/>
            <w:vAlign w:val="bottom"/>
            <w:shd w:val="clear" w:color="auto" w:fill="EAEAEA"/>
          </w:tcPr>
          <w:p>
            <w:pPr>
              <w:jc w:val="right"/>
              <w:spacing w:after="0"/>
              <w:rPr>
                <w:sz w:val="20"/>
                <w:szCs w:val="20"/>
                <w:color w:val="auto"/>
              </w:rPr>
            </w:pPr>
            <w:r>
              <w:rPr>
                <w:rFonts w:ascii="Arial" w:cs="Arial" w:eastAsia="Arial" w:hAnsi="Arial"/>
                <w:sz w:val="16"/>
                <w:szCs w:val="16"/>
                <w:color w:val="00053B"/>
              </w:rPr>
              <w:t>170,288</w:t>
            </w:r>
          </w:p>
        </w:tc>
      </w:tr>
      <w:tr>
        <w:trPr>
          <w:trHeight w:val="215"/>
        </w:trPr>
        <w:tc>
          <w:tcPr>
            <w:tcW w:w="8680" w:type="dxa"/>
            <w:vAlign w:val="bottom"/>
          </w:tcPr>
          <w:p>
            <w:pPr>
              <w:ind w:left="560"/>
              <w:spacing w:after="0"/>
              <w:rPr>
                <w:sz w:val="20"/>
                <w:szCs w:val="20"/>
                <w:color w:val="auto"/>
              </w:rPr>
            </w:pPr>
            <w:r>
              <w:rPr>
                <w:rFonts w:ascii="Arial" w:cs="Arial" w:eastAsia="Arial" w:hAnsi="Arial"/>
                <w:sz w:val="16"/>
                <w:szCs w:val="16"/>
                <w:color w:val="00053B"/>
              </w:rPr>
              <w:t>Capital expenditures</w:t>
            </w:r>
          </w:p>
        </w:tc>
        <w:tc>
          <w:tcPr>
            <w:tcW w:w="1540" w:type="dxa"/>
            <w:vAlign w:val="bottom"/>
          </w:tcPr>
          <w:p>
            <w:pPr>
              <w:jc w:val="right"/>
              <w:ind w:right="240"/>
              <w:spacing w:after="0"/>
              <w:rPr>
                <w:sz w:val="20"/>
                <w:szCs w:val="20"/>
                <w:color w:val="auto"/>
              </w:rPr>
            </w:pPr>
            <w:r>
              <w:rPr>
                <w:rFonts w:ascii="Arial" w:cs="Arial" w:eastAsia="Arial" w:hAnsi="Arial"/>
                <w:sz w:val="16"/>
                <w:szCs w:val="16"/>
                <w:color w:val="00053B"/>
              </w:rPr>
              <w:t>(4,086)</w:t>
            </w:r>
          </w:p>
        </w:tc>
        <w:tc>
          <w:tcPr>
            <w:tcW w:w="1020" w:type="dxa"/>
            <w:vAlign w:val="bottom"/>
          </w:tcPr>
          <w:p>
            <w:pPr>
              <w:jc w:val="right"/>
              <w:spacing w:after="0"/>
              <w:rPr>
                <w:sz w:val="20"/>
                <w:szCs w:val="20"/>
                <w:color w:val="auto"/>
              </w:rPr>
            </w:pPr>
            <w:r>
              <w:rPr>
                <w:rFonts w:ascii="Arial" w:cs="Arial" w:eastAsia="Arial" w:hAnsi="Arial"/>
                <w:sz w:val="16"/>
                <w:szCs w:val="16"/>
                <w:color w:val="00053B"/>
              </w:rPr>
              <w:t>(3,241)</w:t>
            </w:r>
          </w:p>
        </w:tc>
      </w:tr>
      <w:tr>
        <w:trPr>
          <w:trHeight w:val="217"/>
        </w:trPr>
        <w:tc>
          <w:tcPr>
            <w:tcW w:w="8680" w:type="dxa"/>
            <w:vAlign w:val="bottom"/>
            <w:shd w:val="clear" w:color="auto" w:fill="00053B"/>
          </w:tcPr>
          <w:p>
            <w:pPr>
              <w:ind w:left="120"/>
              <w:spacing w:after="0"/>
              <w:rPr>
                <w:sz w:val="20"/>
                <w:szCs w:val="20"/>
                <w:color w:val="auto"/>
              </w:rPr>
            </w:pPr>
            <w:r>
              <w:rPr>
                <w:rFonts w:ascii="Arial" w:cs="Arial" w:eastAsia="Arial" w:hAnsi="Arial"/>
                <w:sz w:val="16"/>
                <w:szCs w:val="16"/>
                <w:b w:val="1"/>
                <w:bCs w:val="1"/>
                <w:color w:val="FFFFFF"/>
              </w:rPr>
              <w:t>Non-GAAP free cash flow</w:t>
            </w:r>
          </w:p>
        </w:tc>
        <w:tc>
          <w:tcPr>
            <w:tcW w:w="1540" w:type="dxa"/>
            <w:vAlign w:val="bottom"/>
            <w:shd w:val="clear" w:color="auto" w:fill="00053B"/>
          </w:tcPr>
          <w:p>
            <w:pPr>
              <w:jc w:val="right"/>
              <w:ind w:right="240"/>
              <w:spacing w:after="0"/>
              <w:rPr>
                <w:sz w:val="20"/>
                <w:szCs w:val="20"/>
                <w:color w:val="auto"/>
              </w:rPr>
            </w:pPr>
            <w:r>
              <w:rPr>
                <w:rFonts w:ascii="Arial" w:cs="Arial" w:eastAsia="Arial" w:hAnsi="Arial"/>
                <w:sz w:val="16"/>
                <w:szCs w:val="16"/>
                <w:b w:val="1"/>
                <w:bCs w:val="1"/>
                <w:color w:val="FFFFFF"/>
              </w:rPr>
              <w:t>$199,712</w:t>
            </w:r>
          </w:p>
        </w:tc>
        <w:tc>
          <w:tcPr>
            <w:tcW w:w="1020" w:type="dxa"/>
            <w:vAlign w:val="bottom"/>
            <w:shd w:val="clear" w:color="auto" w:fill="00053B"/>
          </w:tcPr>
          <w:p>
            <w:pPr>
              <w:jc w:val="right"/>
              <w:spacing w:after="0"/>
              <w:rPr>
                <w:sz w:val="20"/>
                <w:szCs w:val="20"/>
                <w:color w:val="auto"/>
              </w:rPr>
            </w:pPr>
            <w:r>
              <w:rPr>
                <w:rFonts w:ascii="Arial" w:cs="Arial" w:eastAsia="Arial" w:hAnsi="Arial"/>
                <w:sz w:val="16"/>
                <w:szCs w:val="16"/>
                <w:b w:val="1"/>
                <w:bCs w:val="1"/>
                <w:color w:val="FFFFFF"/>
              </w:rPr>
              <w:t>$167,047</w:t>
            </w:r>
          </w:p>
        </w:tc>
      </w:tr>
    </w:tbl>
    <w:p>
      <w:pPr>
        <w:spacing w:after="0" w:line="131" w:lineRule="exact"/>
        <w:rPr>
          <w:sz w:val="20"/>
          <w:szCs w:val="20"/>
          <w:color w:val="auto"/>
        </w:rPr>
      </w:pPr>
    </w:p>
    <w:p>
      <w:pPr>
        <w:ind w:left="340" w:right="500" w:hanging="332"/>
        <w:spacing w:after="0" w:line="264" w:lineRule="auto"/>
        <w:tabs>
          <w:tab w:leader="none" w:pos="255" w:val="left"/>
        </w:tabs>
        <w:numPr>
          <w:ilvl w:val="0"/>
          <w:numId w:val="64"/>
        </w:numPr>
        <w:rPr>
          <w:rFonts w:ascii="Arial" w:cs="Arial" w:eastAsia="Arial" w:hAnsi="Arial"/>
          <w:sz w:val="13"/>
          <w:szCs w:val="13"/>
          <w:color w:val="00053B"/>
        </w:rPr>
      </w:pPr>
      <w:r>
        <w:rPr>
          <w:rFonts w:ascii="Arial" w:cs="Arial" w:eastAsia="Arial" w:hAnsi="Arial"/>
          <w:sz w:val="13"/>
          <w:szCs w:val="13"/>
          <w:color w:val="00053B"/>
        </w:rPr>
        <w:t>Represents noncash stock-based compensation charges associated with restricted stock units granted under our 2016 Incentive Plan and purchase rights issued under our Employee Stock Purchase Plan, exclusive of stock-based compensation expense related to Commvault’s restructuring activities described below in Note 3.</w:t>
      </w:r>
    </w:p>
    <w:p>
      <w:pPr>
        <w:spacing w:after="0" w:line="22" w:lineRule="exact"/>
        <w:rPr>
          <w:rFonts w:ascii="Arial" w:cs="Arial" w:eastAsia="Arial" w:hAnsi="Arial"/>
          <w:sz w:val="13"/>
          <w:szCs w:val="13"/>
          <w:color w:val="00053B"/>
        </w:rPr>
      </w:pPr>
    </w:p>
    <w:p>
      <w:pPr>
        <w:ind w:left="260" w:hanging="252"/>
        <w:spacing w:after="0"/>
        <w:tabs>
          <w:tab w:leader="none" w:pos="260" w:val="left"/>
        </w:tabs>
        <w:numPr>
          <w:ilvl w:val="0"/>
          <w:numId w:val="64"/>
        </w:numPr>
        <w:rPr>
          <w:rFonts w:ascii="Arial" w:cs="Arial" w:eastAsia="Arial" w:hAnsi="Arial"/>
          <w:sz w:val="13"/>
          <w:szCs w:val="13"/>
          <w:color w:val="00053B"/>
        </w:rPr>
      </w:pPr>
      <w:r>
        <w:rPr>
          <w:rFonts w:ascii="Arial" w:cs="Arial" w:eastAsia="Arial" w:hAnsi="Arial"/>
          <w:sz w:val="13"/>
          <w:szCs w:val="13"/>
          <w:color w:val="00053B"/>
        </w:rPr>
        <w:t>Represents additional FICA and related payroll tax expenses incurred by Commvault when employees exercise in-the-money stock options or vest in restricted stock awards.</w:t>
      </w:r>
    </w:p>
    <w:p>
      <w:pPr>
        <w:spacing w:after="0" w:line="53" w:lineRule="exact"/>
        <w:rPr>
          <w:rFonts w:ascii="Arial" w:cs="Arial" w:eastAsia="Arial" w:hAnsi="Arial"/>
          <w:sz w:val="13"/>
          <w:szCs w:val="13"/>
          <w:color w:val="00053B"/>
        </w:rPr>
      </w:pPr>
    </w:p>
    <w:p>
      <w:pPr>
        <w:ind w:left="340" w:right="420" w:hanging="332"/>
        <w:spacing w:after="0" w:line="286" w:lineRule="auto"/>
        <w:tabs>
          <w:tab w:leader="none" w:pos="252" w:val="left"/>
        </w:tabs>
        <w:numPr>
          <w:ilvl w:val="0"/>
          <w:numId w:val="64"/>
        </w:numPr>
        <w:rPr>
          <w:rFonts w:ascii="Arial" w:cs="Arial" w:eastAsia="Arial" w:hAnsi="Arial"/>
          <w:sz w:val="13"/>
          <w:szCs w:val="13"/>
          <w:color w:val="00053B"/>
        </w:rPr>
      </w:pPr>
      <w:r>
        <w:rPr>
          <w:rFonts w:ascii="Arial" w:cs="Arial" w:eastAsia="Arial" w:hAnsi="Arial"/>
          <w:sz w:val="13"/>
          <w:szCs w:val="13"/>
          <w:color w:val="00053B"/>
        </w:rPr>
        <w:t>These restructuring charges relate primarily to severance and related costs associated with headcount reductions and stock-based compensation related to modifications of existing unvested awards granted to certain employees impacted by the restructuring plans.</w:t>
      </w:r>
    </w:p>
    <w:p>
      <w:pPr>
        <w:spacing w:after="0" w:line="8" w:lineRule="exact"/>
        <w:rPr>
          <w:rFonts w:ascii="Arial" w:cs="Arial" w:eastAsia="Arial" w:hAnsi="Arial"/>
          <w:sz w:val="13"/>
          <w:szCs w:val="13"/>
          <w:color w:val="00053B"/>
        </w:rPr>
      </w:pPr>
    </w:p>
    <w:p>
      <w:pPr>
        <w:ind w:left="260" w:hanging="252"/>
        <w:spacing w:after="0"/>
        <w:tabs>
          <w:tab w:leader="none" w:pos="260" w:val="left"/>
        </w:tabs>
        <w:numPr>
          <w:ilvl w:val="0"/>
          <w:numId w:val="64"/>
        </w:numPr>
        <w:rPr>
          <w:rFonts w:ascii="Arial" w:cs="Arial" w:eastAsia="Arial" w:hAnsi="Arial"/>
          <w:sz w:val="13"/>
          <w:szCs w:val="13"/>
          <w:color w:val="00053B"/>
        </w:rPr>
      </w:pPr>
      <w:r>
        <w:rPr>
          <w:rFonts w:ascii="Arial" w:cs="Arial" w:eastAsia="Arial" w:hAnsi="Arial"/>
          <w:sz w:val="13"/>
          <w:szCs w:val="13"/>
          <w:color w:val="00053B"/>
        </w:rPr>
        <w:t>Represents noncash amortization of intangible assets.</w:t>
      </w:r>
    </w:p>
    <w:p>
      <w:pPr>
        <w:spacing w:after="0" w:line="53" w:lineRule="exact"/>
        <w:rPr>
          <w:rFonts w:ascii="Arial" w:cs="Arial" w:eastAsia="Arial" w:hAnsi="Arial"/>
          <w:sz w:val="13"/>
          <w:szCs w:val="13"/>
          <w:color w:val="00053B"/>
        </w:rPr>
      </w:pPr>
    </w:p>
    <w:p>
      <w:pPr>
        <w:ind w:left="260" w:hanging="252"/>
        <w:spacing w:after="0"/>
        <w:tabs>
          <w:tab w:leader="none" w:pos="260" w:val="left"/>
        </w:tabs>
        <w:numPr>
          <w:ilvl w:val="0"/>
          <w:numId w:val="64"/>
        </w:numPr>
        <w:rPr>
          <w:rFonts w:ascii="Arial" w:cs="Arial" w:eastAsia="Arial" w:hAnsi="Arial"/>
          <w:sz w:val="13"/>
          <w:szCs w:val="13"/>
          <w:color w:val="00053B"/>
        </w:rPr>
      </w:pPr>
      <w:r>
        <w:rPr>
          <w:rFonts w:ascii="Arial" w:cs="Arial" w:eastAsia="Arial" w:hAnsi="Arial"/>
          <w:sz w:val="13"/>
          <w:szCs w:val="13"/>
          <w:color w:val="00053B"/>
        </w:rPr>
        <w:t>Represents noncash impairment charges related to the pending sale of Commvault’s owned corporate headquarters.</w:t>
      </w:r>
    </w:p>
    <w:p>
      <w:pPr>
        <w:spacing w:after="0" w:line="53" w:lineRule="exact"/>
        <w:rPr>
          <w:rFonts w:ascii="Arial" w:cs="Arial" w:eastAsia="Arial" w:hAnsi="Arial"/>
          <w:sz w:val="13"/>
          <w:szCs w:val="13"/>
          <w:color w:val="00053B"/>
        </w:rPr>
      </w:pPr>
    </w:p>
    <w:p>
      <w:pPr>
        <w:ind w:left="260" w:hanging="252"/>
        <w:spacing w:after="0"/>
        <w:tabs>
          <w:tab w:leader="none" w:pos="260" w:val="left"/>
        </w:tabs>
        <w:numPr>
          <w:ilvl w:val="0"/>
          <w:numId w:val="64"/>
        </w:numPr>
        <w:rPr>
          <w:rFonts w:ascii="Arial" w:cs="Arial" w:eastAsia="Arial" w:hAnsi="Arial"/>
          <w:sz w:val="13"/>
          <w:szCs w:val="13"/>
          <w:color w:val="00053B"/>
        </w:rPr>
      </w:pPr>
      <w:r>
        <w:rPr>
          <w:rFonts w:ascii="Arial" w:cs="Arial" w:eastAsia="Arial" w:hAnsi="Arial"/>
          <w:sz w:val="13"/>
          <w:szCs w:val="13"/>
          <w:color w:val="00053B"/>
        </w:rPr>
        <w:t>Represents a non-refundable escrow payment received related to the expiration of the exclusivity agreement for the pending sale of Commvault’s owned corporate headquarters.</w:t>
      </w:r>
    </w:p>
    <w:p>
      <w:pPr>
        <w:spacing w:after="0" w:line="53" w:lineRule="exact"/>
        <w:rPr>
          <w:rFonts w:ascii="Arial" w:cs="Arial" w:eastAsia="Arial" w:hAnsi="Arial"/>
          <w:sz w:val="13"/>
          <w:szCs w:val="13"/>
          <w:color w:val="00053B"/>
        </w:rPr>
      </w:pPr>
    </w:p>
    <w:p>
      <w:pPr>
        <w:ind w:left="340" w:right="500" w:hanging="332"/>
        <w:spacing w:after="0" w:line="286" w:lineRule="auto"/>
        <w:tabs>
          <w:tab w:leader="none" w:pos="252" w:val="left"/>
        </w:tabs>
        <w:numPr>
          <w:ilvl w:val="0"/>
          <w:numId w:val="64"/>
        </w:numPr>
        <w:rPr>
          <w:rFonts w:ascii="Arial" w:cs="Arial" w:eastAsia="Arial" w:hAnsi="Arial"/>
          <w:sz w:val="13"/>
          <w:szCs w:val="13"/>
          <w:color w:val="00053B"/>
        </w:rPr>
      </w:pPr>
      <w:r>
        <w:rPr>
          <w:rFonts w:ascii="Arial" w:cs="Arial" w:eastAsia="Arial" w:hAnsi="Arial"/>
          <w:sz w:val="13"/>
          <w:szCs w:val="13"/>
          <w:color w:val="00053B"/>
        </w:rPr>
        <w:t>The provision for income taxes is adjusted to reflect Commvault’s estimated non-GAAP effective tax rate of 27%. During the fourth quarter of fiscal 2024, the Company reversed its valuation allowance, resulting in a tax benefit of $85 million for the fiscal year ended March 31, 2024.</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1"/>
          <w:szCs w:val="11"/>
          <w:color w:val="00053B"/>
        </w:rPr>
        <w:t xml:space="preserve">59 </w:t>
      </w:r>
      <w:r>
        <w:rPr>
          <w:rFonts w:ascii="Arial" w:cs="Arial" w:eastAsia="Arial" w:hAnsi="Arial"/>
          <w:sz w:val="11"/>
          <w:szCs w:val="11"/>
          <w:b w:val="1"/>
          <w:bCs w:val="1"/>
          <w:color w:val="00053B"/>
        </w:rPr>
        <w:t>COMMVAULT SYSTEMS, INC. |</w:t>
      </w:r>
      <w:r>
        <w:rPr>
          <w:rFonts w:ascii="Arial" w:cs="Arial" w:eastAsia="Arial" w:hAnsi="Arial"/>
          <w:sz w:val="11"/>
          <w:szCs w:val="11"/>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60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61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62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0"/>
          <w:szCs w:val="10"/>
          <w:color w:val="00053B"/>
        </w:rPr>
        <w:t xml:space="preserve">63 </w:t>
      </w:r>
      <w:r>
        <w:rPr>
          <w:rFonts w:ascii="Arial" w:cs="Arial" w:eastAsia="Arial" w:hAnsi="Arial"/>
          <w:sz w:val="10"/>
          <w:szCs w:val="10"/>
          <w:b w:val="1"/>
          <w:bCs w:val="1"/>
          <w:color w:val="00053B"/>
        </w:rPr>
        <w:t>COMMVAULT SYSTEMS, INC. |</w:t>
      </w:r>
      <w:r>
        <w:rPr>
          <w:rFonts w:ascii="Arial" w:cs="Arial" w:eastAsia="Arial" w:hAnsi="Arial"/>
          <w:sz w:val="10"/>
          <w:szCs w:val="10"/>
          <w:color w:val="00053B"/>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commvault.com | 888.746.3849 | get-info@commvault.com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o"/>
      <w:numFmt w:val="bullet"/>
      <w:start w:val="1"/>
    </w:lvl>
  </w:abstractNum>
  <w:abstractNum w:abstractNumId="3">
    <w:nsid w:val="614FD4A1"/>
    <w:multiLevelType w:val="hybridMultilevel"/>
    <w:lvl w:ilvl="0">
      <w:lvlJc w:val="left"/>
      <w:lvlText w:val="(%1)"/>
      <w:numFmt w:val="decimal"/>
      <w:start w:val="732"/>
    </w:lvl>
  </w:abstractNum>
  <w:abstractNum w:abstractNumId="4">
    <w:nsid w:val="419AC241"/>
    <w:multiLevelType w:val="hybridMultilevel"/>
    <w:lvl w:ilvl="0">
      <w:lvlJc w:val="left"/>
      <w:lvlText w:val="%1."/>
      <w:numFmt w:val="decimal"/>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1."/>
      <w:numFmt w:val="decimal"/>
      <w:start w:val="2"/>
    </w:lvl>
  </w:abstractNum>
  <w:abstractNum w:abstractNumId="9">
    <w:nsid w:val="77465F01"/>
    <w:multiLevelType w:val="hybridMultilevel"/>
    <w:lvl w:ilvl="0">
      <w:lvlJc w:val="left"/>
      <w:lvlText w:val="%1."/>
      <w:numFmt w:val="decimal"/>
      <w:start w:val="1"/>
    </w:lvl>
  </w:abstractNum>
  <w:abstractNum w:abstractNumId="10">
    <w:nsid w:val="7724C67E"/>
    <w:multiLevelType w:val="hybridMultilevel"/>
    <w:lvl w:ilvl="0">
      <w:lvlJc w:val="left"/>
      <w:lvlText w:val="%1."/>
      <w:numFmt w:val="decimal"/>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1."/>
      <w:numFmt w:val="decimal"/>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1."/>
      <w:numFmt w:val="decimal"/>
      <w:start w:val="1"/>
    </w:lvl>
  </w:abstractNum>
  <w:abstractNum w:abstractNumId="29">
    <w:nsid w:val="6DE91B18"/>
    <w:multiLevelType w:val="hybridMultilevel"/>
    <w:lvl w:ilvl="0">
      <w:lvlJc w:val="left"/>
      <w:lvlText w:val="%1."/>
      <w:numFmt w:val="decimal"/>
      <w:start w:val="1"/>
    </w:lvl>
  </w:abstractNum>
  <w:abstractNum w:abstractNumId="30">
    <w:nsid w:val="38437FDB"/>
    <w:multiLevelType w:val="hybridMultilevel"/>
    <w:lvl w:ilvl="0">
      <w:lvlJc w:val="left"/>
      <w:lvlText w:val="%1."/>
      <w:numFmt w:val="decimal"/>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1."/>
      <w:numFmt w:val="decimal"/>
      <w:start w:val="1"/>
    </w:lvl>
  </w:abstractNum>
  <w:abstractNum w:abstractNumId="37">
    <w:nsid w:val="1BA026FA"/>
    <w:multiLevelType w:val="hybridMultilevel"/>
    <w:lvl w:ilvl="0">
      <w:lvlJc w:val="left"/>
      <w:lvlText w:val="%1."/>
      <w:numFmt w:val="decimal"/>
      <w:start w:val="1"/>
    </w:lvl>
  </w:abstractNum>
  <w:abstractNum w:abstractNumId="38">
    <w:nsid w:val="79A1DEAA"/>
    <w:multiLevelType w:val="hybridMultilevel"/>
    <w:lvl w:ilvl="0">
      <w:lvlJc w:val="left"/>
      <w:lvlText w:val="%1."/>
      <w:numFmt w:val="decimal"/>
      <w:start w:val="1"/>
    </w:lvl>
  </w:abstractNum>
  <w:abstractNum w:abstractNumId="39">
    <w:nsid w:val="75C6C33A"/>
    <w:multiLevelType w:val="hybridMultilevel"/>
    <w:lvl w:ilvl="0">
      <w:lvlJc w:val="left"/>
      <w:lvlText w:val="%1."/>
      <w:numFmt w:val="decimal"/>
      <w:start w:val="1"/>
    </w:lvl>
  </w:abstractNum>
  <w:abstractNum w:abstractNumId="40">
    <w:nsid w:val="12E685FB"/>
    <w:multiLevelType w:val="hybridMultilevel"/>
    <w:lvl w:ilvl="0">
      <w:lvlJc w:val="left"/>
      <w:lvlText w:val="%1."/>
      <w:numFmt w:val="decimal"/>
      <w:start w:val="1"/>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1."/>
      <w:numFmt w:val="decimal"/>
      <w:start w:val="1"/>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1."/>
      <w:numFmt w:val="decimal"/>
      <w:start w:val="2"/>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1."/>
      <w:numFmt w:val="decimal"/>
      <w:start w:val="1"/>
    </w:lvl>
  </w:abstractNum>
  <w:abstractNum w:abstractNumId="51">
    <w:nsid w:val="235BA861"/>
    <w:multiLevelType w:val="hybridMultilevel"/>
    <w:lvl w:ilvl="0">
      <w:lvlJc w:val="left"/>
      <w:lvlText w:val="%1."/>
      <w:numFmt w:val="decimal"/>
      <w:start w:val="2"/>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1."/>
      <w:numFmt w:val="decimal"/>
      <w:start w:val="3"/>
    </w:lvl>
  </w:abstractNum>
  <w:abstractNum w:abstractNumId="60">
    <w:nsid w:val="7E0C57B1"/>
    <w:multiLevelType w:val="hybridMultilevel"/>
    <w:lvl w:ilvl="0">
      <w:lvlJc w:val="left"/>
      <w:lvlText w:val="%1."/>
      <w:numFmt w:val="decimal"/>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1)"/>
      <w:numFmt w:val="lowerRoman"/>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jpe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jpeg"/><Relationship Id="rId54" Type="http://schemas.openxmlformats.org/officeDocument/2006/relationships/image" Target="media/image46.jpe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jpeg"/><Relationship Id="rId58" Type="http://schemas.openxmlformats.org/officeDocument/2006/relationships/image" Target="media/image50.jpe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jpe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jpe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jpeg"/><Relationship Id="rId70" Type="http://schemas.openxmlformats.org/officeDocument/2006/relationships/image" Target="media/image62.png"/><Relationship Id="rId71" Type="http://schemas.openxmlformats.org/officeDocument/2006/relationships/image" Target="media/image63.jpe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jpe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jpeg"/><Relationship Id="rId86" Type="http://schemas.openxmlformats.org/officeDocument/2006/relationships/image" Target="media/image78.jpe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jpe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jpeg"/><Relationship Id="rId108" Type="http://schemas.openxmlformats.org/officeDocument/2006/relationships/image" Target="media/image100.jpe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jpe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jpeg"/><Relationship Id="rId134" Type="http://schemas.openxmlformats.org/officeDocument/2006/relationships/image" Target="media/image126.png"/><Relationship Id="rId135" Type="http://schemas.openxmlformats.org/officeDocument/2006/relationships/image" Target="media/image127.jpe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jpe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png"/><Relationship Id="rId175" Type="http://schemas.openxmlformats.org/officeDocument/2006/relationships/image" Target="media/image167.jpeg"/><Relationship Id="rId176" Type="http://schemas.openxmlformats.org/officeDocument/2006/relationships/image" Target="media/image168.png"/><Relationship Id="rId177" Type="http://schemas.openxmlformats.org/officeDocument/2006/relationships/image" Target="media/image169.jpe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jpe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jpeg"/><Relationship Id="rId186" Type="http://schemas.openxmlformats.org/officeDocument/2006/relationships/image" Target="media/image178.jpeg"/><Relationship Id="rId187" Type="http://schemas.openxmlformats.org/officeDocument/2006/relationships/image" Target="media/image179.jpe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jpeg"/><Relationship Id="rId193" Type="http://schemas.openxmlformats.org/officeDocument/2006/relationships/image" Target="media/image185.png"/><Relationship Id="rId194" Type="http://schemas.openxmlformats.org/officeDocument/2006/relationships/image" Target="media/image186.jpeg"/><Relationship Id="rId195" Type="http://schemas.openxmlformats.org/officeDocument/2006/relationships/image" Target="media/image187.png"/><Relationship Id="rId196" Type="http://schemas.openxmlformats.org/officeDocument/2006/relationships/image" Target="media/image188.jpeg"/><Relationship Id="rId197" Type="http://schemas.openxmlformats.org/officeDocument/2006/relationships/image" Target="media/image189.png"/><Relationship Id="rId198" Type="http://schemas.openxmlformats.org/officeDocument/2006/relationships/image" Target="media/image190.jpeg"/><Relationship Id="rId199" Type="http://schemas.openxmlformats.org/officeDocument/2006/relationships/image" Target="media/image191.png"/><Relationship Id="rId200" Type="http://schemas.openxmlformats.org/officeDocument/2006/relationships/image" Target="media/image192.jpeg"/><Relationship Id="rId201" Type="http://schemas.openxmlformats.org/officeDocument/2006/relationships/image" Target="media/image193.png"/><Relationship Id="rId202" Type="http://schemas.openxmlformats.org/officeDocument/2006/relationships/image" Target="media/image194.jpeg"/><Relationship Id="rId203" Type="http://schemas.openxmlformats.org/officeDocument/2006/relationships/image" Target="media/image195.png"/><Relationship Id="rId37" Type="http://schemas.openxmlformats.org/officeDocument/2006/relationships/hyperlink" Target="https://www.sec.gov/ix?doc=/Archives/edgar/data/0001169561/000116956124000039/cvlt-202403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2024-06-25T16:53:25Z</dcterms:created>
  <dcterms:modified xsi:type="dcterms:W3CDTF">2024-06-25T16:53:25Z</dcterms:modified>
</cp:coreProperties>
</file>