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Haydon William Geoffrey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316</w:t>
            </w:r>
          </w:p>
        </w:tc>
        <w:tc>
          <w:tcPr>
            <w:tcW w:w="1377" w:type="dxa"/>
            <w:tcBorders/>
            <w:vAlign w:val="center"/>
          </w:tcPr>
          <w:p>
            <w:pPr>
              <w:pStyle w:val="TableContents"/>
              <w:bidi w:val="0"/>
              <w:spacing w:before="0" w:after="283"/>
              <w:jc w:val="left"/>
              <w:rPr/>
            </w:pPr>
            <w:r>
              <w:rPr/>
              <w:t>42591.24</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316</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pPr>
            <w:r>
              <w:rPr/>
              <w:t>Remarks</w:t>
            </w:r>
          </w:p>
        </w:tc>
        <w:tc>
          <w:tcPr>
            <w:tcW w:w="845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1" w:type="dxa"/>
            <w:tcBorders/>
            <w:vAlign w:val="center"/>
          </w:tcPr>
          <w:p>
            <w:pPr>
              <w:pStyle w:val="TableContents"/>
              <w:bidi w:val="0"/>
              <w:spacing w:before="0" w:after="283"/>
              <w:jc w:val="left"/>
              <w:rPr/>
            </w:pPr>
            <w:r>
              <w:rPr/>
              <w:t>Date of Notice</w:t>
            </w:r>
          </w:p>
        </w:tc>
        <w:tc>
          <w:tcPr>
            <w:tcW w:w="8454"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1" w:type="dxa"/>
            <w:tcBorders/>
            <w:vAlign w:val="center"/>
          </w:tcPr>
          <w:p>
            <w:pPr>
              <w:pStyle w:val="TableContents"/>
              <w:bidi w:val="0"/>
              <w:spacing w:before="0" w:after="283"/>
              <w:jc w:val="left"/>
              <w:rPr/>
            </w:pPr>
            <w:r>
              <w:rPr/>
              <w:t>Signature</w:t>
            </w:r>
          </w:p>
        </w:tc>
        <w:tc>
          <w:tcPr>
            <w:tcW w:w="8454" w:type="dxa"/>
            <w:tcBorders/>
            <w:vAlign w:val="center"/>
          </w:tcPr>
          <w:p>
            <w:pPr>
              <w:pStyle w:val="TableContents"/>
              <w:bidi w:val="0"/>
              <w:spacing w:before="0" w:after="0"/>
              <w:jc w:val="left"/>
              <w:rPr/>
            </w:pPr>
            <w:r>
              <w:rPr/>
              <w:t>/s/ Joshua Schmitt, as a duly authorized representative of Fidelity Brokerage Services LLC, as attorney-in-fact for Geoff Haydon.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3093</Characters>
  <CharactersWithSpaces>3644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