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29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 the</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860" w:hanging="37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0" w:lineRule="exact"/>
        <w:rPr>
          <w:sz w:val="24"/>
          <w:szCs w:val="24"/>
          <w:color w:val="auto"/>
        </w:rPr>
      </w:pPr>
    </w:p>
    <w:p>
      <w:pPr>
        <w:ind w:left="860" w:hanging="371"/>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40" w:lineRule="exact"/>
        <w:rPr>
          <w:rFonts w:ascii="MS PGothic" w:cs="MS PGothic" w:eastAsia="MS PGothic" w:hAnsi="MS PGothic"/>
          <w:sz w:val="18"/>
          <w:szCs w:val="18"/>
          <w:color w:val="auto"/>
        </w:rPr>
      </w:pPr>
    </w:p>
    <w:p>
      <w:pPr>
        <w:ind w:left="860" w:hanging="371"/>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860" w:hanging="371"/>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860" w:hanging="371"/>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2045335</wp:posOffset>
            </wp:positionH>
            <wp:positionV relativeFrom="paragraph">
              <wp:posOffset>66040</wp:posOffset>
            </wp:positionV>
            <wp:extent cx="306006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006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Commvault Systems, Inc.</w:t>
      </w:r>
    </w:p>
    <w:p>
      <w:pPr>
        <w:spacing w:after="0" w:line="5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560" w:hanging="367"/>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5" w:lineRule="exact"/>
        <w:rPr>
          <w:sz w:val="24"/>
          <w:szCs w:val="24"/>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4"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3488690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EE2724"/>
        </w:rPr>
        <w:t>PRELIMINARY PROXY STATEMENT - SUBJECT TO COMPLETION</w:t>
      </w:r>
    </w:p>
    <w:p>
      <w:pPr>
        <w:spacing w:after="0" w:line="7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EE2724"/>
        </w:rPr>
        <w:t>DATED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820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20801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2202815" cy="8229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02815" cy="822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0B2E44"/>
        </w:rPr>
        <w:t>Commvault Systems, Inc.</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3"/>
          <w:szCs w:val="13"/>
          <w:color w:val="0B2E44"/>
        </w:rPr>
        <w:t>1 Commvault Way</w:t>
      </w:r>
    </w:p>
    <w:p>
      <w:pPr>
        <w:ind w:left="5620"/>
        <w:spacing w:after="0"/>
        <w:rPr>
          <w:sz w:val="20"/>
          <w:szCs w:val="20"/>
          <w:color w:val="auto"/>
        </w:rPr>
      </w:pPr>
      <w:r>
        <w:rPr>
          <w:rFonts w:ascii="Arial" w:cs="Arial" w:eastAsia="Arial" w:hAnsi="Arial"/>
          <w:sz w:val="13"/>
          <w:szCs w:val="13"/>
          <w:color w:val="0B2E44"/>
        </w:rPr>
        <w:t>Tinton Falls, NJ 07724</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3"/>
          <w:szCs w:val="13"/>
          <w:color w:val="0B2E44"/>
        </w:rPr>
        <w:t>(732) 870-4000</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6"/>
          <w:szCs w:val="16"/>
          <w:color w:val="0B2E44"/>
        </w:rPr>
        <w:t>July [ ], 2023</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0B2E44"/>
        </w:rPr>
        <w:t>Dear fellow stockholder:</w:t>
      </w:r>
    </w:p>
    <w:p>
      <w:pPr>
        <w:spacing w:after="0" w:line="113" w:lineRule="exact"/>
        <w:rPr>
          <w:sz w:val="20"/>
          <w:szCs w:val="20"/>
          <w:color w:val="auto"/>
        </w:rPr>
      </w:pPr>
    </w:p>
    <w:p>
      <w:pPr>
        <w:ind w:left="5620" w:right="40"/>
        <w:spacing w:after="0" w:line="259" w:lineRule="auto"/>
        <w:rPr>
          <w:sz w:val="20"/>
          <w:szCs w:val="20"/>
          <w:color w:val="auto"/>
        </w:rPr>
      </w:pPr>
      <w:r>
        <w:rPr>
          <w:rFonts w:ascii="Arial" w:cs="Arial" w:eastAsia="Arial" w:hAnsi="Arial"/>
          <w:sz w:val="16"/>
          <w:szCs w:val="16"/>
          <w:color w:val="0B2E44"/>
        </w:rPr>
        <w:t>At Commvault, we pride ourselves on responsible growth. In fiscal year 2023, we delivered just that, with total revenue of $785 million (+2% year over year) and $668 million total annualized recurring revenue (“ARR”) (+15% year over year), while delivering strong non-GAAP EBIT margins and returning $151 million back to stockholders in share repurchases. Yet, our responsible approach goes beyond the numbers.</w:t>
      </w:r>
    </w:p>
    <w:p>
      <w:pPr>
        <w:spacing w:after="0" w:line="91" w:lineRule="exact"/>
        <w:rPr>
          <w:sz w:val="20"/>
          <w:szCs w:val="20"/>
          <w:color w:val="auto"/>
        </w:rPr>
      </w:pPr>
    </w:p>
    <w:p>
      <w:pPr>
        <w:ind w:left="5620" w:right="20"/>
        <w:spacing w:after="0" w:line="255" w:lineRule="auto"/>
        <w:rPr>
          <w:sz w:val="20"/>
          <w:szCs w:val="20"/>
          <w:color w:val="auto"/>
        </w:rPr>
      </w:pPr>
      <w:r>
        <w:rPr>
          <w:rFonts w:ascii="Arial" w:cs="Arial" w:eastAsia="Arial" w:hAnsi="Arial"/>
          <w:sz w:val="16"/>
          <w:szCs w:val="16"/>
          <w:color w:val="0B2E44"/>
        </w:rPr>
        <w:t>For starters, it is how we transparently share our results and business outlook with you. As we evolved from a perpetual software model to a subscription and SaaS business over the past few years, we adjusted our reporting and guidance to focus on additional key performance indicators, such as ARR and free cash flow. This provides you with more transparency and clarity for measuring our business momentum.</w:t>
      </w:r>
    </w:p>
    <w:p>
      <w:pPr>
        <w:spacing w:after="0" w:line="96" w:lineRule="exact"/>
        <w:rPr>
          <w:sz w:val="20"/>
          <w:szCs w:val="20"/>
          <w:color w:val="auto"/>
        </w:rPr>
      </w:pPr>
    </w:p>
    <w:p>
      <w:pPr>
        <w:ind w:left="5620"/>
        <w:spacing w:after="0" w:line="259" w:lineRule="auto"/>
        <w:rPr>
          <w:sz w:val="20"/>
          <w:szCs w:val="20"/>
          <w:color w:val="auto"/>
        </w:rPr>
      </w:pPr>
      <w:r>
        <w:rPr>
          <w:rFonts w:ascii="Arial" w:cs="Arial" w:eastAsia="Arial" w:hAnsi="Arial"/>
          <w:sz w:val="16"/>
          <w:szCs w:val="16"/>
          <w:color w:val="0B2E44"/>
        </w:rPr>
        <w:t>Our responsibility extends to our commitments in diversity, equity and inclusion, along with progressing our environmental, social and governance initiatives. Over the past few years, we’ve made tremendous strides in diverse hiring and advancing underrepresented groups. Today, we have a diverse Board and leadership team to help ensure we deliver for our global customers and partners and live our values every day.</w:t>
      </w:r>
    </w:p>
    <w:p>
      <w:pPr>
        <w:spacing w:after="0" w:line="78" w:lineRule="exact"/>
        <w:rPr>
          <w:sz w:val="20"/>
          <w:szCs w:val="20"/>
          <w:color w:val="auto"/>
        </w:rPr>
      </w:pPr>
    </w:p>
    <w:p>
      <w:pPr>
        <w:ind w:left="5620" w:right="20"/>
        <w:spacing w:after="0" w:line="262" w:lineRule="auto"/>
        <w:rPr>
          <w:sz w:val="20"/>
          <w:szCs w:val="20"/>
          <w:color w:val="auto"/>
        </w:rPr>
      </w:pPr>
      <w:r>
        <w:rPr>
          <w:rFonts w:ascii="Arial" w:cs="Arial" w:eastAsia="Arial" w:hAnsi="Arial"/>
          <w:sz w:val="16"/>
          <w:szCs w:val="16"/>
          <w:color w:val="0B2E44"/>
        </w:rPr>
        <w:t>While the macro economic environment may remain unsettled in the near term, we believe that our responsible growth strategy enables us to focus on investing in and delivering a data protection platform that elegantly solves our customers’ pain points. To that end, we plan to continue returning value to our stockholders by using our free cash flow to repurchase Commvault stock.</w:t>
      </w:r>
    </w:p>
    <w:p>
      <w:pPr>
        <w:spacing w:after="0" w:line="76" w:lineRule="exact"/>
        <w:rPr>
          <w:sz w:val="20"/>
          <w:szCs w:val="20"/>
          <w:color w:val="auto"/>
        </w:rPr>
      </w:pPr>
    </w:p>
    <w:p>
      <w:pPr>
        <w:ind w:left="5620" w:right="160"/>
        <w:spacing w:after="0" w:line="270" w:lineRule="auto"/>
        <w:rPr>
          <w:sz w:val="20"/>
          <w:szCs w:val="20"/>
          <w:color w:val="auto"/>
        </w:rPr>
      </w:pPr>
      <w:r>
        <w:rPr>
          <w:rFonts w:ascii="Arial" w:cs="Arial" w:eastAsia="Arial" w:hAnsi="Arial"/>
          <w:sz w:val="16"/>
          <w:szCs w:val="16"/>
          <w:color w:val="0B2E44"/>
        </w:rPr>
        <w:t>I want to thank our CEO Sanjay Mirchandani and his entire leadership team for setting our differentiated company strategy and embodying our commitment to continuing to deliver responsible growth.</w:t>
      </w:r>
    </w:p>
    <w:p>
      <w:pPr>
        <w:spacing w:after="0" w:line="68" w:lineRule="exact"/>
        <w:rPr>
          <w:sz w:val="20"/>
          <w:szCs w:val="20"/>
          <w:color w:val="auto"/>
        </w:rPr>
      </w:pPr>
    </w:p>
    <w:p>
      <w:pPr>
        <w:ind w:left="5620"/>
        <w:spacing w:after="0"/>
        <w:rPr>
          <w:sz w:val="20"/>
          <w:szCs w:val="20"/>
          <w:color w:val="auto"/>
        </w:rPr>
      </w:pPr>
      <w:r>
        <w:rPr>
          <w:rFonts w:ascii="Arial" w:cs="Arial" w:eastAsia="Arial" w:hAnsi="Arial"/>
          <w:sz w:val="16"/>
          <w:szCs w:val="16"/>
          <w:color w:val="0B2E44"/>
        </w:rPr>
        <w:t>Thank you for your ongoing investment and support of Commvault.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283845</wp:posOffset>
            </wp:positionV>
            <wp:extent cx="2828925" cy="161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0B2E44"/>
        </w:rPr>
        <w:t>Nicholas Adamo</w:t>
      </w:r>
    </w:p>
    <w:p>
      <w:pPr>
        <w:ind w:left="5640"/>
        <w:spacing w:after="0"/>
        <w:rPr>
          <w:sz w:val="20"/>
          <w:szCs w:val="20"/>
          <w:color w:val="auto"/>
        </w:rPr>
      </w:pPr>
      <w:r>
        <w:rPr>
          <w:rFonts w:ascii="Arial" w:cs="Arial" w:eastAsia="Arial" w:hAnsi="Arial"/>
          <w:sz w:val="16"/>
          <w:szCs w:val="16"/>
          <w:color w:val="0B2E44"/>
        </w:rPr>
        <w:t>Chairman of the Board</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8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443230</wp:posOffset>
            </wp:positionV>
            <wp:extent cx="7029450" cy="1740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640" w:type="dxa"/>
            <w:vAlign w:val="bottom"/>
            <w:shd w:val="clear" w:color="auto" w:fill="0B2E44"/>
          </w:tcPr>
          <w:p>
            <w:pPr>
              <w:jc w:val="center"/>
              <w:spacing w:after="0"/>
              <w:rPr>
                <w:sz w:val="20"/>
                <w:szCs w:val="20"/>
                <w:color w:val="auto"/>
              </w:rPr>
            </w:pPr>
            <w:r>
              <w:rPr>
                <w:rFonts w:ascii="Arial" w:cs="Arial" w:eastAsia="Arial" w:hAnsi="Arial"/>
                <w:sz w:val="18"/>
                <w:szCs w:val="18"/>
                <w:b w:val="1"/>
                <w:bCs w:val="1"/>
                <w:color w:val="FFFFFF"/>
                <w:w w:val="99"/>
              </w:rPr>
              <w:t>Time and Date:</w:t>
            </w:r>
          </w:p>
        </w:tc>
        <w:tc>
          <w:tcPr>
            <w:tcW w:w="100" w:type="dxa"/>
            <w:vAlign w:val="bottom"/>
          </w:tcPr>
          <w:p>
            <w:pPr>
              <w:spacing w:after="0"/>
              <w:rPr>
                <w:sz w:val="20"/>
                <w:szCs w:val="20"/>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8"/>
                <w:szCs w:val="18"/>
                <w:b w:val="1"/>
                <w:bCs w:val="1"/>
                <w:color w:val="FFFFFF"/>
                <w:w w:val="98"/>
              </w:rPr>
              <w:t>Location:</w:t>
            </w:r>
          </w:p>
        </w:tc>
      </w:tr>
      <w:tr>
        <w:trPr>
          <w:trHeight w:val="207"/>
        </w:trPr>
        <w:tc>
          <w:tcPr>
            <w:tcW w:w="3640" w:type="dxa"/>
            <w:vAlign w:val="bottom"/>
            <w:shd w:val="clear" w:color="auto" w:fill="0B2E44"/>
          </w:tcPr>
          <w:p>
            <w:pPr>
              <w:jc w:val="center"/>
              <w:spacing w:after="0"/>
              <w:rPr>
                <w:sz w:val="20"/>
                <w:szCs w:val="20"/>
                <w:color w:val="auto"/>
              </w:rPr>
            </w:pPr>
            <w:r>
              <w:rPr>
                <w:rFonts w:ascii="Arial" w:cs="Arial" w:eastAsia="Arial" w:hAnsi="Arial"/>
                <w:sz w:val="16"/>
                <w:szCs w:val="16"/>
                <w:color w:val="FFFFFF"/>
                <w:w w:val="99"/>
              </w:rPr>
              <w:t>Tuesday, August 29, 2023</w:t>
            </w:r>
          </w:p>
        </w:tc>
        <w:tc>
          <w:tcPr>
            <w:tcW w:w="100" w:type="dxa"/>
            <w:vAlign w:val="bottom"/>
          </w:tcPr>
          <w:p>
            <w:pPr>
              <w:spacing w:after="0"/>
              <w:rPr>
                <w:sz w:val="17"/>
                <w:szCs w:val="17"/>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6"/>
                <w:szCs w:val="16"/>
                <w:color w:val="FFFFFF"/>
              </w:rPr>
              <w:t>Virtual only</w:t>
            </w:r>
          </w:p>
        </w:tc>
      </w:tr>
      <w:tr>
        <w:trPr>
          <w:trHeight w:val="222"/>
        </w:trPr>
        <w:tc>
          <w:tcPr>
            <w:tcW w:w="3640" w:type="dxa"/>
            <w:vAlign w:val="bottom"/>
            <w:shd w:val="clear" w:color="auto" w:fill="0B2E44"/>
          </w:tcPr>
          <w:p>
            <w:pPr>
              <w:jc w:val="center"/>
              <w:spacing w:after="0"/>
              <w:rPr>
                <w:sz w:val="20"/>
                <w:szCs w:val="20"/>
                <w:color w:val="auto"/>
              </w:rPr>
            </w:pPr>
            <w:r>
              <w:rPr>
                <w:rFonts w:ascii="Arial" w:cs="Arial" w:eastAsia="Arial" w:hAnsi="Arial"/>
                <w:sz w:val="16"/>
                <w:szCs w:val="16"/>
                <w:color w:val="FFFFFF"/>
              </w:rPr>
              <w:t>9:00 a.m., Eastern Time</w:t>
            </w:r>
          </w:p>
        </w:tc>
        <w:tc>
          <w:tcPr>
            <w:tcW w:w="100" w:type="dxa"/>
            <w:vAlign w:val="bottom"/>
          </w:tcPr>
          <w:p>
            <w:pPr>
              <w:spacing w:after="0"/>
              <w:rPr>
                <w:sz w:val="19"/>
                <w:szCs w:val="19"/>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6"/>
                <w:szCs w:val="16"/>
                <w:color w:val="FF4A6A"/>
              </w:rPr>
              <w:t>http://ir.commvault.com/annual-meeting</w:t>
            </w:r>
          </w:p>
        </w:tc>
      </w:tr>
    </w:tbl>
    <w:p>
      <w:pPr>
        <w:spacing w:after="0" w:line="17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92E44"/>
        </w:rPr>
        <w:t>It is my pleasure to notify our stockholders of our 2023</w:t>
      </w:r>
    </w:p>
    <w:p>
      <w:pPr>
        <w:spacing w:after="0" w:line="16" w:lineRule="exact"/>
        <w:rPr>
          <w:sz w:val="20"/>
          <w:szCs w:val="20"/>
          <w:color w:val="auto"/>
        </w:rPr>
      </w:pPr>
    </w:p>
    <w:p>
      <w:pPr>
        <w:ind w:left="40" w:right="320"/>
        <w:spacing w:after="0" w:line="249" w:lineRule="auto"/>
        <w:rPr>
          <w:sz w:val="20"/>
          <w:szCs w:val="20"/>
          <w:color w:val="auto"/>
        </w:rPr>
      </w:pPr>
      <w:r>
        <w:rPr>
          <w:rFonts w:ascii="Arial" w:cs="Arial" w:eastAsia="Arial" w:hAnsi="Arial"/>
          <w:sz w:val="22"/>
          <w:szCs w:val="22"/>
          <w:b w:val="1"/>
          <w:bCs w:val="1"/>
          <w:color w:val="092E44"/>
        </w:rPr>
        <w:t>Annual Meeting. We look forward to your participation. The purposes of the meeting are:</w:t>
      </w:r>
    </w:p>
    <w:p>
      <w:pPr>
        <w:ind w:left="540" w:hanging="410"/>
        <w:spacing w:after="0" w:line="232" w:lineRule="auto"/>
        <w:tabs>
          <w:tab w:leader="none" w:pos="540" w:val="left"/>
        </w:tabs>
        <w:numPr>
          <w:ilvl w:val="0"/>
          <w:numId w:val="5"/>
        </w:numPr>
        <w:rPr>
          <w:rFonts w:ascii="Arial" w:cs="Arial" w:eastAsia="Arial" w:hAnsi="Arial"/>
          <w:sz w:val="22"/>
          <w:szCs w:val="22"/>
          <w:b w:val="1"/>
          <w:bCs w:val="1"/>
          <w:color w:val="FF4A6A"/>
        </w:rPr>
      </w:pPr>
      <w:r>
        <w:rPr>
          <w:rFonts w:ascii="Arial" w:cs="Arial" w:eastAsia="Arial" w:hAnsi="Arial"/>
          <w:sz w:val="16"/>
          <w:szCs w:val="16"/>
          <w:color w:val="092E44"/>
        </w:rPr>
        <w:t>To elect nine directors for one-year terms;</w:t>
      </w:r>
    </w:p>
    <w:p>
      <w:pPr>
        <w:spacing w:after="0" w:line="36" w:lineRule="exact"/>
        <w:rPr>
          <w:rFonts w:ascii="Arial" w:cs="Arial" w:eastAsia="Arial" w:hAnsi="Arial"/>
          <w:sz w:val="22"/>
          <w:szCs w:val="22"/>
          <w:b w:val="1"/>
          <w:bCs w:val="1"/>
          <w:color w:val="FF4A6A"/>
        </w:rPr>
      </w:pPr>
    </w:p>
    <w:p>
      <w:pPr>
        <w:ind w:left="540" w:right="60" w:hanging="410"/>
        <w:spacing w:after="0" w:line="209" w:lineRule="auto"/>
        <w:tabs>
          <w:tab w:leader="none" w:pos="540" w:val="left"/>
        </w:tabs>
        <w:numPr>
          <w:ilvl w:val="0"/>
          <w:numId w:val="5"/>
        </w:numPr>
        <w:rPr>
          <w:rFonts w:ascii="Arial" w:cs="Arial" w:eastAsia="Arial" w:hAnsi="Arial"/>
          <w:sz w:val="22"/>
          <w:szCs w:val="22"/>
          <w:b w:val="1"/>
          <w:bCs w:val="1"/>
          <w:color w:val="FF4A6A"/>
        </w:rPr>
      </w:pPr>
      <w:r>
        <w:rPr>
          <w:rFonts w:ascii="Arial" w:cs="Arial" w:eastAsia="Arial" w:hAnsi="Arial"/>
          <w:sz w:val="16"/>
          <w:szCs w:val="16"/>
          <w:color w:val="092E44"/>
        </w:rPr>
        <w:t>To vote to amend Commvault’s Amended and Restated Certificate of Incorporation to include officer exculpation;</w:t>
      </w:r>
    </w:p>
    <w:p>
      <w:pPr>
        <w:spacing w:after="0" w:line="1" w:lineRule="exact"/>
        <w:rPr>
          <w:rFonts w:ascii="Arial" w:cs="Arial" w:eastAsia="Arial" w:hAnsi="Arial"/>
          <w:sz w:val="22"/>
          <w:szCs w:val="22"/>
          <w:b w:val="1"/>
          <w:bCs w:val="1"/>
          <w:color w:val="FF4A6A"/>
        </w:rPr>
      </w:pPr>
    </w:p>
    <w:p>
      <w:pPr>
        <w:ind w:left="540" w:hanging="410"/>
        <w:spacing w:after="0" w:line="230" w:lineRule="auto"/>
        <w:tabs>
          <w:tab w:leader="none" w:pos="540" w:val="left"/>
        </w:tabs>
        <w:numPr>
          <w:ilvl w:val="0"/>
          <w:numId w:val="5"/>
        </w:numPr>
        <w:rPr>
          <w:rFonts w:ascii="Arial" w:cs="Arial" w:eastAsia="Arial" w:hAnsi="Arial"/>
          <w:sz w:val="22"/>
          <w:szCs w:val="22"/>
          <w:b w:val="1"/>
          <w:bCs w:val="1"/>
          <w:color w:val="FF4A6A"/>
        </w:rPr>
      </w:pPr>
      <w:r>
        <w:rPr>
          <w:rFonts w:ascii="Arial" w:cs="Arial" w:eastAsia="Arial" w:hAnsi="Arial"/>
          <w:sz w:val="16"/>
          <w:szCs w:val="16"/>
          <w:color w:val="092E44"/>
        </w:rPr>
        <w:t>To approve, on an advisory basis, Commvault’s executive compensation;</w:t>
      </w:r>
    </w:p>
    <w:p>
      <w:pPr>
        <w:spacing w:after="0" w:line="50" w:lineRule="exact"/>
        <w:rPr>
          <w:rFonts w:ascii="Arial" w:cs="Arial" w:eastAsia="Arial" w:hAnsi="Arial"/>
          <w:sz w:val="22"/>
          <w:szCs w:val="22"/>
          <w:b w:val="1"/>
          <w:bCs w:val="1"/>
          <w:color w:val="FF4A6A"/>
        </w:rPr>
      </w:pPr>
    </w:p>
    <w:p>
      <w:pPr>
        <w:ind w:left="540" w:right="140" w:hanging="410"/>
        <w:spacing w:after="0" w:line="209" w:lineRule="auto"/>
        <w:tabs>
          <w:tab w:leader="none" w:pos="540" w:val="left"/>
        </w:tabs>
        <w:numPr>
          <w:ilvl w:val="0"/>
          <w:numId w:val="5"/>
        </w:numPr>
        <w:rPr>
          <w:rFonts w:ascii="Arial" w:cs="Arial" w:eastAsia="Arial" w:hAnsi="Arial"/>
          <w:sz w:val="22"/>
          <w:szCs w:val="22"/>
          <w:b w:val="1"/>
          <w:bCs w:val="1"/>
          <w:color w:val="FF4A6A"/>
        </w:rPr>
      </w:pPr>
      <w:r>
        <w:rPr>
          <w:rFonts w:ascii="Arial" w:cs="Arial" w:eastAsia="Arial" w:hAnsi="Arial"/>
          <w:sz w:val="16"/>
          <w:szCs w:val="16"/>
          <w:color w:val="092E44"/>
        </w:rPr>
        <w:t>To vote, on an advisory basis, on the frequency of future advisory votes on Commvault’s executive compensation;</w:t>
      </w:r>
    </w:p>
    <w:p>
      <w:pPr>
        <w:spacing w:after="0" w:line="24" w:lineRule="exact"/>
        <w:rPr>
          <w:rFonts w:ascii="Arial" w:cs="Arial" w:eastAsia="Arial" w:hAnsi="Arial"/>
          <w:sz w:val="22"/>
          <w:szCs w:val="22"/>
          <w:b w:val="1"/>
          <w:bCs w:val="1"/>
          <w:color w:val="FF4A6A"/>
        </w:rPr>
      </w:pPr>
    </w:p>
    <w:p>
      <w:pPr>
        <w:ind w:left="540" w:right="80" w:hanging="410"/>
        <w:spacing w:after="0" w:line="209" w:lineRule="auto"/>
        <w:tabs>
          <w:tab w:leader="none" w:pos="540" w:val="left"/>
        </w:tabs>
        <w:numPr>
          <w:ilvl w:val="0"/>
          <w:numId w:val="5"/>
        </w:numPr>
        <w:rPr>
          <w:rFonts w:ascii="Arial" w:cs="Arial" w:eastAsia="Arial" w:hAnsi="Arial"/>
          <w:sz w:val="22"/>
          <w:szCs w:val="22"/>
          <w:b w:val="1"/>
          <w:bCs w:val="1"/>
          <w:color w:val="FF4A6A"/>
        </w:rPr>
      </w:pPr>
      <w:r>
        <w:rPr>
          <w:rFonts w:ascii="Arial" w:cs="Arial" w:eastAsia="Arial" w:hAnsi="Arial"/>
          <w:sz w:val="16"/>
          <w:szCs w:val="16"/>
          <w:color w:val="092E44"/>
        </w:rPr>
        <w:t>To ratify the appointment of Ernst &amp; Young LLP as Commvault’s independent public accountants for the fiscal year ending March 31, 2024;</w:t>
      </w:r>
    </w:p>
    <w:p>
      <w:pPr>
        <w:spacing w:after="0" w:line="37" w:lineRule="exact"/>
        <w:rPr>
          <w:rFonts w:ascii="Arial" w:cs="Arial" w:eastAsia="Arial" w:hAnsi="Arial"/>
          <w:sz w:val="22"/>
          <w:szCs w:val="22"/>
          <w:b w:val="1"/>
          <w:bCs w:val="1"/>
          <w:color w:val="FF4A6A"/>
        </w:rPr>
      </w:pPr>
    </w:p>
    <w:p>
      <w:pPr>
        <w:ind w:left="540" w:right="140" w:hanging="410"/>
        <w:spacing w:after="0" w:line="209" w:lineRule="auto"/>
        <w:tabs>
          <w:tab w:leader="none" w:pos="540" w:val="left"/>
        </w:tabs>
        <w:numPr>
          <w:ilvl w:val="0"/>
          <w:numId w:val="5"/>
        </w:numPr>
        <w:rPr>
          <w:rFonts w:ascii="Arial" w:cs="Arial" w:eastAsia="Arial" w:hAnsi="Arial"/>
          <w:sz w:val="22"/>
          <w:szCs w:val="22"/>
          <w:b w:val="1"/>
          <w:bCs w:val="1"/>
          <w:color w:val="FF4A6A"/>
        </w:rPr>
      </w:pPr>
      <w:r>
        <w:rPr>
          <w:rFonts w:ascii="Arial" w:cs="Arial" w:eastAsia="Arial" w:hAnsi="Arial"/>
          <w:sz w:val="16"/>
          <w:szCs w:val="16"/>
          <w:color w:val="092E44"/>
        </w:rPr>
        <w:t>To approve additional shares to be available for grant under Commvault’s 2016 Omnibus Incentive Plan (the “2016 Incentive Plan”); and</w:t>
      </w:r>
    </w:p>
    <w:p>
      <w:pPr>
        <w:spacing w:after="0" w:line="37" w:lineRule="exact"/>
        <w:rPr>
          <w:rFonts w:ascii="Arial" w:cs="Arial" w:eastAsia="Arial" w:hAnsi="Arial"/>
          <w:sz w:val="22"/>
          <w:szCs w:val="22"/>
          <w:b w:val="1"/>
          <w:bCs w:val="1"/>
          <w:color w:val="FF4A6A"/>
        </w:rPr>
      </w:pPr>
    </w:p>
    <w:p>
      <w:pPr>
        <w:ind w:left="540" w:right="200" w:hanging="410"/>
        <w:spacing w:after="0" w:line="209" w:lineRule="auto"/>
        <w:tabs>
          <w:tab w:leader="none" w:pos="540" w:val="left"/>
        </w:tabs>
        <w:numPr>
          <w:ilvl w:val="0"/>
          <w:numId w:val="5"/>
        </w:numPr>
        <w:rPr>
          <w:rFonts w:ascii="Arial" w:cs="Arial" w:eastAsia="Arial" w:hAnsi="Arial"/>
          <w:sz w:val="22"/>
          <w:szCs w:val="22"/>
          <w:b w:val="1"/>
          <w:bCs w:val="1"/>
          <w:color w:val="FF4A6A"/>
        </w:rPr>
      </w:pPr>
      <w:r>
        <w:rPr>
          <w:rFonts w:ascii="Arial" w:cs="Arial" w:eastAsia="Arial" w:hAnsi="Arial"/>
          <w:sz w:val="16"/>
          <w:szCs w:val="16"/>
          <w:color w:val="092E44"/>
        </w:rPr>
        <w:t>To transact such other business as may properly come before the meeting, or any adjournment or postponement thereof.</w:t>
      </w:r>
    </w:p>
    <w:p>
      <w:pPr>
        <w:spacing w:after="0" w:line="237" w:lineRule="exact"/>
        <w:rPr>
          <w:sz w:val="20"/>
          <w:szCs w:val="20"/>
          <w:color w:val="auto"/>
        </w:rPr>
      </w:pPr>
    </w:p>
    <w:p>
      <w:pPr>
        <w:jc w:val="both"/>
        <w:ind w:left="40"/>
        <w:spacing w:after="0" w:line="257" w:lineRule="auto"/>
        <w:rPr>
          <w:sz w:val="20"/>
          <w:szCs w:val="20"/>
          <w:color w:val="auto"/>
        </w:rPr>
      </w:pPr>
      <w:r>
        <w:rPr>
          <w:rFonts w:ascii="Arial" w:cs="Arial" w:eastAsia="Arial" w:hAnsi="Arial"/>
          <w:sz w:val="13"/>
          <w:szCs w:val="13"/>
          <w:color w:val="092E44"/>
        </w:rPr>
        <w:t>Only stockholders of record as of the Record Date are entitled to notice of, and to vote at, the Annual Meeting and any adjournment or postponement thereof. We will mail a Notice Regarding the Availability of Proxy Materials to stockholders of record on or before July [ ], 2023, so you can access our proxy materials online or request paper copies of these materials.</w:t>
      </w:r>
    </w:p>
    <w:p>
      <w:pPr>
        <w:spacing w:after="0" w:line="33" w:lineRule="exact"/>
        <w:rPr>
          <w:sz w:val="20"/>
          <w:szCs w:val="20"/>
          <w:color w:val="auto"/>
        </w:rPr>
      </w:pPr>
    </w:p>
    <w:p>
      <w:pPr>
        <w:jc w:val="both"/>
        <w:ind w:left="40" w:firstLine="63"/>
        <w:spacing w:after="0" w:line="255" w:lineRule="auto"/>
        <w:rPr>
          <w:sz w:val="20"/>
          <w:szCs w:val="20"/>
          <w:color w:val="auto"/>
        </w:rPr>
      </w:pPr>
      <w:r>
        <w:rPr>
          <w:rFonts w:ascii="Arial" w:cs="Arial" w:eastAsia="Arial" w:hAnsi="Arial"/>
          <w:sz w:val="13"/>
          <w:szCs w:val="13"/>
          <w:color w:val="092E44"/>
        </w:rPr>
        <w:t>For information about how to access the virtual meeting, and what to do if you have technical difficulties, please see “Additional Information about the Annual Meeting.”</w:t>
      </w:r>
    </w:p>
    <w:p>
      <w:pPr>
        <w:spacing w:after="0" w:line="33" w:lineRule="exact"/>
        <w:rPr>
          <w:sz w:val="20"/>
          <w:szCs w:val="20"/>
          <w:color w:val="auto"/>
        </w:rPr>
      </w:pPr>
    </w:p>
    <w:p>
      <w:pPr>
        <w:jc w:val="both"/>
        <w:ind w:left="40"/>
        <w:spacing w:after="0" w:line="255" w:lineRule="auto"/>
        <w:rPr>
          <w:sz w:val="20"/>
          <w:szCs w:val="20"/>
          <w:color w:val="auto"/>
        </w:rPr>
      </w:pPr>
      <w:r>
        <w:rPr>
          <w:rFonts w:ascii="Arial" w:cs="Arial" w:eastAsia="Arial" w:hAnsi="Arial"/>
          <w:sz w:val="13"/>
          <w:szCs w:val="13"/>
          <w:color w:val="092E44"/>
        </w:rPr>
        <w:t>If you vote in advance using our telephone or Internet voting procedures or by sending in your proxy card, you may still attend and vote at the Annual Meeting.</w:t>
      </w:r>
    </w:p>
    <w:p>
      <w:pPr>
        <w:spacing w:after="0" w:line="47" w:lineRule="exact"/>
        <w:rPr>
          <w:sz w:val="20"/>
          <w:szCs w:val="20"/>
          <w:color w:val="auto"/>
        </w:rPr>
      </w:pPr>
    </w:p>
    <w:p>
      <w:pPr>
        <w:jc w:val="both"/>
        <w:ind w:left="40"/>
        <w:spacing w:after="0" w:line="246" w:lineRule="auto"/>
        <w:rPr>
          <w:sz w:val="20"/>
          <w:szCs w:val="20"/>
          <w:color w:val="auto"/>
        </w:rPr>
      </w:pPr>
      <w:r>
        <w:rPr>
          <w:rFonts w:ascii="Arial" w:cs="Arial" w:eastAsia="Arial" w:hAnsi="Arial"/>
          <w:sz w:val="13"/>
          <w:szCs w:val="13"/>
          <w:color w:val="092E44"/>
        </w:rPr>
        <w:t>A list of stockholders entitled to vote at the Annual Meeting will be available for examination by stockholders during the ten days preceding the meeting. Information regarding how to examine the stockholder list is available at the meeting website at http://ir.commvault.com/annual-meeting.</w:t>
      </w:r>
    </w:p>
    <w:p>
      <w:pPr>
        <w:spacing w:after="0" w:line="86" w:lineRule="exact"/>
        <w:rPr>
          <w:sz w:val="20"/>
          <w:szCs w:val="20"/>
          <w:color w:val="auto"/>
        </w:rPr>
      </w:pPr>
    </w:p>
    <w:p>
      <w:pPr>
        <w:jc w:val="both"/>
        <w:ind w:left="40"/>
        <w:spacing w:after="0" w:line="268" w:lineRule="auto"/>
        <w:rPr>
          <w:sz w:val="20"/>
          <w:szCs w:val="20"/>
          <w:color w:val="auto"/>
        </w:rPr>
      </w:pPr>
      <w:r>
        <w:rPr>
          <w:rFonts w:ascii="Arial" w:cs="Arial" w:eastAsia="Arial" w:hAnsi="Arial"/>
          <w:sz w:val="13"/>
          <w:szCs w:val="13"/>
          <w:b w:val="1"/>
          <w:bCs w:val="1"/>
          <w:color w:val="092E44"/>
        </w:rPr>
        <w:t xml:space="preserve">Important Notice Regarding the Availability of Proxy Materials for the Meeting to be held on August 29, 2023: </w:t>
      </w:r>
      <w:r>
        <w:rPr>
          <w:rFonts w:ascii="Arial" w:cs="Arial" w:eastAsia="Arial" w:hAnsi="Arial"/>
          <w:sz w:val="13"/>
          <w:szCs w:val="13"/>
          <w:color w:val="092E44"/>
        </w:rPr>
        <w:t>This proxy</w:t>
      </w:r>
      <w:r>
        <w:rPr>
          <w:rFonts w:ascii="Arial" w:cs="Arial" w:eastAsia="Arial" w:hAnsi="Arial"/>
          <w:sz w:val="13"/>
          <w:szCs w:val="13"/>
          <w:b w:val="1"/>
          <w:bCs w:val="1"/>
          <w:color w:val="092E44"/>
        </w:rPr>
        <w:t xml:space="preserve"> </w:t>
      </w:r>
      <w:r>
        <w:rPr>
          <w:rFonts w:ascii="Arial" w:cs="Arial" w:eastAsia="Arial" w:hAnsi="Arial"/>
          <w:sz w:val="13"/>
          <w:szCs w:val="13"/>
          <w:color w:val="092E44"/>
        </w:rPr>
        <w:t xml:space="preserve">statement and our annual report to stockholders are available at </w:t>
      </w:r>
      <w:r>
        <w:rPr>
          <w:rFonts w:ascii="Arial" w:cs="Arial" w:eastAsia="Arial" w:hAnsi="Arial"/>
          <w:sz w:val="13"/>
          <w:szCs w:val="13"/>
          <w:u w:val="single" w:color="auto"/>
          <w:color w:val="E14A6A"/>
        </w:rPr>
        <w:t>www.edocumentview.com/CVLT</w:t>
      </w:r>
      <w:r>
        <w:rPr>
          <w:rFonts w:ascii="Arial" w:cs="Arial" w:eastAsia="Arial" w:hAnsi="Arial"/>
          <w:sz w:val="13"/>
          <w:szCs w:val="13"/>
          <w:color w:val="092E44"/>
        </w:rPr>
        <w:t>.</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92E44"/>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41275</wp:posOffset>
            </wp:positionV>
            <wp:extent cx="103695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6955" cy="4457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-104140</wp:posOffset>
            </wp:positionV>
            <wp:extent cx="951230" cy="951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92E44"/>
        </w:rPr>
        <w:t>Danielle Sheer</w:t>
      </w:r>
    </w:p>
    <w:p>
      <w:pPr>
        <w:ind w:left="40"/>
        <w:spacing w:after="0"/>
        <w:rPr>
          <w:sz w:val="20"/>
          <w:szCs w:val="20"/>
          <w:color w:val="auto"/>
        </w:rPr>
      </w:pPr>
      <w:r>
        <w:rPr>
          <w:rFonts w:ascii="Arial" w:cs="Arial" w:eastAsia="Arial" w:hAnsi="Arial"/>
          <w:sz w:val="15"/>
          <w:szCs w:val="15"/>
          <w:i w:val="1"/>
          <w:iCs w:val="1"/>
          <w:color w:val="092E44"/>
        </w:rPr>
        <w:t>Chief Legal and Compliance Officer</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092E44"/>
        </w:rPr>
        <w:t>July [ ],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FFFFFF"/>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-125095</wp:posOffset>
            </wp:positionV>
            <wp:extent cx="2305685" cy="419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5685" cy="419735"/>
                    </a:xfrm>
                    <a:prstGeom prst="rect">
                      <a:avLst/>
                    </a:prstGeom>
                    <a:noFill/>
                  </pic:spPr>
                </pic:pic>
              </a:graphicData>
            </a:graphic>
          </wp:anchor>
        </w:drawing>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6"/>
          <w:szCs w:val="16"/>
          <w:color w:val="FFFFFF"/>
        </w:rPr>
        <w:t>June 30, 2023</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092E44"/>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257175"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 cy="394335"/>
                    </a:xfrm>
                    <a:prstGeom prst="rect">
                      <a:avLst/>
                    </a:prstGeom>
                    <a:noFill/>
                  </pic:spPr>
                </pic:pic>
              </a:graphicData>
            </a:graphic>
          </wp:anchor>
        </w:drawing>
      </w:r>
    </w:p>
    <w:p>
      <w:pPr>
        <w:spacing w:after="0" w:line="31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E14A6A"/>
        </w:rPr>
        <w:t>Online during</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E14A6A"/>
        </w:rPr>
        <w:t>the Meeting:</w:t>
      </w:r>
    </w:p>
    <w:p>
      <w:pPr>
        <w:spacing w:after="0" w:line="351" w:lineRule="exact"/>
        <w:rPr>
          <w:sz w:val="20"/>
          <w:szCs w:val="20"/>
          <w:color w:val="auto"/>
        </w:rPr>
      </w:pPr>
    </w:p>
    <w:p>
      <w:pPr>
        <w:ind w:right="160"/>
        <w:spacing w:after="0" w:line="227" w:lineRule="auto"/>
        <w:rPr>
          <w:sz w:val="20"/>
          <w:szCs w:val="20"/>
          <w:color w:val="auto"/>
        </w:rPr>
      </w:pPr>
      <w:r>
        <w:rPr>
          <w:rFonts w:ascii="Arial" w:cs="Arial" w:eastAsia="Arial" w:hAnsi="Arial"/>
          <w:sz w:val="16"/>
          <w:szCs w:val="16"/>
          <w:color w:val="092E44"/>
        </w:rPr>
        <w:t xml:space="preserve">Attend the Annual Meeting virtually at </w:t>
      </w:r>
      <w:r>
        <w:rPr>
          <w:rFonts w:ascii="Arial" w:cs="Arial" w:eastAsia="Arial" w:hAnsi="Arial"/>
          <w:sz w:val="16"/>
          <w:szCs w:val="16"/>
          <w:u w:val="single" w:color="auto"/>
          <w:color w:val="E14A6A"/>
        </w:rPr>
        <w:t>http://ir.commvault.com/annual-meeting</w:t>
      </w:r>
      <w:r>
        <w:rPr>
          <w:rFonts w:ascii="Arial" w:cs="Arial" w:eastAsia="Arial" w:hAnsi="Arial"/>
          <w:sz w:val="16"/>
          <w:szCs w:val="16"/>
          <w:color w:val="E14A6A"/>
        </w:rPr>
        <w:t xml:space="preserve"> </w:t>
      </w:r>
      <w:r>
        <w:rPr>
          <w:rFonts w:ascii="Arial" w:cs="Arial" w:eastAsia="Arial" w:hAnsi="Arial"/>
          <w:sz w:val="16"/>
          <w:szCs w:val="16"/>
          <w:color w:val="092E44"/>
        </w:rPr>
        <w:t>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92E44"/>
        </w:rPr>
        <w:t>follow the instructions on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2125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E14A6A"/>
        </w:rPr>
        <w:t>Online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334645"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645" cy="30035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b w:val="1"/>
          <w:bCs w:val="1"/>
          <w:color w:val="E14A6A"/>
        </w:rPr>
        <w:t>the Meeting:</w:t>
      </w:r>
    </w:p>
    <w:p>
      <w:pPr>
        <w:spacing w:after="0" w:line="283" w:lineRule="exact"/>
        <w:rPr>
          <w:sz w:val="20"/>
          <w:szCs w:val="20"/>
          <w:color w:val="auto"/>
        </w:rPr>
      </w:pPr>
    </w:p>
    <w:p>
      <w:pPr>
        <w:ind w:right="160"/>
        <w:spacing w:after="0" w:line="227" w:lineRule="auto"/>
        <w:rPr>
          <w:sz w:val="20"/>
          <w:szCs w:val="20"/>
          <w:color w:val="auto"/>
        </w:rPr>
      </w:pPr>
      <w:r>
        <w:rPr>
          <w:rFonts w:ascii="Arial" w:cs="Arial" w:eastAsia="Arial" w:hAnsi="Arial"/>
          <w:sz w:val="16"/>
          <w:szCs w:val="16"/>
          <w:color w:val="092E44"/>
        </w:rPr>
        <w:t xml:space="preserve">Visit </w:t>
      </w:r>
      <w:r>
        <w:rPr>
          <w:rFonts w:ascii="Arial" w:cs="Arial" w:eastAsia="Arial" w:hAnsi="Arial"/>
          <w:sz w:val="16"/>
          <w:szCs w:val="16"/>
          <w:u w:val="single" w:color="auto"/>
          <w:color w:val="E14A6A"/>
        </w:rPr>
        <w:t>www.investorvote.com/CVLT</w:t>
      </w:r>
      <w:r>
        <w:rPr>
          <w:rFonts w:ascii="Arial" w:cs="Arial" w:eastAsia="Arial" w:hAnsi="Arial"/>
          <w:sz w:val="16"/>
          <w:szCs w:val="16"/>
          <w:color w:val="092E44"/>
        </w:rPr>
        <w:t xml:space="preserve"> and finish voting before 3:00 a.m. EST on August 29,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92E44"/>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2125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4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E14A6A"/>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351790"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790" cy="2317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092E44"/>
        </w:rPr>
        <w:t>Sign, date and return your proxy card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2125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3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E14A6A"/>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300355"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092E44"/>
        </w:rPr>
        <w:t>Call the telephone number on your proxy card</w:t>
      </w:r>
    </w:p>
    <w:p>
      <w:pPr>
        <w:spacing w:after="0" w:line="1980" w:lineRule="exact"/>
        <w:rPr>
          <w:sz w:val="20"/>
          <w:szCs w:val="20"/>
          <w:color w:val="auto"/>
        </w:rPr>
      </w:pPr>
    </w:p>
    <w:p>
      <w:pPr>
        <w:sectPr>
          <w:pgSz w:w="11900" w:h="16838" w:orient="portrait"/>
          <w:cols w:equalWidth="0" w:num="2">
            <w:col w:w="7720" w:space="160"/>
            <w:col w:w="3300"/>
          </w:cols>
          <w:pgMar w:left="32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2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rPr>
              <w:t>Proxy Summary</w:t>
            </w:r>
          </w:p>
        </w:tc>
        <w:tc>
          <w:tcPr>
            <w:tcW w:w="3160" w:type="dxa"/>
            <w:vAlign w:val="bottom"/>
            <w:gridSpan w:val="18"/>
          </w:tcPr>
          <w:p>
            <w:pPr>
              <w:spacing w:after="0"/>
              <w:rPr>
                <w:sz w:val="16"/>
                <w:szCs w:val="16"/>
                <w:color w:val="auto"/>
              </w:rPr>
            </w:pPr>
          </w:p>
        </w:tc>
        <w:tc>
          <w:tcPr>
            <w:tcW w:w="660" w:type="dxa"/>
            <w:vAlign w:val="bottom"/>
          </w:tcPr>
          <w:p>
            <w:pPr>
              <w:ind w:left="480"/>
              <w:spacing w:after="0"/>
              <w:rPr>
                <w:sz w:val="20"/>
                <w:szCs w:val="20"/>
                <w:color w:val="auto"/>
              </w:rPr>
            </w:pPr>
            <w:r>
              <w:rPr>
                <w:rFonts w:ascii="Arial" w:cs="Arial" w:eastAsia="Arial" w:hAnsi="Arial"/>
                <w:sz w:val="16"/>
                <w:szCs w:val="16"/>
                <w:b w:val="1"/>
                <w:bCs w:val="1"/>
                <w:color w:val="E14A6A"/>
              </w:rPr>
              <w:t>4</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7"/>
              </w:rPr>
              <w:t>What’s New!</w:t>
            </w:r>
          </w:p>
        </w:tc>
        <w:tc>
          <w:tcPr>
            <w:tcW w:w="3200" w:type="dxa"/>
            <w:vAlign w:val="bottom"/>
            <w:gridSpan w:val="19"/>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rPr>
              <w:t>4</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4100" w:type="dxa"/>
            <w:vAlign w:val="bottom"/>
            <w:gridSpan w:val="21"/>
          </w:tcPr>
          <w:p>
            <w:pPr>
              <w:spacing w:after="0"/>
              <w:rPr>
                <w:sz w:val="20"/>
                <w:szCs w:val="20"/>
                <w:color w:val="auto"/>
              </w:rPr>
            </w:pPr>
            <w:r>
              <w:rPr>
                <w:rFonts w:ascii="Arial" w:cs="Arial" w:eastAsia="Arial" w:hAnsi="Arial"/>
                <w:sz w:val="16"/>
                <w:szCs w:val="16"/>
                <w:color w:val="0000FF"/>
              </w:rPr>
              <w:t>Election of Directors</w:t>
            </w:r>
          </w:p>
        </w:tc>
        <w:tc>
          <w:tcPr>
            <w:tcW w:w="660" w:type="dxa"/>
            <w:vAlign w:val="bottom"/>
          </w:tcPr>
          <w:p>
            <w:pPr>
              <w:ind w:left="480"/>
              <w:spacing w:after="0"/>
              <w:rPr>
                <w:sz w:val="20"/>
                <w:szCs w:val="20"/>
                <w:color w:val="auto"/>
              </w:rPr>
            </w:pPr>
            <w:r>
              <w:rPr>
                <w:rFonts w:ascii="Arial" w:cs="Arial" w:eastAsia="Arial" w:hAnsi="Arial"/>
                <w:sz w:val="16"/>
                <w:szCs w:val="16"/>
                <w:color w:val="092E44"/>
              </w:rPr>
              <w:t>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24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9"/>
              </w:rPr>
              <w:t>Diversity and Tenure of the Board</w:t>
            </w:r>
          </w:p>
        </w:tc>
        <w:tc>
          <w:tcPr>
            <w:tcW w:w="1700" w:type="dxa"/>
            <w:vAlign w:val="bottom"/>
            <w:gridSpan w:val="3"/>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rPr>
              <w:t>5</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22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Fiscal 2023 Financial Highlights</w:t>
            </w:r>
          </w:p>
        </w:tc>
        <w:tc>
          <w:tcPr>
            <w:tcW w:w="1820" w:type="dxa"/>
            <w:vAlign w:val="bottom"/>
            <w:gridSpan w:val="4"/>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rPr>
              <w:t>6</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16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Governance Highlights</w:t>
            </w:r>
          </w:p>
        </w:tc>
        <w:tc>
          <w:tcPr>
            <w:tcW w:w="2460" w:type="dxa"/>
            <w:vAlign w:val="bottom"/>
            <w:gridSpan w:val="11"/>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rPr>
              <w:t>7</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4100" w:type="dxa"/>
            <w:vAlign w:val="bottom"/>
            <w:gridSpan w:val="21"/>
          </w:tcPr>
          <w:p>
            <w:pPr>
              <w:spacing w:after="0"/>
              <w:rPr>
                <w:sz w:val="20"/>
                <w:szCs w:val="20"/>
                <w:color w:val="auto"/>
              </w:rPr>
            </w:pPr>
            <w:r>
              <w:rPr>
                <w:rFonts w:ascii="Arial" w:cs="Arial" w:eastAsia="Arial" w:hAnsi="Arial"/>
                <w:sz w:val="16"/>
                <w:szCs w:val="16"/>
                <w:color w:val="0000FF"/>
              </w:rPr>
              <w:t>Executive Compensation Highlights</w:t>
            </w:r>
          </w:p>
        </w:tc>
        <w:tc>
          <w:tcPr>
            <w:tcW w:w="660" w:type="dxa"/>
            <w:vAlign w:val="bottom"/>
          </w:tcPr>
          <w:p>
            <w:pPr>
              <w:ind w:left="480"/>
              <w:spacing w:after="0"/>
              <w:rPr>
                <w:sz w:val="20"/>
                <w:szCs w:val="20"/>
                <w:color w:val="auto"/>
              </w:rPr>
            </w:pPr>
            <w:r>
              <w:rPr>
                <w:rFonts w:ascii="Arial" w:cs="Arial" w:eastAsia="Arial" w:hAnsi="Arial"/>
                <w:sz w:val="16"/>
                <w:szCs w:val="16"/>
                <w:color w:val="092E44"/>
              </w:rPr>
              <w:t>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4100" w:type="dxa"/>
            <w:vAlign w:val="bottom"/>
            <w:gridSpan w:val="21"/>
          </w:tcPr>
          <w:p>
            <w:pPr>
              <w:spacing w:after="0"/>
              <w:rPr>
                <w:sz w:val="20"/>
                <w:szCs w:val="20"/>
                <w:color w:val="auto"/>
              </w:rPr>
            </w:pPr>
            <w:r>
              <w:rPr>
                <w:rFonts w:ascii="Arial" w:cs="Arial" w:eastAsia="Arial" w:hAnsi="Arial"/>
                <w:sz w:val="16"/>
                <w:szCs w:val="16"/>
                <w:color w:val="0000FF"/>
              </w:rPr>
              <w:t>Corporate Social Responsibility Developments</w:t>
            </w:r>
          </w:p>
        </w:tc>
        <w:tc>
          <w:tcPr>
            <w:tcW w:w="660" w:type="dxa"/>
            <w:vAlign w:val="bottom"/>
          </w:tcPr>
          <w:p>
            <w:pPr>
              <w:ind w:left="480"/>
              <w:spacing w:after="0"/>
              <w:rPr>
                <w:sz w:val="20"/>
                <w:szCs w:val="20"/>
                <w:color w:val="auto"/>
              </w:rPr>
            </w:pPr>
            <w:r>
              <w:rPr>
                <w:rFonts w:ascii="Arial" w:cs="Arial" w:eastAsia="Arial" w:hAnsi="Arial"/>
                <w:sz w:val="16"/>
                <w:szCs w:val="16"/>
                <w:color w:val="092E44"/>
              </w:rPr>
              <w:t>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0" w:type="dxa"/>
            <w:vAlign w:val="bottom"/>
            <w:gridSpan w:val="22"/>
          </w:tcPr>
          <w:p>
            <w:pPr>
              <w:spacing w:after="0"/>
              <w:rPr>
                <w:sz w:val="20"/>
                <w:szCs w:val="20"/>
                <w:color w:val="auto"/>
              </w:rPr>
            </w:pPr>
            <w:r>
              <w:rPr>
                <w:rFonts w:ascii="Arial" w:cs="Arial" w:eastAsia="Arial" w:hAnsi="Arial"/>
                <w:sz w:val="16"/>
                <w:szCs w:val="16"/>
                <w:b w:val="1"/>
                <w:bCs w:val="1"/>
                <w:color w:val="0000FF"/>
              </w:rPr>
              <w:t>Proposal No. 1: Election of Directors</w:t>
            </w:r>
          </w:p>
        </w:tc>
        <w:tc>
          <w:tcPr>
            <w:tcW w:w="660" w:type="dxa"/>
            <w:vAlign w:val="bottom"/>
          </w:tcPr>
          <w:p>
            <w:pPr>
              <w:ind w:left="480"/>
              <w:spacing w:after="0"/>
              <w:rPr>
                <w:sz w:val="20"/>
                <w:szCs w:val="20"/>
                <w:color w:val="auto"/>
              </w:rPr>
            </w:pPr>
            <w:r>
              <w:rPr>
                <w:rFonts w:ascii="Arial" w:cs="Arial" w:eastAsia="Arial" w:hAnsi="Arial"/>
                <w:sz w:val="16"/>
                <w:szCs w:val="16"/>
                <w:b w:val="1"/>
                <w:bCs w:val="1"/>
                <w:color w:val="E14A6A"/>
                <w:w w:val="89"/>
              </w:rPr>
              <w:t>10</w:t>
            </w:r>
          </w:p>
        </w:tc>
        <w:tc>
          <w:tcPr>
            <w:tcW w:w="0" w:type="dxa"/>
            <w:vAlign w:val="bottom"/>
          </w:tcPr>
          <w:p>
            <w:pPr>
              <w:spacing w:after="0"/>
              <w:rPr>
                <w:sz w:val="1"/>
                <w:szCs w:val="1"/>
                <w:color w:val="auto"/>
              </w:rPr>
            </w:pPr>
          </w:p>
        </w:tc>
      </w:tr>
      <w:tr>
        <w:trPr>
          <w:trHeight w:val="263"/>
        </w:trPr>
        <w:tc>
          <w:tcPr>
            <w:tcW w:w="300" w:type="dxa"/>
            <w:vAlign w:val="bottom"/>
            <w:tcBorders>
              <w:top w:val="single" w:sz="8" w:color="0000FF"/>
            </w:tcBorders>
          </w:tcPr>
          <w:p>
            <w:pPr>
              <w:spacing w:after="0"/>
              <w:rPr>
                <w:sz w:val="22"/>
                <w:szCs w:val="22"/>
                <w:color w:val="auto"/>
              </w:rPr>
            </w:pPr>
          </w:p>
        </w:tc>
        <w:tc>
          <w:tcPr>
            <w:tcW w:w="16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rPr>
              <w:t>Director Independence</w:t>
            </w:r>
          </w:p>
        </w:tc>
        <w:tc>
          <w:tcPr>
            <w:tcW w:w="900" w:type="dxa"/>
            <w:vAlign w:val="bottom"/>
            <w:tcBorders>
              <w:top w:val="single" w:sz="8" w:color="0000FF"/>
            </w:tcBorders>
            <w:gridSpan w:val="9"/>
          </w:tcPr>
          <w:p>
            <w:pPr>
              <w:spacing w:after="0"/>
              <w:rPr>
                <w:sz w:val="22"/>
                <w:szCs w:val="22"/>
                <w:color w:val="auto"/>
              </w:rPr>
            </w:pPr>
          </w:p>
        </w:tc>
        <w:tc>
          <w:tcPr>
            <w:tcW w:w="1560" w:type="dxa"/>
            <w:vAlign w:val="bottom"/>
            <w:gridSpan w:val="2"/>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10</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11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Board Diversity</w:t>
            </w:r>
          </w:p>
        </w:tc>
        <w:tc>
          <w:tcPr>
            <w:tcW w:w="3000" w:type="dxa"/>
            <w:vAlign w:val="bottom"/>
            <w:gridSpan w:val="16"/>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11</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15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9"/>
              </w:rPr>
              <w:t>Nominees for Election</w:t>
            </w:r>
          </w:p>
        </w:tc>
        <w:tc>
          <w:tcPr>
            <w:tcW w:w="2520" w:type="dxa"/>
            <w:vAlign w:val="bottom"/>
            <w:gridSpan w:val="12"/>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12</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41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Majority Vote Standard and Resignation Policy in Director</w:t>
            </w:r>
          </w:p>
        </w:tc>
        <w:tc>
          <w:tcPr>
            <w:tcW w:w="660" w:type="dxa"/>
            <w:vAlign w:val="bottom"/>
            <w:vMerge w:val="restart"/>
          </w:tcPr>
          <w:p>
            <w:pPr>
              <w:ind w:left="480"/>
              <w:spacing w:after="0"/>
              <w:rPr>
                <w:sz w:val="20"/>
                <w:szCs w:val="20"/>
                <w:color w:val="auto"/>
              </w:rPr>
            </w:pPr>
            <w:r>
              <w:rPr>
                <w:rFonts w:ascii="Arial" w:cs="Arial" w:eastAsia="Arial" w:hAnsi="Arial"/>
                <w:sz w:val="16"/>
                <w:szCs w:val="16"/>
                <w:color w:val="092E44"/>
                <w:w w:val="89"/>
              </w:rPr>
              <w:t>16</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8"/>
              </w:rPr>
              <w:t>Elections</w:t>
            </w:r>
          </w:p>
        </w:tc>
        <w:tc>
          <w:tcPr>
            <w:tcW w:w="3440" w:type="dxa"/>
            <w:vAlign w:val="bottom"/>
            <w:gridSpan w:val="20"/>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7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b w:val="1"/>
                <w:bCs w:val="1"/>
                <w:color w:val="0000FF"/>
              </w:rPr>
              <w:t>Corporate Governance</w:t>
            </w:r>
          </w:p>
        </w:tc>
        <w:tc>
          <w:tcPr>
            <w:tcW w:w="1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gridSpan w:val="5"/>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b w:val="1"/>
                <w:bCs w:val="1"/>
                <w:color w:val="E14A6A"/>
                <w:w w:val="89"/>
              </w:rPr>
              <w:t>17</w:t>
            </w:r>
          </w:p>
        </w:tc>
        <w:tc>
          <w:tcPr>
            <w:tcW w:w="0" w:type="dxa"/>
            <w:vAlign w:val="bottom"/>
          </w:tcPr>
          <w:p>
            <w:pPr>
              <w:spacing w:after="0"/>
              <w:rPr>
                <w:sz w:val="1"/>
                <w:szCs w:val="1"/>
                <w:color w:val="auto"/>
              </w:rPr>
            </w:pPr>
          </w:p>
        </w:tc>
      </w:tr>
      <w:tr>
        <w:trPr>
          <w:trHeight w:val="290"/>
        </w:trPr>
        <w:tc>
          <w:tcPr>
            <w:tcW w:w="300" w:type="dxa"/>
            <w:vAlign w:val="bottom"/>
          </w:tcPr>
          <w:p>
            <w:pPr>
              <w:spacing w:after="0"/>
              <w:rPr>
                <w:sz w:val="24"/>
                <w:szCs w:val="24"/>
                <w:color w:val="auto"/>
              </w:rPr>
            </w:pPr>
          </w:p>
        </w:tc>
        <w:tc>
          <w:tcPr>
            <w:tcW w:w="4100" w:type="dxa"/>
            <w:vAlign w:val="bottom"/>
            <w:gridSpan w:val="21"/>
          </w:tcPr>
          <w:p>
            <w:pPr>
              <w:spacing w:after="0"/>
              <w:rPr>
                <w:sz w:val="20"/>
                <w:szCs w:val="20"/>
                <w:color w:val="auto"/>
              </w:rPr>
            </w:pPr>
            <w:r>
              <w:rPr>
                <w:rFonts w:ascii="Arial" w:cs="Arial" w:eastAsia="Arial" w:hAnsi="Arial"/>
                <w:sz w:val="16"/>
                <w:szCs w:val="16"/>
                <w:color w:val="0000FF"/>
              </w:rPr>
              <w:t>Overview</w:t>
            </w: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4100" w:type="dxa"/>
            <w:vAlign w:val="bottom"/>
            <w:gridSpan w:val="21"/>
          </w:tcPr>
          <w:p>
            <w:pPr>
              <w:spacing w:after="0"/>
              <w:rPr>
                <w:sz w:val="20"/>
                <w:szCs w:val="20"/>
                <w:color w:val="auto"/>
              </w:rPr>
            </w:pPr>
            <w:r>
              <w:rPr>
                <w:rFonts w:ascii="Arial" w:cs="Arial" w:eastAsia="Arial" w:hAnsi="Arial"/>
                <w:sz w:val="16"/>
                <w:szCs w:val="16"/>
                <w:color w:val="0000FF"/>
              </w:rPr>
              <w:t>Cybersecurity</w:t>
            </w: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98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Board Leadership Structure</w:t>
            </w:r>
          </w:p>
        </w:tc>
        <w:tc>
          <w:tcPr>
            <w:tcW w:w="2120" w:type="dxa"/>
            <w:vAlign w:val="bottom"/>
            <w:gridSpan w:val="5"/>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18</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4100" w:type="dxa"/>
            <w:vAlign w:val="bottom"/>
            <w:gridSpan w:val="21"/>
          </w:tcPr>
          <w:p>
            <w:pPr>
              <w:spacing w:after="0"/>
              <w:rPr>
                <w:sz w:val="20"/>
                <w:szCs w:val="20"/>
                <w:color w:val="auto"/>
              </w:rPr>
            </w:pPr>
            <w:r>
              <w:rPr>
                <w:rFonts w:ascii="Arial" w:cs="Arial" w:eastAsia="Arial" w:hAnsi="Arial"/>
                <w:sz w:val="16"/>
                <w:szCs w:val="16"/>
                <w:color w:val="0000FF"/>
              </w:rPr>
              <w:t>Board Oversight of Risk</w:t>
            </w: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182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Stockholder Engagement</w:t>
            </w:r>
          </w:p>
        </w:tc>
        <w:tc>
          <w:tcPr>
            <w:tcW w:w="2280" w:type="dxa"/>
            <w:vAlign w:val="bottom"/>
            <w:gridSpan w:val="8"/>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20</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192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How We Choose Directors</w:t>
            </w:r>
          </w:p>
        </w:tc>
        <w:tc>
          <w:tcPr>
            <w:tcW w:w="2180" w:type="dxa"/>
            <w:vAlign w:val="bottom"/>
            <w:gridSpan w:val="6"/>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20</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9"/>
              </w:rPr>
              <w:t>Board Committees</w:t>
            </w:r>
          </w:p>
        </w:tc>
        <w:tc>
          <w:tcPr>
            <w:tcW w:w="2760" w:type="dxa"/>
            <w:vAlign w:val="bottom"/>
            <w:gridSpan w:val="15"/>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21</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15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9"/>
              </w:rPr>
              <w:t>Meetings of the Board</w:t>
            </w:r>
          </w:p>
        </w:tc>
        <w:tc>
          <w:tcPr>
            <w:tcW w:w="2520" w:type="dxa"/>
            <w:vAlign w:val="bottom"/>
            <w:gridSpan w:val="12"/>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22</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190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How to Contact Our Board</w:t>
            </w:r>
          </w:p>
        </w:tc>
        <w:tc>
          <w:tcPr>
            <w:tcW w:w="2200" w:type="dxa"/>
            <w:vAlign w:val="bottom"/>
            <w:gridSpan w:val="7"/>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22</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17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9"/>
              </w:rPr>
              <w:t>Governance Documents</w:t>
            </w:r>
          </w:p>
        </w:tc>
        <w:tc>
          <w:tcPr>
            <w:tcW w:w="2360" w:type="dxa"/>
            <w:vAlign w:val="bottom"/>
            <w:gridSpan w:val="9"/>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92E44"/>
                <w:w w:val="89"/>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4420" w:type="dxa"/>
            <w:vAlign w:val="bottom"/>
            <w:gridSpan w:val="28"/>
          </w:tcPr>
          <w:p>
            <w:pPr>
              <w:spacing w:after="0"/>
              <w:rPr>
                <w:sz w:val="20"/>
                <w:szCs w:val="20"/>
                <w:color w:val="auto"/>
              </w:rPr>
            </w:pPr>
            <w:r>
              <w:rPr>
                <w:rFonts w:ascii="Arial" w:cs="Arial" w:eastAsia="Arial" w:hAnsi="Arial"/>
                <w:sz w:val="16"/>
                <w:szCs w:val="16"/>
                <w:color w:val="0000FF"/>
              </w:rPr>
              <w:t>Transactions With Related Persons</w:t>
            </w:r>
          </w:p>
        </w:tc>
        <w:tc>
          <w:tcPr>
            <w:tcW w:w="340" w:type="dxa"/>
            <w:vAlign w:val="bottom"/>
          </w:tcPr>
          <w:p>
            <w:pPr>
              <w:jc w:val="right"/>
              <w:spacing w:after="0"/>
              <w:rPr>
                <w:sz w:val="20"/>
                <w:szCs w:val="20"/>
                <w:color w:val="auto"/>
              </w:rPr>
            </w:pPr>
            <w:r>
              <w:rPr>
                <w:rFonts w:ascii="Arial" w:cs="Arial" w:eastAsia="Arial" w:hAnsi="Arial"/>
                <w:sz w:val="16"/>
                <w:szCs w:val="16"/>
                <w:color w:val="092E44"/>
              </w:rPr>
              <w:t>23</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16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rPr>
              <w:t>Director Compensation</w:t>
            </w:r>
          </w:p>
        </w:tc>
        <w:tc>
          <w:tcPr>
            <w:tcW w:w="860" w:type="dxa"/>
            <w:vAlign w:val="bottom"/>
            <w:tcBorders>
              <w:top w:val="single" w:sz="8" w:color="0000FF"/>
            </w:tcBorders>
          </w:tcPr>
          <w:p>
            <w:pPr>
              <w:spacing w:after="0"/>
              <w:rPr>
                <w:sz w:val="24"/>
                <w:szCs w:val="24"/>
                <w:color w:val="auto"/>
              </w:rPr>
            </w:pPr>
          </w:p>
        </w:tc>
        <w:tc>
          <w:tcPr>
            <w:tcW w:w="190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92E44"/>
              </w:rPr>
              <w:t>24</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39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Stock Ownership Guidelines for Independent Directors</w:t>
            </w:r>
          </w:p>
        </w:tc>
        <w:tc>
          <w:tcPr>
            <w:tcW w:w="520" w:type="dxa"/>
            <w:vAlign w:val="bottom"/>
            <w:gridSpan w:val="7"/>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92E44"/>
              </w:rPr>
              <w:t>25</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4420" w:type="dxa"/>
            <w:vAlign w:val="bottom"/>
            <w:gridSpan w:val="28"/>
          </w:tcPr>
          <w:p>
            <w:pPr>
              <w:spacing w:after="0"/>
              <w:rPr>
                <w:sz w:val="20"/>
                <w:szCs w:val="20"/>
                <w:color w:val="auto"/>
              </w:rPr>
            </w:pPr>
            <w:r>
              <w:rPr>
                <w:rFonts w:ascii="Arial" w:cs="Arial" w:eastAsia="Arial" w:hAnsi="Arial"/>
                <w:sz w:val="16"/>
                <w:szCs w:val="16"/>
                <w:color w:val="0000FF"/>
              </w:rPr>
              <w:t>Security Ownership of Certain Beneficial Owners and</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092E44"/>
              </w:rPr>
              <w:t>26</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94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w w:val="98"/>
              </w:rPr>
              <w:t>Management</w:t>
            </w:r>
          </w:p>
        </w:tc>
        <w:tc>
          <w:tcPr>
            <w:tcW w:w="2860" w:type="dxa"/>
            <w:vAlign w:val="bottom"/>
            <w:tcBorders>
              <w:top w:val="single" w:sz="8" w:color="0000FF"/>
            </w:tcBorders>
            <w:gridSpan w:val="14"/>
          </w:tcPr>
          <w:p>
            <w:pPr>
              <w:spacing w:after="0"/>
              <w:rPr>
                <w:sz w:val="12"/>
                <w:szCs w:val="12"/>
                <w:color w:val="auto"/>
              </w:rPr>
            </w:pPr>
          </w:p>
        </w:tc>
        <w:tc>
          <w:tcPr>
            <w:tcW w:w="3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456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b w:val="1"/>
                <w:bCs w:val="1"/>
                <w:color w:val="0000FF"/>
              </w:rPr>
              <w:t>Proposal No. 2: Approval to Amend Commvault’s Amended</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20" w:type="dxa"/>
            <w:vAlign w:val="bottom"/>
            <w:gridSpan w:val="29"/>
          </w:tcPr>
          <w:p>
            <w:pPr>
              <w:spacing w:after="0" w:line="183" w:lineRule="exact"/>
              <w:rPr>
                <w:sz w:val="20"/>
                <w:szCs w:val="20"/>
                <w:color w:val="auto"/>
              </w:rPr>
            </w:pPr>
            <w:r>
              <w:rPr>
                <w:rFonts w:ascii="Arial" w:cs="Arial" w:eastAsia="Arial" w:hAnsi="Arial"/>
                <w:sz w:val="16"/>
                <w:szCs w:val="16"/>
                <w:b w:val="1"/>
                <w:bCs w:val="1"/>
                <w:color w:val="0000FF"/>
              </w:rPr>
              <w:t>and Restated Certificate of Incorporation to Include Officer</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E14A6A"/>
              </w:rPr>
              <w:t>28</w:t>
            </w:r>
          </w:p>
        </w:tc>
        <w:tc>
          <w:tcPr>
            <w:tcW w:w="0" w:type="dxa"/>
            <w:vAlign w:val="bottom"/>
          </w:tcPr>
          <w:p>
            <w:pPr>
              <w:spacing w:after="0"/>
              <w:rPr>
                <w:sz w:val="1"/>
                <w:szCs w:val="1"/>
                <w:color w:val="auto"/>
              </w:rPr>
            </w:pPr>
          </w:p>
        </w:tc>
      </w:tr>
      <w:tr>
        <w:trPr>
          <w:trHeight w:val="169"/>
        </w:trPr>
        <w:tc>
          <w:tcPr>
            <w:tcW w:w="4520" w:type="dxa"/>
            <w:vAlign w:val="bottom"/>
            <w:tcBorders>
              <w:top w:val="single" w:sz="8" w:color="0000FF"/>
            </w:tcBorders>
            <w:gridSpan w:val="27"/>
          </w:tcPr>
          <w:p>
            <w:pPr>
              <w:spacing w:after="0" w:line="155" w:lineRule="exact"/>
              <w:rPr>
                <w:sz w:val="20"/>
                <w:szCs w:val="20"/>
                <w:color w:val="auto"/>
              </w:rPr>
            </w:pPr>
            <w:r>
              <w:rPr>
                <w:rFonts w:ascii="Arial" w:cs="Arial" w:eastAsia="Arial" w:hAnsi="Arial"/>
                <w:sz w:val="16"/>
                <w:szCs w:val="16"/>
                <w:b w:val="1"/>
                <w:bCs w:val="1"/>
                <w:color w:val="0000FF"/>
              </w:rPr>
              <w:t>Exculpation</w:t>
            </w:r>
          </w:p>
        </w:tc>
        <w:tc>
          <w:tcPr>
            <w:tcW w:w="200" w:type="dxa"/>
            <w:vAlign w:val="bottom"/>
            <w:gridSpan w:val="2"/>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20" w:type="dxa"/>
            <w:vAlign w:val="bottom"/>
            <w:gridSpan w:val="29"/>
          </w:tcPr>
          <w:p>
            <w:pPr>
              <w:spacing w:after="0"/>
              <w:rPr>
                <w:sz w:val="20"/>
                <w:szCs w:val="20"/>
                <w:color w:val="auto"/>
              </w:rPr>
            </w:pPr>
            <w:r>
              <w:rPr>
                <w:rFonts w:ascii="Arial" w:cs="Arial" w:eastAsia="Arial" w:hAnsi="Arial"/>
                <w:sz w:val="16"/>
                <w:szCs w:val="16"/>
                <w:b w:val="1"/>
                <w:bCs w:val="1"/>
                <w:color w:val="0000FF"/>
              </w:rPr>
              <w:t>Proposal No. 3: Advisory Vote on Commvault’s Executive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0000FF"/>
              <w:bottom w:val="single" w:sz="8" w:color="0000FF"/>
            </w:tcBorders>
            <w:gridSpan w:val="5"/>
          </w:tcPr>
          <w:p>
            <w:pPr>
              <w:spacing w:after="0" w:line="155" w:lineRule="exact"/>
              <w:rPr>
                <w:sz w:val="20"/>
                <w:szCs w:val="20"/>
                <w:color w:val="auto"/>
              </w:rPr>
            </w:pPr>
            <w:r>
              <w:rPr>
                <w:rFonts w:ascii="Arial" w:cs="Arial" w:eastAsia="Arial" w:hAnsi="Arial"/>
                <w:sz w:val="16"/>
                <w:szCs w:val="16"/>
                <w:b w:val="1"/>
                <w:bCs w:val="1"/>
                <w:color w:val="0000FF"/>
                <w:w w:val="98"/>
              </w:rPr>
              <w:t>Compensation</w:t>
            </w:r>
          </w:p>
        </w:tc>
        <w:tc>
          <w:tcPr>
            <w:tcW w:w="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gridSpan w:val="2"/>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gridSpan w:val="3"/>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gridSpan w:val="3"/>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b w:val="1"/>
                <w:bCs w:val="1"/>
                <w:color w:val="E14A6A"/>
              </w:rPr>
              <w:t>30</w:t>
            </w:r>
          </w:p>
        </w:tc>
        <w:tc>
          <w:tcPr>
            <w:tcW w:w="0" w:type="dxa"/>
            <w:vAlign w:val="bottom"/>
          </w:tcPr>
          <w:p>
            <w:pPr>
              <w:spacing w:after="0"/>
              <w:rPr>
                <w:sz w:val="1"/>
                <w:szCs w:val="1"/>
                <w:color w:val="auto"/>
              </w:rPr>
            </w:pPr>
          </w:p>
        </w:tc>
      </w:tr>
      <w:tr>
        <w:trPr>
          <w:trHeight w:val="331"/>
        </w:trPr>
        <w:tc>
          <w:tcPr>
            <w:tcW w:w="19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b w:val="1"/>
                <w:bCs w:val="1"/>
                <w:color w:val="0000FF"/>
              </w:rPr>
              <w:t>Executive Compensation</w:t>
            </w:r>
          </w:p>
        </w:tc>
        <w:tc>
          <w:tcPr>
            <w:tcW w:w="10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E14A6A"/>
              </w:rPr>
              <w:t>31</w:t>
            </w:r>
          </w:p>
        </w:tc>
        <w:tc>
          <w:tcPr>
            <w:tcW w:w="0" w:type="dxa"/>
            <w:vAlign w:val="bottom"/>
          </w:tcPr>
          <w:p>
            <w:pPr>
              <w:spacing w:after="0"/>
              <w:rPr>
                <w:sz w:val="1"/>
                <w:szCs w:val="1"/>
                <w:color w:val="auto"/>
              </w:rPr>
            </w:pPr>
          </w:p>
        </w:tc>
      </w:tr>
      <w:tr>
        <w:trPr>
          <w:trHeight w:val="304"/>
        </w:trPr>
        <w:tc>
          <w:tcPr>
            <w:tcW w:w="446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Proposal No. 4: Advisory Vote on the Frequency of Future</w:t>
            </w:r>
          </w:p>
        </w:tc>
        <w:tc>
          <w:tcPr>
            <w:tcW w:w="26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20" w:type="dxa"/>
            <w:vAlign w:val="bottom"/>
            <w:tcBorders>
              <w:bottom w:val="single" w:sz="8" w:color="0000FF"/>
            </w:tcBorders>
            <w:gridSpan w:val="29"/>
          </w:tcPr>
          <w:p>
            <w:pPr>
              <w:spacing w:after="0" w:line="183" w:lineRule="exact"/>
              <w:rPr>
                <w:sz w:val="20"/>
                <w:szCs w:val="20"/>
                <w:color w:val="auto"/>
              </w:rPr>
            </w:pPr>
            <w:r>
              <w:rPr>
                <w:rFonts w:ascii="Arial" w:cs="Arial" w:eastAsia="Arial" w:hAnsi="Arial"/>
                <w:sz w:val="16"/>
                <w:szCs w:val="16"/>
                <w:b w:val="1"/>
                <w:bCs w:val="1"/>
                <w:color w:val="0000FF"/>
              </w:rPr>
              <w:t>Advisory Votes on Commvault’s Compensation of our Named</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E14A6A"/>
              </w:rPr>
              <w:t>53</w:t>
            </w:r>
          </w:p>
        </w:tc>
        <w:tc>
          <w:tcPr>
            <w:tcW w:w="0" w:type="dxa"/>
            <w:vAlign w:val="bottom"/>
          </w:tcPr>
          <w:p>
            <w:pPr>
              <w:spacing w:after="0"/>
              <w:rPr>
                <w:sz w:val="1"/>
                <w:szCs w:val="1"/>
                <w:color w:val="auto"/>
              </w:rPr>
            </w:pPr>
          </w:p>
        </w:tc>
      </w:tr>
      <w:tr>
        <w:trPr>
          <w:trHeight w:val="169"/>
        </w:trPr>
        <w:tc>
          <w:tcPr>
            <w:tcW w:w="1420" w:type="dxa"/>
            <w:vAlign w:val="bottom"/>
            <w:tcBorders>
              <w:bottom w:val="single" w:sz="8" w:color="0000FF"/>
            </w:tcBorders>
            <w:gridSpan w:val="8"/>
          </w:tcPr>
          <w:p>
            <w:pPr>
              <w:spacing w:after="0" w:line="155" w:lineRule="exact"/>
              <w:rPr>
                <w:sz w:val="20"/>
                <w:szCs w:val="20"/>
                <w:color w:val="auto"/>
              </w:rPr>
            </w:pPr>
            <w:r>
              <w:rPr>
                <w:rFonts w:ascii="Arial" w:cs="Arial" w:eastAsia="Arial" w:hAnsi="Arial"/>
                <w:sz w:val="16"/>
                <w:szCs w:val="16"/>
                <w:b w:val="1"/>
                <w:bCs w:val="1"/>
                <w:color w:val="0000FF"/>
              </w:rPr>
              <w:t>Executive Officers</w:t>
            </w:r>
          </w:p>
        </w:tc>
        <w:tc>
          <w:tcPr>
            <w:tcW w:w="3300" w:type="dxa"/>
            <w:vAlign w:val="bottom"/>
            <w:gridSpan w:val="21"/>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86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w w:val="99"/>
              </w:rPr>
              <w:t>Audit Committee Report</w:t>
            </w:r>
          </w:p>
        </w:tc>
        <w:tc>
          <w:tcPr>
            <w:tcW w:w="1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E14A6A"/>
              </w:rPr>
              <w:t>54</w:t>
            </w:r>
          </w:p>
        </w:tc>
        <w:tc>
          <w:tcPr>
            <w:tcW w:w="0" w:type="dxa"/>
            <w:vAlign w:val="bottom"/>
          </w:tcPr>
          <w:p>
            <w:pPr>
              <w:spacing w:after="0"/>
              <w:rPr>
                <w:sz w:val="1"/>
                <w:szCs w:val="1"/>
                <w:color w:val="auto"/>
              </w:rPr>
            </w:pPr>
          </w:p>
        </w:tc>
      </w:tr>
      <w:tr>
        <w:trPr>
          <w:trHeight w:val="345"/>
        </w:trPr>
        <w:tc>
          <w:tcPr>
            <w:tcW w:w="4720" w:type="dxa"/>
            <w:vAlign w:val="bottom"/>
            <w:gridSpan w:val="29"/>
          </w:tcPr>
          <w:p>
            <w:pPr>
              <w:spacing w:after="0"/>
              <w:rPr>
                <w:sz w:val="20"/>
                <w:szCs w:val="20"/>
                <w:color w:val="auto"/>
              </w:rPr>
            </w:pPr>
            <w:r>
              <w:rPr>
                <w:rFonts w:ascii="Arial" w:cs="Arial" w:eastAsia="Arial" w:hAnsi="Arial"/>
                <w:sz w:val="16"/>
                <w:szCs w:val="16"/>
                <w:b w:val="1"/>
                <w:bCs w:val="1"/>
                <w:color w:val="0000FF"/>
              </w:rPr>
              <w:t>Proposal No. 5: Ratification of the Appointment of</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80" w:type="dxa"/>
            <w:vAlign w:val="bottom"/>
            <w:tcBorders>
              <w:top w:val="single" w:sz="8" w:color="0000FF"/>
              <w:bottom w:val="single" w:sz="8" w:color="0000FF"/>
            </w:tcBorders>
            <w:gridSpan w:val="9"/>
          </w:tcPr>
          <w:p>
            <w:pPr>
              <w:spacing w:after="0" w:line="155" w:lineRule="exact"/>
              <w:rPr>
                <w:sz w:val="20"/>
                <w:szCs w:val="20"/>
                <w:color w:val="auto"/>
              </w:rPr>
            </w:pPr>
            <w:r>
              <w:rPr>
                <w:rFonts w:ascii="Arial" w:cs="Arial" w:eastAsia="Arial" w:hAnsi="Arial"/>
                <w:sz w:val="16"/>
                <w:szCs w:val="16"/>
                <w:b w:val="1"/>
                <w:bCs w:val="1"/>
                <w:color w:val="0000FF"/>
              </w:rPr>
              <w:t>Independent Auditors</w:t>
            </w:r>
          </w:p>
        </w:tc>
        <w:tc>
          <w:tcPr>
            <w:tcW w:w="1320" w:type="dxa"/>
            <w:vAlign w:val="bottom"/>
            <w:tcBorders>
              <w:top w:val="single" w:sz="8" w:color="0000FF"/>
            </w:tcBorders>
            <w:gridSpan w:val="5"/>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b w:val="1"/>
                <w:bCs w:val="1"/>
                <w:color w:val="E14A6A"/>
              </w:rPr>
              <w:t>55</w:t>
            </w:r>
          </w:p>
        </w:tc>
        <w:tc>
          <w:tcPr>
            <w:tcW w:w="0" w:type="dxa"/>
            <w:vAlign w:val="bottom"/>
          </w:tcPr>
          <w:p>
            <w:pPr>
              <w:spacing w:after="0"/>
              <w:rPr>
                <w:sz w:val="1"/>
                <w:szCs w:val="1"/>
                <w:color w:val="auto"/>
              </w:rPr>
            </w:pPr>
          </w:p>
        </w:tc>
      </w:tr>
      <w:tr>
        <w:trPr>
          <w:trHeight w:val="290"/>
        </w:trPr>
        <w:tc>
          <w:tcPr>
            <w:tcW w:w="300" w:type="dxa"/>
            <w:vAlign w:val="bottom"/>
          </w:tcPr>
          <w:p>
            <w:pPr>
              <w:spacing w:after="0"/>
              <w:rPr>
                <w:sz w:val="24"/>
                <w:szCs w:val="24"/>
                <w:color w:val="auto"/>
              </w:rPr>
            </w:pPr>
          </w:p>
        </w:tc>
        <w:tc>
          <w:tcPr>
            <w:tcW w:w="320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9"/>
              </w:rPr>
              <w:t>Audit, Audit-Related, Tax, and All Other Fees</w:t>
            </w:r>
          </w:p>
        </w:tc>
        <w:tc>
          <w:tcPr>
            <w:tcW w:w="122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92E44"/>
              </w:rPr>
              <w:t>55</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4420" w:type="dxa"/>
            <w:vAlign w:val="bottom"/>
            <w:gridSpan w:val="28"/>
          </w:tcPr>
          <w:p>
            <w:pPr>
              <w:spacing w:after="0"/>
              <w:rPr>
                <w:sz w:val="20"/>
                <w:szCs w:val="20"/>
                <w:color w:val="auto"/>
              </w:rPr>
            </w:pPr>
            <w:r>
              <w:rPr>
                <w:rFonts w:ascii="Arial" w:cs="Arial" w:eastAsia="Arial" w:hAnsi="Arial"/>
                <w:sz w:val="16"/>
                <w:szCs w:val="16"/>
                <w:color w:val="0000FF"/>
              </w:rPr>
              <w:t>Policy on Audit Committee Pre-Approval of Audit and Non-</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092E44"/>
              </w:rPr>
              <w:t>56</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16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Audit Services of Independent Auditor</w:t>
            </w:r>
          </w:p>
        </w:tc>
        <w:tc>
          <w:tcPr>
            <w:tcW w:w="4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gridSpan w:val="29"/>
          </w:tcPr>
          <w:p>
            <w:pPr>
              <w:spacing w:after="0"/>
              <w:rPr>
                <w:sz w:val="20"/>
                <w:szCs w:val="20"/>
                <w:color w:val="auto"/>
              </w:rPr>
            </w:pPr>
            <w:r>
              <w:rPr>
                <w:rFonts w:ascii="Arial" w:cs="Arial" w:eastAsia="Arial" w:hAnsi="Arial"/>
                <w:sz w:val="16"/>
                <w:szCs w:val="16"/>
                <w:b w:val="1"/>
                <w:bCs w:val="1"/>
                <w:color w:val="0000FF"/>
              </w:rPr>
              <w:t>Proposal No. 6: Approval of additional shares for issuance</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E14A6A"/>
              </w:rPr>
              <w:t>57</w:t>
            </w:r>
          </w:p>
        </w:tc>
        <w:tc>
          <w:tcPr>
            <w:tcW w:w="0" w:type="dxa"/>
            <w:vAlign w:val="bottom"/>
          </w:tcPr>
          <w:p>
            <w:pPr>
              <w:spacing w:after="0"/>
              <w:rPr>
                <w:sz w:val="1"/>
                <w:szCs w:val="1"/>
                <w:color w:val="auto"/>
              </w:rPr>
            </w:pPr>
          </w:p>
        </w:tc>
      </w:tr>
      <w:tr>
        <w:trPr>
          <w:trHeight w:val="169"/>
        </w:trPr>
        <w:tc>
          <w:tcPr>
            <w:tcW w:w="3040" w:type="dxa"/>
            <w:vAlign w:val="bottom"/>
            <w:tcBorders>
              <w:top w:val="single" w:sz="8" w:color="0000FF"/>
              <w:bottom w:val="single" w:sz="8" w:color="0000FF"/>
            </w:tcBorders>
            <w:gridSpan w:val="16"/>
          </w:tcPr>
          <w:p>
            <w:pPr>
              <w:spacing w:after="0" w:line="155" w:lineRule="exact"/>
              <w:rPr>
                <w:sz w:val="20"/>
                <w:szCs w:val="20"/>
                <w:color w:val="auto"/>
              </w:rPr>
            </w:pPr>
            <w:r>
              <w:rPr>
                <w:rFonts w:ascii="Arial" w:cs="Arial" w:eastAsia="Arial" w:hAnsi="Arial"/>
                <w:sz w:val="16"/>
                <w:szCs w:val="16"/>
                <w:b w:val="1"/>
                <w:bCs w:val="1"/>
                <w:color w:val="0000FF"/>
              </w:rPr>
              <w:t>under the 2016 Omnibus Incentive Plan</w:t>
            </w:r>
          </w:p>
        </w:tc>
        <w:tc>
          <w:tcPr>
            <w:tcW w:w="1460" w:type="dxa"/>
            <w:vAlign w:val="bottom"/>
            <w:tcBorders>
              <w:top w:val="single" w:sz="8" w:color="0000FF"/>
            </w:tcBorders>
            <w:gridSpan w:val="10"/>
          </w:tcPr>
          <w:p>
            <w:pPr>
              <w:spacing w:after="0"/>
              <w:rPr>
                <w:sz w:val="14"/>
                <w:szCs w:val="14"/>
                <w:color w:val="auto"/>
              </w:rPr>
            </w:pPr>
          </w:p>
        </w:tc>
        <w:tc>
          <w:tcPr>
            <w:tcW w:w="22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300" w:type="dxa"/>
            <w:vAlign w:val="bottom"/>
          </w:tcPr>
          <w:p>
            <w:pPr>
              <w:spacing w:after="0"/>
              <w:rPr>
                <w:sz w:val="24"/>
                <w:szCs w:val="24"/>
                <w:color w:val="auto"/>
              </w:rPr>
            </w:pPr>
          </w:p>
        </w:tc>
        <w:tc>
          <w:tcPr>
            <w:tcW w:w="8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8"/>
              </w:rPr>
              <w:t>Background</w:t>
            </w:r>
          </w:p>
        </w:tc>
        <w:tc>
          <w:tcPr>
            <w:tcW w:w="3560" w:type="dxa"/>
            <w:vAlign w:val="bottom"/>
            <w:gridSpan w:val="2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92E44"/>
              </w:rPr>
              <w:t>57</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7"/>
              </w:rPr>
              <w:t>Key Data</w:t>
            </w:r>
          </w:p>
        </w:tc>
        <w:tc>
          <w:tcPr>
            <w:tcW w:w="3760" w:type="dxa"/>
            <w:vAlign w:val="bottom"/>
            <w:gridSpan w:val="25"/>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92E44"/>
              </w:rPr>
              <w:t>58</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27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Description of the 2016 Incentive Plan</w:t>
            </w:r>
          </w:p>
        </w:tc>
        <w:tc>
          <w:tcPr>
            <w:tcW w:w="1700" w:type="dxa"/>
            <w:vAlign w:val="bottom"/>
            <w:gridSpan w:val="14"/>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92E44"/>
              </w:rPr>
              <w:t>58</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4420" w:type="dxa"/>
            <w:vAlign w:val="bottom"/>
            <w:gridSpan w:val="28"/>
          </w:tcPr>
          <w:p>
            <w:pPr>
              <w:spacing w:after="0"/>
              <w:rPr>
                <w:sz w:val="20"/>
                <w:szCs w:val="20"/>
                <w:color w:val="auto"/>
              </w:rPr>
            </w:pPr>
            <w:r>
              <w:rPr>
                <w:rFonts w:ascii="Arial" w:cs="Arial" w:eastAsia="Arial" w:hAnsi="Arial"/>
                <w:sz w:val="16"/>
                <w:szCs w:val="16"/>
                <w:color w:val="0000FF"/>
              </w:rPr>
              <w:t>Fiscal 2023 Equity Compensation Plan Information</w:t>
            </w:r>
          </w:p>
        </w:tc>
        <w:tc>
          <w:tcPr>
            <w:tcW w:w="340" w:type="dxa"/>
            <w:vAlign w:val="bottom"/>
          </w:tcPr>
          <w:p>
            <w:pPr>
              <w:jc w:val="right"/>
              <w:spacing w:after="0"/>
              <w:rPr>
                <w:sz w:val="20"/>
                <w:szCs w:val="20"/>
                <w:color w:val="auto"/>
              </w:rPr>
            </w:pPr>
            <w:r>
              <w:rPr>
                <w:rFonts w:ascii="Arial" w:cs="Arial" w:eastAsia="Arial" w:hAnsi="Arial"/>
                <w:sz w:val="16"/>
                <w:szCs w:val="16"/>
                <w:color w:val="092E44"/>
              </w:rPr>
              <w:t>63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20" w:type="dxa"/>
            <w:vAlign w:val="bottom"/>
            <w:gridSpan w:val="1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78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b w:val="1"/>
                <w:bCs w:val="1"/>
                <w:color w:val="0000FF"/>
              </w:rPr>
              <w:t>Additional Information About the Annual Meeting</w:t>
            </w:r>
          </w:p>
        </w:tc>
        <w:tc>
          <w:tcPr>
            <w:tcW w:w="94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E14A6A"/>
              </w:rPr>
              <w:t>65</w:t>
            </w:r>
          </w:p>
        </w:tc>
        <w:tc>
          <w:tcPr>
            <w:tcW w:w="0" w:type="dxa"/>
            <w:vAlign w:val="bottom"/>
          </w:tcPr>
          <w:p>
            <w:pPr>
              <w:spacing w:after="0"/>
              <w:rPr>
                <w:sz w:val="1"/>
                <w:szCs w:val="1"/>
                <w:color w:val="auto"/>
              </w:rPr>
            </w:pPr>
          </w:p>
        </w:tc>
      </w:tr>
      <w:tr>
        <w:trPr>
          <w:trHeight w:val="290"/>
        </w:trPr>
        <w:tc>
          <w:tcPr>
            <w:tcW w:w="440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b w:val="1"/>
                <w:bCs w:val="1"/>
                <w:color w:val="0000FF"/>
              </w:rPr>
              <w:t>Annex A: Reconciliation of GAAP to Non-GAAP Financial</w:t>
            </w:r>
          </w:p>
        </w:tc>
        <w:tc>
          <w:tcPr>
            <w:tcW w:w="320" w:type="dxa"/>
            <w:vAlign w:val="bottom"/>
            <w:gridSpan w:val="6"/>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6"/>
                <w:szCs w:val="16"/>
                <w:b w:val="1"/>
                <w:bCs w:val="1"/>
                <w:color w:val="0000FF"/>
              </w:rPr>
              <w:t>Measures</w:t>
            </w:r>
          </w:p>
        </w:tc>
        <w:tc>
          <w:tcPr>
            <w:tcW w:w="3960" w:type="dxa"/>
            <w:vAlign w:val="bottom"/>
            <w:gridSpan w:val="27"/>
          </w:tcPr>
          <w:p>
            <w:pPr>
              <w:spacing w:after="0"/>
              <w:rPr>
                <w:sz w:val="15"/>
                <w:szCs w:val="15"/>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b w:val="1"/>
                <w:bCs w:val="1"/>
                <w:color w:val="E14A6A"/>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844550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-6754495</wp:posOffset>
            </wp:positionV>
            <wp:extent cx="7029450" cy="1740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1740535"/>
                    </a:xfrm>
                    <a:prstGeom prst="rect">
                      <a:avLst/>
                    </a:prstGeom>
                    <a:noFill/>
                  </pic:spPr>
                </pic:pic>
              </a:graphicData>
            </a:graphic>
          </wp:anchor>
        </w:drawing>
      </w:r>
    </w:p>
    <w:p>
      <w:pPr>
        <w:sectPr>
          <w:pgSz w:w="11900" w:h="16838" w:orient="portrait"/>
          <w:cols w:equalWidth="0" w:num="2">
            <w:col w:w="5180" w:space="720"/>
            <w:col w:w="5060"/>
          </w:cols>
          <w:pgMar w:left="320" w:top="1440"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443230</wp:posOffset>
            </wp:positionV>
            <wp:extent cx="7029450" cy="1739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160"/>
        <w:spacing w:after="0" w:line="266" w:lineRule="auto"/>
        <w:rPr>
          <w:sz w:val="20"/>
          <w:szCs w:val="20"/>
          <w:color w:val="auto"/>
        </w:rPr>
      </w:pPr>
      <w:r>
        <w:rPr>
          <w:rFonts w:ascii="Arial" w:cs="Arial" w:eastAsia="Arial" w:hAnsi="Arial"/>
          <w:sz w:val="23"/>
          <w:szCs w:val="23"/>
          <w:color w:val="0B2E44"/>
        </w:rPr>
        <w:t>This proxy summary highlights information contained elsewhere in this proxy statement. It does not contain all the information that you should consider. Please read the entire proxy statement carefully before voting. This proxy statement is first being made available to stockholders on or about July [ ],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3640" w:type="dxa"/>
            <w:vAlign w:val="bottom"/>
            <w:shd w:val="clear" w:color="auto" w:fill="0B2E44"/>
          </w:tcPr>
          <w:p>
            <w:pPr>
              <w:jc w:val="center"/>
              <w:spacing w:after="0"/>
              <w:rPr>
                <w:sz w:val="20"/>
                <w:szCs w:val="20"/>
                <w:color w:val="auto"/>
              </w:rPr>
            </w:pPr>
            <w:r>
              <w:rPr>
                <w:rFonts w:ascii="Arial" w:cs="Arial" w:eastAsia="Arial" w:hAnsi="Arial"/>
                <w:sz w:val="18"/>
                <w:szCs w:val="18"/>
                <w:b w:val="1"/>
                <w:bCs w:val="1"/>
                <w:color w:val="FFFFFF"/>
                <w:w w:val="99"/>
              </w:rPr>
              <w:t>Time and Date:</w:t>
            </w:r>
          </w:p>
        </w:tc>
        <w:tc>
          <w:tcPr>
            <w:tcW w:w="100" w:type="dxa"/>
            <w:vAlign w:val="bottom"/>
          </w:tcPr>
          <w:p>
            <w:pPr>
              <w:spacing w:after="0"/>
              <w:rPr>
                <w:sz w:val="21"/>
                <w:szCs w:val="21"/>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8"/>
                <w:szCs w:val="18"/>
                <w:b w:val="1"/>
                <w:bCs w:val="1"/>
                <w:color w:val="FFFFFF"/>
                <w:w w:val="98"/>
              </w:rPr>
              <w:t>Location:</w:t>
            </w:r>
          </w:p>
        </w:tc>
        <w:tc>
          <w:tcPr>
            <w:tcW w:w="100" w:type="dxa"/>
            <w:vAlign w:val="bottom"/>
          </w:tcPr>
          <w:p>
            <w:pPr>
              <w:spacing w:after="0"/>
              <w:rPr>
                <w:sz w:val="21"/>
                <w:szCs w:val="21"/>
                <w:color w:val="auto"/>
              </w:rPr>
            </w:pPr>
          </w:p>
        </w:tc>
        <w:tc>
          <w:tcPr>
            <w:tcW w:w="2600" w:type="dxa"/>
            <w:vAlign w:val="bottom"/>
            <w:shd w:val="clear" w:color="auto" w:fill="0B2E44"/>
          </w:tcPr>
          <w:p>
            <w:pPr>
              <w:jc w:val="center"/>
              <w:ind w:left="961"/>
              <w:spacing w:after="0"/>
              <w:rPr>
                <w:sz w:val="20"/>
                <w:szCs w:val="20"/>
                <w:color w:val="auto"/>
              </w:rPr>
            </w:pPr>
            <w:r>
              <w:rPr>
                <w:rFonts w:ascii="Arial" w:cs="Arial" w:eastAsia="Arial" w:hAnsi="Arial"/>
                <w:sz w:val="18"/>
                <w:szCs w:val="18"/>
                <w:b w:val="1"/>
                <w:bCs w:val="1"/>
                <w:color w:val="FFFFFF"/>
                <w:w w:val="99"/>
              </w:rPr>
              <w:t>Record Date:</w:t>
            </w:r>
          </w:p>
        </w:tc>
        <w:tc>
          <w:tcPr>
            <w:tcW w:w="1040" w:type="dxa"/>
            <w:vAlign w:val="bottom"/>
            <w:shd w:val="clear" w:color="auto" w:fill="0B2E44"/>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40" w:type="dxa"/>
            <w:vAlign w:val="bottom"/>
            <w:shd w:val="clear" w:color="auto" w:fill="0B2E44"/>
          </w:tcPr>
          <w:p>
            <w:pPr>
              <w:jc w:val="center"/>
              <w:spacing w:after="0"/>
              <w:rPr>
                <w:sz w:val="20"/>
                <w:szCs w:val="20"/>
                <w:color w:val="auto"/>
              </w:rPr>
            </w:pPr>
            <w:r>
              <w:rPr>
                <w:rFonts w:ascii="Arial" w:cs="Arial" w:eastAsia="Arial" w:hAnsi="Arial"/>
                <w:sz w:val="16"/>
                <w:szCs w:val="16"/>
                <w:color w:val="FFFFFF"/>
                <w:w w:val="99"/>
              </w:rPr>
              <w:t>Tuesday, August 29, 2023</w:t>
            </w:r>
          </w:p>
        </w:tc>
        <w:tc>
          <w:tcPr>
            <w:tcW w:w="100" w:type="dxa"/>
            <w:vAlign w:val="bottom"/>
          </w:tcPr>
          <w:p>
            <w:pPr>
              <w:spacing w:after="0"/>
              <w:rPr>
                <w:sz w:val="17"/>
                <w:szCs w:val="17"/>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6"/>
                <w:szCs w:val="16"/>
                <w:color w:val="FFFFFF"/>
              </w:rPr>
              <w:t>Virtual only</w:t>
            </w:r>
          </w:p>
        </w:tc>
        <w:tc>
          <w:tcPr>
            <w:tcW w:w="100" w:type="dxa"/>
            <w:vAlign w:val="bottom"/>
          </w:tcPr>
          <w:p>
            <w:pPr>
              <w:spacing w:after="0"/>
              <w:rPr>
                <w:sz w:val="17"/>
                <w:szCs w:val="17"/>
                <w:color w:val="auto"/>
              </w:rPr>
            </w:pPr>
          </w:p>
        </w:tc>
        <w:tc>
          <w:tcPr>
            <w:tcW w:w="2600" w:type="dxa"/>
            <w:vAlign w:val="bottom"/>
            <w:shd w:val="clear" w:color="auto" w:fill="0B2E44"/>
          </w:tcPr>
          <w:p>
            <w:pPr>
              <w:jc w:val="center"/>
              <w:ind w:left="961"/>
              <w:spacing w:after="0"/>
              <w:rPr>
                <w:sz w:val="20"/>
                <w:szCs w:val="20"/>
                <w:color w:val="auto"/>
              </w:rPr>
            </w:pPr>
            <w:r>
              <w:rPr>
                <w:rFonts w:ascii="Arial" w:cs="Arial" w:eastAsia="Arial" w:hAnsi="Arial"/>
                <w:sz w:val="16"/>
                <w:szCs w:val="16"/>
                <w:color w:val="FFFFFF"/>
              </w:rPr>
              <w:t>June 30, 2023</w:t>
            </w:r>
          </w:p>
        </w:tc>
        <w:tc>
          <w:tcPr>
            <w:tcW w:w="1040" w:type="dxa"/>
            <w:vAlign w:val="bottom"/>
            <w:shd w:val="clear" w:color="auto" w:fill="0B2E44"/>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640" w:type="dxa"/>
            <w:vAlign w:val="bottom"/>
            <w:shd w:val="clear" w:color="auto" w:fill="0B2E44"/>
          </w:tcPr>
          <w:p>
            <w:pPr>
              <w:jc w:val="center"/>
              <w:spacing w:after="0"/>
              <w:rPr>
                <w:sz w:val="20"/>
                <w:szCs w:val="20"/>
                <w:color w:val="auto"/>
              </w:rPr>
            </w:pPr>
            <w:r>
              <w:rPr>
                <w:rFonts w:ascii="Arial" w:cs="Arial" w:eastAsia="Arial" w:hAnsi="Arial"/>
                <w:sz w:val="16"/>
                <w:szCs w:val="16"/>
                <w:color w:val="FFFFFF"/>
              </w:rPr>
              <w:t>9:00 a.m., Eastern Time</w:t>
            </w:r>
          </w:p>
        </w:tc>
        <w:tc>
          <w:tcPr>
            <w:tcW w:w="100" w:type="dxa"/>
            <w:vAlign w:val="bottom"/>
          </w:tcPr>
          <w:p>
            <w:pPr>
              <w:spacing w:after="0"/>
              <w:rPr>
                <w:sz w:val="19"/>
                <w:szCs w:val="19"/>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6"/>
                <w:szCs w:val="16"/>
                <w:color w:val="FF4A6A"/>
              </w:rPr>
              <w:t>http://ir.commvault.com/annual-meeting</w:t>
            </w:r>
          </w:p>
        </w:tc>
        <w:tc>
          <w:tcPr>
            <w:tcW w:w="100" w:type="dxa"/>
            <w:vAlign w:val="bottom"/>
          </w:tcPr>
          <w:p>
            <w:pPr>
              <w:spacing w:after="0"/>
              <w:rPr>
                <w:sz w:val="19"/>
                <w:szCs w:val="19"/>
                <w:color w:val="auto"/>
              </w:rPr>
            </w:pPr>
          </w:p>
        </w:tc>
        <w:tc>
          <w:tcPr>
            <w:tcW w:w="2600" w:type="dxa"/>
            <w:vAlign w:val="bottom"/>
            <w:shd w:val="clear" w:color="auto" w:fill="0B2E44"/>
          </w:tcPr>
          <w:p>
            <w:pPr>
              <w:spacing w:after="0"/>
              <w:rPr>
                <w:sz w:val="19"/>
                <w:szCs w:val="19"/>
                <w:color w:val="auto"/>
              </w:rPr>
            </w:pPr>
          </w:p>
        </w:tc>
        <w:tc>
          <w:tcPr>
            <w:tcW w:w="1040" w:type="dxa"/>
            <w:vAlign w:val="bottom"/>
            <w:shd w:val="clear" w:color="auto" w:fill="0B2E44"/>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3680" w:type="dxa"/>
            <w:vAlign w:val="bottom"/>
            <w:gridSpan w:val="2"/>
          </w:tcPr>
          <w:p>
            <w:pPr>
              <w:spacing w:after="0"/>
              <w:rPr>
                <w:sz w:val="20"/>
                <w:szCs w:val="20"/>
                <w:color w:val="auto"/>
              </w:rPr>
            </w:pPr>
            <w:r>
              <w:rPr>
                <w:rFonts w:ascii="Arial" w:cs="Arial" w:eastAsia="Arial" w:hAnsi="Arial"/>
                <w:sz w:val="18"/>
                <w:szCs w:val="18"/>
                <w:b w:val="1"/>
                <w:bCs w:val="1"/>
                <w:color w:val="E14A6A"/>
              </w:rPr>
              <w:t>MEETING AGENDA</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640" w:type="dxa"/>
            <w:vAlign w:val="bottom"/>
            <w:vMerge w:val="restart"/>
          </w:tcPr>
          <w:p>
            <w:pPr>
              <w:ind w:left="140"/>
              <w:spacing w:after="0"/>
              <w:rPr>
                <w:sz w:val="20"/>
                <w:szCs w:val="20"/>
                <w:color w:val="auto"/>
              </w:rPr>
            </w:pPr>
            <w:r>
              <w:rPr>
                <w:rFonts w:ascii="Arial" w:cs="Arial" w:eastAsia="Arial" w:hAnsi="Arial"/>
                <w:sz w:val="14"/>
                <w:szCs w:val="14"/>
                <w:color w:val="0B2E44"/>
              </w:rPr>
              <w:t>Proposal</w:t>
            </w:r>
          </w:p>
        </w:tc>
        <w:tc>
          <w:tcPr>
            <w:tcW w:w="1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tcPr>
          <w:p>
            <w:pPr>
              <w:jc w:val="center"/>
              <w:ind w:left="701"/>
              <w:spacing w:after="0"/>
              <w:rPr>
                <w:sz w:val="20"/>
                <w:szCs w:val="20"/>
                <w:color w:val="auto"/>
              </w:rPr>
            </w:pPr>
            <w:r>
              <w:rPr>
                <w:rFonts w:ascii="Arial" w:cs="Arial" w:eastAsia="Arial" w:hAnsi="Arial"/>
                <w:sz w:val="14"/>
                <w:szCs w:val="14"/>
                <w:color w:val="0B2E44"/>
              </w:rPr>
              <w:t>Board’s voting</w:t>
            </w:r>
          </w:p>
        </w:tc>
        <w:tc>
          <w:tcPr>
            <w:tcW w:w="1040" w:type="dxa"/>
            <w:vAlign w:val="bottom"/>
          </w:tcPr>
          <w:p>
            <w:pPr>
              <w:jc w:val="center"/>
              <w:ind w:left="28"/>
              <w:spacing w:after="0"/>
              <w:rPr>
                <w:sz w:val="20"/>
                <w:szCs w:val="20"/>
                <w:color w:val="auto"/>
              </w:rPr>
            </w:pPr>
            <w:r>
              <w:rPr>
                <w:rFonts w:ascii="Arial" w:cs="Arial" w:eastAsia="Arial" w:hAnsi="Arial"/>
                <w:sz w:val="14"/>
                <w:szCs w:val="14"/>
                <w:color w:val="0B2E44"/>
              </w:rPr>
              <w:t>For more</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vMerge w:val="restart"/>
          </w:tcPr>
          <w:p>
            <w:pPr>
              <w:jc w:val="center"/>
              <w:ind w:left="701"/>
              <w:spacing w:after="0"/>
              <w:rPr>
                <w:sz w:val="20"/>
                <w:szCs w:val="20"/>
                <w:color w:val="auto"/>
              </w:rPr>
            </w:pPr>
            <w:r>
              <w:rPr>
                <w:rFonts w:ascii="Arial" w:cs="Arial" w:eastAsia="Arial" w:hAnsi="Arial"/>
                <w:sz w:val="14"/>
                <w:szCs w:val="14"/>
                <w:color w:val="0B2E44"/>
              </w:rPr>
              <w:t>recommendation</w:t>
            </w:r>
          </w:p>
        </w:tc>
        <w:tc>
          <w:tcPr>
            <w:tcW w:w="1040" w:type="dxa"/>
            <w:vAlign w:val="bottom"/>
            <w:vMerge w:val="restart"/>
          </w:tcPr>
          <w:p>
            <w:pPr>
              <w:jc w:val="center"/>
              <w:ind w:left="48"/>
              <w:spacing w:after="0"/>
              <w:rPr>
                <w:sz w:val="20"/>
                <w:szCs w:val="20"/>
                <w:color w:val="auto"/>
              </w:rPr>
            </w:pPr>
            <w:r>
              <w:rPr>
                <w:rFonts w:ascii="Arial" w:cs="Arial" w:eastAsia="Arial" w:hAnsi="Arial"/>
                <w:sz w:val="14"/>
                <w:szCs w:val="14"/>
                <w:color w:val="0B2E44"/>
              </w:rPr>
              <w:t>information</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118" w:lineRule="exact"/>
        <w:rPr>
          <w:sz w:val="20"/>
          <w:szCs w:val="20"/>
          <w:color w:val="auto"/>
        </w:rPr>
      </w:pPr>
    </w:p>
    <w:p>
      <w:pPr>
        <w:ind w:left="140"/>
        <w:spacing w:after="0"/>
        <w:rPr>
          <w:sz w:val="20"/>
          <w:szCs w:val="20"/>
          <w:color w:val="auto"/>
        </w:rPr>
      </w:pPr>
      <w:r>
        <w:rPr>
          <w:rFonts w:ascii="Arial" w:cs="Arial" w:eastAsia="Arial" w:hAnsi="Arial"/>
          <w:sz w:val="16"/>
          <w:szCs w:val="16"/>
          <w:color w:val="0B2E44"/>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47" w:lineRule="exact"/>
        <w:rPr>
          <w:sz w:val="20"/>
          <w:szCs w:val="20"/>
          <w:color w:val="auto"/>
        </w:rPr>
      </w:pPr>
    </w:p>
    <w:p>
      <w:pPr>
        <w:ind w:left="140" w:right="1100"/>
        <w:spacing w:after="0"/>
        <w:rPr>
          <w:sz w:val="20"/>
          <w:szCs w:val="20"/>
          <w:color w:val="auto"/>
        </w:rPr>
      </w:pPr>
      <w:r>
        <w:rPr>
          <w:rFonts w:ascii="Arial" w:cs="Arial" w:eastAsia="Arial" w:hAnsi="Arial"/>
          <w:sz w:val="16"/>
          <w:szCs w:val="16"/>
          <w:color w:val="0B2E44"/>
        </w:rPr>
        <w:t>Approval to amend Commvault’s Amended and Restated Certificate of Incorporation to include officer exculpation</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6"/>
          <w:szCs w:val="16"/>
          <w:color w:val="0B2E44"/>
        </w:rPr>
        <w:t>Advisory vote on Commvault’s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6"/>
          <w:szCs w:val="16"/>
          <w:color w:val="0B2E44"/>
        </w:rPr>
        <w:t>Advisory vote on the frequency of future advisory votes on Commvault’s executive compensation</w:t>
      </w:r>
    </w:p>
    <w:p>
      <w:pPr>
        <w:spacing w:after="0" w:line="248" w:lineRule="exact"/>
        <w:rPr>
          <w:sz w:val="20"/>
          <w:szCs w:val="20"/>
          <w:color w:val="auto"/>
        </w:rPr>
      </w:pPr>
    </w:p>
    <w:p>
      <w:pPr>
        <w:ind w:left="140"/>
        <w:spacing w:after="0"/>
        <w:rPr>
          <w:sz w:val="20"/>
          <w:szCs w:val="20"/>
          <w:color w:val="auto"/>
        </w:rPr>
      </w:pPr>
      <w:r>
        <w:rPr>
          <w:rFonts w:ascii="Arial" w:cs="Arial" w:eastAsia="Arial" w:hAnsi="Arial"/>
          <w:sz w:val="16"/>
          <w:szCs w:val="16"/>
          <w:color w:val="0B2E44"/>
        </w:rPr>
        <w:t>Ratification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6"/>
          <w:szCs w:val="16"/>
          <w:color w:val="0B2E44"/>
        </w:rPr>
        <w:t>Approval of additional shares under Commvault’s 2016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Arial" w:cs="Arial" w:eastAsia="Arial" w:hAnsi="Arial"/>
                <w:sz w:val="16"/>
                <w:szCs w:val="16"/>
                <w:b w:val="1"/>
                <w:bCs w:val="1"/>
                <w:color w:val="0B2E44"/>
              </w:rPr>
              <w:t>FOR each</w:t>
            </w:r>
          </w:p>
        </w:tc>
        <w:tc>
          <w:tcPr>
            <w:tcW w:w="840" w:type="dxa"/>
            <w:vAlign w:val="bottom"/>
            <w:vMerge w:val="restart"/>
          </w:tcPr>
          <w:p>
            <w:pPr>
              <w:ind w:left="240"/>
              <w:spacing w:after="0"/>
              <w:rPr>
                <w:sz w:val="20"/>
                <w:szCs w:val="20"/>
                <w:color w:val="auto"/>
              </w:rPr>
            </w:pPr>
            <w:r>
              <w:rPr>
                <w:rFonts w:ascii="Arial" w:cs="Arial" w:eastAsia="Arial" w:hAnsi="Arial"/>
                <w:sz w:val="16"/>
                <w:szCs w:val="16"/>
                <w:color w:val="0B2E44"/>
                <w:w w:val="97"/>
              </w:rPr>
              <w:t>Page 10</w:t>
            </w:r>
          </w:p>
        </w:tc>
        <w:tc>
          <w:tcPr>
            <w:tcW w:w="0" w:type="dxa"/>
            <w:vAlign w:val="bottom"/>
          </w:tcPr>
          <w:p>
            <w:pPr>
              <w:spacing w:after="0"/>
              <w:rPr>
                <w:sz w:val="1"/>
                <w:szCs w:val="1"/>
                <w:color w:val="auto"/>
              </w:rPr>
            </w:pPr>
          </w:p>
        </w:tc>
      </w:tr>
      <w:tr>
        <w:trPr>
          <w:trHeight w:val="129"/>
        </w:trPr>
        <w:tc>
          <w:tcPr>
            <w:tcW w:w="1000" w:type="dxa"/>
            <w:vAlign w:val="bottom"/>
            <w:vMerge w:val="restart"/>
          </w:tcPr>
          <w:p>
            <w:pPr>
              <w:spacing w:after="0"/>
              <w:rPr>
                <w:sz w:val="20"/>
                <w:szCs w:val="20"/>
                <w:color w:val="auto"/>
              </w:rPr>
            </w:pPr>
            <w:r>
              <w:rPr>
                <w:rFonts w:ascii="Arial" w:cs="Arial" w:eastAsia="Arial" w:hAnsi="Arial"/>
                <w:sz w:val="16"/>
                <w:szCs w:val="16"/>
                <w:b w:val="1"/>
                <w:bCs w:val="1"/>
                <w:color w:val="0B2E44"/>
              </w:rPr>
              <w:t>nominee</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0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000" w:type="dxa"/>
            <w:vAlign w:val="bottom"/>
          </w:tcPr>
          <w:p>
            <w:pPr>
              <w:spacing w:after="0"/>
              <w:rPr>
                <w:sz w:val="20"/>
                <w:szCs w:val="20"/>
                <w:color w:val="auto"/>
              </w:rPr>
            </w:pPr>
            <w:r>
              <w:rPr>
                <w:rFonts w:ascii="Arial" w:cs="Arial" w:eastAsia="Arial" w:hAnsi="Arial"/>
                <w:sz w:val="16"/>
                <w:szCs w:val="16"/>
                <w:b w:val="1"/>
                <w:bCs w:val="1"/>
                <w:color w:val="0B2E44"/>
              </w:rPr>
              <w:t>FOR</w:t>
            </w:r>
          </w:p>
        </w:tc>
        <w:tc>
          <w:tcPr>
            <w:tcW w:w="840" w:type="dxa"/>
            <w:vAlign w:val="bottom"/>
          </w:tcPr>
          <w:p>
            <w:pPr>
              <w:ind w:left="240"/>
              <w:spacing w:after="0"/>
              <w:rPr>
                <w:sz w:val="20"/>
                <w:szCs w:val="20"/>
                <w:color w:val="auto"/>
              </w:rPr>
            </w:pPr>
            <w:r>
              <w:rPr>
                <w:rFonts w:ascii="Arial" w:cs="Arial" w:eastAsia="Arial" w:hAnsi="Arial"/>
                <w:sz w:val="16"/>
                <w:szCs w:val="16"/>
                <w:color w:val="0B2E44"/>
                <w:w w:val="97"/>
              </w:rPr>
              <w:t>Page 28</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6"/>
                <w:szCs w:val="16"/>
                <w:b w:val="1"/>
                <w:bCs w:val="1"/>
                <w:color w:val="0B2E44"/>
              </w:rPr>
              <w:t>FOR</w:t>
            </w:r>
          </w:p>
        </w:tc>
        <w:tc>
          <w:tcPr>
            <w:tcW w:w="840" w:type="dxa"/>
            <w:vAlign w:val="bottom"/>
          </w:tcPr>
          <w:p>
            <w:pPr>
              <w:ind w:left="240"/>
              <w:spacing w:after="0"/>
              <w:rPr>
                <w:sz w:val="20"/>
                <w:szCs w:val="20"/>
                <w:color w:val="auto"/>
              </w:rPr>
            </w:pPr>
            <w:r>
              <w:rPr>
                <w:rFonts w:ascii="Arial" w:cs="Arial" w:eastAsia="Arial" w:hAnsi="Arial"/>
                <w:sz w:val="16"/>
                <w:szCs w:val="16"/>
                <w:color w:val="0B2E44"/>
                <w:w w:val="97"/>
              </w:rPr>
              <w:t>Page 30</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6"/>
                <w:szCs w:val="16"/>
                <w:b w:val="1"/>
                <w:bCs w:val="1"/>
                <w:color w:val="0B2E44"/>
              </w:rPr>
              <w:t>One Year</w:t>
            </w:r>
          </w:p>
        </w:tc>
        <w:tc>
          <w:tcPr>
            <w:tcW w:w="840" w:type="dxa"/>
            <w:vAlign w:val="bottom"/>
          </w:tcPr>
          <w:p>
            <w:pPr>
              <w:ind w:left="240"/>
              <w:spacing w:after="0"/>
              <w:rPr>
                <w:sz w:val="20"/>
                <w:szCs w:val="20"/>
                <w:color w:val="auto"/>
              </w:rPr>
            </w:pPr>
            <w:r>
              <w:rPr>
                <w:rFonts w:ascii="Arial" w:cs="Arial" w:eastAsia="Arial" w:hAnsi="Arial"/>
                <w:sz w:val="16"/>
                <w:szCs w:val="16"/>
                <w:color w:val="0B2E44"/>
                <w:w w:val="97"/>
              </w:rPr>
              <w:t>Page 53</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6"/>
                <w:szCs w:val="16"/>
                <w:b w:val="1"/>
                <w:bCs w:val="1"/>
                <w:color w:val="0B2E44"/>
              </w:rPr>
              <w:t>FOR</w:t>
            </w:r>
          </w:p>
        </w:tc>
        <w:tc>
          <w:tcPr>
            <w:tcW w:w="840" w:type="dxa"/>
            <w:vAlign w:val="bottom"/>
          </w:tcPr>
          <w:p>
            <w:pPr>
              <w:ind w:left="240"/>
              <w:spacing w:after="0"/>
              <w:rPr>
                <w:sz w:val="20"/>
                <w:szCs w:val="20"/>
                <w:color w:val="auto"/>
              </w:rPr>
            </w:pPr>
            <w:r>
              <w:rPr>
                <w:rFonts w:ascii="Arial" w:cs="Arial" w:eastAsia="Arial" w:hAnsi="Arial"/>
                <w:sz w:val="16"/>
                <w:szCs w:val="16"/>
                <w:color w:val="0B2E44"/>
                <w:w w:val="97"/>
              </w:rPr>
              <w:t>Page 55</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Arial" w:cs="Arial" w:eastAsia="Arial" w:hAnsi="Arial"/>
                <w:sz w:val="16"/>
                <w:szCs w:val="16"/>
                <w:b w:val="1"/>
                <w:bCs w:val="1"/>
                <w:color w:val="0B2E44"/>
              </w:rPr>
              <w:t>FOR</w:t>
            </w:r>
          </w:p>
        </w:tc>
        <w:tc>
          <w:tcPr>
            <w:tcW w:w="840" w:type="dxa"/>
            <w:vAlign w:val="bottom"/>
          </w:tcPr>
          <w:p>
            <w:pPr>
              <w:ind w:left="240"/>
              <w:spacing w:after="0"/>
              <w:rPr>
                <w:sz w:val="20"/>
                <w:szCs w:val="20"/>
                <w:color w:val="auto"/>
              </w:rPr>
            </w:pPr>
            <w:r>
              <w:rPr>
                <w:rFonts w:ascii="Arial" w:cs="Arial" w:eastAsia="Arial" w:hAnsi="Arial"/>
                <w:sz w:val="16"/>
                <w:szCs w:val="16"/>
                <w:color w:val="0B2E44"/>
                <w:w w:val="97"/>
              </w:rPr>
              <w:t>Page 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-1005840</wp:posOffset>
            </wp:positionV>
            <wp:extent cx="23114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140" cy="188595"/>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-457200</wp:posOffset>
            </wp:positionV>
            <wp:extent cx="23114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14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720"/>
            <w:col w:w="2000"/>
          </w:cols>
          <w:pgMar w:left="320" w:top="125" w:right="37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What’s New!</w:t>
      </w:r>
    </w:p>
    <w:p>
      <w:pPr>
        <w:spacing w:after="0" w:line="286" w:lineRule="exact"/>
        <w:rPr>
          <w:sz w:val="20"/>
          <w:szCs w:val="20"/>
          <w:color w:val="auto"/>
        </w:rPr>
      </w:pPr>
    </w:p>
    <w:p>
      <w:pPr>
        <w:ind w:left="480" w:hanging="238"/>
        <w:spacing w:after="0"/>
        <w:tabs>
          <w:tab w:leader="none" w:pos="480" w:val="left"/>
        </w:tabs>
        <w:numPr>
          <w:ilvl w:val="0"/>
          <w:numId w:val="6"/>
        </w:numPr>
        <w:rPr>
          <w:rFonts w:ascii="Arial" w:cs="Arial" w:eastAsia="Arial" w:hAnsi="Arial"/>
          <w:sz w:val="16"/>
          <w:szCs w:val="16"/>
          <w:color w:val="092E44"/>
        </w:rPr>
      </w:pPr>
      <w:r>
        <w:rPr>
          <w:rFonts w:ascii="Arial" w:cs="Arial" w:eastAsia="Arial" w:hAnsi="Arial"/>
          <w:sz w:val="16"/>
          <w:szCs w:val="16"/>
          <w:color w:val="092E44"/>
        </w:rPr>
        <w:t>We codified and adopted our anti-pledging policy.</w:t>
      </w:r>
    </w:p>
    <w:p>
      <w:pPr>
        <w:spacing w:after="0" w:line="126" w:lineRule="exact"/>
        <w:rPr>
          <w:rFonts w:ascii="Arial" w:cs="Arial" w:eastAsia="Arial" w:hAnsi="Arial"/>
          <w:sz w:val="16"/>
          <w:szCs w:val="16"/>
          <w:color w:val="092E44"/>
        </w:rPr>
      </w:pPr>
    </w:p>
    <w:p>
      <w:pPr>
        <w:ind w:left="480" w:right="240" w:hanging="238"/>
        <w:spacing w:after="0" w:line="276" w:lineRule="auto"/>
        <w:tabs>
          <w:tab w:leader="none" w:pos="480" w:val="left"/>
        </w:tabs>
        <w:numPr>
          <w:ilvl w:val="0"/>
          <w:numId w:val="6"/>
        </w:numPr>
        <w:rPr>
          <w:rFonts w:ascii="Arial" w:cs="Arial" w:eastAsia="Arial" w:hAnsi="Arial"/>
          <w:sz w:val="16"/>
          <w:szCs w:val="16"/>
          <w:color w:val="092E44"/>
        </w:rPr>
      </w:pPr>
      <w:r>
        <w:rPr>
          <w:rFonts w:ascii="Arial" w:cs="Arial" w:eastAsia="Arial" w:hAnsi="Arial"/>
          <w:sz w:val="16"/>
          <w:szCs w:val="16"/>
          <w:color w:val="092E44"/>
        </w:rPr>
        <w:t>We expanded our directors’ education program to include membership to the National Association of Corporate Directors.</w:t>
      </w:r>
    </w:p>
    <w:p>
      <w:pPr>
        <w:spacing w:after="0" w:line="62" w:lineRule="exact"/>
        <w:rPr>
          <w:rFonts w:ascii="Arial" w:cs="Arial" w:eastAsia="Arial" w:hAnsi="Arial"/>
          <w:sz w:val="16"/>
          <w:szCs w:val="16"/>
          <w:color w:val="092E44"/>
        </w:rPr>
      </w:pPr>
    </w:p>
    <w:p>
      <w:pPr>
        <w:ind w:left="480" w:hanging="238"/>
        <w:spacing w:after="0" w:line="270" w:lineRule="auto"/>
        <w:tabs>
          <w:tab w:leader="none" w:pos="480" w:val="left"/>
        </w:tabs>
        <w:numPr>
          <w:ilvl w:val="0"/>
          <w:numId w:val="6"/>
        </w:numPr>
        <w:rPr>
          <w:rFonts w:ascii="Arial" w:cs="Arial" w:eastAsia="Arial" w:hAnsi="Arial"/>
          <w:sz w:val="16"/>
          <w:szCs w:val="16"/>
          <w:color w:val="092E44"/>
        </w:rPr>
      </w:pPr>
      <w:r>
        <w:rPr>
          <w:rFonts w:ascii="Arial" w:cs="Arial" w:eastAsia="Arial" w:hAnsi="Arial"/>
          <w:sz w:val="16"/>
          <w:szCs w:val="16"/>
          <w:color w:val="092E44"/>
        </w:rPr>
        <w:t>Shane Sanders joined our Board of Directors and Audit Committee bringing experience in business transformation, enterprise risk management and financial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9" w:hanging="249"/>
        <w:spacing w:after="0"/>
        <w:tabs>
          <w:tab w:leader="none" w:pos="249" w:val="left"/>
        </w:tabs>
        <w:numPr>
          <w:ilvl w:val="0"/>
          <w:numId w:val="7"/>
        </w:numPr>
        <w:rPr>
          <w:rFonts w:ascii="Arial" w:cs="Arial" w:eastAsia="Arial" w:hAnsi="Arial"/>
          <w:sz w:val="16"/>
          <w:szCs w:val="16"/>
          <w:color w:val="FF4A6A"/>
        </w:rPr>
      </w:pPr>
      <w:r>
        <w:rPr>
          <w:rFonts w:ascii="Arial" w:cs="Arial" w:eastAsia="Arial" w:hAnsi="Arial"/>
          <w:sz w:val="16"/>
          <w:szCs w:val="16"/>
          <w:color w:val="092E44"/>
        </w:rPr>
        <w:t>We adopted a Supplier Code of Conduct.</w:t>
      </w:r>
    </w:p>
    <w:p>
      <w:pPr>
        <w:spacing w:after="0" w:line="126" w:lineRule="exact"/>
        <w:rPr>
          <w:rFonts w:ascii="Arial" w:cs="Arial" w:eastAsia="Arial" w:hAnsi="Arial"/>
          <w:sz w:val="16"/>
          <w:szCs w:val="16"/>
          <w:color w:val="FF4A6A"/>
        </w:rPr>
      </w:pPr>
    </w:p>
    <w:p>
      <w:pPr>
        <w:ind w:left="249" w:right="740" w:hanging="249"/>
        <w:spacing w:after="0" w:line="276" w:lineRule="auto"/>
        <w:tabs>
          <w:tab w:leader="none" w:pos="249" w:val="left"/>
        </w:tabs>
        <w:numPr>
          <w:ilvl w:val="0"/>
          <w:numId w:val="7"/>
        </w:numPr>
        <w:rPr>
          <w:rFonts w:ascii="Arial" w:cs="Arial" w:eastAsia="Arial" w:hAnsi="Arial"/>
          <w:sz w:val="16"/>
          <w:szCs w:val="16"/>
          <w:color w:val="FF4A6A"/>
        </w:rPr>
      </w:pPr>
      <w:r>
        <w:rPr>
          <w:rFonts w:ascii="Arial" w:cs="Arial" w:eastAsia="Arial" w:hAnsi="Arial"/>
          <w:sz w:val="16"/>
          <w:szCs w:val="16"/>
          <w:color w:val="092E44"/>
        </w:rPr>
        <w:t>We refreshed and adopted a robust Ethics &amp; Integrity Reporting Policy and Human Rights Policy.</w:t>
      </w:r>
    </w:p>
    <w:p>
      <w:pPr>
        <w:spacing w:after="0" w:line="62" w:lineRule="exact"/>
        <w:rPr>
          <w:rFonts w:ascii="Arial" w:cs="Arial" w:eastAsia="Arial" w:hAnsi="Arial"/>
          <w:sz w:val="16"/>
          <w:szCs w:val="16"/>
          <w:color w:val="FF4A6A"/>
        </w:rPr>
      </w:pPr>
    </w:p>
    <w:p>
      <w:pPr>
        <w:ind w:left="249" w:hanging="249"/>
        <w:spacing w:after="0"/>
        <w:tabs>
          <w:tab w:leader="none" w:pos="249" w:val="left"/>
        </w:tabs>
        <w:numPr>
          <w:ilvl w:val="0"/>
          <w:numId w:val="7"/>
        </w:numPr>
        <w:rPr>
          <w:rFonts w:ascii="Arial" w:cs="Arial" w:eastAsia="Arial" w:hAnsi="Arial"/>
          <w:sz w:val="16"/>
          <w:szCs w:val="16"/>
          <w:color w:val="FF4A6A"/>
        </w:rPr>
      </w:pPr>
      <w:r>
        <w:rPr>
          <w:rFonts w:ascii="Arial" w:cs="Arial" w:eastAsia="Arial" w:hAnsi="Arial"/>
          <w:sz w:val="16"/>
          <w:szCs w:val="16"/>
          <w:color w:val="092E44"/>
        </w:rPr>
        <w:t>We expanded our sanctions compliance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378460</wp:posOffset>
            </wp:positionV>
            <wp:extent cx="6892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690" w:lineRule="exact"/>
        <w:rPr>
          <w:sz w:val="20"/>
          <w:szCs w:val="20"/>
          <w:color w:val="auto"/>
        </w:rPr>
      </w:pPr>
    </w:p>
    <w:p>
      <w:pPr>
        <w:sectPr>
          <w:pgSz w:w="11900" w:h="16838" w:orient="portrait"/>
          <w:cols w:equalWidth="0" w:num="2">
            <w:col w:w="5260" w:space="411"/>
            <w:col w:w="5529"/>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4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1"/>
          <w:szCs w:val="11"/>
          <w:color w:val="auto"/>
        </w:rPr>
        <w:t xml:space="preserve">PROXY SUMMARY </w:t>
      </w:r>
      <w:r>
        <w:rPr>
          <w:rFonts w:ascii="Arial" w:cs="Arial" w:eastAsia="Arial" w:hAnsi="Arial"/>
          <w:sz w:val="11"/>
          <w:szCs w:val="11"/>
          <w:color w:val="FF4A6A"/>
        </w:rPr>
        <w:t>|</w:t>
      </w:r>
      <w:r>
        <w:rPr>
          <w:sz w:val="20"/>
          <w:szCs w:val="20"/>
          <w:color w:val="auto"/>
        </w:rPr>
        <w:tab/>
      </w:r>
      <w:r>
        <w:rPr>
          <w:rFonts w:ascii="Arial" w:cs="Arial" w:eastAsia="Arial" w:hAnsi="Arial"/>
          <w:sz w:val="10"/>
          <w:szCs w:val="1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Election of Directors</w:t>
      </w:r>
    </w:p>
    <w:p>
      <w:pPr>
        <w:spacing w:after="0" w:line="67"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0B2E44"/>
        </w:rPr>
        <w:t>The following table shows information about our director nominees. All of our directors and nominees are independent except Mr. Mirchandani, Commvault’s President and Chief Executive Officer (“CEO”).</w:t>
      </w:r>
    </w:p>
    <w:p>
      <w:pPr>
        <w:spacing w:after="0" w:line="130" w:lineRule="exact"/>
        <w:rPr>
          <w:sz w:val="20"/>
          <w:szCs w:val="20"/>
          <w:color w:val="auto"/>
        </w:rPr>
      </w:pPr>
    </w:p>
    <w:tbl>
      <w:tblPr>
        <w:tblLayout w:type="fixed"/>
        <w:tblInd w:w="2160" w:type="dxa"/>
        <w:tblCellMar>
          <w:top w:w="0" w:type="dxa"/>
          <w:left w:w="0" w:type="dxa"/>
          <w:bottom w:w="0" w:type="dxa"/>
          <w:right w:w="0" w:type="dxa"/>
        </w:tblCellMar>
      </w:tblPr>
      <w:tr>
        <w:trPr>
          <w:trHeight w:val="138"/>
        </w:trPr>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00" w:type="dxa"/>
            <w:vAlign w:val="bottom"/>
          </w:tcPr>
          <w:p>
            <w:pPr>
              <w:ind w:left="20"/>
              <w:spacing w:after="0"/>
              <w:rPr>
                <w:sz w:val="20"/>
                <w:szCs w:val="20"/>
                <w:color w:val="auto"/>
              </w:rPr>
            </w:pPr>
            <w:r>
              <w:rPr>
                <w:rFonts w:ascii="Arial" w:cs="Arial" w:eastAsia="Arial" w:hAnsi="Arial"/>
                <w:sz w:val="11"/>
                <w:szCs w:val="11"/>
                <w:color w:val="092E44"/>
              </w:rPr>
              <w:t>Committees</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Borders>
              <w:bottom w:val="single" w:sz="8" w:color="0B2E44"/>
            </w:tcBorders>
          </w:tcPr>
          <w:p>
            <w:pPr>
              <w:spacing w:after="0" w:line="20" w:lineRule="exact"/>
              <w:rPr>
                <w:sz w:val="1"/>
                <w:szCs w:val="1"/>
                <w:color w:val="auto"/>
              </w:rPr>
            </w:pPr>
          </w:p>
        </w:tc>
        <w:tc>
          <w:tcPr>
            <w:tcW w:w="880" w:type="dxa"/>
            <w:vAlign w:val="bottom"/>
            <w:tcBorders>
              <w:bottom w:val="single" w:sz="8" w:color="0B2E44"/>
            </w:tcBorders>
          </w:tcPr>
          <w:p>
            <w:pPr>
              <w:spacing w:after="0" w:line="20" w:lineRule="exact"/>
              <w:rPr>
                <w:sz w:val="1"/>
                <w:szCs w:val="1"/>
                <w:color w:val="auto"/>
              </w:rPr>
            </w:pPr>
          </w:p>
        </w:tc>
        <w:tc>
          <w:tcPr>
            <w:tcW w:w="1300" w:type="dxa"/>
            <w:vAlign w:val="bottom"/>
            <w:tcBorders>
              <w:bottom w:val="single" w:sz="8" w:color="0B2E44"/>
            </w:tcBorders>
          </w:tcPr>
          <w:p>
            <w:pPr>
              <w:spacing w:after="0" w:line="20" w:lineRule="exact"/>
              <w:rPr>
                <w:sz w:val="1"/>
                <w:szCs w:val="1"/>
                <w:color w:val="auto"/>
              </w:rPr>
            </w:pPr>
          </w:p>
        </w:tc>
        <w:tc>
          <w:tcPr>
            <w:tcW w:w="1140" w:type="dxa"/>
            <w:vAlign w:val="bottom"/>
            <w:tcBorders>
              <w:bottom w:val="single" w:sz="8" w:color="0B2E4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180" w:type="dxa"/>
            <w:vAlign w:val="bottom"/>
            <w:gridSpan w:val="2"/>
            <w:vMerge w:val="restart"/>
          </w:tcPr>
          <w:p>
            <w:pPr>
              <w:jc w:val="center"/>
              <w:ind w:right="886"/>
              <w:spacing w:after="0"/>
              <w:rPr>
                <w:sz w:val="20"/>
                <w:szCs w:val="20"/>
                <w:color w:val="auto"/>
              </w:rPr>
            </w:pPr>
            <w:r>
              <w:rPr>
                <w:rFonts w:ascii="Arial" w:cs="Arial" w:eastAsia="Arial" w:hAnsi="Arial"/>
                <w:sz w:val="11"/>
                <w:szCs w:val="11"/>
                <w:color w:val="092E44"/>
                <w:w w:val="98"/>
              </w:rPr>
              <w:t>Nominations</w:t>
            </w:r>
          </w:p>
        </w:tc>
        <w:tc>
          <w:tcPr>
            <w:tcW w:w="1140" w:type="dxa"/>
            <w:vAlign w:val="bottom"/>
          </w:tcPr>
          <w:p>
            <w:pPr>
              <w:jc w:val="center"/>
              <w:spacing w:after="0" w:line="104" w:lineRule="exact"/>
              <w:rPr>
                <w:sz w:val="20"/>
                <w:szCs w:val="20"/>
                <w:color w:val="auto"/>
              </w:rPr>
            </w:pPr>
            <w:r>
              <w:rPr>
                <w:rFonts w:ascii="Arial" w:cs="Arial" w:eastAsia="Arial" w:hAnsi="Arial"/>
                <w:sz w:val="11"/>
                <w:szCs w:val="11"/>
                <w:color w:val="092E44"/>
                <w:w w:val="91"/>
              </w:rPr>
              <w:t>Talent</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840" w:type="dxa"/>
            <w:vAlign w:val="bottom"/>
            <w:vMerge w:val="restart"/>
          </w:tcPr>
          <w:p>
            <w:pPr>
              <w:ind w:left="240"/>
              <w:spacing w:after="0"/>
              <w:rPr>
                <w:sz w:val="20"/>
                <w:szCs w:val="20"/>
                <w:color w:val="auto"/>
              </w:rPr>
            </w:pPr>
            <w:r>
              <w:rPr>
                <w:rFonts w:ascii="Arial" w:cs="Arial" w:eastAsia="Arial" w:hAnsi="Arial"/>
                <w:sz w:val="11"/>
                <w:szCs w:val="11"/>
                <w:color w:val="092E44"/>
              </w:rPr>
              <w:t>Director</w:t>
            </w:r>
          </w:p>
        </w:tc>
        <w:tc>
          <w:tcPr>
            <w:tcW w:w="3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1"/>
                <w:szCs w:val="11"/>
                <w:color w:val="092E44"/>
                <w:w w:val="99"/>
              </w:rPr>
              <w:t>Management</w:t>
            </w:r>
          </w:p>
        </w:tc>
        <w:tc>
          <w:tcPr>
            <w:tcW w:w="0" w:type="dxa"/>
            <w:vAlign w:val="bottom"/>
          </w:tcPr>
          <w:p>
            <w:pPr>
              <w:spacing w:after="0"/>
              <w:rPr>
                <w:sz w:val="1"/>
                <w:szCs w:val="1"/>
                <w:color w:val="auto"/>
              </w:rPr>
            </w:pPr>
          </w:p>
        </w:tc>
      </w:tr>
      <w:tr>
        <w:trPr>
          <w:trHeight w:val="108"/>
        </w:trPr>
        <w:tc>
          <w:tcPr>
            <w:tcW w:w="440" w:type="dxa"/>
            <w:vAlign w:val="bottom"/>
            <w:vMerge w:val="restart"/>
          </w:tcPr>
          <w:p>
            <w:pPr>
              <w:spacing w:after="0"/>
              <w:rPr>
                <w:sz w:val="20"/>
                <w:szCs w:val="20"/>
                <w:color w:val="auto"/>
              </w:rPr>
            </w:pPr>
            <w:r>
              <w:rPr>
                <w:rFonts w:ascii="Arial" w:cs="Arial" w:eastAsia="Arial" w:hAnsi="Arial"/>
                <w:sz w:val="11"/>
                <w:szCs w:val="11"/>
                <w:color w:val="092E44"/>
              </w:rPr>
              <w:t>Age</w:t>
            </w:r>
          </w:p>
        </w:tc>
        <w:tc>
          <w:tcPr>
            <w:tcW w:w="840" w:type="dxa"/>
            <w:vAlign w:val="bottom"/>
            <w:vMerge w:val="continue"/>
          </w:tcPr>
          <w:p>
            <w:pPr>
              <w:spacing w:after="0"/>
              <w:rPr>
                <w:sz w:val="9"/>
                <w:szCs w:val="9"/>
                <w:color w:val="auto"/>
              </w:rPr>
            </w:pPr>
          </w:p>
        </w:tc>
        <w:tc>
          <w:tcPr>
            <w:tcW w:w="3500" w:type="dxa"/>
            <w:vAlign w:val="bottom"/>
            <w:vMerge w:val="restart"/>
          </w:tcPr>
          <w:p>
            <w:pPr>
              <w:ind w:left="220"/>
              <w:spacing w:after="0"/>
              <w:rPr>
                <w:sz w:val="20"/>
                <w:szCs w:val="20"/>
                <w:color w:val="auto"/>
              </w:rPr>
            </w:pPr>
            <w:r>
              <w:rPr>
                <w:rFonts w:ascii="Arial" w:cs="Arial" w:eastAsia="Arial" w:hAnsi="Arial"/>
                <w:sz w:val="11"/>
                <w:szCs w:val="11"/>
                <w:color w:val="092E44"/>
              </w:rPr>
              <w:t>Occupation and Background</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92E44"/>
              </w:rPr>
              <w:t>Audit</w:t>
            </w:r>
          </w:p>
        </w:tc>
        <w:tc>
          <w:tcPr>
            <w:tcW w:w="880" w:type="dxa"/>
            <w:vAlign w:val="bottom"/>
          </w:tcPr>
          <w:p>
            <w:pPr>
              <w:jc w:val="center"/>
              <w:ind w:left="286"/>
              <w:spacing w:after="0" w:line="108" w:lineRule="exact"/>
              <w:rPr>
                <w:sz w:val="20"/>
                <w:szCs w:val="20"/>
                <w:color w:val="auto"/>
              </w:rPr>
            </w:pPr>
            <w:r>
              <w:rPr>
                <w:rFonts w:ascii="Arial" w:cs="Arial" w:eastAsia="Arial" w:hAnsi="Arial"/>
                <w:sz w:val="11"/>
                <w:szCs w:val="11"/>
                <w:color w:val="092E44"/>
                <w:w w:val="97"/>
              </w:rPr>
              <w:t>and</w:t>
            </w:r>
          </w:p>
        </w:tc>
        <w:tc>
          <w:tcPr>
            <w:tcW w:w="1300" w:type="dxa"/>
            <w:vAlign w:val="bottom"/>
            <w:vMerge w:val="restart"/>
          </w:tcPr>
          <w:p>
            <w:pPr>
              <w:ind w:left="560"/>
              <w:spacing w:after="0"/>
              <w:rPr>
                <w:sz w:val="20"/>
                <w:szCs w:val="20"/>
                <w:color w:val="auto"/>
              </w:rPr>
            </w:pPr>
            <w:r>
              <w:rPr>
                <w:rFonts w:ascii="Arial" w:cs="Arial" w:eastAsia="Arial" w:hAnsi="Arial"/>
                <w:sz w:val="11"/>
                <w:szCs w:val="11"/>
                <w:color w:val="092E44"/>
              </w:rPr>
              <w:t>Operating</w:t>
            </w:r>
          </w:p>
        </w:tc>
        <w:tc>
          <w:tcPr>
            <w:tcW w:w="1140" w:type="dxa"/>
            <w:vAlign w:val="bottom"/>
          </w:tcPr>
          <w:p>
            <w:pPr>
              <w:jc w:val="center"/>
              <w:spacing w:after="0" w:line="108" w:lineRule="exact"/>
              <w:rPr>
                <w:sz w:val="20"/>
                <w:szCs w:val="20"/>
                <w:color w:val="auto"/>
              </w:rPr>
            </w:pPr>
            <w:r>
              <w:rPr>
                <w:rFonts w:ascii="Arial" w:cs="Arial" w:eastAsia="Arial" w:hAnsi="Arial"/>
                <w:sz w:val="11"/>
                <w:szCs w:val="11"/>
                <w:color w:val="092E44"/>
                <w:w w:val="97"/>
              </w:rPr>
              <w:t>and</w:t>
            </w:r>
          </w:p>
        </w:tc>
        <w:tc>
          <w:tcPr>
            <w:tcW w:w="0" w:type="dxa"/>
            <w:vAlign w:val="bottom"/>
          </w:tcPr>
          <w:p>
            <w:pPr>
              <w:spacing w:after="0"/>
              <w:rPr>
                <w:sz w:val="1"/>
                <w:szCs w:val="1"/>
                <w:color w:val="auto"/>
              </w:rPr>
            </w:pPr>
          </w:p>
        </w:tc>
      </w:tr>
      <w:tr>
        <w:trPr>
          <w:trHeight w:val="138"/>
        </w:trPr>
        <w:tc>
          <w:tcPr>
            <w:tcW w:w="440" w:type="dxa"/>
            <w:vAlign w:val="bottom"/>
            <w:vMerge w:val="continue"/>
          </w:tcPr>
          <w:p>
            <w:pPr>
              <w:spacing w:after="0"/>
              <w:rPr>
                <w:sz w:val="11"/>
                <w:szCs w:val="11"/>
                <w:color w:val="auto"/>
              </w:rPr>
            </w:pPr>
          </w:p>
        </w:tc>
        <w:tc>
          <w:tcPr>
            <w:tcW w:w="840" w:type="dxa"/>
            <w:vAlign w:val="bottom"/>
          </w:tcPr>
          <w:p>
            <w:pPr>
              <w:ind w:left="240"/>
              <w:spacing w:after="0"/>
              <w:rPr>
                <w:sz w:val="20"/>
                <w:szCs w:val="20"/>
                <w:color w:val="auto"/>
              </w:rPr>
            </w:pPr>
            <w:r>
              <w:rPr>
                <w:rFonts w:ascii="Arial" w:cs="Arial" w:eastAsia="Arial" w:hAnsi="Arial"/>
                <w:sz w:val="11"/>
                <w:szCs w:val="11"/>
                <w:color w:val="092E44"/>
              </w:rPr>
              <w:t>Since</w:t>
            </w:r>
          </w:p>
        </w:tc>
        <w:tc>
          <w:tcPr>
            <w:tcW w:w="35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80" w:type="dxa"/>
            <w:vAlign w:val="bottom"/>
          </w:tcPr>
          <w:p>
            <w:pPr>
              <w:ind w:left="260"/>
              <w:spacing w:after="0"/>
              <w:rPr>
                <w:sz w:val="20"/>
                <w:szCs w:val="20"/>
                <w:color w:val="auto"/>
              </w:rPr>
            </w:pPr>
            <w:r>
              <w:rPr>
                <w:rFonts w:ascii="Arial" w:cs="Arial" w:eastAsia="Arial" w:hAnsi="Arial"/>
                <w:sz w:val="11"/>
                <w:szCs w:val="11"/>
                <w:color w:val="092E44"/>
              </w:rPr>
              <w:t>Governance</w:t>
            </w:r>
          </w:p>
        </w:tc>
        <w:tc>
          <w:tcPr>
            <w:tcW w:w="1300" w:type="dxa"/>
            <w:vAlign w:val="bottom"/>
            <w:vMerge w:val="continue"/>
          </w:tcPr>
          <w:p>
            <w:pPr>
              <w:spacing w:after="0"/>
              <w:rPr>
                <w:sz w:val="11"/>
                <w:szCs w:val="11"/>
                <w:color w:val="auto"/>
              </w:rPr>
            </w:pPr>
          </w:p>
        </w:tc>
        <w:tc>
          <w:tcPr>
            <w:tcW w:w="1140" w:type="dxa"/>
            <w:vAlign w:val="bottom"/>
          </w:tcPr>
          <w:p>
            <w:pPr>
              <w:ind w:left="300"/>
              <w:spacing w:after="0"/>
              <w:rPr>
                <w:sz w:val="20"/>
                <w:szCs w:val="20"/>
                <w:color w:val="auto"/>
              </w:rPr>
            </w:pPr>
            <w:r>
              <w:rPr>
                <w:rFonts w:ascii="Arial" w:cs="Arial" w:eastAsia="Arial" w:hAnsi="Arial"/>
                <w:sz w:val="11"/>
                <w:szCs w:val="11"/>
                <w:color w:val="092E44"/>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14A6A"/>
        </w:rPr>
        <w:t>NOMINEES</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80" w:type="dxa"/>
            <w:vAlign w:val="bottom"/>
            <w:shd w:val="clear" w:color="auto" w:fill="DDE9F2"/>
          </w:tcPr>
          <w:p>
            <w:pPr>
              <w:ind w:left="120"/>
              <w:spacing w:after="0"/>
              <w:rPr>
                <w:sz w:val="20"/>
                <w:szCs w:val="20"/>
                <w:color w:val="auto"/>
              </w:rPr>
            </w:pPr>
            <w:r>
              <w:rPr>
                <w:rFonts w:ascii="Arial" w:cs="Arial" w:eastAsia="Arial" w:hAnsi="Arial"/>
                <w:sz w:val="16"/>
                <w:szCs w:val="16"/>
                <w:b w:val="1"/>
                <w:bCs w:val="1"/>
                <w:color w:val="0B2E44"/>
              </w:rPr>
              <w:t>Nicholas Adamo</w:t>
            </w:r>
            <w:r>
              <w:rPr>
                <w:rFonts w:ascii="Arial" w:cs="Arial" w:eastAsia="Arial" w:hAnsi="Arial"/>
                <w:sz w:val="16"/>
                <w:szCs w:val="16"/>
                <w:color w:val="0B2E44"/>
              </w:rPr>
              <w:t>,</w:t>
            </w:r>
          </w:p>
        </w:tc>
        <w:tc>
          <w:tcPr>
            <w:tcW w:w="680" w:type="dxa"/>
            <w:vAlign w:val="bottom"/>
            <w:shd w:val="clear" w:color="auto" w:fill="DDE9F2"/>
          </w:tcPr>
          <w:p>
            <w:pPr>
              <w:jc w:val="right"/>
              <w:ind w:right="188"/>
              <w:spacing w:after="0"/>
              <w:rPr>
                <w:sz w:val="20"/>
                <w:szCs w:val="20"/>
                <w:color w:val="auto"/>
              </w:rPr>
            </w:pPr>
            <w:r>
              <w:rPr>
                <w:rFonts w:ascii="Arial" w:cs="Arial" w:eastAsia="Arial" w:hAnsi="Arial"/>
                <w:sz w:val="14"/>
                <w:szCs w:val="14"/>
                <w:color w:val="0B2E44"/>
              </w:rPr>
              <w:t>59</w:t>
            </w:r>
          </w:p>
        </w:tc>
        <w:tc>
          <w:tcPr>
            <w:tcW w:w="780" w:type="dxa"/>
            <w:vAlign w:val="bottom"/>
            <w:shd w:val="clear" w:color="auto" w:fill="DDE9F2"/>
          </w:tcPr>
          <w:p>
            <w:pPr>
              <w:jc w:val="right"/>
              <w:ind w:right="128"/>
              <w:spacing w:after="0"/>
              <w:rPr>
                <w:sz w:val="20"/>
                <w:szCs w:val="20"/>
                <w:color w:val="auto"/>
              </w:rPr>
            </w:pPr>
            <w:r>
              <w:rPr>
                <w:rFonts w:ascii="Arial" w:cs="Arial" w:eastAsia="Arial" w:hAnsi="Arial"/>
                <w:sz w:val="14"/>
                <w:szCs w:val="14"/>
                <w:color w:val="0B2E44"/>
              </w:rPr>
              <w:t>2018</w:t>
            </w:r>
          </w:p>
        </w:tc>
        <w:tc>
          <w:tcPr>
            <w:tcW w:w="4320" w:type="dxa"/>
            <w:vAlign w:val="bottom"/>
            <w:shd w:val="clear" w:color="auto" w:fill="DDE9F2"/>
          </w:tcPr>
          <w:p>
            <w:pPr>
              <w:ind w:left="220"/>
              <w:spacing w:after="0"/>
              <w:rPr>
                <w:sz w:val="20"/>
                <w:szCs w:val="20"/>
                <w:color w:val="auto"/>
              </w:rPr>
            </w:pPr>
            <w:r>
              <w:rPr>
                <w:rFonts w:ascii="Arial" w:cs="Arial" w:eastAsia="Arial" w:hAnsi="Arial"/>
                <w:sz w:val="14"/>
                <w:szCs w:val="14"/>
                <w:color w:val="0B2E44"/>
              </w:rPr>
              <w:t>Founder and President of Making a Mark, Inc.</w:t>
            </w:r>
          </w:p>
        </w:tc>
        <w:tc>
          <w:tcPr>
            <w:tcW w:w="1900" w:type="dxa"/>
            <w:vAlign w:val="bottom"/>
            <w:shd w:val="clear" w:color="auto" w:fill="DDE9F2"/>
          </w:tcPr>
          <w:p>
            <w:pPr>
              <w:spacing w:after="0"/>
              <w:rPr>
                <w:sz w:val="16"/>
                <w:szCs w:val="16"/>
                <w:color w:val="auto"/>
              </w:rPr>
            </w:pPr>
          </w:p>
        </w:tc>
        <w:tc>
          <w:tcPr>
            <w:tcW w:w="1640" w:type="dxa"/>
            <w:vAlign w:val="bottom"/>
            <w:shd w:val="clear" w:color="auto" w:fill="DDE9F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80" w:type="dxa"/>
            <w:vAlign w:val="bottom"/>
            <w:tcBorders>
              <w:bottom w:val="single" w:sz="8" w:color="DDE9F2"/>
            </w:tcBorders>
            <w:shd w:val="clear" w:color="auto" w:fill="DDE9F2"/>
          </w:tcPr>
          <w:p>
            <w:pPr>
              <w:ind w:left="120"/>
              <w:spacing w:after="0"/>
              <w:rPr>
                <w:sz w:val="20"/>
                <w:szCs w:val="20"/>
                <w:color w:val="auto"/>
              </w:rPr>
            </w:pPr>
            <w:r>
              <w:rPr>
                <w:rFonts w:ascii="Arial" w:cs="Arial" w:eastAsia="Arial" w:hAnsi="Arial"/>
                <w:sz w:val="14"/>
                <w:szCs w:val="14"/>
                <w:color w:val="0B2E44"/>
              </w:rPr>
              <w:t>Chair of the Board</w:t>
            </w:r>
          </w:p>
        </w:tc>
        <w:tc>
          <w:tcPr>
            <w:tcW w:w="680" w:type="dxa"/>
            <w:vAlign w:val="bottom"/>
            <w:tcBorders>
              <w:bottom w:val="single" w:sz="8" w:color="DDE9F2"/>
            </w:tcBorders>
            <w:shd w:val="clear" w:color="auto" w:fill="DDE9F2"/>
          </w:tcPr>
          <w:p>
            <w:pPr>
              <w:spacing w:after="0"/>
              <w:rPr>
                <w:sz w:val="16"/>
                <w:szCs w:val="16"/>
                <w:color w:val="auto"/>
              </w:rPr>
            </w:pPr>
          </w:p>
        </w:tc>
        <w:tc>
          <w:tcPr>
            <w:tcW w:w="780" w:type="dxa"/>
            <w:vAlign w:val="bottom"/>
            <w:tcBorders>
              <w:bottom w:val="single" w:sz="8" w:color="DDE9F2"/>
            </w:tcBorders>
            <w:shd w:val="clear" w:color="auto" w:fill="DDE9F2"/>
          </w:tcPr>
          <w:p>
            <w:pPr>
              <w:spacing w:after="0"/>
              <w:rPr>
                <w:sz w:val="16"/>
                <w:szCs w:val="16"/>
                <w:color w:val="auto"/>
              </w:rPr>
            </w:pPr>
          </w:p>
        </w:tc>
        <w:tc>
          <w:tcPr>
            <w:tcW w:w="4320" w:type="dxa"/>
            <w:vAlign w:val="bottom"/>
            <w:tcBorders>
              <w:bottom w:val="single" w:sz="8" w:color="DDE9F2"/>
            </w:tcBorders>
            <w:shd w:val="clear" w:color="auto" w:fill="DDE9F2"/>
          </w:tcPr>
          <w:p>
            <w:pPr>
              <w:spacing w:after="0"/>
              <w:rPr>
                <w:sz w:val="16"/>
                <w:szCs w:val="16"/>
                <w:color w:val="auto"/>
              </w:rPr>
            </w:pPr>
          </w:p>
        </w:tc>
        <w:tc>
          <w:tcPr>
            <w:tcW w:w="1900" w:type="dxa"/>
            <w:vAlign w:val="bottom"/>
            <w:tcBorders>
              <w:bottom w:val="single" w:sz="8" w:color="DDE9F2"/>
            </w:tcBorders>
            <w:shd w:val="clear" w:color="auto" w:fill="DDE9F2"/>
          </w:tcPr>
          <w:p>
            <w:pPr>
              <w:spacing w:after="0"/>
              <w:rPr>
                <w:sz w:val="16"/>
                <w:szCs w:val="16"/>
                <w:color w:val="auto"/>
              </w:rPr>
            </w:pPr>
          </w:p>
        </w:tc>
        <w:tc>
          <w:tcPr>
            <w:tcW w:w="1640" w:type="dxa"/>
            <w:vAlign w:val="bottom"/>
            <w:tcBorders>
              <w:bottom w:val="single" w:sz="8" w:color="DDE9F2"/>
            </w:tcBorders>
            <w:shd w:val="clear" w:color="auto" w:fill="DDE9F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20"/>
              <w:spacing w:after="0" w:line="162" w:lineRule="exact"/>
              <w:rPr>
                <w:sz w:val="20"/>
                <w:szCs w:val="20"/>
                <w:color w:val="auto"/>
              </w:rPr>
            </w:pPr>
            <w:r>
              <w:rPr>
                <w:rFonts w:ascii="Arial" w:cs="Arial" w:eastAsia="Arial" w:hAnsi="Arial"/>
                <w:sz w:val="16"/>
                <w:szCs w:val="16"/>
                <w:b w:val="1"/>
                <w:bCs w:val="1"/>
                <w:color w:val="0B2E44"/>
              </w:rPr>
              <w:t>Martha H. Bejar</w:t>
            </w:r>
          </w:p>
        </w:tc>
        <w:tc>
          <w:tcPr>
            <w:tcW w:w="680" w:type="dxa"/>
            <w:vAlign w:val="bottom"/>
          </w:tcPr>
          <w:p>
            <w:pPr>
              <w:jc w:val="right"/>
              <w:ind w:right="188"/>
              <w:spacing w:after="0"/>
              <w:rPr>
                <w:sz w:val="20"/>
                <w:szCs w:val="20"/>
                <w:color w:val="auto"/>
              </w:rPr>
            </w:pPr>
            <w:r>
              <w:rPr>
                <w:rFonts w:ascii="Arial" w:cs="Arial" w:eastAsia="Arial" w:hAnsi="Arial"/>
                <w:sz w:val="14"/>
                <w:szCs w:val="14"/>
                <w:color w:val="0B2E44"/>
              </w:rPr>
              <w:t>61</w:t>
            </w:r>
          </w:p>
        </w:tc>
        <w:tc>
          <w:tcPr>
            <w:tcW w:w="780" w:type="dxa"/>
            <w:vAlign w:val="bottom"/>
          </w:tcPr>
          <w:p>
            <w:pPr>
              <w:jc w:val="right"/>
              <w:ind w:right="128"/>
              <w:spacing w:after="0"/>
              <w:rPr>
                <w:sz w:val="20"/>
                <w:szCs w:val="20"/>
                <w:color w:val="auto"/>
              </w:rPr>
            </w:pPr>
            <w:r>
              <w:rPr>
                <w:rFonts w:ascii="Arial" w:cs="Arial" w:eastAsia="Arial" w:hAnsi="Arial"/>
                <w:sz w:val="14"/>
                <w:szCs w:val="14"/>
                <w:color w:val="0B2E44"/>
              </w:rPr>
              <w:t>2018</w:t>
            </w:r>
          </w:p>
        </w:tc>
        <w:tc>
          <w:tcPr>
            <w:tcW w:w="4320" w:type="dxa"/>
            <w:vAlign w:val="bottom"/>
          </w:tcPr>
          <w:p>
            <w:pPr>
              <w:ind w:left="220"/>
              <w:spacing w:after="0"/>
              <w:rPr>
                <w:sz w:val="20"/>
                <w:szCs w:val="20"/>
                <w:color w:val="auto"/>
              </w:rPr>
            </w:pPr>
            <w:r>
              <w:rPr>
                <w:rFonts w:ascii="Arial" w:cs="Arial" w:eastAsia="Arial" w:hAnsi="Arial"/>
                <w:sz w:val="14"/>
                <w:szCs w:val="14"/>
                <w:color w:val="0B2E44"/>
              </w:rPr>
              <w:t>Senior Partner, Dagrosa Capital LLC and Chief</w:t>
            </w:r>
          </w:p>
        </w:tc>
        <w:tc>
          <w:tcPr>
            <w:tcW w:w="1900" w:type="dxa"/>
            <w:vAlign w:val="bottom"/>
            <w:vMerge w:val="restart"/>
          </w:tcPr>
          <w:p>
            <w:pPr>
              <w:ind w:left="780"/>
              <w:spacing w:after="0"/>
              <w:rPr>
                <w:sz w:val="20"/>
                <w:szCs w:val="20"/>
                <w:color w:val="auto"/>
              </w:rPr>
            </w:pPr>
            <w:r>
              <w:rPr>
                <w:rFonts w:ascii="Arial" w:cs="Arial" w:eastAsia="Arial" w:hAnsi="Arial"/>
                <w:sz w:val="16"/>
                <w:szCs w:val="16"/>
                <w:color w:val="FF4A6A"/>
              </w:rPr>
              <w:t>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320" w:type="dxa"/>
            <w:vAlign w:val="bottom"/>
            <w:vMerge w:val="restart"/>
          </w:tcPr>
          <w:p>
            <w:pPr>
              <w:ind w:left="220"/>
              <w:spacing w:after="0"/>
              <w:rPr>
                <w:sz w:val="20"/>
                <w:szCs w:val="20"/>
                <w:color w:val="auto"/>
              </w:rPr>
            </w:pPr>
            <w:r>
              <w:rPr>
                <w:rFonts w:ascii="Arial" w:cs="Arial" w:eastAsia="Arial" w:hAnsi="Arial"/>
                <w:sz w:val="14"/>
                <w:szCs w:val="14"/>
                <w:color w:val="0B2E44"/>
              </w:rPr>
              <w:t>Executive Officer of Red Bison Advisory Group, LLC</w:t>
            </w:r>
          </w:p>
        </w:tc>
        <w:tc>
          <w:tcPr>
            <w:tcW w:w="19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320" w:type="dxa"/>
            <w:vAlign w:val="bottom"/>
            <w:vMerge w:val="continue"/>
          </w:tcPr>
          <w:p>
            <w:pPr>
              <w:spacing w:after="0"/>
              <w:rPr>
                <w:sz w:val="6"/>
                <w:szCs w:val="6"/>
                <w:color w:val="auto"/>
              </w:rPr>
            </w:pPr>
          </w:p>
        </w:tc>
        <w:tc>
          <w:tcPr>
            <w:tcW w:w="1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880" w:type="dxa"/>
            <w:vAlign w:val="bottom"/>
            <w:shd w:val="clear" w:color="auto" w:fill="DDE9F2"/>
          </w:tcPr>
          <w:p>
            <w:pPr>
              <w:ind w:left="120"/>
              <w:spacing w:after="0"/>
              <w:rPr>
                <w:sz w:val="20"/>
                <w:szCs w:val="20"/>
                <w:color w:val="auto"/>
              </w:rPr>
            </w:pPr>
            <w:r>
              <w:rPr>
                <w:rFonts w:ascii="Arial" w:cs="Arial" w:eastAsia="Arial" w:hAnsi="Arial"/>
                <w:sz w:val="16"/>
                <w:szCs w:val="16"/>
                <w:b w:val="1"/>
                <w:bCs w:val="1"/>
                <w:color w:val="0B2E44"/>
              </w:rPr>
              <w:t>Keith Geeslin</w:t>
            </w:r>
          </w:p>
        </w:tc>
        <w:tc>
          <w:tcPr>
            <w:tcW w:w="680" w:type="dxa"/>
            <w:vAlign w:val="bottom"/>
            <w:shd w:val="clear" w:color="auto" w:fill="DDE9F2"/>
          </w:tcPr>
          <w:p>
            <w:pPr>
              <w:jc w:val="right"/>
              <w:ind w:right="188"/>
              <w:spacing w:after="0"/>
              <w:rPr>
                <w:sz w:val="20"/>
                <w:szCs w:val="20"/>
                <w:color w:val="auto"/>
              </w:rPr>
            </w:pPr>
            <w:r>
              <w:rPr>
                <w:rFonts w:ascii="Arial" w:cs="Arial" w:eastAsia="Arial" w:hAnsi="Arial"/>
                <w:sz w:val="14"/>
                <w:szCs w:val="14"/>
                <w:color w:val="0B2E44"/>
              </w:rPr>
              <w:t>70</w:t>
            </w:r>
          </w:p>
        </w:tc>
        <w:tc>
          <w:tcPr>
            <w:tcW w:w="780" w:type="dxa"/>
            <w:vAlign w:val="bottom"/>
            <w:shd w:val="clear" w:color="auto" w:fill="DDE9F2"/>
          </w:tcPr>
          <w:p>
            <w:pPr>
              <w:jc w:val="right"/>
              <w:ind w:right="128"/>
              <w:spacing w:after="0"/>
              <w:rPr>
                <w:sz w:val="20"/>
                <w:szCs w:val="20"/>
                <w:color w:val="auto"/>
              </w:rPr>
            </w:pPr>
            <w:r>
              <w:rPr>
                <w:rFonts w:ascii="Arial" w:cs="Arial" w:eastAsia="Arial" w:hAnsi="Arial"/>
                <w:sz w:val="14"/>
                <w:szCs w:val="14"/>
                <w:color w:val="0B2E44"/>
              </w:rPr>
              <w:t>1996</w:t>
            </w:r>
          </w:p>
        </w:tc>
        <w:tc>
          <w:tcPr>
            <w:tcW w:w="4320" w:type="dxa"/>
            <w:vAlign w:val="bottom"/>
            <w:shd w:val="clear" w:color="auto" w:fill="DDE9F2"/>
          </w:tcPr>
          <w:p>
            <w:pPr>
              <w:ind w:left="220"/>
              <w:spacing w:after="0"/>
              <w:rPr>
                <w:sz w:val="20"/>
                <w:szCs w:val="20"/>
                <w:color w:val="auto"/>
              </w:rPr>
            </w:pPr>
            <w:r>
              <w:rPr>
                <w:rFonts w:ascii="Arial" w:cs="Arial" w:eastAsia="Arial" w:hAnsi="Arial"/>
                <w:sz w:val="14"/>
                <w:szCs w:val="14"/>
                <w:color w:val="0B2E44"/>
              </w:rPr>
              <w:t>Partner, Francisco Partners</w:t>
            </w:r>
          </w:p>
        </w:tc>
        <w:tc>
          <w:tcPr>
            <w:tcW w:w="1900" w:type="dxa"/>
            <w:vAlign w:val="bottom"/>
            <w:shd w:val="clear" w:color="auto" w:fill="DDE9F2"/>
          </w:tcPr>
          <w:p>
            <w:pPr>
              <w:spacing w:after="0"/>
              <w:rPr>
                <w:sz w:val="21"/>
                <w:szCs w:val="21"/>
                <w:color w:val="auto"/>
              </w:rPr>
            </w:pPr>
          </w:p>
        </w:tc>
        <w:tc>
          <w:tcPr>
            <w:tcW w:w="1640" w:type="dxa"/>
            <w:vAlign w:val="bottom"/>
            <w:shd w:val="clear" w:color="auto" w:fill="DDE9F2"/>
          </w:tcPr>
          <w:p>
            <w:pPr>
              <w:ind w:left="1040"/>
              <w:spacing w:after="0"/>
              <w:rPr>
                <w:sz w:val="20"/>
                <w:szCs w:val="20"/>
                <w:color w:val="auto"/>
              </w:rPr>
            </w:pPr>
            <w:r>
              <w:rPr>
                <w:rFonts w:ascii="Arial" w:cs="Arial" w:eastAsia="Arial" w:hAnsi="Arial"/>
                <w:sz w:val="16"/>
                <w:szCs w:val="16"/>
                <w:color w:val="0B2E44"/>
              </w:rPr>
              <w:t>n</w:t>
            </w:r>
          </w:p>
        </w:tc>
        <w:tc>
          <w:tcPr>
            <w:tcW w:w="0" w:type="dxa"/>
            <w:vAlign w:val="bottom"/>
          </w:tcPr>
          <w:p>
            <w:pPr>
              <w:spacing w:after="0"/>
              <w:rPr>
                <w:sz w:val="1"/>
                <w:szCs w:val="1"/>
                <w:color w:val="auto"/>
              </w:rPr>
            </w:pPr>
          </w:p>
        </w:tc>
      </w:tr>
      <w:tr>
        <w:trPr>
          <w:trHeight w:val="162"/>
        </w:trPr>
        <w:tc>
          <w:tcPr>
            <w:tcW w:w="1880" w:type="dxa"/>
            <w:vAlign w:val="bottom"/>
          </w:tcPr>
          <w:p>
            <w:pPr>
              <w:ind w:left="120"/>
              <w:spacing w:after="0" w:line="162" w:lineRule="exact"/>
              <w:rPr>
                <w:sz w:val="20"/>
                <w:szCs w:val="20"/>
                <w:color w:val="auto"/>
              </w:rPr>
            </w:pPr>
            <w:r>
              <w:rPr>
                <w:rFonts w:ascii="Arial" w:cs="Arial" w:eastAsia="Arial" w:hAnsi="Arial"/>
                <w:sz w:val="16"/>
                <w:szCs w:val="16"/>
                <w:b w:val="1"/>
                <w:bCs w:val="1"/>
                <w:color w:val="0B2E44"/>
              </w:rPr>
              <w:t>Vivie “YY” Lee</w:t>
            </w:r>
          </w:p>
        </w:tc>
        <w:tc>
          <w:tcPr>
            <w:tcW w:w="680" w:type="dxa"/>
            <w:vAlign w:val="bottom"/>
          </w:tcPr>
          <w:p>
            <w:pPr>
              <w:jc w:val="right"/>
              <w:ind w:right="188"/>
              <w:spacing w:after="0"/>
              <w:rPr>
                <w:sz w:val="20"/>
                <w:szCs w:val="20"/>
                <w:color w:val="auto"/>
              </w:rPr>
            </w:pPr>
            <w:r>
              <w:rPr>
                <w:rFonts w:ascii="Arial" w:cs="Arial" w:eastAsia="Arial" w:hAnsi="Arial"/>
                <w:sz w:val="14"/>
                <w:szCs w:val="14"/>
                <w:color w:val="0B2E44"/>
              </w:rPr>
              <w:t>56</w:t>
            </w:r>
          </w:p>
        </w:tc>
        <w:tc>
          <w:tcPr>
            <w:tcW w:w="780" w:type="dxa"/>
            <w:vAlign w:val="bottom"/>
          </w:tcPr>
          <w:p>
            <w:pPr>
              <w:jc w:val="right"/>
              <w:ind w:right="128"/>
              <w:spacing w:after="0"/>
              <w:rPr>
                <w:sz w:val="20"/>
                <w:szCs w:val="20"/>
                <w:color w:val="auto"/>
              </w:rPr>
            </w:pPr>
            <w:r>
              <w:rPr>
                <w:rFonts w:ascii="Arial" w:cs="Arial" w:eastAsia="Arial" w:hAnsi="Arial"/>
                <w:sz w:val="14"/>
                <w:szCs w:val="14"/>
                <w:color w:val="0B2E44"/>
              </w:rPr>
              <w:t>2018</w:t>
            </w:r>
          </w:p>
        </w:tc>
        <w:tc>
          <w:tcPr>
            <w:tcW w:w="4320" w:type="dxa"/>
            <w:vAlign w:val="bottom"/>
          </w:tcPr>
          <w:p>
            <w:pPr>
              <w:ind w:left="220"/>
              <w:spacing w:after="0"/>
              <w:rPr>
                <w:sz w:val="20"/>
                <w:szCs w:val="20"/>
                <w:color w:val="auto"/>
              </w:rPr>
            </w:pPr>
            <w:r>
              <w:rPr>
                <w:rFonts w:ascii="Arial" w:cs="Arial" w:eastAsia="Arial" w:hAnsi="Arial"/>
                <w:sz w:val="14"/>
                <w:szCs w:val="14"/>
                <w:color w:val="0B2E44"/>
              </w:rPr>
              <w:t>Former Senior Vice President and Chief Strategy</w:t>
            </w:r>
          </w:p>
        </w:tc>
        <w:tc>
          <w:tcPr>
            <w:tcW w:w="1900" w:type="dxa"/>
            <w:vAlign w:val="bottom"/>
            <w:vMerge w:val="restart"/>
          </w:tcPr>
          <w:p>
            <w:pPr>
              <w:ind w:left="780"/>
              <w:spacing w:after="0"/>
              <w:rPr>
                <w:sz w:val="20"/>
                <w:szCs w:val="20"/>
                <w:color w:val="auto"/>
              </w:rPr>
            </w:pPr>
            <w:r>
              <w:rPr>
                <w:rFonts w:ascii="Arial" w:cs="Arial" w:eastAsia="Arial" w:hAnsi="Arial"/>
                <w:sz w:val="16"/>
                <w:szCs w:val="16"/>
                <w:color w:val="0B2E44"/>
              </w:rPr>
              <w:t>n</w:t>
            </w:r>
          </w:p>
        </w:tc>
        <w:tc>
          <w:tcPr>
            <w:tcW w:w="1640" w:type="dxa"/>
            <w:vAlign w:val="bottom"/>
            <w:vMerge w:val="restart"/>
          </w:tcPr>
          <w:p>
            <w:pPr>
              <w:ind w:left="1040"/>
              <w:spacing w:after="0"/>
              <w:rPr>
                <w:sz w:val="20"/>
                <w:szCs w:val="20"/>
                <w:color w:val="auto"/>
              </w:rPr>
            </w:pPr>
            <w:r>
              <w:rPr>
                <w:rFonts w:ascii="Arial" w:cs="Arial" w:eastAsia="Arial" w:hAnsi="Arial"/>
                <w:sz w:val="16"/>
                <w:szCs w:val="16"/>
                <w:color w:val="FF4A6A"/>
              </w:rPr>
              <w:t>n</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320" w:type="dxa"/>
            <w:vAlign w:val="bottom"/>
            <w:vMerge w:val="restart"/>
          </w:tcPr>
          <w:p>
            <w:pPr>
              <w:ind w:left="220"/>
              <w:spacing w:after="0"/>
              <w:rPr>
                <w:sz w:val="20"/>
                <w:szCs w:val="20"/>
                <w:color w:val="auto"/>
              </w:rPr>
            </w:pPr>
            <w:r>
              <w:rPr>
                <w:rFonts w:ascii="Arial" w:cs="Arial" w:eastAsia="Arial" w:hAnsi="Arial"/>
                <w:sz w:val="14"/>
                <w:szCs w:val="14"/>
                <w:color w:val="0B2E44"/>
              </w:rPr>
              <w:t>Officer, Anaplan</w:t>
            </w:r>
          </w:p>
        </w:tc>
        <w:tc>
          <w:tcPr>
            <w:tcW w:w="19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32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DDE9F2"/>
          </w:tcPr>
          <w:p>
            <w:pPr>
              <w:ind w:left="120"/>
              <w:spacing w:after="0" w:line="162" w:lineRule="exact"/>
              <w:rPr>
                <w:sz w:val="20"/>
                <w:szCs w:val="20"/>
                <w:color w:val="auto"/>
              </w:rPr>
            </w:pPr>
            <w:r>
              <w:rPr>
                <w:rFonts w:ascii="Arial" w:cs="Arial" w:eastAsia="Arial" w:hAnsi="Arial"/>
                <w:sz w:val="16"/>
                <w:szCs w:val="16"/>
                <w:b w:val="1"/>
                <w:bCs w:val="1"/>
                <w:color w:val="0B2E44"/>
              </w:rPr>
              <w:t>Sanjay Mirchandani</w:t>
            </w:r>
          </w:p>
        </w:tc>
        <w:tc>
          <w:tcPr>
            <w:tcW w:w="680" w:type="dxa"/>
            <w:vAlign w:val="bottom"/>
            <w:shd w:val="clear" w:color="auto" w:fill="DDE9F2"/>
          </w:tcPr>
          <w:p>
            <w:pPr>
              <w:jc w:val="right"/>
              <w:ind w:right="188"/>
              <w:spacing w:after="0"/>
              <w:rPr>
                <w:sz w:val="20"/>
                <w:szCs w:val="20"/>
                <w:color w:val="auto"/>
              </w:rPr>
            </w:pPr>
            <w:r>
              <w:rPr>
                <w:rFonts w:ascii="Arial" w:cs="Arial" w:eastAsia="Arial" w:hAnsi="Arial"/>
                <w:sz w:val="14"/>
                <w:szCs w:val="14"/>
                <w:color w:val="0B2E44"/>
              </w:rPr>
              <w:t>59</w:t>
            </w:r>
          </w:p>
        </w:tc>
        <w:tc>
          <w:tcPr>
            <w:tcW w:w="780" w:type="dxa"/>
            <w:vAlign w:val="bottom"/>
            <w:shd w:val="clear" w:color="auto" w:fill="DDE9F2"/>
          </w:tcPr>
          <w:p>
            <w:pPr>
              <w:jc w:val="right"/>
              <w:ind w:right="128"/>
              <w:spacing w:after="0"/>
              <w:rPr>
                <w:sz w:val="20"/>
                <w:szCs w:val="20"/>
                <w:color w:val="auto"/>
              </w:rPr>
            </w:pPr>
            <w:r>
              <w:rPr>
                <w:rFonts w:ascii="Arial" w:cs="Arial" w:eastAsia="Arial" w:hAnsi="Arial"/>
                <w:sz w:val="14"/>
                <w:szCs w:val="14"/>
                <w:color w:val="0B2E44"/>
              </w:rPr>
              <w:t>2019</w:t>
            </w:r>
          </w:p>
        </w:tc>
        <w:tc>
          <w:tcPr>
            <w:tcW w:w="4320" w:type="dxa"/>
            <w:vAlign w:val="bottom"/>
            <w:shd w:val="clear" w:color="auto" w:fill="DDE9F2"/>
          </w:tcPr>
          <w:p>
            <w:pPr>
              <w:ind w:left="220"/>
              <w:spacing w:after="0"/>
              <w:rPr>
                <w:sz w:val="20"/>
                <w:szCs w:val="20"/>
                <w:color w:val="auto"/>
              </w:rPr>
            </w:pPr>
            <w:r>
              <w:rPr>
                <w:rFonts w:ascii="Arial" w:cs="Arial" w:eastAsia="Arial" w:hAnsi="Arial"/>
                <w:sz w:val="14"/>
                <w:szCs w:val="14"/>
                <w:color w:val="0B2E44"/>
              </w:rPr>
              <w:t>President and Chief Executive Officer, Commvault</w:t>
            </w:r>
          </w:p>
        </w:tc>
        <w:tc>
          <w:tcPr>
            <w:tcW w:w="1900" w:type="dxa"/>
            <w:vAlign w:val="bottom"/>
            <w:shd w:val="clear" w:color="auto" w:fill="DDE9F2"/>
          </w:tcPr>
          <w:p>
            <w:pPr>
              <w:spacing w:after="0"/>
              <w:rPr>
                <w:sz w:val="14"/>
                <w:szCs w:val="14"/>
                <w:color w:val="auto"/>
              </w:rPr>
            </w:pPr>
          </w:p>
        </w:tc>
        <w:tc>
          <w:tcPr>
            <w:tcW w:w="1640" w:type="dxa"/>
            <w:vAlign w:val="bottom"/>
            <w:shd w:val="clear" w:color="auto" w:fill="DDE9F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DDE9F2"/>
          </w:tcPr>
          <w:p>
            <w:pPr>
              <w:spacing w:after="0"/>
              <w:rPr>
                <w:sz w:val="16"/>
                <w:szCs w:val="16"/>
                <w:color w:val="auto"/>
              </w:rPr>
            </w:pPr>
          </w:p>
        </w:tc>
        <w:tc>
          <w:tcPr>
            <w:tcW w:w="680" w:type="dxa"/>
            <w:vAlign w:val="bottom"/>
            <w:shd w:val="clear" w:color="auto" w:fill="DDE9F2"/>
          </w:tcPr>
          <w:p>
            <w:pPr>
              <w:spacing w:after="0"/>
              <w:rPr>
                <w:sz w:val="16"/>
                <w:szCs w:val="16"/>
                <w:color w:val="auto"/>
              </w:rPr>
            </w:pPr>
          </w:p>
        </w:tc>
        <w:tc>
          <w:tcPr>
            <w:tcW w:w="780" w:type="dxa"/>
            <w:vAlign w:val="bottom"/>
            <w:shd w:val="clear" w:color="auto" w:fill="DDE9F2"/>
          </w:tcPr>
          <w:p>
            <w:pPr>
              <w:spacing w:after="0"/>
              <w:rPr>
                <w:sz w:val="16"/>
                <w:szCs w:val="16"/>
                <w:color w:val="auto"/>
              </w:rPr>
            </w:pPr>
          </w:p>
        </w:tc>
        <w:tc>
          <w:tcPr>
            <w:tcW w:w="4320" w:type="dxa"/>
            <w:vAlign w:val="bottom"/>
            <w:shd w:val="clear" w:color="auto" w:fill="DDE9F2"/>
          </w:tcPr>
          <w:p>
            <w:pPr>
              <w:ind w:left="220"/>
              <w:spacing w:after="0"/>
              <w:rPr>
                <w:sz w:val="20"/>
                <w:szCs w:val="20"/>
                <w:color w:val="auto"/>
              </w:rPr>
            </w:pPr>
            <w:r>
              <w:rPr>
                <w:rFonts w:ascii="Arial" w:cs="Arial" w:eastAsia="Arial" w:hAnsi="Arial"/>
                <w:sz w:val="14"/>
                <w:szCs w:val="14"/>
                <w:color w:val="0B2E44"/>
              </w:rPr>
              <w:t>Systems</w:t>
            </w:r>
          </w:p>
        </w:tc>
        <w:tc>
          <w:tcPr>
            <w:tcW w:w="1900" w:type="dxa"/>
            <w:vAlign w:val="bottom"/>
            <w:shd w:val="clear" w:color="auto" w:fill="DDE9F2"/>
          </w:tcPr>
          <w:p>
            <w:pPr>
              <w:spacing w:after="0"/>
              <w:rPr>
                <w:sz w:val="16"/>
                <w:szCs w:val="16"/>
                <w:color w:val="auto"/>
              </w:rPr>
            </w:pPr>
          </w:p>
        </w:tc>
        <w:tc>
          <w:tcPr>
            <w:tcW w:w="1640" w:type="dxa"/>
            <w:vAlign w:val="bottom"/>
            <w:shd w:val="clear" w:color="auto" w:fill="DDE9F2"/>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sectPr>
      </w:pPr>
    </w:p>
    <w:tbl>
      <w:tblPr>
        <w:tblLayout w:type="fixed"/>
        <w:tblInd w:w="140" w:type="dxa"/>
        <w:tblCellMar>
          <w:top w:w="0" w:type="dxa"/>
          <w:left w:w="0" w:type="dxa"/>
          <w:bottom w:w="0" w:type="dxa"/>
          <w:right w:w="0" w:type="dxa"/>
        </w:tblCellMar>
      </w:tblPr>
      <w:tr>
        <w:trPr>
          <w:trHeight w:val="162"/>
        </w:trPr>
        <w:tc>
          <w:tcPr>
            <w:tcW w:w="1600" w:type="dxa"/>
            <w:vAlign w:val="bottom"/>
          </w:tcPr>
          <w:p>
            <w:pPr>
              <w:spacing w:after="0" w:line="162" w:lineRule="exact"/>
              <w:rPr>
                <w:sz w:val="20"/>
                <w:szCs w:val="20"/>
                <w:color w:val="auto"/>
              </w:rPr>
            </w:pPr>
            <w:r>
              <w:rPr>
                <w:rFonts w:ascii="Arial" w:cs="Arial" w:eastAsia="Arial" w:hAnsi="Arial"/>
                <w:sz w:val="16"/>
                <w:szCs w:val="16"/>
                <w:b w:val="1"/>
                <w:bCs w:val="1"/>
                <w:color w:val="0B2E44"/>
              </w:rPr>
              <w:t>Charles Moran</w:t>
            </w:r>
          </w:p>
        </w:tc>
        <w:tc>
          <w:tcPr>
            <w:tcW w:w="840" w:type="dxa"/>
            <w:vAlign w:val="bottom"/>
          </w:tcPr>
          <w:p>
            <w:pPr>
              <w:jc w:val="right"/>
              <w:ind w:right="188"/>
              <w:spacing w:after="0"/>
              <w:rPr>
                <w:sz w:val="20"/>
                <w:szCs w:val="20"/>
                <w:color w:val="auto"/>
              </w:rPr>
            </w:pPr>
            <w:r>
              <w:rPr>
                <w:rFonts w:ascii="Arial" w:cs="Arial" w:eastAsia="Arial" w:hAnsi="Arial"/>
                <w:sz w:val="14"/>
                <w:szCs w:val="14"/>
                <w:color w:val="0B2E44"/>
              </w:rPr>
              <w:t>68</w:t>
            </w:r>
          </w:p>
        </w:tc>
        <w:tc>
          <w:tcPr>
            <w:tcW w:w="780" w:type="dxa"/>
            <w:vAlign w:val="bottom"/>
          </w:tcPr>
          <w:p>
            <w:pPr>
              <w:jc w:val="right"/>
              <w:ind w:right="128"/>
              <w:spacing w:after="0"/>
              <w:rPr>
                <w:sz w:val="20"/>
                <w:szCs w:val="20"/>
                <w:color w:val="auto"/>
              </w:rPr>
            </w:pPr>
            <w:r>
              <w:rPr>
                <w:rFonts w:ascii="Arial" w:cs="Arial" w:eastAsia="Arial" w:hAnsi="Arial"/>
                <w:sz w:val="14"/>
                <w:szCs w:val="14"/>
                <w:color w:val="0B2E44"/>
              </w:rPr>
              <w:t>2018</w:t>
            </w:r>
          </w:p>
        </w:tc>
        <w:tc>
          <w:tcPr>
            <w:tcW w:w="3280" w:type="dxa"/>
            <w:vAlign w:val="bottom"/>
          </w:tcPr>
          <w:p>
            <w:pPr>
              <w:ind w:left="220"/>
              <w:spacing w:after="0"/>
              <w:rPr>
                <w:sz w:val="20"/>
                <w:szCs w:val="20"/>
                <w:color w:val="auto"/>
              </w:rPr>
            </w:pPr>
            <w:r>
              <w:rPr>
                <w:rFonts w:ascii="Arial" w:cs="Arial" w:eastAsia="Arial" w:hAnsi="Arial"/>
                <w:sz w:val="14"/>
                <w:szCs w:val="14"/>
                <w:color w:val="0B2E44"/>
              </w:rPr>
              <w:t>Founder and former Chief Executive Officer and</w:t>
            </w:r>
          </w:p>
        </w:tc>
      </w:tr>
      <w:tr>
        <w:trPr>
          <w:trHeight w:val="171"/>
        </w:trPr>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4"/>
                <w:szCs w:val="14"/>
                <w:color w:val="0B2E44"/>
              </w:rPr>
              <w:t>President, Skillsoft Plc.</w:t>
            </w:r>
          </w:p>
        </w:tc>
      </w:tr>
      <w:tr>
        <w:trPr>
          <w:trHeight w:val="227"/>
        </w:trPr>
        <w:tc>
          <w:tcPr>
            <w:tcW w:w="1600" w:type="dxa"/>
            <w:vAlign w:val="bottom"/>
          </w:tcPr>
          <w:p>
            <w:pPr>
              <w:spacing w:after="0"/>
              <w:rPr>
                <w:sz w:val="20"/>
                <w:szCs w:val="20"/>
                <w:color w:val="auto"/>
              </w:rPr>
            </w:pPr>
            <w:r>
              <w:rPr>
                <w:rFonts w:ascii="Arial" w:cs="Arial" w:eastAsia="Arial" w:hAnsi="Arial"/>
                <w:sz w:val="16"/>
                <w:szCs w:val="16"/>
                <w:b w:val="1"/>
                <w:bCs w:val="1"/>
                <w:color w:val="0B2E44"/>
              </w:rPr>
              <w:t>Allison Pickens</w:t>
            </w:r>
          </w:p>
        </w:tc>
        <w:tc>
          <w:tcPr>
            <w:tcW w:w="840" w:type="dxa"/>
            <w:vAlign w:val="bottom"/>
          </w:tcPr>
          <w:p>
            <w:pPr>
              <w:jc w:val="right"/>
              <w:ind w:right="188"/>
              <w:spacing w:after="0"/>
              <w:rPr>
                <w:sz w:val="20"/>
                <w:szCs w:val="20"/>
                <w:color w:val="auto"/>
              </w:rPr>
            </w:pPr>
            <w:r>
              <w:rPr>
                <w:rFonts w:ascii="Arial" w:cs="Arial" w:eastAsia="Arial" w:hAnsi="Arial"/>
                <w:sz w:val="14"/>
                <w:szCs w:val="14"/>
                <w:color w:val="0B2E44"/>
              </w:rPr>
              <w:t>38</w:t>
            </w:r>
          </w:p>
        </w:tc>
        <w:tc>
          <w:tcPr>
            <w:tcW w:w="780" w:type="dxa"/>
            <w:vAlign w:val="bottom"/>
          </w:tcPr>
          <w:p>
            <w:pPr>
              <w:jc w:val="right"/>
              <w:ind w:right="128"/>
              <w:spacing w:after="0"/>
              <w:rPr>
                <w:sz w:val="20"/>
                <w:szCs w:val="20"/>
                <w:color w:val="auto"/>
              </w:rPr>
            </w:pPr>
            <w:r>
              <w:rPr>
                <w:rFonts w:ascii="Arial" w:cs="Arial" w:eastAsia="Arial" w:hAnsi="Arial"/>
                <w:sz w:val="14"/>
                <w:szCs w:val="14"/>
                <w:color w:val="0B2E44"/>
              </w:rPr>
              <w:t>2020</w:t>
            </w:r>
          </w:p>
        </w:tc>
        <w:tc>
          <w:tcPr>
            <w:tcW w:w="3280" w:type="dxa"/>
            <w:vAlign w:val="bottom"/>
          </w:tcPr>
          <w:p>
            <w:pPr>
              <w:ind w:left="220"/>
              <w:spacing w:after="0"/>
              <w:rPr>
                <w:sz w:val="20"/>
                <w:szCs w:val="20"/>
                <w:color w:val="auto"/>
              </w:rPr>
            </w:pPr>
            <w:r>
              <w:rPr>
                <w:rFonts w:ascii="Arial" w:cs="Arial" w:eastAsia="Arial" w:hAnsi="Arial"/>
                <w:sz w:val="14"/>
                <w:szCs w:val="14"/>
                <w:color w:val="0B2E44"/>
              </w:rPr>
              <w:t>General Partner of the New Normal Fund</w:t>
            </w:r>
          </w:p>
        </w:tc>
      </w:tr>
      <w:tr>
        <w:trPr>
          <w:trHeight w:val="183"/>
        </w:trPr>
        <w:tc>
          <w:tcPr>
            <w:tcW w:w="1600" w:type="dxa"/>
            <w:vAlign w:val="bottom"/>
          </w:tcPr>
          <w:p>
            <w:pPr>
              <w:spacing w:after="0"/>
              <w:rPr>
                <w:sz w:val="20"/>
                <w:szCs w:val="20"/>
                <w:color w:val="auto"/>
              </w:rPr>
            </w:pPr>
            <w:r>
              <w:rPr>
                <w:rFonts w:ascii="Arial" w:cs="Arial" w:eastAsia="Arial" w:hAnsi="Arial"/>
                <w:sz w:val="16"/>
                <w:szCs w:val="16"/>
                <w:b w:val="1"/>
                <w:bCs w:val="1"/>
                <w:color w:val="0B2E44"/>
              </w:rPr>
              <w:t>Shane Sanders</w:t>
            </w:r>
          </w:p>
        </w:tc>
        <w:tc>
          <w:tcPr>
            <w:tcW w:w="840" w:type="dxa"/>
            <w:vAlign w:val="bottom"/>
          </w:tcPr>
          <w:p>
            <w:pPr>
              <w:jc w:val="right"/>
              <w:ind w:right="188"/>
              <w:spacing w:after="0"/>
              <w:rPr>
                <w:sz w:val="20"/>
                <w:szCs w:val="20"/>
                <w:color w:val="auto"/>
              </w:rPr>
            </w:pPr>
            <w:r>
              <w:rPr>
                <w:rFonts w:ascii="Arial" w:cs="Arial" w:eastAsia="Arial" w:hAnsi="Arial"/>
                <w:sz w:val="14"/>
                <w:szCs w:val="14"/>
                <w:color w:val="0B2E44"/>
              </w:rPr>
              <w:t>60</w:t>
            </w:r>
          </w:p>
        </w:tc>
        <w:tc>
          <w:tcPr>
            <w:tcW w:w="780" w:type="dxa"/>
            <w:vAlign w:val="bottom"/>
          </w:tcPr>
          <w:p>
            <w:pPr>
              <w:jc w:val="right"/>
              <w:ind w:right="128"/>
              <w:spacing w:after="0"/>
              <w:rPr>
                <w:sz w:val="20"/>
                <w:szCs w:val="20"/>
                <w:color w:val="auto"/>
              </w:rPr>
            </w:pPr>
            <w:r>
              <w:rPr>
                <w:rFonts w:ascii="Arial" w:cs="Arial" w:eastAsia="Arial" w:hAnsi="Arial"/>
                <w:sz w:val="14"/>
                <w:szCs w:val="14"/>
                <w:color w:val="0B2E44"/>
              </w:rPr>
              <w:t>2022</w:t>
            </w:r>
          </w:p>
        </w:tc>
        <w:tc>
          <w:tcPr>
            <w:tcW w:w="3280" w:type="dxa"/>
            <w:vAlign w:val="bottom"/>
          </w:tcPr>
          <w:p>
            <w:pPr>
              <w:ind w:left="220"/>
              <w:spacing w:after="0"/>
              <w:rPr>
                <w:sz w:val="20"/>
                <w:szCs w:val="20"/>
                <w:color w:val="auto"/>
              </w:rPr>
            </w:pPr>
            <w:r>
              <w:rPr>
                <w:rFonts w:ascii="Arial" w:cs="Arial" w:eastAsia="Arial" w:hAnsi="Arial"/>
                <w:sz w:val="14"/>
                <w:szCs w:val="14"/>
                <w:color w:val="0B2E44"/>
              </w:rPr>
              <w:t>Former Senior Vice President, Verizon</w:t>
            </w:r>
          </w:p>
        </w:tc>
      </w:tr>
      <w:tr>
        <w:trPr>
          <w:trHeight w:val="182"/>
        </w:trPr>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4"/>
                <w:szCs w:val="14"/>
                <w:color w:val="0B2E44"/>
              </w:rPr>
              <w:t>Communications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-372110</wp:posOffset>
            </wp:positionV>
            <wp:extent cx="71151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tabs>
          <w:tab w:leader="none" w:pos="2080" w:val="left"/>
        </w:tabs>
        <w:rPr>
          <w:sz w:val="20"/>
          <w:szCs w:val="20"/>
          <w:color w:val="auto"/>
        </w:rPr>
      </w:pPr>
      <w:r>
        <w:rPr>
          <w:rFonts w:ascii="Arial" w:cs="Arial" w:eastAsia="Arial" w:hAnsi="Arial"/>
          <w:sz w:val="16"/>
          <w:szCs w:val="16"/>
          <w:color w:val="0B2E44"/>
        </w:rPr>
        <w:t>n</w:t>
      </w:r>
      <w:r>
        <w:rPr>
          <w:sz w:val="20"/>
          <w:szCs w:val="20"/>
          <w:color w:val="auto"/>
        </w:rPr>
        <w:tab/>
      </w:r>
      <w:r>
        <w:rPr>
          <w:rFonts w:ascii="Arial" w:cs="Arial" w:eastAsia="Arial" w:hAnsi="Arial"/>
          <w:sz w:val="16"/>
          <w:szCs w:val="16"/>
          <w:color w:val="0B2E44"/>
        </w:rPr>
        <w:t>n</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6"/>
          <w:szCs w:val="16"/>
          <w:color w:val="0B2E44"/>
        </w:rPr>
        <w:t>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0B2E44"/>
        </w:rPr>
        <w:t>n</w:t>
      </w:r>
    </w:p>
    <w:p>
      <w:pPr>
        <w:spacing w:after="0" w:line="109" w:lineRule="exact"/>
        <w:rPr>
          <w:sz w:val="20"/>
          <w:szCs w:val="20"/>
          <w:color w:val="auto"/>
        </w:rPr>
      </w:pPr>
    </w:p>
    <w:p>
      <w:pPr>
        <w:sectPr>
          <w:pgSz w:w="11900" w:h="16838" w:orient="portrait"/>
          <w:cols w:equalWidth="0" w:num="2">
            <w:col w:w="6700" w:space="720"/>
            <w:col w:w="380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1800" w:type="dxa"/>
            <w:vAlign w:val="bottom"/>
            <w:shd w:val="clear" w:color="auto" w:fill="DDE9F2"/>
          </w:tcPr>
          <w:p>
            <w:pPr>
              <w:jc w:val="center"/>
              <w:ind w:right="204"/>
              <w:spacing w:after="0"/>
              <w:rPr>
                <w:sz w:val="20"/>
                <w:szCs w:val="20"/>
                <w:color w:val="auto"/>
              </w:rPr>
            </w:pPr>
            <w:r>
              <w:rPr>
                <w:rFonts w:ascii="Arial" w:cs="Arial" w:eastAsia="Arial" w:hAnsi="Arial"/>
                <w:sz w:val="16"/>
                <w:szCs w:val="16"/>
                <w:b w:val="1"/>
                <w:bCs w:val="1"/>
                <w:color w:val="0B2E44"/>
              </w:rPr>
              <w:t>Arlen Shenkman</w:t>
            </w:r>
          </w:p>
        </w:tc>
        <w:tc>
          <w:tcPr>
            <w:tcW w:w="760" w:type="dxa"/>
            <w:vAlign w:val="bottom"/>
            <w:shd w:val="clear" w:color="auto" w:fill="DDE9F2"/>
          </w:tcPr>
          <w:p>
            <w:pPr>
              <w:jc w:val="right"/>
              <w:ind w:right="188"/>
              <w:spacing w:after="0"/>
              <w:rPr>
                <w:sz w:val="20"/>
                <w:szCs w:val="20"/>
                <w:color w:val="auto"/>
              </w:rPr>
            </w:pPr>
            <w:r>
              <w:rPr>
                <w:rFonts w:ascii="Arial" w:cs="Arial" w:eastAsia="Arial" w:hAnsi="Arial"/>
                <w:sz w:val="14"/>
                <w:szCs w:val="14"/>
                <w:color w:val="0B2E44"/>
              </w:rPr>
              <w:t>52</w:t>
            </w:r>
          </w:p>
        </w:tc>
        <w:tc>
          <w:tcPr>
            <w:tcW w:w="780" w:type="dxa"/>
            <w:vAlign w:val="bottom"/>
            <w:shd w:val="clear" w:color="auto" w:fill="DDE9F2"/>
          </w:tcPr>
          <w:p>
            <w:pPr>
              <w:jc w:val="right"/>
              <w:ind w:right="128"/>
              <w:spacing w:after="0"/>
              <w:rPr>
                <w:sz w:val="20"/>
                <w:szCs w:val="20"/>
                <w:color w:val="auto"/>
              </w:rPr>
            </w:pPr>
            <w:r>
              <w:rPr>
                <w:rFonts w:ascii="Arial" w:cs="Arial" w:eastAsia="Arial" w:hAnsi="Arial"/>
                <w:sz w:val="14"/>
                <w:szCs w:val="14"/>
                <w:color w:val="0B2E44"/>
              </w:rPr>
              <w:t>2020</w:t>
            </w:r>
          </w:p>
        </w:tc>
        <w:tc>
          <w:tcPr>
            <w:tcW w:w="3660" w:type="dxa"/>
            <w:vAlign w:val="bottom"/>
            <w:shd w:val="clear" w:color="auto" w:fill="DDE9F2"/>
          </w:tcPr>
          <w:p>
            <w:pPr>
              <w:ind w:left="220"/>
              <w:spacing w:after="0"/>
              <w:rPr>
                <w:sz w:val="20"/>
                <w:szCs w:val="20"/>
                <w:color w:val="auto"/>
              </w:rPr>
            </w:pPr>
            <w:r>
              <w:rPr>
                <w:rFonts w:ascii="Arial" w:cs="Arial" w:eastAsia="Arial" w:hAnsi="Arial"/>
                <w:sz w:val="14"/>
                <w:szCs w:val="14"/>
                <w:color w:val="0B2E44"/>
              </w:rPr>
              <w:t>Chief Financial Officer and President of Boomi, Inc.</w:t>
            </w:r>
          </w:p>
        </w:tc>
        <w:tc>
          <w:tcPr>
            <w:tcW w:w="1420" w:type="dxa"/>
            <w:vAlign w:val="bottom"/>
            <w:shd w:val="clear" w:color="auto" w:fill="DDE9F2"/>
          </w:tcPr>
          <w:p>
            <w:pPr>
              <w:ind w:left="400"/>
              <w:spacing w:after="0"/>
              <w:rPr>
                <w:sz w:val="20"/>
                <w:szCs w:val="20"/>
                <w:color w:val="auto"/>
              </w:rPr>
            </w:pPr>
            <w:r>
              <w:rPr>
                <w:rFonts w:ascii="Arial" w:cs="Arial" w:eastAsia="Arial" w:hAnsi="Arial"/>
                <w:sz w:val="16"/>
                <w:szCs w:val="16"/>
                <w:color w:val="0B2E44"/>
              </w:rPr>
              <w:t>n</w:t>
            </w:r>
          </w:p>
        </w:tc>
        <w:tc>
          <w:tcPr>
            <w:tcW w:w="340" w:type="dxa"/>
            <w:vAlign w:val="bottom"/>
            <w:shd w:val="clear" w:color="auto" w:fill="DDE9F2"/>
          </w:tcPr>
          <w:p>
            <w:pPr>
              <w:spacing w:after="0"/>
              <w:rPr>
                <w:sz w:val="19"/>
                <w:szCs w:val="19"/>
                <w:color w:val="auto"/>
              </w:rPr>
            </w:pPr>
          </w:p>
        </w:tc>
        <w:tc>
          <w:tcPr>
            <w:tcW w:w="480" w:type="dxa"/>
            <w:vAlign w:val="bottom"/>
            <w:shd w:val="clear" w:color="auto" w:fill="DDE9F2"/>
          </w:tcPr>
          <w:p>
            <w:pPr>
              <w:spacing w:after="0"/>
              <w:rPr>
                <w:sz w:val="19"/>
                <w:szCs w:val="19"/>
                <w:color w:val="auto"/>
              </w:rPr>
            </w:pPr>
          </w:p>
        </w:tc>
        <w:tc>
          <w:tcPr>
            <w:tcW w:w="860" w:type="dxa"/>
            <w:vAlign w:val="bottom"/>
            <w:shd w:val="clear" w:color="auto" w:fill="DDE9F2"/>
          </w:tcPr>
          <w:p>
            <w:pPr>
              <w:ind w:left="260"/>
              <w:spacing w:after="0"/>
              <w:rPr>
                <w:sz w:val="20"/>
                <w:szCs w:val="20"/>
                <w:color w:val="auto"/>
              </w:rPr>
            </w:pPr>
            <w:r>
              <w:rPr>
                <w:rFonts w:ascii="Arial" w:cs="Arial" w:eastAsia="Arial" w:hAnsi="Arial"/>
                <w:sz w:val="16"/>
                <w:szCs w:val="16"/>
                <w:color w:val="FF4A6A"/>
              </w:rPr>
              <w:t>n</w:t>
            </w:r>
          </w:p>
        </w:tc>
        <w:tc>
          <w:tcPr>
            <w:tcW w:w="1100" w:type="dxa"/>
            <w:vAlign w:val="bottom"/>
            <w:shd w:val="clear" w:color="auto" w:fill="DDE9F2"/>
          </w:tcPr>
          <w:p>
            <w:pPr>
              <w:spacing w:after="0"/>
              <w:rPr>
                <w:sz w:val="19"/>
                <w:szCs w:val="19"/>
                <w:color w:val="auto"/>
              </w:rPr>
            </w:pPr>
          </w:p>
        </w:tc>
      </w:tr>
      <w:tr>
        <w:trPr>
          <w:trHeight w:val="216"/>
        </w:trPr>
        <w:tc>
          <w:tcPr>
            <w:tcW w:w="1800" w:type="dxa"/>
            <w:vAlign w:val="bottom"/>
            <w:shd w:val="clear" w:color="auto" w:fill="092E44"/>
          </w:tcPr>
          <w:p>
            <w:pPr>
              <w:jc w:val="center"/>
              <w:ind w:right="164"/>
              <w:spacing w:after="0"/>
              <w:rPr>
                <w:sz w:val="20"/>
                <w:szCs w:val="20"/>
                <w:color w:val="auto"/>
              </w:rPr>
            </w:pPr>
            <w:r>
              <w:rPr>
                <w:rFonts w:ascii="Arial" w:cs="Arial" w:eastAsia="Arial" w:hAnsi="Arial"/>
                <w:sz w:val="14"/>
                <w:szCs w:val="14"/>
                <w:b w:val="1"/>
                <w:bCs w:val="1"/>
                <w:color w:val="FFFFFF"/>
              </w:rPr>
              <w:t>Number of Directors</w:t>
            </w:r>
          </w:p>
        </w:tc>
        <w:tc>
          <w:tcPr>
            <w:tcW w:w="760" w:type="dxa"/>
            <w:vAlign w:val="bottom"/>
            <w:shd w:val="clear" w:color="auto" w:fill="092E44"/>
          </w:tcPr>
          <w:p>
            <w:pPr>
              <w:spacing w:after="0"/>
              <w:rPr>
                <w:sz w:val="18"/>
                <w:szCs w:val="18"/>
                <w:color w:val="auto"/>
              </w:rPr>
            </w:pPr>
          </w:p>
        </w:tc>
        <w:tc>
          <w:tcPr>
            <w:tcW w:w="780" w:type="dxa"/>
            <w:vAlign w:val="bottom"/>
            <w:shd w:val="clear" w:color="auto" w:fill="092E44"/>
          </w:tcPr>
          <w:p>
            <w:pPr>
              <w:spacing w:after="0"/>
              <w:rPr>
                <w:sz w:val="18"/>
                <w:szCs w:val="18"/>
                <w:color w:val="auto"/>
              </w:rPr>
            </w:pPr>
          </w:p>
        </w:tc>
        <w:tc>
          <w:tcPr>
            <w:tcW w:w="3660" w:type="dxa"/>
            <w:vAlign w:val="bottom"/>
            <w:shd w:val="clear" w:color="auto" w:fill="092E44"/>
          </w:tcPr>
          <w:p>
            <w:pPr>
              <w:spacing w:after="0"/>
              <w:rPr>
                <w:sz w:val="18"/>
                <w:szCs w:val="18"/>
                <w:color w:val="auto"/>
              </w:rPr>
            </w:pPr>
          </w:p>
        </w:tc>
        <w:tc>
          <w:tcPr>
            <w:tcW w:w="1420" w:type="dxa"/>
            <w:vAlign w:val="bottom"/>
            <w:shd w:val="clear" w:color="auto" w:fill="092E44"/>
          </w:tcPr>
          <w:p>
            <w:pPr>
              <w:ind w:left="400"/>
              <w:spacing w:after="0"/>
              <w:rPr>
                <w:sz w:val="20"/>
                <w:szCs w:val="20"/>
                <w:color w:val="auto"/>
              </w:rPr>
            </w:pPr>
            <w:r>
              <w:rPr>
                <w:rFonts w:ascii="Arial" w:cs="Arial" w:eastAsia="Arial" w:hAnsi="Arial"/>
                <w:sz w:val="14"/>
                <w:szCs w:val="14"/>
                <w:color w:val="FFFFFF"/>
              </w:rPr>
              <w:t>3</w:t>
            </w:r>
          </w:p>
        </w:tc>
        <w:tc>
          <w:tcPr>
            <w:tcW w:w="340" w:type="dxa"/>
            <w:vAlign w:val="bottom"/>
            <w:shd w:val="clear" w:color="auto" w:fill="092E44"/>
          </w:tcPr>
          <w:p>
            <w:pPr>
              <w:jc w:val="right"/>
              <w:ind w:right="148"/>
              <w:spacing w:after="0"/>
              <w:rPr>
                <w:sz w:val="20"/>
                <w:szCs w:val="20"/>
                <w:color w:val="auto"/>
              </w:rPr>
            </w:pPr>
            <w:r>
              <w:rPr>
                <w:rFonts w:ascii="Arial" w:cs="Arial" w:eastAsia="Arial" w:hAnsi="Arial"/>
                <w:sz w:val="14"/>
                <w:szCs w:val="14"/>
                <w:color w:val="FFFFFF"/>
              </w:rPr>
              <w:t>3</w:t>
            </w:r>
          </w:p>
        </w:tc>
        <w:tc>
          <w:tcPr>
            <w:tcW w:w="480" w:type="dxa"/>
            <w:vAlign w:val="bottom"/>
            <w:shd w:val="clear" w:color="auto" w:fill="092E44"/>
          </w:tcPr>
          <w:p>
            <w:pPr>
              <w:spacing w:after="0"/>
              <w:rPr>
                <w:sz w:val="18"/>
                <w:szCs w:val="18"/>
                <w:color w:val="auto"/>
              </w:rPr>
            </w:pPr>
          </w:p>
        </w:tc>
        <w:tc>
          <w:tcPr>
            <w:tcW w:w="860" w:type="dxa"/>
            <w:vAlign w:val="bottom"/>
            <w:shd w:val="clear" w:color="auto" w:fill="092E44"/>
          </w:tcPr>
          <w:p>
            <w:pPr>
              <w:ind w:left="280"/>
              <w:spacing w:after="0"/>
              <w:rPr>
                <w:sz w:val="20"/>
                <w:szCs w:val="20"/>
                <w:color w:val="auto"/>
              </w:rPr>
            </w:pPr>
            <w:r>
              <w:rPr>
                <w:rFonts w:ascii="Arial" w:cs="Arial" w:eastAsia="Arial" w:hAnsi="Arial"/>
                <w:sz w:val="14"/>
                <w:szCs w:val="14"/>
                <w:color w:val="FFFFFF"/>
              </w:rPr>
              <w:t>2</w:t>
            </w:r>
          </w:p>
        </w:tc>
        <w:tc>
          <w:tcPr>
            <w:tcW w:w="1100" w:type="dxa"/>
            <w:vAlign w:val="bottom"/>
            <w:shd w:val="clear" w:color="auto" w:fill="092E44"/>
          </w:tcPr>
          <w:p>
            <w:pPr>
              <w:jc w:val="right"/>
              <w:ind w:right="448"/>
              <w:spacing w:after="0"/>
              <w:rPr>
                <w:sz w:val="20"/>
                <w:szCs w:val="20"/>
                <w:color w:val="auto"/>
              </w:rPr>
            </w:pPr>
            <w:r>
              <w:rPr>
                <w:rFonts w:ascii="Arial" w:cs="Arial" w:eastAsia="Arial" w:hAnsi="Arial"/>
                <w:sz w:val="14"/>
                <w:szCs w:val="14"/>
                <w:color w:val="FFFFFF"/>
              </w:rPr>
              <w:t>2</w:t>
            </w:r>
          </w:p>
        </w:tc>
      </w:tr>
      <w:tr>
        <w:trPr>
          <w:trHeight w:val="332"/>
        </w:trPr>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60" w:type="dxa"/>
            <w:vAlign w:val="bottom"/>
          </w:tcPr>
          <w:p>
            <w:pPr>
              <w:ind w:left="3340"/>
              <w:spacing w:after="0"/>
              <w:rPr>
                <w:sz w:val="20"/>
                <w:szCs w:val="20"/>
                <w:color w:val="auto"/>
              </w:rPr>
            </w:pPr>
            <w:r>
              <w:rPr>
                <w:rFonts w:ascii="Arial" w:cs="Arial" w:eastAsia="Arial" w:hAnsi="Arial"/>
                <w:sz w:val="14"/>
                <w:szCs w:val="14"/>
                <w:color w:val="FF4A6A"/>
              </w:rPr>
              <w:t>n</w:t>
            </w:r>
          </w:p>
        </w:tc>
        <w:tc>
          <w:tcPr>
            <w:tcW w:w="1420" w:type="dxa"/>
            <w:vAlign w:val="bottom"/>
          </w:tcPr>
          <w:p>
            <w:pPr>
              <w:ind w:left="160"/>
              <w:spacing w:after="0"/>
              <w:rPr>
                <w:sz w:val="20"/>
                <w:szCs w:val="20"/>
                <w:color w:val="auto"/>
              </w:rPr>
            </w:pPr>
            <w:r>
              <w:rPr>
                <w:rFonts w:ascii="Arial" w:cs="Arial" w:eastAsia="Arial" w:hAnsi="Arial"/>
                <w:sz w:val="16"/>
                <w:szCs w:val="16"/>
                <w:color w:val="092E44"/>
              </w:rPr>
              <w:t>Committee Chair</w:t>
            </w:r>
          </w:p>
        </w:tc>
        <w:tc>
          <w:tcPr>
            <w:tcW w:w="3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4"/>
                <w:szCs w:val="14"/>
                <w:color w:val="0B2E44"/>
              </w:rPr>
              <w:t>n</w:t>
            </w:r>
          </w:p>
        </w:tc>
        <w:tc>
          <w:tcPr>
            <w:tcW w:w="1960" w:type="dxa"/>
            <w:vAlign w:val="bottom"/>
            <w:gridSpan w:val="2"/>
          </w:tcPr>
          <w:p>
            <w:pPr>
              <w:ind w:left="180"/>
              <w:spacing w:after="0"/>
              <w:rPr>
                <w:sz w:val="20"/>
                <w:szCs w:val="20"/>
                <w:color w:val="auto"/>
              </w:rPr>
            </w:pPr>
            <w:r>
              <w:rPr>
                <w:rFonts w:ascii="Arial" w:cs="Arial" w:eastAsia="Arial" w:hAnsi="Arial"/>
                <w:sz w:val="16"/>
                <w:szCs w:val="16"/>
                <w:color w:val="092E44"/>
              </w:rPr>
              <w:t>Committee Member</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Diversity and Tenure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171450</wp:posOffset>
            </wp:positionV>
            <wp:extent cx="6172200" cy="1105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1"/>
          <w:szCs w:val="11"/>
          <w:color w:val="auto"/>
        </w:rPr>
        <w:t xml:space="preserve">PROXY SUMMARY </w:t>
      </w:r>
      <w:r>
        <w:rPr>
          <w:rFonts w:ascii="Arial" w:cs="Arial" w:eastAsia="Arial" w:hAnsi="Arial"/>
          <w:sz w:val="11"/>
          <w:szCs w:val="11"/>
          <w:color w:val="FF4A6A"/>
        </w:rPr>
        <w:t>|</w:t>
      </w:r>
      <w:r>
        <w:rPr>
          <w:sz w:val="20"/>
          <w:szCs w:val="20"/>
          <w:color w:val="auto"/>
        </w:rPr>
        <w:tab/>
      </w:r>
      <w:r>
        <w:rPr>
          <w:rFonts w:ascii="Arial" w:cs="Arial" w:eastAsia="Arial" w:hAnsi="Arial"/>
          <w:sz w:val="10"/>
          <w:szCs w:val="10"/>
          <w:b w:val="1"/>
          <w:bCs w:val="1"/>
          <w:color w:val="auto"/>
        </w:rPr>
        <w:t>2023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Fiscal 2023 Financial Highlights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B2E44"/>
        </w:rPr>
        <w:t>Despite the material foreign exchange and macro economic headwinds we faced, fiscal 2023 was another successful year for Commvault.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146685</wp:posOffset>
            </wp:positionV>
            <wp:extent cx="6043295" cy="2143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432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right="260" w:hanging="332"/>
        <w:spacing w:after="0" w:line="242" w:lineRule="auto"/>
        <w:tabs>
          <w:tab w:leader="none" w:pos="255" w:val="left"/>
        </w:tabs>
        <w:numPr>
          <w:ilvl w:val="0"/>
          <w:numId w:val="8"/>
        </w:numPr>
        <w:rPr>
          <w:rFonts w:ascii="Arial" w:cs="Arial" w:eastAsia="Arial" w:hAnsi="Arial"/>
          <w:sz w:val="13"/>
          <w:szCs w:val="13"/>
          <w:color w:val="0B2E44"/>
        </w:rPr>
      </w:pPr>
      <w:r>
        <w:rPr>
          <w:rFonts w:ascii="Arial" w:cs="Arial" w:eastAsia="Arial" w:hAnsi="Arial"/>
          <w:sz w:val="13"/>
          <w:szCs w:val="13"/>
          <w:color w:val="0B2E44"/>
        </w:rPr>
        <w:t>Please see “Reconciliation of GAAP to Non-GAAP Financial Measures” in Annex A for additional information about our non-GAAP financial measures. Our GAAP income/(loss) from operations (EBIT) was ($15,885) and $41,566 in fiscal years 2023 and 2022, respectively. Our GAAP diluted earnings/(loss) per share (EPS) was ($0.80) and $0.71 in fiscal years 2023 and 2022, respectively.</w:t>
      </w:r>
    </w:p>
    <w:p>
      <w:pPr>
        <w:spacing w:after="0" w:line="1" w:lineRule="exact"/>
        <w:rPr>
          <w:rFonts w:ascii="Arial" w:cs="Arial" w:eastAsia="Arial" w:hAnsi="Arial"/>
          <w:sz w:val="13"/>
          <w:szCs w:val="13"/>
          <w:color w:val="0B2E44"/>
        </w:rPr>
      </w:pPr>
    </w:p>
    <w:p>
      <w:pPr>
        <w:ind w:left="340" w:hanging="332"/>
        <w:spacing w:after="0" w:line="246" w:lineRule="auto"/>
        <w:tabs>
          <w:tab w:leader="none" w:pos="255" w:val="left"/>
        </w:tabs>
        <w:numPr>
          <w:ilvl w:val="0"/>
          <w:numId w:val="8"/>
        </w:numPr>
        <w:rPr>
          <w:rFonts w:ascii="Arial" w:cs="Arial" w:eastAsia="Arial" w:hAnsi="Arial"/>
          <w:sz w:val="13"/>
          <w:szCs w:val="13"/>
          <w:color w:val="0B2E44"/>
        </w:rPr>
      </w:pPr>
      <w:r>
        <w:rPr>
          <w:rFonts w:ascii="Arial" w:cs="Arial" w:eastAsia="Arial" w:hAnsi="Arial"/>
          <w:sz w:val="13"/>
          <w:szCs w:val="13"/>
          <w:color w:val="0B2E44"/>
        </w:rPr>
        <w:t>Annualized recurring revenue (“ARR”) is the annualized recurring value of all active revenue contracts at the end of a reporting period. It includes the following contract types: term-based subscription agreements, SaaS contracts, customer support contracts related to perpetual licenses, enhanced customer support contracts (enterprise support), and managed services. It excludes any element of the arrangement that is not expected to recur, primarily perpetual licenses and most professional service offerings. Contracts are annualized by dividing the total contract value by the number of days in the contract term, then multiplying by 365.</w:t>
      </w:r>
    </w:p>
    <w:p>
      <w:pPr>
        <w:spacing w:after="0" w:line="41" w:lineRule="exact"/>
        <w:rPr>
          <w:sz w:val="20"/>
          <w:szCs w:val="20"/>
          <w:color w:val="auto"/>
        </w:rPr>
      </w:pPr>
    </w:p>
    <w:p>
      <w:pPr>
        <w:ind w:left="340" w:right="60"/>
        <w:spacing w:after="0" w:line="296" w:lineRule="auto"/>
        <w:rPr>
          <w:sz w:val="20"/>
          <w:szCs w:val="20"/>
          <w:color w:val="auto"/>
        </w:rPr>
      </w:pPr>
      <w:r>
        <w:rPr>
          <w:rFonts w:ascii="Arial" w:cs="Arial" w:eastAsia="Arial" w:hAnsi="Arial"/>
          <w:sz w:val="12"/>
          <w:szCs w:val="12"/>
          <w:color w:val="0B2E44"/>
        </w:rPr>
        <w:t>ARR should be viewed independently of GAAP revenue, deferred revenue and unbilled revenue and is not intended to be combined with or to replace those items. ARR is not a forecast of future revenue. Management believes that reviewing this metric, in addition to GAAP results, helps investors and financial analysts understand the value of Commvault's recurring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1"/>
          <w:szCs w:val="11"/>
          <w:color w:val="auto"/>
        </w:rPr>
        <w:t xml:space="preserve">PROXY SUMMARY </w:t>
      </w:r>
      <w:r>
        <w:rPr>
          <w:rFonts w:ascii="Arial" w:cs="Arial" w:eastAsia="Arial" w:hAnsi="Arial"/>
          <w:sz w:val="11"/>
          <w:szCs w:val="11"/>
          <w:color w:val="FF4A6A"/>
        </w:rPr>
        <w:t>|</w:t>
      </w:r>
      <w:r>
        <w:rPr>
          <w:sz w:val="20"/>
          <w:szCs w:val="20"/>
          <w:color w:val="auto"/>
        </w:rPr>
        <w:tab/>
      </w:r>
      <w:r>
        <w:rPr>
          <w:rFonts w:ascii="Arial" w:cs="Arial" w:eastAsia="Arial" w:hAnsi="Arial"/>
          <w:sz w:val="10"/>
          <w:szCs w:val="10"/>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Governance Highlights</w:t>
      </w:r>
    </w:p>
    <w:p>
      <w:pPr>
        <w:spacing w:after="0" w:line="84"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0B2E44"/>
        </w:rPr>
        <w:t>Commvault is committed to excellence in corporate governance. We have recently strengthened several of our policies and practices to demonstrate this commitment, including those summarized below.</w:t>
      </w:r>
    </w:p>
    <w:p>
      <w:pPr>
        <w:spacing w:after="0" w:line="31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0B2E44"/>
        </w:rPr>
        <w:t xml:space="preserve">Cybersecurity. </w:t>
      </w:r>
      <w:r>
        <w:rPr>
          <w:rFonts w:ascii="Arial" w:cs="Arial" w:eastAsia="Arial" w:hAnsi="Arial"/>
          <w:sz w:val="16"/>
          <w:szCs w:val="16"/>
          <w:color w:val="0B2E44"/>
        </w:rPr>
        <w:t>Over the last year we modernized our cybersecurity program by aligning our policies to the NIST cybersecurity framework, growing the in-house security team, and procuring new best-in-class security technology.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B2E44"/>
        </w:rPr>
        <w:t xml:space="preserve">Pledging policy. </w:t>
      </w:r>
      <w:r>
        <w:rPr>
          <w:rFonts w:ascii="Arial" w:cs="Arial" w:eastAsia="Arial" w:hAnsi="Arial"/>
          <w:sz w:val="16"/>
          <w:szCs w:val="16"/>
          <w:color w:val="0B2E44"/>
        </w:rPr>
        <w:t>We codified our policy that prohibits our employees, officers, and directors from pledging securities as collateral to secure personal loans.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0B2E44"/>
        </w:rPr>
        <w:t>Clawback Policy</w:t>
      </w:r>
      <w:r>
        <w:rPr>
          <w:rFonts w:ascii="Arial" w:cs="Arial" w:eastAsia="Arial" w:hAnsi="Arial"/>
          <w:sz w:val="16"/>
          <w:szCs w:val="16"/>
          <w:color w:val="0B2E44"/>
        </w:rPr>
        <w:t>. We expect to update our existing clawback policy or adopt a new policy in order to comply with Nasdaq Stock Market (“Nasdaq”) listing</w:t>
      </w:r>
      <w:r>
        <w:rPr>
          <w:rFonts w:ascii="Arial" w:cs="Arial" w:eastAsia="Arial" w:hAnsi="Arial"/>
          <w:sz w:val="16"/>
          <w:szCs w:val="16"/>
          <w:b w:val="1"/>
          <w:bCs w:val="1"/>
          <w:color w:val="0B2E44"/>
        </w:rPr>
        <w:t xml:space="preserve"> </w:t>
      </w:r>
      <w:r>
        <w:rPr>
          <w:rFonts w:ascii="Arial" w:cs="Arial" w:eastAsia="Arial" w:hAnsi="Arial"/>
          <w:sz w:val="16"/>
          <w:szCs w:val="16"/>
          <w:color w:val="0B2E44"/>
        </w:rPr>
        <w:t>standards to be issued in connection with new rules promulgated by the Securities and Exchange Commission (“SEC”) under the Dodd-Frank Act.</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0B2E44"/>
        </w:rPr>
        <w:t xml:space="preserve">Leadership diversity. </w:t>
      </w:r>
      <w:r>
        <w:rPr>
          <w:rFonts w:ascii="Arial" w:cs="Arial" w:eastAsia="Arial" w:hAnsi="Arial"/>
          <w:sz w:val="16"/>
          <w:szCs w:val="16"/>
          <w:color w:val="0B2E44"/>
        </w:rPr>
        <w:t>Mr. Shane Sanders, former SVP of Business Transformation for Verizon Communications, joined our Board of Directors, bringing with</w:t>
      </w:r>
      <w:r>
        <w:rPr>
          <w:rFonts w:ascii="Arial" w:cs="Arial" w:eastAsia="Arial" w:hAnsi="Arial"/>
          <w:sz w:val="16"/>
          <w:szCs w:val="16"/>
          <w:b w:val="1"/>
          <w:bCs w:val="1"/>
          <w:color w:val="0B2E44"/>
        </w:rPr>
        <w:t xml:space="preserve"> </w:t>
      </w:r>
      <w:r>
        <w:rPr>
          <w:rFonts w:ascii="Arial" w:cs="Arial" w:eastAsia="Arial" w:hAnsi="Arial"/>
          <w:sz w:val="16"/>
          <w:szCs w:val="16"/>
          <w:color w:val="0B2E44"/>
        </w:rPr>
        <w:t>him over two decades of financial and enterprise-transformation expertise and operational excellence. He also joined our Audit Committee.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B2E44"/>
        </w:rPr>
        <w:t>Leadership education</w:t>
      </w:r>
      <w:r>
        <w:rPr>
          <w:rFonts w:ascii="Arial" w:cs="Arial" w:eastAsia="Arial" w:hAnsi="Arial"/>
          <w:sz w:val="16"/>
          <w:szCs w:val="16"/>
          <w:color w:val="0B2E44"/>
        </w:rPr>
        <w:t>. We expanded our directors’ education program to include membership to the National Association of Corporate Directors (“NACD”).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0B2E44"/>
        </w:rPr>
        <w:t>NACD provides industry-leading education, community and insights for our directors.</w:t>
      </w:r>
    </w:p>
    <w:p>
      <w:pPr>
        <w:spacing w:after="0" w:line="93"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b w:val="1"/>
          <w:bCs w:val="1"/>
          <w:color w:val="0B2E44"/>
        </w:rPr>
        <w:t>Ethics &amp; Integrity Reporting Policy</w:t>
      </w:r>
      <w:r>
        <w:rPr>
          <w:rFonts w:ascii="Arial" w:cs="Arial" w:eastAsia="Arial" w:hAnsi="Arial"/>
          <w:sz w:val="16"/>
          <w:szCs w:val="16"/>
          <w:color w:val="0B2E44"/>
        </w:rPr>
        <w:t>. Previously called our Whistleblower Policy, we relaunched our Ethics and Integrity Reporting Policy to encourage</w:t>
      </w:r>
      <w:r>
        <w:rPr>
          <w:rFonts w:ascii="Arial" w:cs="Arial" w:eastAsia="Arial" w:hAnsi="Arial"/>
          <w:sz w:val="16"/>
          <w:szCs w:val="16"/>
          <w:b w:val="1"/>
          <w:bCs w:val="1"/>
          <w:color w:val="0B2E44"/>
        </w:rPr>
        <w:t xml:space="preserve"> </w:t>
      </w:r>
      <w:r>
        <w:rPr>
          <w:rFonts w:ascii="Arial" w:cs="Arial" w:eastAsia="Arial" w:hAnsi="Arial"/>
          <w:sz w:val="16"/>
          <w:szCs w:val="16"/>
          <w:color w:val="0B2E44"/>
        </w:rPr>
        <w:t>open and honest conversations with our employees, business partners, and shareholders, and provide a mechanism to anonymously report unethical conduct.</w:t>
      </w:r>
    </w:p>
    <w:p>
      <w:pPr>
        <w:spacing w:after="0" w:line="56"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b w:val="1"/>
          <w:bCs w:val="1"/>
          <w:color w:val="0B2E44"/>
        </w:rPr>
        <w:t>Human Rights Policy</w:t>
      </w:r>
      <w:r>
        <w:rPr>
          <w:rFonts w:ascii="Arial" w:cs="Arial" w:eastAsia="Arial" w:hAnsi="Arial"/>
          <w:sz w:val="16"/>
          <w:szCs w:val="16"/>
          <w:color w:val="0B2E44"/>
        </w:rPr>
        <w:t>. We codified our Human Rights Policy, to include our support of diversity, equity and inclusion; personal privacy; safety, health, and</w:t>
      </w:r>
      <w:r>
        <w:rPr>
          <w:rFonts w:ascii="Arial" w:cs="Arial" w:eastAsia="Arial" w:hAnsi="Arial"/>
          <w:sz w:val="16"/>
          <w:szCs w:val="16"/>
          <w:b w:val="1"/>
          <w:bCs w:val="1"/>
          <w:color w:val="0B2E44"/>
        </w:rPr>
        <w:t xml:space="preserve"> </w:t>
      </w:r>
      <w:r>
        <w:rPr>
          <w:rFonts w:ascii="Arial" w:cs="Arial" w:eastAsia="Arial" w:hAnsi="Arial"/>
          <w:sz w:val="16"/>
          <w:szCs w:val="16"/>
          <w:color w:val="0B2E44"/>
        </w:rPr>
        <w:t>wellness; fair work hours and wages; freedom of association; and opposition to forced labor, child labor, and human trafficking. We expect our employees, contractors, representatives, and suppliers to uphold the principles of this Policy.</w:t>
      </w:r>
    </w:p>
    <w:p>
      <w:pPr>
        <w:spacing w:after="0" w:line="7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0B2E44"/>
        </w:rPr>
        <w:t>Trading Plans</w:t>
      </w:r>
      <w:r>
        <w:rPr>
          <w:rFonts w:ascii="Arial" w:cs="Arial" w:eastAsia="Arial" w:hAnsi="Arial"/>
          <w:sz w:val="16"/>
          <w:szCs w:val="16"/>
          <w:color w:val="0B2E44"/>
        </w:rPr>
        <w:t>. With our securities broker E*TRADE, we implemented trading plans that comply with the SEC’s amended 10b5-1 rules, including, for our</w:t>
      </w:r>
      <w:r>
        <w:rPr>
          <w:rFonts w:ascii="Arial" w:cs="Arial" w:eastAsia="Arial" w:hAnsi="Arial"/>
          <w:sz w:val="16"/>
          <w:szCs w:val="16"/>
          <w:b w:val="1"/>
          <w:bCs w:val="1"/>
          <w:color w:val="0B2E44"/>
        </w:rPr>
        <w:t xml:space="preserve"> </w:t>
      </w:r>
      <w:r>
        <w:rPr>
          <w:rFonts w:ascii="Arial" w:cs="Arial" w:eastAsia="Arial" w:hAnsi="Arial"/>
          <w:sz w:val="16"/>
          <w:szCs w:val="16"/>
          <w:color w:val="0B2E44"/>
        </w:rPr>
        <w:t>directors and officers, a mandatory 90-day cooling-off period upon adoption, modification or termination, one single-trade plan in any 12-month period, and one trading plan at any given time.</w:t>
      </w:r>
    </w:p>
    <w:p>
      <w:pPr>
        <w:spacing w:after="0" w:line="77"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b w:val="1"/>
          <w:bCs w:val="1"/>
          <w:color w:val="0B2E44"/>
        </w:rPr>
        <w:t xml:space="preserve">Compliance Program. </w:t>
      </w:r>
      <w:r>
        <w:rPr>
          <w:rFonts w:ascii="Arial" w:cs="Arial" w:eastAsia="Arial" w:hAnsi="Arial"/>
          <w:sz w:val="16"/>
          <w:szCs w:val="16"/>
          <w:color w:val="0B2E44"/>
        </w:rPr>
        <w:t>Our compliance team introduced a new sanction screening platform to modernize our internal controls and create a robust, self-sustaining program. We launched our global Trust Center which provides transparency to our customers and partners with detailed insight into our data privacy and security and access to our audit reports.</w:t>
      </w:r>
    </w:p>
    <w:p>
      <w:pPr>
        <w:spacing w:after="0" w:line="64" w:lineRule="exact"/>
        <w:rPr>
          <w:sz w:val="20"/>
          <w:szCs w:val="20"/>
          <w:color w:val="auto"/>
        </w:rPr>
      </w:pPr>
    </w:p>
    <w:p>
      <w:pPr>
        <w:ind w:right="960"/>
        <w:spacing w:after="0" w:line="276" w:lineRule="auto"/>
        <w:rPr>
          <w:sz w:val="20"/>
          <w:szCs w:val="20"/>
          <w:color w:val="auto"/>
        </w:rPr>
      </w:pPr>
      <w:r>
        <w:rPr>
          <w:rFonts w:ascii="Arial" w:cs="Arial" w:eastAsia="Arial" w:hAnsi="Arial"/>
          <w:sz w:val="16"/>
          <w:szCs w:val="16"/>
          <w:color w:val="0B2E44"/>
        </w:rPr>
        <w:t>We believe these changes and practices represent strong corporate governance measures that are in the best interests of our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7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1"/>
          <w:szCs w:val="11"/>
          <w:color w:val="auto"/>
        </w:rPr>
        <w:t xml:space="preserve">PROXY SUMMARY </w:t>
      </w:r>
      <w:r>
        <w:rPr>
          <w:rFonts w:ascii="Arial" w:cs="Arial" w:eastAsia="Arial" w:hAnsi="Arial"/>
          <w:sz w:val="11"/>
          <w:szCs w:val="11"/>
          <w:color w:val="FF4A6A"/>
        </w:rPr>
        <w:t>|</w:t>
      </w:r>
      <w:r>
        <w:rPr>
          <w:sz w:val="20"/>
          <w:szCs w:val="20"/>
          <w:color w:val="auto"/>
        </w:rPr>
        <w:tab/>
      </w:r>
      <w:r>
        <w:rPr>
          <w:rFonts w:ascii="Arial" w:cs="Arial" w:eastAsia="Arial" w:hAnsi="Arial"/>
          <w:sz w:val="10"/>
          <w:szCs w:val="10"/>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E14A6A"/>
        </w:rPr>
        <w:t>Executive Compensation Highlights</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6"/>
          <w:szCs w:val="16"/>
          <w:color w:val="0B2E44"/>
        </w:rPr>
        <w:t>Commvault’s executive compensation program is designed to support our long-term strategic vision and to align with our pay-for-performance philosophy. As shown below, a significant amount of our executives’ direct compensation is long-term and varies based on company performance.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B2E44"/>
        </w:rPr>
        <w:t>CEO Compensation Pay Mix</w:t>
      </w:r>
    </w:p>
    <w:p>
      <w:pPr>
        <w:spacing w:after="0" w:line="227" w:lineRule="exact"/>
        <w:rPr>
          <w:sz w:val="20"/>
          <w:szCs w:val="20"/>
          <w:color w:val="auto"/>
        </w:rPr>
      </w:pPr>
    </w:p>
    <w:p>
      <w:pPr>
        <w:ind w:left="1640"/>
        <w:spacing w:after="0"/>
        <w:rPr>
          <w:sz w:val="20"/>
          <w:szCs w:val="20"/>
          <w:color w:val="auto"/>
        </w:rPr>
      </w:pPr>
      <w:r>
        <w:rPr>
          <w:rFonts w:ascii="Arial" w:cs="Arial" w:eastAsia="Arial" w:hAnsi="Arial"/>
          <w:sz w:val="13"/>
          <w:szCs w:val="13"/>
          <w:color w:val="0B2E44"/>
        </w:rPr>
        <w:t>Cash Performance</w:t>
      </w:r>
    </w:p>
    <w:p>
      <w:pPr>
        <w:ind w:left="1640"/>
        <w:spacing w:after="0"/>
        <w:rPr>
          <w:sz w:val="20"/>
          <w:szCs w:val="20"/>
          <w:color w:val="auto"/>
        </w:rPr>
      </w:pPr>
      <w:r>
        <w:rPr>
          <w:rFonts w:ascii="Arial" w:cs="Arial" w:eastAsia="Arial" w:hAnsi="Arial"/>
          <w:sz w:val="13"/>
          <w:szCs w:val="13"/>
          <w:color w:val="0B2E44"/>
        </w:rPr>
        <w:t>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11430</wp:posOffset>
            </wp:positionV>
            <wp:extent cx="8890" cy="436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436880"/>
                    </a:xfrm>
                    <a:prstGeom prst="rect">
                      <a:avLst/>
                    </a:prstGeom>
                    <a:noFill/>
                  </pic:spPr>
                </pic:pic>
              </a:graphicData>
            </a:graphic>
          </wp:anchor>
        </w:drawing>
      </w:r>
    </w:p>
    <w:p>
      <w:pPr>
        <w:spacing w:after="0" w:line="2" w:lineRule="exact"/>
        <w:rPr>
          <w:sz w:val="20"/>
          <w:szCs w:val="20"/>
          <w:color w:val="auto"/>
        </w:rPr>
      </w:pPr>
    </w:p>
    <w:tbl>
      <w:tblPr>
        <w:tblLayout w:type="fixed"/>
        <w:tblInd w:w="880" w:type="dxa"/>
        <w:tblCellMar>
          <w:top w:w="0" w:type="dxa"/>
          <w:left w:w="0" w:type="dxa"/>
          <w:bottom w:w="0" w:type="dxa"/>
          <w:right w:w="0" w:type="dxa"/>
        </w:tblCellMar>
      </w:tblPr>
      <w:tr>
        <w:trPr>
          <w:trHeight w:val="252"/>
        </w:trPr>
        <w:tc>
          <w:tcPr>
            <w:tcW w:w="760" w:type="dxa"/>
            <w:vAlign w:val="bottom"/>
            <w:tcBorders>
              <w:right w:val="single" w:sz="8" w:color="FF4A6A"/>
            </w:tcBorders>
            <w:shd w:val="clear" w:color="auto" w:fill="0B2E44"/>
          </w:tcPr>
          <w:p>
            <w:pPr>
              <w:ind w:left="20"/>
              <w:spacing w:after="0"/>
              <w:rPr>
                <w:sz w:val="20"/>
                <w:szCs w:val="20"/>
                <w:color w:val="auto"/>
              </w:rPr>
            </w:pPr>
            <w:r>
              <w:rPr>
                <w:rFonts w:ascii="Arial" w:cs="Arial" w:eastAsia="Arial" w:hAnsi="Arial"/>
                <w:sz w:val="20"/>
                <w:szCs w:val="20"/>
                <w:color w:val="FFFFFF"/>
              </w:rPr>
              <w:t>6%</w:t>
            </w:r>
          </w:p>
        </w:tc>
        <w:tc>
          <w:tcPr>
            <w:tcW w:w="320" w:type="dxa"/>
            <w:vAlign w:val="bottom"/>
            <w:tcBorders>
              <w:right w:val="single" w:sz="8" w:color="0B2E44"/>
            </w:tcBorders>
            <w:shd w:val="clear" w:color="auto" w:fill="0B2E44"/>
          </w:tcPr>
          <w:p>
            <w:pPr>
              <w:spacing w:after="0"/>
              <w:rPr>
                <w:sz w:val="20"/>
                <w:szCs w:val="20"/>
                <w:color w:val="auto"/>
              </w:rPr>
            </w:pPr>
            <w:r>
              <w:rPr>
                <w:rFonts w:ascii="Arial" w:cs="Arial" w:eastAsia="Arial" w:hAnsi="Arial"/>
                <w:sz w:val="20"/>
                <w:szCs w:val="20"/>
                <w:color w:val="FFFFFF"/>
                <w:w w:val="96"/>
              </w:rPr>
              <w:t>4%</w:t>
            </w:r>
          </w:p>
        </w:tc>
        <w:tc>
          <w:tcPr>
            <w:tcW w:w="300" w:type="dxa"/>
            <w:vAlign w:val="bottom"/>
            <w:tcBorders>
              <w:right w:val="single" w:sz="8" w:color="0B2E44"/>
            </w:tcBorders>
            <w:shd w:val="clear" w:color="auto" w:fill="0B2E44"/>
          </w:tcPr>
          <w:p>
            <w:pPr>
              <w:spacing w:after="0"/>
              <w:rPr>
                <w:sz w:val="21"/>
                <w:szCs w:val="21"/>
                <w:color w:val="auto"/>
              </w:rPr>
            </w:pPr>
          </w:p>
        </w:tc>
        <w:tc>
          <w:tcPr>
            <w:tcW w:w="2460" w:type="dxa"/>
            <w:vAlign w:val="bottom"/>
            <w:shd w:val="clear" w:color="auto" w:fill="0B2E44"/>
          </w:tcPr>
          <w:p>
            <w:pPr>
              <w:spacing w:after="0"/>
              <w:rPr>
                <w:sz w:val="20"/>
                <w:szCs w:val="20"/>
                <w:color w:val="auto"/>
              </w:rPr>
            </w:pPr>
            <w:r>
              <w:rPr>
                <w:rFonts w:ascii="Arial" w:cs="Arial" w:eastAsia="Arial" w:hAnsi="Arial"/>
                <w:sz w:val="20"/>
                <w:szCs w:val="20"/>
                <w:color w:val="FFFFFF"/>
              </w:rPr>
              <w:t>90%</w:t>
            </w:r>
          </w:p>
        </w:tc>
        <w:tc>
          <w:tcPr>
            <w:tcW w:w="1640" w:type="dxa"/>
            <w:vAlign w:val="bottom"/>
            <w:tcBorders>
              <w:right w:val="single" w:sz="8" w:color="0B2E44"/>
            </w:tcBorders>
            <w:shd w:val="clear" w:color="auto" w:fill="0B2E44"/>
          </w:tcPr>
          <w:p>
            <w:pPr>
              <w:spacing w:after="0"/>
              <w:rPr>
                <w:sz w:val="21"/>
                <w:szCs w:val="21"/>
                <w:color w:val="auto"/>
              </w:rPr>
            </w:pPr>
          </w:p>
        </w:tc>
        <w:tc>
          <w:tcPr>
            <w:tcW w:w="2180" w:type="dxa"/>
            <w:vAlign w:val="bottom"/>
            <w:tcBorders>
              <w:right w:val="single" w:sz="8" w:color="0B2E44"/>
            </w:tcBorders>
            <w:shd w:val="clear" w:color="auto" w:fill="0B2E44"/>
          </w:tcPr>
          <w:p>
            <w:pPr>
              <w:spacing w:after="0"/>
              <w:rPr>
                <w:sz w:val="21"/>
                <w:szCs w:val="21"/>
                <w:color w:val="auto"/>
              </w:rPr>
            </w:pPr>
          </w:p>
        </w:tc>
        <w:tc>
          <w:tcPr>
            <w:tcW w:w="2160" w:type="dxa"/>
            <w:vAlign w:val="bottom"/>
            <w:tcBorders>
              <w:right w:val="single" w:sz="8" w:color="FF4A6A"/>
            </w:tcBorders>
            <w:shd w:val="clear" w:color="auto" w:fill="0B2E44"/>
          </w:tcPr>
          <w:p>
            <w:pPr>
              <w:spacing w:after="0"/>
              <w:rPr>
                <w:sz w:val="21"/>
                <w:szCs w:val="21"/>
                <w:color w:val="auto"/>
              </w:rPr>
            </w:pPr>
          </w:p>
        </w:tc>
      </w:tr>
      <w:tr>
        <w:trPr>
          <w:trHeight w:val="148"/>
        </w:trPr>
        <w:tc>
          <w:tcPr>
            <w:tcW w:w="760" w:type="dxa"/>
            <w:vAlign w:val="bottom"/>
            <w:tcBorders>
              <w:right w:val="single" w:sz="8" w:color="FF4A6A"/>
            </w:tcBorders>
            <w:shd w:val="clear" w:color="auto" w:fill="0B2E44"/>
          </w:tcPr>
          <w:p>
            <w:pPr>
              <w:ind w:left="20"/>
              <w:spacing w:after="0" w:line="149" w:lineRule="exact"/>
              <w:rPr>
                <w:sz w:val="20"/>
                <w:szCs w:val="20"/>
                <w:color w:val="auto"/>
              </w:rPr>
            </w:pPr>
            <w:r>
              <w:rPr>
                <w:rFonts w:ascii="Arial" w:cs="Arial" w:eastAsia="Arial" w:hAnsi="Arial"/>
                <w:sz w:val="14"/>
                <w:szCs w:val="14"/>
                <w:color w:val="FFFFFF"/>
              </w:rPr>
              <w:t>Base</w:t>
            </w:r>
          </w:p>
        </w:tc>
        <w:tc>
          <w:tcPr>
            <w:tcW w:w="320" w:type="dxa"/>
            <w:vAlign w:val="bottom"/>
            <w:tcBorders>
              <w:right w:val="single" w:sz="8" w:color="0B2E44"/>
            </w:tcBorders>
            <w:shd w:val="clear" w:color="auto" w:fill="0B2E44"/>
          </w:tcPr>
          <w:p>
            <w:pPr>
              <w:spacing w:after="0"/>
              <w:rPr>
                <w:sz w:val="12"/>
                <w:szCs w:val="12"/>
                <w:color w:val="auto"/>
              </w:rPr>
            </w:pPr>
          </w:p>
        </w:tc>
        <w:tc>
          <w:tcPr>
            <w:tcW w:w="300" w:type="dxa"/>
            <w:vAlign w:val="bottom"/>
            <w:tcBorders>
              <w:right w:val="single" w:sz="8" w:color="0B2E44"/>
            </w:tcBorders>
            <w:shd w:val="clear" w:color="auto" w:fill="0B2E44"/>
          </w:tcPr>
          <w:p>
            <w:pPr>
              <w:spacing w:after="0"/>
              <w:rPr>
                <w:sz w:val="12"/>
                <w:szCs w:val="12"/>
                <w:color w:val="auto"/>
              </w:rPr>
            </w:pPr>
          </w:p>
        </w:tc>
        <w:tc>
          <w:tcPr>
            <w:tcW w:w="2460" w:type="dxa"/>
            <w:vAlign w:val="bottom"/>
            <w:shd w:val="clear" w:color="auto" w:fill="0B2E44"/>
          </w:tcPr>
          <w:p>
            <w:pPr>
              <w:spacing w:after="0" w:line="149" w:lineRule="exact"/>
              <w:rPr>
                <w:sz w:val="20"/>
                <w:szCs w:val="20"/>
                <w:color w:val="auto"/>
              </w:rPr>
            </w:pPr>
            <w:r>
              <w:rPr>
                <w:rFonts w:ascii="Arial" w:cs="Arial" w:eastAsia="Arial" w:hAnsi="Arial"/>
                <w:sz w:val="14"/>
                <w:szCs w:val="14"/>
                <w:color w:val="FFFFFF"/>
              </w:rPr>
              <w:t>Equity Performance Awards</w:t>
            </w:r>
          </w:p>
        </w:tc>
        <w:tc>
          <w:tcPr>
            <w:tcW w:w="1640" w:type="dxa"/>
            <w:vAlign w:val="bottom"/>
            <w:tcBorders>
              <w:right w:val="single" w:sz="8" w:color="0B2E44"/>
            </w:tcBorders>
            <w:shd w:val="clear" w:color="auto" w:fill="0B2E44"/>
          </w:tcPr>
          <w:p>
            <w:pPr>
              <w:spacing w:after="0"/>
              <w:rPr>
                <w:sz w:val="12"/>
                <w:szCs w:val="12"/>
                <w:color w:val="auto"/>
              </w:rPr>
            </w:pPr>
          </w:p>
        </w:tc>
        <w:tc>
          <w:tcPr>
            <w:tcW w:w="2180" w:type="dxa"/>
            <w:vAlign w:val="bottom"/>
            <w:tcBorders>
              <w:right w:val="single" w:sz="8" w:color="0B2E44"/>
            </w:tcBorders>
            <w:shd w:val="clear" w:color="auto" w:fill="0B2E44"/>
          </w:tcPr>
          <w:p>
            <w:pPr>
              <w:spacing w:after="0"/>
              <w:rPr>
                <w:sz w:val="12"/>
                <w:szCs w:val="12"/>
                <w:color w:val="auto"/>
              </w:rPr>
            </w:pPr>
          </w:p>
        </w:tc>
        <w:tc>
          <w:tcPr>
            <w:tcW w:w="2160" w:type="dxa"/>
            <w:vAlign w:val="bottom"/>
            <w:tcBorders>
              <w:right w:val="single" w:sz="8" w:color="FF4A6A"/>
            </w:tcBorders>
            <w:shd w:val="clear" w:color="auto" w:fill="0B2E44"/>
          </w:tcPr>
          <w:p>
            <w:pPr>
              <w:spacing w:after="0"/>
              <w:rPr>
                <w:sz w:val="12"/>
                <w:szCs w:val="12"/>
                <w:color w:val="auto"/>
              </w:rPr>
            </w:pPr>
          </w:p>
        </w:tc>
      </w:tr>
      <w:tr>
        <w:trPr>
          <w:trHeight w:val="182"/>
        </w:trPr>
        <w:tc>
          <w:tcPr>
            <w:tcW w:w="760" w:type="dxa"/>
            <w:vAlign w:val="bottom"/>
            <w:tcBorders>
              <w:right w:val="single" w:sz="8" w:color="FF4A6A"/>
            </w:tcBorders>
            <w:shd w:val="clear" w:color="auto" w:fill="0B2E44"/>
          </w:tcPr>
          <w:p>
            <w:pPr>
              <w:ind w:left="20"/>
              <w:spacing w:after="0"/>
              <w:rPr>
                <w:sz w:val="20"/>
                <w:szCs w:val="20"/>
                <w:color w:val="auto"/>
              </w:rPr>
            </w:pPr>
            <w:r>
              <w:rPr>
                <w:rFonts w:ascii="Arial" w:cs="Arial" w:eastAsia="Arial" w:hAnsi="Arial"/>
                <w:sz w:val="14"/>
                <w:szCs w:val="14"/>
                <w:color w:val="FFFFFF"/>
              </w:rPr>
              <w:t>Salary</w:t>
            </w:r>
          </w:p>
        </w:tc>
        <w:tc>
          <w:tcPr>
            <w:tcW w:w="320" w:type="dxa"/>
            <w:vAlign w:val="bottom"/>
            <w:tcBorders>
              <w:right w:val="single" w:sz="8" w:color="0B2E44"/>
            </w:tcBorders>
            <w:shd w:val="clear" w:color="auto" w:fill="0B2E44"/>
          </w:tcPr>
          <w:p>
            <w:pPr>
              <w:spacing w:after="0"/>
              <w:rPr>
                <w:sz w:val="15"/>
                <w:szCs w:val="15"/>
                <w:color w:val="auto"/>
              </w:rPr>
            </w:pPr>
          </w:p>
        </w:tc>
        <w:tc>
          <w:tcPr>
            <w:tcW w:w="300" w:type="dxa"/>
            <w:vAlign w:val="bottom"/>
            <w:tcBorders>
              <w:right w:val="single" w:sz="8" w:color="0B2E44"/>
            </w:tcBorders>
            <w:shd w:val="clear" w:color="auto" w:fill="0B2E44"/>
          </w:tcPr>
          <w:p>
            <w:pPr>
              <w:spacing w:after="0"/>
              <w:rPr>
                <w:sz w:val="15"/>
                <w:szCs w:val="15"/>
                <w:color w:val="auto"/>
              </w:rPr>
            </w:pPr>
          </w:p>
        </w:tc>
        <w:tc>
          <w:tcPr>
            <w:tcW w:w="2460" w:type="dxa"/>
            <w:vAlign w:val="bottom"/>
            <w:shd w:val="clear" w:color="auto" w:fill="0B2E44"/>
          </w:tcPr>
          <w:p>
            <w:pPr>
              <w:spacing w:after="0"/>
              <w:rPr>
                <w:sz w:val="15"/>
                <w:szCs w:val="15"/>
                <w:color w:val="auto"/>
              </w:rPr>
            </w:pPr>
          </w:p>
        </w:tc>
        <w:tc>
          <w:tcPr>
            <w:tcW w:w="1640" w:type="dxa"/>
            <w:vAlign w:val="bottom"/>
            <w:tcBorders>
              <w:right w:val="single" w:sz="8" w:color="0B2E44"/>
            </w:tcBorders>
            <w:shd w:val="clear" w:color="auto" w:fill="0B2E44"/>
          </w:tcPr>
          <w:p>
            <w:pPr>
              <w:spacing w:after="0"/>
              <w:rPr>
                <w:sz w:val="15"/>
                <w:szCs w:val="15"/>
                <w:color w:val="auto"/>
              </w:rPr>
            </w:pPr>
          </w:p>
        </w:tc>
        <w:tc>
          <w:tcPr>
            <w:tcW w:w="2180" w:type="dxa"/>
            <w:vAlign w:val="bottom"/>
            <w:tcBorders>
              <w:right w:val="single" w:sz="8" w:color="0B2E44"/>
            </w:tcBorders>
            <w:shd w:val="clear" w:color="auto" w:fill="0B2E44"/>
          </w:tcPr>
          <w:p>
            <w:pPr>
              <w:spacing w:after="0"/>
              <w:rPr>
                <w:sz w:val="15"/>
                <w:szCs w:val="15"/>
                <w:color w:val="auto"/>
              </w:rPr>
            </w:pPr>
          </w:p>
        </w:tc>
        <w:tc>
          <w:tcPr>
            <w:tcW w:w="2160" w:type="dxa"/>
            <w:vAlign w:val="bottom"/>
            <w:tcBorders>
              <w:right w:val="single" w:sz="8" w:color="FF4A6A"/>
            </w:tcBorders>
            <w:shd w:val="clear" w:color="auto" w:fill="0B2E44"/>
          </w:tcPr>
          <w:p>
            <w:pPr>
              <w:spacing w:after="0"/>
              <w:rPr>
                <w:sz w:val="15"/>
                <w:szCs w:val="15"/>
                <w:color w:val="auto"/>
              </w:rPr>
            </w:pPr>
          </w:p>
        </w:tc>
      </w:tr>
      <w:tr>
        <w:trPr>
          <w:trHeight w:val="101"/>
        </w:trPr>
        <w:tc>
          <w:tcPr>
            <w:tcW w:w="760" w:type="dxa"/>
            <w:vAlign w:val="bottom"/>
            <w:tcBorders>
              <w:right w:val="single" w:sz="8" w:color="FF4A6A"/>
            </w:tcBorders>
            <w:shd w:val="clear" w:color="auto" w:fill="0B2E44"/>
          </w:tcPr>
          <w:p>
            <w:pPr>
              <w:spacing w:after="0"/>
              <w:rPr>
                <w:sz w:val="8"/>
                <w:szCs w:val="8"/>
                <w:color w:val="auto"/>
              </w:rPr>
            </w:pPr>
          </w:p>
        </w:tc>
        <w:tc>
          <w:tcPr>
            <w:tcW w:w="320" w:type="dxa"/>
            <w:vAlign w:val="bottom"/>
            <w:tcBorders>
              <w:right w:val="single" w:sz="8" w:color="0B2E44"/>
            </w:tcBorders>
            <w:shd w:val="clear" w:color="auto" w:fill="0B2E44"/>
          </w:tcPr>
          <w:p>
            <w:pPr>
              <w:spacing w:after="0"/>
              <w:rPr>
                <w:sz w:val="8"/>
                <w:szCs w:val="8"/>
                <w:color w:val="auto"/>
              </w:rPr>
            </w:pPr>
          </w:p>
        </w:tc>
        <w:tc>
          <w:tcPr>
            <w:tcW w:w="300" w:type="dxa"/>
            <w:vAlign w:val="bottom"/>
            <w:tcBorders>
              <w:right w:val="single" w:sz="8" w:color="0B2E44"/>
            </w:tcBorders>
            <w:shd w:val="clear" w:color="auto" w:fill="0B2E44"/>
          </w:tcPr>
          <w:p>
            <w:pPr>
              <w:spacing w:after="0"/>
              <w:rPr>
                <w:sz w:val="8"/>
                <w:szCs w:val="8"/>
                <w:color w:val="auto"/>
              </w:rPr>
            </w:pPr>
          </w:p>
        </w:tc>
        <w:tc>
          <w:tcPr>
            <w:tcW w:w="2460" w:type="dxa"/>
            <w:vAlign w:val="bottom"/>
            <w:shd w:val="clear" w:color="auto" w:fill="0B2E44"/>
          </w:tcPr>
          <w:p>
            <w:pPr>
              <w:spacing w:after="0"/>
              <w:rPr>
                <w:sz w:val="8"/>
                <w:szCs w:val="8"/>
                <w:color w:val="auto"/>
              </w:rPr>
            </w:pPr>
          </w:p>
        </w:tc>
        <w:tc>
          <w:tcPr>
            <w:tcW w:w="1640" w:type="dxa"/>
            <w:vAlign w:val="bottom"/>
            <w:tcBorders>
              <w:right w:val="single" w:sz="8" w:color="0B2E44"/>
            </w:tcBorders>
            <w:shd w:val="clear" w:color="auto" w:fill="0B2E44"/>
          </w:tcPr>
          <w:p>
            <w:pPr>
              <w:spacing w:after="0"/>
              <w:rPr>
                <w:sz w:val="8"/>
                <w:szCs w:val="8"/>
                <w:color w:val="auto"/>
              </w:rPr>
            </w:pPr>
          </w:p>
        </w:tc>
        <w:tc>
          <w:tcPr>
            <w:tcW w:w="2180" w:type="dxa"/>
            <w:vAlign w:val="bottom"/>
            <w:tcBorders>
              <w:right w:val="single" w:sz="8" w:color="0B2E44"/>
            </w:tcBorders>
            <w:shd w:val="clear" w:color="auto" w:fill="0B2E44"/>
          </w:tcPr>
          <w:p>
            <w:pPr>
              <w:spacing w:after="0"/>
              <w:rPr>
                <w:sz w:val="8"/>
                <w:szCs w:val="8"/>
                <w:color w:val="auto"/>
              </w:rPr>
            </w:pPr>
          </w:p>
        </w:tc>
        <w:tc>
          <w:tcPr>
            <w:tcW w:w="2160" w:type="dxa"/>
            <w:vAlign w:val="bottom"/>
            <w:tcBorders>
              <w:right w:val="single" w:sz="8" w:color="FF4A6A"/>
            </w:tcBorders>
            <w:shd w:val="clear" w:color="auto" w:fill="0B2E44"/>
          </w:tcPr>
          <w:p>
            <w:pPr>
              <w:spacing w:after="0"/>
              <w:rPr>
                <w:sz w:val="8"/>
                <w:szCs w:val="8"/>
                <w:color w:val="auto"/>
              </w:rPr>
            </w:pPr>
          </w:p>
        </w:tc>
      </w:tr>
      <w:tr>
        <w:trPr>
          <w:trHeight w:val="262"/>
        </w:trPr>
        <w:tc>
          <w:tcPr>
            <w:tcW w:w="760" w:type="dxa"/>
            <w:vAlign w:val="bottom"/>
            <w:tcBorders>
              <w:right w:val="single" w:sz="8" w:color="FF4A6A"/>
            </w:tcBorders>
            <w:shd w:val="clear" w:color="auto" w:fill="0B2E44"/>
          </w:tcPr>
          <w:p>
            <w:pPr>
              <w:spacing w:after="0"/>
              <w:rPr>
                <w:sz w:val="22"/>
                <w:szCs w:val="22"/>
                <w:color w:val="auto"/>
              </w:rPr>
            </w:pPr>
          </w:p>
        </w:tc>
        <w:tc>
          <w:tcPr>
            <w:tcW w:w="320" w:type="dxa"/>
            <w:vAlign w:val="bottom"/>
            <w:tcBorders>
              <w:right w:val="single" w:sz="8" w:color="0B2E44"/>
            </w:tcBorders>
            <w:shd w:val="clear" w:color="auto" w:fill="DDE5ED"/>
          </w:tcPr>
          <w:p>
            <w:pPr>
              <w:spacing w:after="0"/>
              <w:rPr>
                <w:sz w:val="20"/>
                <w:szCs w:val="20"/>
                <w:color w:val="auto"/>
              </w:rPr>
            </w:pPr>
            <w:r>
              <w:rPr>
                <w:rFonts w:ascii="Arial" w:cs="Arial" w:eastAsia="Arial" w:hAnsi="Arial"/>
                <w:sz w:val="13"/>
                <w:szCs w:val="13"/>
                <w:b w:val="1"/>
                <w:bCs w:val="1"/>
                <w:color w:val="0B2E44"/>
              </w:rPr>
              <w:t>(1)</w:t>
            </w:r>
          </w:p>
        </w:tc>
        <w:tc>
          <w:tcPr>
            <w:tcW w:w="300" w:type="dxa"/>
            <w:vAlign w:val="bottom"/>
            <w:tcBorders>
              <w:right w:val="single" w:sz="8" w:color="0B2E44"/>
            </w:tcBorders>
            <w:shd w:val="clear" w:color="auto" w:fill="DDE5ED"/>
          </w:tcPr>
          <w:p>
            <w:pPr>
              <w:jc w:val="right"/>
              <w:ind w:right="57"/>
              <w:spacing w:after="0"/>
              <w:rPr>
                <w:sz w:val="20"/>
                <w:szCs w:val="20"/>
                <w:color w:val="auto"/>
              </w:rPr>
            </w:pPr>
            <w:r>
              <w:rPr>
                <w:rFonts w:ascii="Arial" w:cs="Arial" w:eastAsia="Arial" w:hAnsi="Arial"/>
                <w:sz w:val="13"/>
                <w:szCs w:val="13"/>
                <w:b w:val="1"/>
                <w:bCs w:val="1"/>
                <w:color w:val="0B2E44"/>
              </w:rPr>
              <w:t>(2)</w:t>
            </w:r>
          </w:p>
        </w:tc>
        <w:tc>
          <w:tcPr>
            <w:tcW w:w="2460" w:type="dxa"/>
            <w:vAlign w:val="bottom"/>
            <w:shd w:val="clear" w:color="auto" w:fill="DDE5ED"/>
          </w:tcPr>
          <w:p>
            <w:pPr>
              <w:spacing w:after="0"/>
              <w:rPr>
                <w:sz w:val="20"/>
                <w:szCs w:val="20"/>
                <w:color w:val="auto"/>
              </w:rPr>
            </w:pPr>
            <w:r>
              <w:rPr>
                <w:rFonts w:ascii="Arial" w:cs="Arial" w:eastAsia="Arial" w:hAnsi="Arial"/>
                <w:sz w:val="20"/>
                <w:szCs w:val="20"/>
                <w:color w:val="0B2E44"/>
              </w:rPr>
              <w:t>50%</w:t>
            </w:r>
          </w:p>
        </w:tc>
        <w:tc>
          <w:tcPr>
            <w:tcW w:w="1640" w:type="dxa"/>
            <w:vAlign w:val="bottom"/>
            <w:tcBorders>
              <w:right w:val="single" w:sz="8" w:color="0B2E44"/>
            </w:tcBorders>
            <w:shd w:val="clear" w:color="auto" w:fill="DDE5ED"/>
          </w:tcPr>
          <w:p>
            <w:pPr>
              <w:spacing w:after="0"/>
              <w:rPr>
                <w:sz w:val="22"/>
                <w:szCs w:val="22"/>
                <w:color w:val="auto"/>
              </w:rPr>
            </w:pPr>
          </w:p>
        </w:tc>
        <w:tc>
          <w:tcPr>
            <w:tcW w:w="2180" w:type="dxa"/>
            <w:vAlign w:val="bottom"/>
            <w:tcBorders>
              <w:right w:val="single" w:sz="8" w:color="0B2E44"/>
            </w:tcBorders>
            <w:shd w:val="clear" w:color="auto" w:fill="DDE5ED"/>
          </w:tcPr>
          <w:p>
            <w:pPr>
              <w:ind w:left="20"/>
              <w:spacing w:after="0"/>
              <w:rPr>
                <w:sz w:val="20"/>
                <w:szCs w:val="20"/>
                <w:color w:val="auto"/>
              </w:rPr>
            </w:pPr>
            <w:r>
              <w:rPr>
                <w:rFonts w:ascii="Arial" w:cs="Arial" w:eastAsia="Arial" w:hAnsi="Arial"/>
                <w:sz w:val="20"/>
                <w:szCs w:val="20"/>
                <w:color w:val="0B2E44"/>
              </w:rPr>
              <w:t>25%</w:t>
            </w:r>
          </w:p>
        </w:tc>
        <w:tc>
          <w:tcPr>
            <w:tcW w:w="2160" w:type="dxa"/>
            <w:vAlign w:val="bottom"/>
            <w:tcBorders>
              <w:right w:val="single" w:sz="8" w:color="FF4A6A"/>
            </w:tcBorders>
            <w:shd w:val="clear" w:color="auto" w:fill="DDE5ED"/>
          </w:tcPr>
          <w:p>
            <w:pPr>
              <w:spacing w:after="0"/>
              <w:rPr>
                <w:sz w:val="20"/>
                <w:szCs w:val="20"/>
                <w:color w:val="auto"/>
              </w:rPr>
            </w:pPr>
            <w:r>
              <w:rPr>
                <w:rFonts w:ascii="Arial" w:cs="Arial" w:eastAsia="Arial" w:hAnsi="Arial"/>
                <w:sz w:val="20"/>
                <w:szCs w:val="20"/>
                <w:color w:val="0B2E44"/>
              </w:rPr>
              <w:t>25%</w:t>
            </w:r>
          </w:p>
        </w:tc>
      </w:tr>
      <w:tr>
        <w:trPr>
          <w:trHeight w:val="198"/>
        </w:trPr>
        <w:tc>
          <w:tcPr>
            <w:tcW w:w="760" w:type="dxa"/>
            <w:vAlign w:val="bottom"/>
            <w:tcBorders>
              <w:right w:val="single" w:sz="8" w:color="FF4A6A"/>
            </w:tcBorders>
            <w:shd w:val="clear" w:color="auto" w:fill="0B2E44"/>
          </w:tcPr>
          <w:p>
            <w:pPr>
              <w:spacing w:after="0"/>
              <w:rPr>
                <w:sz w:val="17"/>
                <w:szCs w:val="17"/>
                <w:color w:val="auto"/>
              </w:rPr>
            </w:pPr>
          </w:p>
        </w:tc>
        <w:tc>
          <w:tcPr>
            <w:tcW w:w="320" w:type="dxa"/>
            <w:vAlign w:val="bottom"/>
            <w:tcBorders>
              <w:right w:val="single" w:sz="8" w:color="0B2E44"/>
            </w:tcBorders>
            <w:shd w:val="clear" w:color="auto" w:fill="DDE5ED"/>
          </w:tcPr>
          <w:p>
            <w:pPr>
              <w:spacing w:after="0"/>
              <w:rPr>
                <w:sz w:val="17"/>
                <w:szCs w:val="17"/>
                <w:color w:val="auto"/>
              </w:rPr>
            </w:pPr>
          </w:p>
        </w:tc>
        <w:tc>
          <w:tcPr>
            <w:tcW w:w="300" w:type="dxa"/>
            <w:vAlign w:val="bottom"/>
            <w:tcBorders>
              <w:right w:val="single" w:sz="8" w:color="0B2E44"/>
            </w:tcBorders>
            <w:shd w:val="clear" w:color="auto" w:fill="DDE5ED"/>
          </w:tcPr>
          <w:p>
            <w:pPr>
              <w:spacing w:after="0"/>
              <w:rPr>
                <w:sz w:val="17"/>
                <w:szCs w:val="17"/>
                <w:color w:val="auto"/>
              </w:rPr>
            </w:pPr>
          </w:p>
        </w:tc>
        <w:tc>
          <w:tcPr>
            <w:tcW w:w="2460" w:type="dxa"/>
            <w:vAlign w:val="bottom"/>
            <w:shd w:val="clear" w:color="auto" w:fill="DDE5ED"/>
          </w:tcPr>
          <w:p>
            <w:pPr>
              <w:spacing w:after="0"/>
              <w:rPr>
                <w:sz w:val="20"/>
                <w:szCs w:val="20"/>
                <w:color w:val="auto"/>
              </w:rPr>
            </w:pPr>
            <w:r>
              <w:rPr>
                <w:rFonts w:ascii="Arial" w:cs="Arial" w:eastAsia="Arial" w:hAnsi="Arial"/>
                <w:sz w:val="14"/>
                <w:szCs w:val="14"/>
                <w:color w:val="0B2E44"/>
              </w:rPr>
              <w:t>Time-based RSUs</w:t>
            </w:r>
          </w:p>
        </w:tc>
        <w:tc>
          <w:tcPr>
            <w:tcW w:w="1640" w:type="dxa"/>
            <w:vAlign w:val="bottom"/>
            <w:tcBorders>
              <w:right w:val="single" w:sz="8" w:color="0B2E44"/>
            </w:tcBorders>
            <w:shd w:val="clear" w:color="auto" w:fill="DDE5ED"/>
          </w:tcPr>
          <w:p>
            <w:pPr>
              <w:spacing w:after="0"/>
              <w:rPr>
                <w:sz w:val="17"/>
                <w:szCs w:val="17"/>
                <w:color w:val="auto"/>
              </w:rPr>
            </w:pPr>
          </w:p>
        </w:tc>
        <w:tc>
          <w:tcPr>
            <w:tcW w:w="2180" w:type="dxa"/>
            <w:vAlign w:val="bottom"/>
            <w:tcBorders>
              <w:right w:val="single" w:sz="8" w:color="0B2E44"/>
            </w:tcBorders>
            <w:shd w:val="clear" w:color="auto" w:fill="DDE5ED"/>
          </w:tcPr>
          <w:p>
            <w:pPr>
              <w:ind w:left="20"/>
              <w:spacing w:after="0"/>
              <w:rPr>
                <w:sz w:val="20"/>
                <w:szCs w:val="20"/>
                <w:color w:val="auto"/>
              </w:rPr>
            </w:pPr>
            <w:r>
              <w:rPr>
                <w:rFonts w:ascii="Arial" w:cs="Arial" w:eastAsia="Arial" w:hAnsi="Arial"/>
                <w:sz w:val="14"/>
                <w:szCs w:val="14"/>
                <w:color w:val="0B2E44"/>
              </w:rPr>
              <w:t>Financial PSUs</w:t>
            </w:r>
          </w:p>
        </w:tc>
        <w:tc>
          <w:tcPr>
            <w:tcW w:w="2160" w:type="dxa"/>
            <w:vAlign w:val="bottom"/>
            <w:tcBorders>
              <w:right w:val="single" w:sz="8" w:color="FF4A6A"/>
            </w:tcBorders>
            <w:shd w:val="clear" w:color="auto" w:fill="DDE5ED"/>
          </w:tcPr>
          <w:p>
            <w:pPr>
              <w:spacing w:after="0"/>
              <w:rPr>
                <w:sz w:val="20"/>
                <w:szCs w:val="20"/>
                <w:color w:val="auto"/>
              </w:rPr>
            </w:pPr>
            <w:r>
              <w:rPr>
                <w:rFonts w:ascii="Arial" w:cs="Arial" w:eastAsia="Arial" w:hAnsi="Arial"/>
                <w:sz w:val="14"/>
                <w:szCs w:val="14"/>
                <w:color w:val="0B2E44"/>
              </w:rPr>
              <w:t>Relative TSR PSUs</w:t>
            </w:r>
          </w:p>
        </w:tc>
      </w:tr>
      <w:tr>
        <w:trPr>
          <w:trHeight w:val="242"/>
        </w:trPr>
        <w:tc>
          <w:tcPr>
            <w:tcW w:w="760" w:type="dxa"/>
            <w:vAlign w:val="bottom"/>
            <w:tcBorders>
              <w:right w:val="single" w:sz="8" w:color="FF4A6A"/>
            </w:tcBorders>
            <w:shd w:val="clear" w:color="auto" w:fill="0B2E44"/>
          </w:tcPr>
          <w:p>
            <w:pPr>
              <w:spacing w:after="0"/>
              <w:rPr>
                <w:sz w:val="21"/>
                <w:szCs w:val="21"/>
                <w:color w:val="auto"/>
              </w:rPr>
            </w:pPr>
          </w:p>
        </w:tc>
        <w:tc>
          <w:tcPr>
            <w:tcW w:w="320" w:type="dxa"/>
            <w:vAlign w:val="bottom"/>
            <w:tcBorders>
              <w:right w:val="single" w:sz="8" w:color="0B2E44"/>
            </w:tcBorders>
            <w:shd w:val="clear" w:color="auto" w:fill="DDE5ED"/>
          </w:tcPr>
          <w:p>
            <w:pPr>
              <w:spacing w:after="0"/>
              <w:rPr>
                <w:sz w:val="21"/>
                <w:szCs w:val="21"/>
                <w:color w:val="auto"/>
              </w:rPr>
            </w:pPr>
          </w:p>
        </w:tc>
        <w:tc>
          <w:tcPr>
            <w:tcW w:w="300" w:type="dxa"/>
            <w:vAlign w:val="bottom"/>
            <w:tcBorders>
              <w:right w:val="single" w:sz="8" w:color="0B2E44"/>
            </w:tcBorders>
            <w:shd w:val="clear" w:color="auto" w:fill="DDE5ED"/>
          </w:tcPr>
          <w:p>
            <w:pPr>
              <w:spacing w:after="0"/>
              <w:rPr>
                <w:sz w:val="21"/>
                <w:szCs w:val="21"/>
                <w:color w:val="auto"/>
              </w:rPr>
            </w:pPr>
          </w:p>
        </w:tc>
        <w:tc>
          <w:tcPr>
            <w:tcW w:w="2460" w:type="dxa"/>
            <w:vAlign w:val="bottom"/>
            <w:shd w:val="clear" w:color="auto" w:fill="DDE5ED"/>
          </w:tcPr>
          <w:p>
            <w:pPr>
              <w:spacing w:after="0"/>
              <w:rPr>
                <w:sz w:val="21"/>
                <w:szCs w:val="21"/>
                <w:color w:val="auto"/>
              </w:rPr>
            </w:pPr>
          </w:p>
        </w:tc>
        <w:tc>
          <w:tcPr>
            <w:tcW w:w="1640" w:type="dxa"/>
            <w:vAlign w:val="bottom"/>
            <w:tcBorders>
              <w:right w:val="single" w:sz="8" w:color="0B2E44"/>
            </w:tcBorders>
            <w:shd w:val="clear" w:color="auto" w:fill="DDE5ED"/>
          </w:tcPr>
          <w:p>
            <w:pPr>
              <w:spacing w:after="0"/>
              <w:rPr>
                <w:sz w:val="21"/>
                <w:szCs w:val="21"/>
                <w:color w:val="auto"/>
              </w:rPr>
            </w:pPr>
          </w:p>
        </w:tc>
        <w:tc>
          <w:tcPr>
            <w:tcW w:w="2180" w:type="dxa"/>
            <w:vAlign w:val="bottom"/>
            <w:tcBorders>
              <w:right w:val="single" w:sz="8" w:color="0B2E44"/>
            </w:tcBorders>
            <w:shd w:val="clear" w:color="auto" w:fill="DDE5ED"/>
          </w:tcPr>
          <w:p>
            <w:pPr>
              <w:spacing w:after="0"/>
              <w:rPr>
                <w:sz w:val="21"/>
                <w:szCs w:val="21"/>
                <w:color w:val="auto"/>
              </w:rPr>
            </w:pPr>
          </w:p>
        </w:tc>
        <w:tc>
          <w:tcPr>
            <w:tcW w:w="2160" w:type="dxa"/>
            <w:vAlign w:val="bottom"/>
            <w:tcBorders>
              <w:right w:val="single" w:sz="8" w:color="FF4A6A"/>
            </w:tcBorders>
            <w:shd w:val="clear" w:color="auto" w:fill="DDE5ED"/>
          </w:tcPr>
          <w:p>
            <w:pPr>
              <w:spacing w:after="0"/>
              <w:rPr>
                <w:sz w:val="21"/>
                <w:szCs w:val="21"/>
                <w:color w:val="auto"/>
              </w:rPr>
            </w:pPr>
          </w:p>
        </w:tc>
      </w:tr>
      <w:tr>
        <w:trPr>
          <w:trHeight w:val="270"/>
        </w:trPr>
        <w:tc>
          <w:tcPr>
            <w:tcW w:w="760" w:type="dxa"/>
            <w:vAlign w:val="bottom"/>
            <w:tcBorders>
              <w:right w:val="single" w:sz="8" w:color="FF4A6A"/>
            </w:tcBorders>
          </w:tcPr>
          <w:p>
            <w:pPr>
              <w:spacing w:after="0"/>
              <w:rPr>
                <w:sz w:val="23"/>
                <w:szCs w:val="23"/>
                <w:color w:val="auto"/>
              </w:rPr>
            </w:pPr>
          </w:p>
        </w:tc>
        <w:tc>
          <w:tcPr>
            <w:tcW w:w="320" w:type="dxa"/>
            <w:vAlign w:val="bottom"/>
            <w:tcBorders>
              <w:bottom w:val="single" w:sz="8" w:color="0B2E44"/>
            </w:tcBorders>
          </w:tcPr>
          <w:p>
            <w:pPr>
              <w:spacing w:after="0"/>
              <w:rPr>
                <w:sz w:val="23"/>
                <w:szCs w:val="23"/>
                <w:color w:val="auto"/>
              </w:rPr>
            </w:pPr>
          </w:p>
        </w:tc>
        <w:tc>
          <w:tcPr>
            <w:tcW w:w="300" w:type="dxa"/>
            <w:vAlign w:val="bottom"/>
            <w:tcBorders>
              <w:bottom w:val="single" w:sz="8" w:color="0B2E44"/>
            </w:tcBorders>
          </w:tcPr>
          <w:p>
            <w:pPr>
              <w:spacing w:after="0"/>
              <w:rPr>
                <w:sz w:val="23"/>
                <w:szCs w:val="23"/>
                <w:color w:val="auto"/>
              </w:rPr>
            </w:pPr>
          </w:p>
        </w:tc>
        <w:tc>
          <w:tcPr>
            <w:tcW w:w="2460" w:type="dxa"/>
            <w:vAlign w:val="bottom"/>
            <w:tcBorders>
              <w:bottom w:val="single" w:sz="8" w:color="0B2E44"/>
            </w:tcBorders>
          </w:tcPr>
          <w:p>
            <w:pPr>
              <w:spacing w:after="0"/>
              <w:rPr>
                <w:sz w:val="23"/>
                <w:szCs w:val="23"/>
                <w:color w:val="auto"/>
              </w:rPr>
            </w:pPr>
          </w:p>
        </w:tc>
        <w:tc>
          <w:tcPr>
            <w:tcW w:w="3820" w:type="dxa"/>
            <w:vAlign w:val="bottom"/>
            <w:tcBorders>
              <w:bottom w:val="single" w:sz="8" w:color="0B2E44"/>
            </w:tcBorders>
            <w:gridSpan w:val="2"/>
          </w:tcPr>
          <w:p>
            <w:pPr>
              <w:ind w:left="680"/>
              <w:spacing w:after="0"/>
              <w:rPr>
                <w:sz w:val="20"/>
                <w:szCs w:val="20"/>
                <w:color w:val="auto"/>
              </w:rPr>
            </w:pPr>
            <w:r>
              <w:rPr>
                <w:rFonts w:ascii="Arial" w:cs="Arial" w:eastAsia="Arial" w:hAnsi="Arial"/>
                <w:sz w:val="22"/>
                <w:szCs w:val="22"/>
                <w:b w:val="1"/>
                <w:bCs w:val="1"/>
                <w:color w:val="0B2E44"/>
              </w:rPr>
              <w:t xml:space="preserve">94% </w:t>
            </w:r>
            <w:r>
              <w:rPr>
                <w:rFonts w:ascii="Arial" w:cs="Arial" w:eastAsia="Arial" w:hAnsi="Arial"/>
                <w:sz w:val="19"/>
                <w:szCs w:val="19"/>
                <w:color w:val="0B2E44"/>
              </w:rPr>
              <w:t>At Risk Pay</w:t>
            </w:r>
          </w:p>
        </w:tc>
        <w:tc>
          <w:tcPr>
            <w:tcW w:w="2160" w:type="dxa"/>
            <w:vAlign w:val="bottom"/>
            <w:tcBorders>
              <w:bottom w:val="single" w:sz="8" w:color="0B2E44"/>
              <w:right w:val="single" w:sz="8" w:color="FF4A6A"/>
            </w:tcBorders>
          </w:tcPr>
          <w:p>
            <w:pPr>
              <w:spacing w:after="0"/>
              <w:rPr>
                <w:sz w:val="23"/>
                <w:szCs w:val="23"/>
                <w:color w:val="auto"/>
              </w:rPr>
            </w:pPr>
          </w:p>
        </w:tc>
      </w:tr>
    </w:tbl>
    <w:p>
      <w:pPr>
        <w:spacing w:after="0" w:line="229"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3"/>
          <w:szCs w:val="13"/>
          <w:color w:val="0B2E44"/>
        </w:rPr>
      </w:pPr>
      <w:r>
        <w:rPr>
          <w:rFonts w:ascii="Arial" w:cs="Arial" w:eastAsia="Arial" w:hAnsi="Arial"/>
          <w:sz w:val="13"/>
          <w:szCs w:val="13"/>
          <w:color w:val="0B2E44"/>
        </w:rPr>
        <w:t>60% Revenue.</w:t>
      </w:r>
    </w:p>
    <w:p>
      <w:pPr>
        <w:spacing w:after="0" w:line="12" w:lineRule="exact"/>
        <w:rPr>
          <w:rFonts w:ascii="Arial" w:cs="Arial" w:eastAsia="Arial" w:hAnsi="Arial"/>
          <w:sz w:val="13"/>
          <w:szCs w:val="13"/>
          <w:color w:val="0B2E44"/>
        </w:rPr>
      </w:pPr>
    </w:p>
    <w:p>
      <w:pPr>
        <w:ind w:left="900" w:hanging="244"/>
        <w:spacing w:after="0"/>
        <w:tabs>
          <w:tab w:leader="none" w:pos="900" w:val="left"/>
        </w:tabs>
        <w:numPr>
          <w:ilvl w:val="0"/>
          <w:numId w:val="9"/>
        </w:numPr>
        <w:rPr>
          <w:rFonts w:ascii="Arial" w:cs="Arial" w:eastAsia="Arial" w:hAnsi="Arial"/>
          <w:sz w:val="13"/>
          <w:szCs w:val="13"/>
          <w:color w:val="0B2E44"/>
        </w:rPr>
      </w:pPr>
      <w:r>
        <w:rPr>
          <w:rFonts w:ascii="Arial" w:cs="Arial" w:eastAsia="Arial" w:hAnsi="Arial"/>
          <w:sz w:val="13"/>
          <w:szCs w:val="13"/>
          <w:color w:val="0B2E44"/>
        </w:rPr>
        <w:t>40% Non-GAAP EBIT.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B2E44"/>
        </w:rPr>
        <w:t>NEO Compensation Pay Mi</w:t>
      </w:r>
      <w:r>
        <w:rPr>
          <w:rFonts w:ascii="Arial" w:cs="Arial" w:eastAsia="Arial" w:hAnsi="Arial"/>
          <w:sz w:val="16"/>
          <w:szCs w:val="16"/>
          <w:b w:val="1"/>
          <w:bCs w:val="1"/>
          <w:color w:val="0B2E44"/>
        </w:rPr>
        <w:t>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148590</wp:posOffset>
            </wp:positionV>
            <wp:extent cx="8890" cy="471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471805"/>
                    </a:xfrm>
                    <a:prstGeom prst="rect">
                      <a:avLst/>
                    </a:prstGeom>
                    <a:noFill/>
                  </pic:spPr>
                </pic:pic>
              </a:graphicData>
            </a:graphic>
          </wp:anchor>
        </w:drawing>
      </w:r>
    </w:p>
    <w:p>
      <w:pPr>
        <w:spacing w:after="0" w:line="214"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1500" w:type="dxa"/>
            <w:vAlign w:val="bottom"/>
            <w:tcBorders>
              <w:right w:val="single" w:sz="8" w:color="FF4A6A"/>
            </w:tcBorders>
            <w:shd w:val="clear" w:color="auto" w:fill="0B2E44"/>
          </w:tcPr>
          <w:p>
            <w:pPr>
              <w:ind w:left="20"/>
              <w:spacing w:after="0"/>
              <w:rPr>
                <w:sz w:val="20"/>
                <w:szCs w:val="20"/>
                <w:color w:val="auto"/>
              </w:rPr>
            </w:pPr>
            <w:r>
              <w:rPr>
                <w:rFonts w:ascii="Arial" w:cs="Arial" w:eastAsia="Arial" w:hAnsi="Arial"/>
                <w:sz w:val="20"/>
                <w:szCs w:val="20"/>
                <w:color w:val="FFFFFF"/>
              </w:rPr>
              <w:t>14%</w:t>
            </w:r>
          </w:p>
        </w:tc>
        <w:tc>
          <w:tcPr>
            <w:tcW w:w="740" w:type="dxa"/>
            <w:vAlign w:val="bottom"/>
            <w:tcBorders>
              <w:right w:val="single" w:sz="8" w:color="0B2E44"/>
            </w:tcBorders>
            <w:shd w:val="clear" w:color="auto" w:fill="0B2E44"/>
          </w:tcPr>
          <w:p>
            <w:pPr>
              <w:ind w:left="20"/>
              <w:spacing w:after="0"/>
              <w:rPr>
                <w:sz w:val="20"/>
                <w:szCs w:val="20"/>
                <w:color w:val="auto"/>
              </w:rPr>
            </w:pPr>
            <w:r>
              <w:rPr>
                <w:rFonts w:ascii="Arial" w:cs="Arial" w:eastAsia="Arial" w:hAnsi="Arial"/>
                <w:sz w:val="20"/>
                <w:szCs w:val="20"/>
                <w:color w:val="FFFFFF"/>
              </w:rPr>
              <w:t>9%</w:t>
            </w:r>
          </w:p>
        </w:tc>
        <w:tc>
          <w:tcPr>
            <w:tcW w:w="580" w:type="dxa"/>
            <w:vAlign w:val="bottom"/>
            <w:tcBorders>
              <w:right w:val="single" w:sz="8" w:color="0B2E44"/>
            </w:tcBorders>
            <w:shd w:val="clear" w:color="auto" w:fill="0B2E44"/>
          </w:tcPr>
          <w:p>
            <w:pPr>
              <w:spacing w:after="0"/>
              <w:rPr>
                <w:sz w:val="22"/>
                <w:szCs w:val="22"/>
                <w:color w:val="auto"/>
              </w:rPr>
            </w:pPr>
          </w:p>
        </w:tc>
        <w:tc>
          <w:tcPr>
            <w:tcW w:w="1940" w:type="dxa"/>
            <w:vAlign w:val="bottom"/>
            <w:shd w:val="clear" w:color="auto" w:fill="0B2E44"/>
          </w:tcPr>
          <w:p>
            <w:pPr>
              <w:spacing w:after="0"/>
              <w:rPr>
                <w:sz w:val="20"/>
                <w:szCs w:val="20"/>
                <w:color w:val="auto"/>
              </w:rPr>
            </w:pPr>
            <w:r>
              <w:rPr>
                <w:rFonts w:ascii="Arial" w:cs="Arial" w:eastAsia="Arial" w:hAnsi="Arial"/>
                <w:sz w:val="20"/>
                <w:szCs w:val="20"/>
                <w:color w:val="FFFFFF"/>
              </w:rPr>
              <w:t>77%</w:t>
            </w:r>
          </w:p>
        </w:tc>
        <w:tc>
          <w:tcPr>
            <w:tcW w:w="1560" w:type="dxa"/>
            <w:vAlign w:val="bottom"/>
            <w:tcBorders>
              <w:right w:val="single" w:sz="8" w:color="0B2E44"/>
            </w:tcBorders>
            <w:shd w:val="clear" w:color="auto" w:fill="0B2E44"/>
          </w:tcPr>
          <w:p>
            <w:pPr>
              <w:spacing w:after="0"/>
              <w:rPr>
                <w:sz w:val="22"/>
                <w:szCs w:val="22"/>
                <w:color w:val="auto"/>
              </w:rPr>
            </w:pPr>
          </w:p>
        </w:tc>
        <w:tc>
          <w:tcPr>
            <w:tcW w:w="1780" w:type="dxa"/>
            <w:vAlign w:val="bottom"/>
            <w:tcBorders>
              <w:right w:val="single" w:sz="8" w:color="0B2E44"/>
            </w:tcBorders>
            <w:shd w:val="clear" w:color="auto" w:fill="0B2E44"/>
          </w:tcPr>
          <w:p>
            <w:pPr>
              <w:spacing w:after="0"/>
              <w:rPr>
                <w:sz w:val="22"/>
                <w:szCs w:val="22"/>
                <w:color w:val="auto"/>
              </w:rPr>
            </w:pPr>
          </w:p>
        </w:tc>
        <w:tc>
          <w:tcPr>
            <w:tcW w:w="1800" w:type="dxa"/>
            <w:vAlign w:val="bottom"/>
            <w:tcBorders>
              <w:right w:val="single" w:sz="8" w:color="FF4A6A"/>
            </w:tcBorders>
            <w:shd w:val="clear" w:color="auto" w:fill="0B2E44"/>
          </w:tcPr>
          <w:p>
            <w:pPr>
              <w:spacing w:after="0"/>
              <w:rPr>
                <w:sz w:val="22"/>
                <w:szCs w:val="22"/>
                <w:color w:val="auto"/>
              </w:rPr>
            </w:pPr>
          </w:p>
        </w:tc>
      </w:tr>
      <w:tr>
        <w:trPr>
          <w:trHeight w:val="148"/>
        </w:trPr>
        <w:tc>
          <w:tcPr>
            <w:tcW w:w="1500" w:type="dxa"/>
            <w:vAlign w:val="bottom"/>
            <w:tcBorders>
              <w:right w:val="single" w:sz="8" w:color="FF4A6A"/>
            </w:tcBorders>
            <w:shd w:val="clear" w:color="auto" w:fill="0B2E44"/>
          </w:tcPr>
          <w:p>
            <w:pPr>
              <w:ind w:left="20"/>
              <w:spacing w:after="0" w:line="149" w:lineRule="exact"/>
              <w:rPr>
                <w:sz w:val="20"/>
                <w:szCs w:val="20"/>
                <w:color w:val="auto"/>
              </w:rPr>
            </w:pPr>
            <w:r>
              <w:rPr>
                <w:rFonts w:ascii="Arial" w:cs="Arial" w:eastAsia="Arial" w:hAnsi="Arial"/>
                <w:sz w:val="14"/>
                <w:szCs w:val="14"/>
                <w:color w:val="FFFFFF"/>
              </w:rPr>
              <w:t>Base Salary</w:t>
            </w:r>
          </w:p>
        </w:tc>
        <w:tc>
          <w:tcPr>
            <w:tcW w:w="1320" w:type="dxa"/>
            <w:vAlign w:val="bottom"/>
            <w:tcBorders>
              <w:right w:val="single" w:sz="8" w:color="0B2E44"/>
            </w:tcBorders>
            <w:gridSpan w:val="2"/>
            <w:shd w:val="clear" w:color="auto" w:fill="0B2E44"/>
          </w:tcPr>
          <w:p>
            <w:pPr>
              <w:ind w:left="20"/>
              <w:spacing w:after="0" w:line="149" w:lineRule="exact"/>
              <w:rPr>
                <w:sz w:val="20"/>
                <w:szCs w:val="20"/>
                <w:color w:val="auto"/>
              </w:rPr>
            </w:pPr>
            <w:r>
              <w:rPr>
                <w:rFonts w:ascii="Arial" w:cs="Arial" w:eastAsia="Arial" w:hAnsi="Arial"/>
                <w:sz w:val="14"/>
                <w:szCs w:val="14"/>
                <w:color w:val="FFFFFF"/>
              </w:rPr>
              <w:t>Cash Performance</w:t>
            </w:r>
          </w:p>
        </w:tc>
        <w:tc>
          <w:tcPr>
            <w:tcW w:w="1940" w:type="dxa"/>
            <w:vAlign w:val="bottom"/>
            <w:shd w:val="clear" w:color="auto" w:fill="0B2E44"/>
          </w:tcPr>
          <w:p>
            <w:pPr>
              <w:spacing w:after="0" w:line="149" w:lineRule="exact"/>
              <w:rPr>
                <w:sz w:val="20"/>
                <w:szCs w:val="20"/>
                <w:color w:val="auto"/>
              </w:rPr>
            </w:pPr>
            <w:r>
              <w:rPr>
                <w:rFonts w:ascii="Arial" w:cs="Arial" w:eastAsia="Arial" w:hAnsi="Arial"/>
                <w:sz w:val="14"/>
                <w:szCs w:val="14"/>
                <w:color w:val="FFFFFF"/>
              </w:rPr>
              <w:t>Equity Performance Awards</w:t>
            </w:r>
          </w:p>
        </w:tc>
        <w:tc>
          <w:tcPr>
            <w:tcW w:w="1560" w:type="dxa"/>
            <w:vAlign w:val="bottom"/>
            <w:tcBorders>
              <w:right w:val="single" w:sz="8" w:color="0B2E44"/>
            </w:tcBorders>
            <w:shd w:val="clear" w:color="auto" w:fill="0B2E44"/>
          </w:tcPr>
          <w:p>
            <w:pPr>
              <w:spacing w:after="0"/>
              <w:rPr>
                <w:sz w:val="12"/>
                <w:szCs w:val="12"/>
                <w:color w:val="auto"/>
              </w:rPr>
            </w:pPr>
          </w:p>
        </w:tc>
        <w:tc>
          <w:tcPr>
            <w:tcW w:w="1780" w:type="dxa"/>
            <w:vAlign w:val="bottom"/>
            <w:tcBorders>
              <w:right w:val="single" w:sz="8" w:color="0B2E44"/>
            </w:tcBorders>
            <w:shd w:val="clear" w:color="auto" w:fill="0B2E44"/>
          </w:tcPr>
          <w:p>
            <w:pPr>
              <w:spacing w:after="0"/>
              <w:rPr>
                <w:sz w:val="12"/>
                <w:szCs w:val="12"/>
                <w:color w:val="auto"/>
              </w:rPr>
            </w:pPr>
          </w:p>
        </w:tc>
        <w:tc>
          <w:tcPr>
            <w:tcW w:w="1800" w:type="dxa"/>
            <w:vAlign w:val="bottom"/>
            <w:tcBorders>
              <w:right w:val="single" w:sz="8" w:color="FF4A6A"/>
            </w:tcBorders>
            <w:shd w:val="clear" w:color="auto" w:fill="0B2E44"/>
          </w:tcPr>
          <w:p>
            <w:pPr>
              <w:spacing w:after="0"/>
              <w:rPr>
                <w:sz w:val="12"/>
                <w:szCs w:val="12"/>
                <w:color w:val="auto"/>
              </w:rPr>
            </w:pPr>
          </w:p>
        </w:tc>
      </w:tr>
      <w:tr>
        <w:trPr>
          <w:trHeight w:val="182"/>
        </w:trPr>
        <w:tc>
          <w:tcPr>
            <w:tcW w:w="1500" w:type="dxa"/>
            <w:vAlign w:val="bottom"/>
            <w:tcBorders>
              <w:right w:val="single" w:sz="8" w:color="FF4A6A"/>
            </w:tcBorders>
            <w:shd w:val="clear" w:color="auto" w:fill="0B2E44"/>
          </w:tcPr>
          <w:p>
            <w:pPr>
              <w:spacing w:after="0"/>
              <w:rPr>
                <w:sz w:val="15"/>
                <w:szCs w:val="15"/>
                <w:color w:val="auto"/>
              </w:rPr>
            </w:pPr>
          </w:p>
        </w:tc>
        <w:tc>
          <w:tcPr>
            <w:tcW w:w="740" w:type="dxa"/>
            <w:vAlign w:val="bottom"/>
            <w:tcBorders>
              <w:right w:val="single" w:sz="8" w:color="0B2E44"/>
            </w:tcBorders>
            <w:shd w:val="clear" w:color="auto" w:fill="0B2E44"/>
          </w:tcPr>
          <w:p>
            <w:pPr>
              <w:ind w:left="20"/>
              <w:spacing w:after="0"/>
              <w:rPr>
                <w:sz w:val="20"/>
                <w:szCs w:val="20"/>
                <w:color w:val="auto"/>
              </w:rPr>
            </w:pPr>
            <w:r>
              <w:rPr>
                <w:rFonts w:ascii="Arial" w:cs="Arial" w:eastAsia="Arial" w:hAnsi="Arial"/>
                <w:sz w:val="14"/>
                <w:szCs w:val="14"/>
                <w:color w:val="FFFFFF"/>
              </w:rPr>
              <w:t>Bonus</w:t>
            </w:r>
          </w:p>
        </w:tc>
        <w:tc>
          <w:tcPr>
            <w:tcW w:w="580" w:type="dxa"/>
            <w:vAlign w:val="bottom"/>
            <w:tcBorders>
              <w:right w:val="single" w:sz="8" w:color="0B2E44"/>
            </w:tcBorders>
            <w:shd w:val="clear" w:color="auto" w:fill="0B2E44"/>
          </w:tcPr>
          <w:p>
            <w:pPr>
              <w:spacing w:after="0"/>
              <w:rPr>
                <w:sz w:val="15"/>
                <w:szCs w:val="15"/>
                <w:color w:val="auto"/>
              </w:rPr>
            </w:pPr>
          </w:p>
        </w:tc>
        <w:tc>
          <w:tcPr>
            <w:tcW w:w="1940" w:type="dxa"/>
            <w:vAlign w:val="bottom"/>
            <w:shd w:val="clear" w:color="auto" w:fill="0B2E44"/>
          </w:tcPr>
          <w:p>
            <w:pPr>
              <w:spacing w:after="0"/>
              <w:rPr>
                <w:sz w:val="15"/>
                <w:szCs w:val="15"/>
                <w:color w:val="auto"/>
              </w:rPr>
            </w:pPr>
          </w:p>
        </w:tc>
        <w:tc>
          <w:tcPr>
            <w:tcW w:w="1560" w:type="dxa"/>
            <w:vAlign w:val="bottom"/>
            <w:tcBorders>
              <w:right w:val="single" w:sz="8" w:color="0B2E44"/>
            </w:tcBorders>
            <w:shd w:val="clear" w:color="auto" w:fill="0B2E44"/>
          </w:tcPr>
          <w:p>
            <w:pPr>
              <w:spacing w:after="0"/>
              <w:rPr>
                <w:sz w:val="15"/>
                <w:szCs w:val="15"/>
                <w:color w:val="auto"/>
              </w:rPr>
            </w:pPr>
          </w:p>
        </w:tc>
        <w:tc>
          <w:tcPr>
            <w:tcW w:w="1780" w:type="dxa"/>
            <w:vAlign w:val="bottom"/>
            <w:tcBorders>
              <w:right w:val="single" w:sz="8" w:color="0B2E44"/>
            </w:tcBorders>
            <w:shd w:val="clear" w:color="auto" w:fill="0B2E44"/>
          </w:tcPr>
          <w:p>
            <w:pPr>
              <w:spacing w:after="0"/>
              <w:rPr>
                <w:sz w:val="15"/>
                <w:szCs w:val="15"/>
                <w:color w:val="auto"/>
              </w:rPr>
            </w:pPr>
          </w:p>
        </w:tc>
        <w:tc>
          <w:tcPr>
            <w:tcW w:w="1800" w:type="dxa"/>
            <w:vAlign w:val="bottom"/>
            <w:tcBorders>
              <w:right w:val="single" w:sz="8" w:color="FF4A6A"/>
            </w:tcBorders>
            <w:shd w:val="clear" w:color="auto" w:fill="0B2E44"/>
          </w:tcPr>
          <w:p>
            <w:pPr>
              <w:spacing w:after="0"/>
              <w:rPr>
                <w:sz w:val="15"/>
                <w:szCs w:val="15"/>
                <w:color w:val="auto"/>
              </w:rPr>
            </w:pPr>
          </w:p>
        </w:tc>
      </w:tr>
      <w:tr>
        <w:trPr>
          <w:trHeight w:val="155"/>
        </w:trPr>
        <w:tc>
          <w:tcPr>
            <w:tcW w:w="1500" w:type="dxa"/>
            <w:vAlign w:val="bottom"/>
            <w:tcBorders>
              <w:right w:val="single" w:sz="8" w:color="FF4A6A"/>
            </w:tcBorders>
            <w:shd w:val="clear" w:color="auto" w:fill="0B2E44"/>
          </w:tcPr>
          <w:p>
            <w:pPr>
              <w:spacing w:after="0"/>
              <w:rPr>
                <w:sz w:val="13"/>
                <w:szCs w:val="13"/>
                <w:color w:val="auto"/>
              </w:rPr>
            </w:pPr>
          </w:p>
        </w:tc>
        <w:tc>
          <w:tcPr>
            <w:tcW w:w="740" w:type="dxa"/>
            <w:vAlign w:val="bottom"/>
            <w:tcBorders>
              <w:right w:val="single" w:sz="8" w:color="0B2E44"/>
            </w:tcBorders>
            <w:shd w:val="clear" w:color="auto" w:fill="0B2E44"/>
          </w:tcPr>
          <w:p>
            <w:pPr>
              <w:spacing w:after="0"/>
              <w:rPr>
                <w:sz w:val="13"/>
                <w:szCs w:val="13"/>
                <w:color w:val="auto"/>
              </w:rPr>
            </w:pPr>
          </w:p>
        </w:tc>
        <w:tc>
          <w:tcPr>
            <w:tcW w:w="580" w:type="dxa"/>
            <w:vAlign w:val="bottom"/>
            <w:tcBorders>
              <w:right w:val="single" w:sz="8" w:color="0B2E44"/>
            </w:tcBorders>
            <w:shd w:val="clear" w:color="auto" w:fill="0B2E44"/>
          </w:tcPr>
          <w:p>
            <w:pPr>
              <w:spacing w:after="0"/>
              <w:rPr>
                <w:sz w:val="13"/>
                <w:szCs w:val="13"/>
                <w:color w:val="auto"/>
              </w:rPr>
            </w:pPr>
          </w:p>
        </w:tc>
        <w:tc>
          <w:tcPr>
            <w:tcW w:w="1940" w:type="dxa"/>
            <w:vAlign w:val="bottom"/>
            <w:shd w:val="clear" w:color="auto" w:fill="0B2E44"/>
          </w:tcPr>
          <w:p>
            <w:pPr>
              <w:spacing w:after="0"/>
              <w:rPr>
                <w:sz w:val="13"/>
                <w:szCs w:val="13"/>
                <w:color w:val="auto"/>
              </w:rPr>
            </w:pPr>
          </w:p>
        </w:tc>
        <w:tc>
          <w:tcPr>
            <w:tcW w:w="1560" w:type="dxa"/>
            <w:vAlign w:val="bottom"/>
            <w:tcBorders>
              <w:right w:val="single" w:sz="8" w:color="0B2E44"/>
            </w:tcBorders>
            <w:shd w:val="clear" w:color="auto" w:fill="0B2E44"/>
          </w:tcPr>
          <w:p>
            <w:pPr>
              <w:spacing w:after="0"/>
              <w:rPr>
                <w:sz w:val="13"/>
                <w:szCs w:val="13"/>
                <w:color w:val="auto"/>
              </w:rPr>
            </w:pPr>
          </w:p>
        </w:tc>
        <w:tc>
          <w:tcPr>
            <w:tcW w:w="1780" w:type="dxa"/>
            <w:vAlign w:val="bottom"/>
            <w:tcBorders>
              <w:right w:val="single" w:sz="8" w:color="0B2E44"/>
            </w:tcBorders>
            <w:shd w:val="clear" w:color="auto" w:fill="0B2E44"/>
          </w:tcPr>
          <w:p>
            <w:pPr>
              <w:spacing w:after="0"/>
              <w:rPr>
                <w:sz w:val="13"/>
                <w:szCs w:val="13"/>
                <w:color w:val="auto"/>
              </w:rPr>
            </w:pPr>
          </w:p>
        </w:tc>
        <w:tc>
          <w:tcPr>
            <w:tcW w:w="1800" w:type="dxa"/>
            <w:vAlign w:val="bottom"/>
            <w:tcBorders>
              <w:right w:val="single" w:sz="8" w:color="FF4A6A"/>
            </w:tcBorders>
            <w:shd w:val="clear" w:color="auto" w:fill="0B2E44"/>
          </w:tcPr>
          <w:p>
            <w:pPr>
              <w:spacing w:after="0"/>
              <w:rPr>
                <w:sz w:val="13"/>
                <w:szCs w:val="13"/>
                <w:color w:val="auto"/>
              </w:rPr>
            </w:pPr>
          </w:p>
        </w:tc>
      </w:tr>
      <w:tr>
        <w:trPr>
          <w:trHeight w:val="260"/>
        </w:trPr>
        <w:tc>
          <w:tcPr>
            <w:tcW w:w="1500" w:type="dxa"/>
            <w:vAlign w:val="bottom"/>
            <w:tcBorders>
              <w:right w:val="single" w:sz="8" w:color="FF4A6A"/>
            </w:tcBorders>
            <w:shd w:val="clear" w:color="auto" w:fill="0B2E44"/>
          </w:tcPr>
          <w:p>
            <w:pPr>
              <w:spacing w:after="0"/>
              <w:rPr>
                <w:sz w:val="22"/>
                <w:szCs w:val="22"/>
                <w:color w:val="auto"/>
              </w:rPr>
            </w:pPr>
          </w:p>
        </w:tc>
        <w:tc>
          <w:tcPr>
            <w:tcW w:w="740" w:type="dxa"/>
            <w:vAlign w:val="bottom"/>
            <w:tcBorders>
              <w:right w:val="single" w:sz="8" w:color="0B2E44"/>
            </w:tcBorders>
            <w:shd w:val="clear" w:color="auto" w:fill="DDE5ED"/>
          </w:tcPr>
          <w:p>
            <w:pPr>
              <w:ind w:left="20"/>
              <w:spacing w:after="0"/>
              <w:rPr>
                <w:sz w:val="20"/>
                <w:szCs w:val="20"/>
                <w:color w:val="auto"/>
              </w:rPr>
            </w:pPr>
            <w:r>
              <w:rPr>
                <w:rFonts w:ascii="Arial" w:cs="Arial" w:eastAsia="Arial" w:hAnsi="Arial"/>
                <w:sz w:val="20"/>
                <w:szCs w:val="20"/>
                <w:color w:val="0B2E44"/>
              </w:rPr>
              <w:t>60%</w:t>
            </w:r>
          </w:p>
        </w:tc>
        <w:tc>
          <w:tcPr>
            <w:tcW w:w="580" w:type="dxa"/>
            <w:vAlign w:val="bottom"/>
            <w:tcBorders>
              <w:right w:val="single" w:sz="8" w:color="0B2E44"/>
            </w:tcBorders>
            <w:shd w:val="clear" w:color="auto" w:fill="DDE5ED"/>
          </w:tcPr>
          <w:p>
            <w:pPr>
              <w:spacing w:after="0"/>
              <w:rPr>
                <w:sz w:val="20"/>
                <w:szCs w:val="20"/>
                <w:color w:val="auto"/>
              </w:rPr>
            </w:pPr>
            <w:r>
              <w:rPr>
                <w:rFonts w:ascii="Arial" w:cs="Arial" w:eastAsia="Arial" w:hAnsi="Arial"/>
                <w:sz w:val="20"/>
                <w:szCs w:val="20"/>
                <w:color w:val="0B2E44"/>
              </w:rPr>
              <w:t>40%</w:t>
            </w:r>
          </w:p>
        </w:tc>
        <w:tc>
          <w:tcPr>
            <w:tcW w:w="1940" w:type="dxa"/>
            <w:vAlign w:val="bottom"/>
            <w:shd w:val="clear" w:color="auto" w:fill="DDE5ED"/>
          </w:tcPr>
          <w:p>
            <w:pPr>
              <w:spacing w:after="0"/>
              <w:rPr>
                <w:sz w:val="20"/>
                <w:szCs w:val="20"/>
                <w:color w:val="auto"/>
              </w:rPr>
            </w:pPr>
            <w:r>
              <w:rPr>
                <w:rFonts w:ascii="Arial" w:cs="Arial" w:eastAsia="Arial" w:hAnsi="Arial"/>
                <w:sz w:val="20"/>
                <w:szCs w:val="20"/>
                <w:color w:val="0B2E44"/>
              </w:rPr>
              <w:t>50%</w:t>
            </w:r>
          </w:p>
        </w:tc>
        <w:tc>
          <w:tcPr>
            <w:tcW w:w="1560" w:type="dxa"/>
            <w:vAlign w:val="bottom"/>
            <w:tcBorders>
              <w:right w:val="single" w:sz="8" w:color="0B2E44"/>
            </w:tcBorders>
            <w:shd w:val="clear" w:color="auto" w:fill="DDE5ED"/>
          </w:tcPr>
          <w:p>
            <w:pPr>
              <w:spacing w:after="0"/>
              <w:rPr>
                <w:sz w:val="22"/>
                <w:szCs w:val="22"/>
                <w:color w:val="auto"/>
              </w:rPr>
            </w:pPr>
          </w:p>
        </w:tc>
        <w:tc>
          <w:tcPr>
            <w:tcW w:w="1780" w:type="dxa"/>
            <w:vAlign w:val="bottom"/>
            <w:tcBorders>
              <w:right w:val="single" w:sz="8" w:color="0B2E44"/>
            </w:tcBorders>
            <w:shd w:val="clear" w:color="auto" w:fill="DDE5ED"/>
          </w:tcPr>
          <w:p>
            <w:pPr>
              <w:spacing w:after="0"/>
              <w:rPr>
                <w:sz w:val="20"/>
                <w:szCs w:val="20"/>
                <w:color w:val="auto"/>
              </w:rPr>
            </w:pPr>
            <w:r>
              <w:rPr>
                <w:rFonts w:ascii="Arial" w:cs="Arial" w:eastAsia="Arial" w:hAnsi="Arial"/>
                <w:sz w:val="20"/>
                <w:szCs w:val="20"/>
                <w:color w:val="0B2E44"/>
              </w:rPr>
              <w:t>25%</w:t>
            </w:r>
          </w:p>
        </w:tc>
        <w:tc>
          <w:tcPr>
            <w:tcW w:w="1800" w:type="dxa"/>
            <w:vAlign w:val="bottom"/>
            <w:tcBorders>
              <w:right w:val="single" w:sz="8" w:color="FF4A6A"/>
            </w:tcBorders>
            <w:shd w:val="clear" w:color="auto" w:fill="DDE5ED"/>
          </w:tcPr>
          <w:p>
            <w:pPr>
              <w:ind w:left="20"/>
              <w:spacing w:after="0"/>
              <w:rPr>
                <w:sz w:val="20"/>
                <w:szCs w:val="20"/>
                <w:color w:val="auto"/>
              </w:rPr>
            </w:pPr>
            <w:r>
              <w:rPr>
                <w:rFonts w:ascii="Arial" w:cs="Arial" w:eastAsia="Arial" w:hAnsi="Arial"/>
                <w:sz w:val="20"/>
                <w:szCs w:val="20"/>
                <w:color w:val="0B2E44"/>
              </w:rPr>
              <w:t>25%</w:t>
            </w:r>
          </w:p>
        </w:tc>
      </w:tr>
      <w:tr>
        <w:trPr>
          <w:trHeight w:val="158"/>
        </w:trPr>
        <w:tc>
          <w:tcPr>
            <w:tcW w:w="1500" w:type="dxa"/>
            <w:vAlign w:val="bottom"/>
            <w:tcBorders>
              <w:right w:val="single" w:sz="8" w:color="FF4A6A"/>
            </w:tcBorders>
            <w:shd w:val="clear" w:color="auto" w:fill="0B2E44"/>
          </w:tcPr>
          <w:p>
            <w:pPr>
              <w:spacing w:after="0"/>
              <w:rPr>
                <w:sz w:val="13"/>
                <w:szCs w:val="13"/>
                <w:color w:val="auto"/>
              </w:rPr>
            </w:pPr>
          </w:p>
        </w:tc>
        <w:tc>
          <w:tcPr>
            <w:tcW w:w="740" w:type="dxa"/>
            <w:vAlign w:val="bottom"/>
            <w:tcBorders>
              <w:right w:val="single" w:sz="8" w:color="0B2E44"/>
            </w:tcBorders>
            <w:shd w:val="clear" w:color="auto" w:fill="DDE5ED"/>
          </w:tcPr>
          <w:p>
            <w:pPr>
              <w:ind w:left="20"/>
              <w:spacing w:after="0"/>
              <w:rPr>
                <w:sz w:val="20"/>
                <w:szCs w:val="20"/>
                <w:color w:val="auto"/>
              </w:rPr>
            </w:pPr>
            <w:r>
              <w:rPr>
                <w:rFonts w:ascii="Arial" w:cs="Arial" w:eastAsia="Arial" w:hAnsi="Arial"/>
                <w:sz w:val="13"/>
                <w:szCs w:val="13"/>
                <w:color w:val="0B2E44"/>
              </w:rPr>
              <w:t>Revenue</w:t>
            </w:r>
          </w:p>
        </w:tc>
        <w:tc>
          <w:tcPr>
            <w:tcW w:w="580" w:type="dxa"/>
            <w:vAlign w:val="bottom"/>
            <w:tcBorders>
              <w:right w:val="single" w:sz="8" w:color="0B2E44"/>
            </w:tcBorders>
            <w:shd w:val="clear" w:color="auto" w:fill="DDE5ED"/>
          </w:tcPr>
          <w:p>
            <w:pPr>
              <w:spacing w:after="0"/>
              <w:rPr>
                <w:sz w:val="20"/>
                <w:szCs w:val="20"/>
                <w:color w:val="auto"/>
              </w:rPr>
            </w:pPr>
            <w:r>
              <w:rPr>
                <w:rFonts w:ascii="Arial" w:cs="Arial" w:eastAsia="Arial" w:hAnsi="Arial"/>
                <w:sz w:val="13"/>
                <w:szCs w:val="13"/>
                <w:color w:val="0B2E44"/>
              </w:rPr>
              <w:t>Non-</w:t>
            </w:r>
          </w:p>
        </w:tc>
        <w:tc>
          <w:tcPr>
            <w:tcW w:w="1940" w:type="dxa"/>
            <w:vAlign w:val="bottom"/>
            <w:shd w:val="clear" w:color="auto" w:fill="DDE5ED"/>
          </w:tcPr>
          <w:p>
            <w:pPr>
              <w:spacing w:after="0" w:line="158" w:lineRule="exact"/>
              <w:rPr>
                <w:sz w:val="20"/>
                <w:szCs w:val="20"/>
                <w:color w:val="auto"/>
              </w:rPr>
            </w:pPr>
            <w:r>
              <w:rPr>
                <w:rFonts w:ascii="Arial" w:cs="Arial" w:eastAsia="Arial" w:hAnsi="Arial"/>
                <w:sz w:val="14"/>
                <w:szCs w:val="14"/>
                <w:color w:val="0B2E44"/>
              </w:rPr>
              <w:t>Time-based RSUs</w:t>
            </w:r>
          </w:p>
        </w:tc>
        <w:tc>
          <w:tcPr>
            <w:tcW w:w="1560" w:type="dxa"/>
            <w:vAlign w:val="bottom"/>
            <w:tcBorders>
              <w:right w:val="single" w:sz="8" w:color="0B2E44"/>
            </w:tcBorders>
            <w:shd w:val="clear" w:color="auto" w:fill="DDE5ED"/>
          </w:tcPr>
          <w:p>
            <w:pPr>
              <w:spacing w:after="0"/>
              <w:rPr>
                <w:sz w:val="13"/>
                <w:szCs w:val="13"/>
                <w:color w:val="auto"/>
              </w:rPr>
            </w:pPr>
          </w:p>
        </w:tc>
        <w:tc>
          <w:tcPr>
            <w:tcW w:w="1780" w:type="dxa"/>
            <w:vAlign w:val="bottom"/>
            <w:tcBorders>
              <w:right w:val="single" w:sz="8" w:color="0B2E44"/>
            </w:tcBorders>
            <w:shd w:val="clear" w:color="auto" w:fill="DDE5ED"/>
          </w:tcPr>
          <w:p>
            <w:pPr>
              <w:spacing w:after="0" w:line="158" w:lineRule="exact"/>
              <w:rPr>
                <w:sz w:val="20"/>
                <w:szCs w:val="20"/>
                <w:color w:val="auto"/>
              </w:rPr>
            </w:pPr>
            <w:r>
              <w:rPr>
                <w:rFonts w:ascii="Arial" w:cs="Arial" w:eastAsia="Arial" w:hAnsi="Arial"/>
                <w:sz w:val="14"/>
                <w:szCs w:val="14"/>
                <w:color w:val="0B2E44"/>
              </w:rPr>
              <w:t>Financial PSUs</w:t>
            </w:r>
          </w:p>
        </w:tc>
        <w:tc>
          <w:tcPr>
            <w:tcW w:w="1800" w:type="dxa"/>
            <w:vAlign w:val="bottom"/>
            <w:tcBorders>
              <w:right w:val="single" w:sz="8" w:color="FF4A6A"/>
            </w:tcBorders>
            <w:shd w:val="clear" w:color="auto" w:fill="DDE5ED"/>
          </w:tcPr>
          <w:p>
            <w:pPr>
              <w:ind w:left="20"/>
              <w:spacing w:after="0" w:line="158" w:lineRule="exact"/>
              <w:rPr>
                <w:sz w:val="20"/>
                <w:szCs w:val="20"/>
                <w:color w:val="auto"/>
              </w:rPr>
            </w:pPr>
            <w:r>
              <w:rPr>
                <w:rFonts w:ascii="Arial" w:cs="Arial" w:eastAsia="Arial" w:hAnsi="Arial"/>
                <w:sz w:val="14"/>
                <w:szCs w:val="14"/>
                <w:color w:val="0B2E44"/>
              </w:rPr>
              <w:t>Relative TSR PSUs</w:t>
            </w:r>
          </w:p>
        </w:tc>
      </w:tr>
      <w:tr>
        <w:trPr>
          <w:trHeight w:val="95"/>
        </w:trPr>
        <w:tc>
          <w:tcPr>
            <w:tcW w:w="1500" w:type="dxa"/>
            <w:vAlign w:val="bottom"/>
            <w:tcBorders>
              <w:right w:val="single" w:sz="8" w:color="FF4A6A"/>
            </w:tcBorders>
            <w:shd w:val="clear" w:color="auto" w:fill="0B2E44"/>
          </w:tcPr>
          <w:p>
            <w:pPr>
              <w:spacing w:after="0"/>
              <w:rPr>
                <w:sz w:val="8"/>
                <w:szCs w:val="8"/>
                <w:color w:val="auto"/>
              </w:rPr>
            </w:pPr>
          </w:p>
        </w:tc>
        <w:tc>
          <w:tcPr>
            <w:tcW w:w="740" w:type="dxa"/>
            <w:vAlign w:val="bottom"/>
            <w:tcBorders>
              <w:right w:val="single" w:sz="8" w:color="0B2E44"/>
            </w:tcBorders>
            <w:shd w:val="clear" w:color="auto" w:fill="DDE5ED"/>
          </w:tcPr>
          <w:p>
            <w:pPr>
              <w:spacing w:after="0"/>
              <w:rPr>
                <w:sz w:val="8"/>
                <w:szCs w:val="8"/>
                <w:color w:val="auto"/>
              </w:rPr>
            </w:pPr>
          </w:p>
        </w:tc>
        <w:tc>
          <w:tcPr>
            <w:tcW w:w="580" w:type="dxa"/>
            <w:vAlign w:val="bottom"/>
            <w:tcBorders>
              <w:right w:val="single" w:sz="8" w:color="0B2E44"/>
            </w:tcBorders>
            <w:shd w:val="clear" w:color="auto" w:fill="DDE5ED"/>
          </w:tcPr>
          <w:p>
            <w:pPr>
              <w:spacing w:after="0" w:line="95" w:lineRule="exact"/>
              <w:rPr>
                <w:sz w:val="20"/>
                <w:szCs w:val="20"/>
                <w:color w:val="auto"/>
              </w:rPr>
            </w:pPr>
            <w:r>
              <w:rPr>
                <w:rFonts w:ascii="Arial" w:cs="Arial" w:eastAsia="Arial" w:hAnsi="Arial"/>
                <w:sz w:val="10"/>
                <w:szCs w:val="10"/>
                <w:color w:val="0B2E44"/>
              </w:rPr>
              <w:t>GAAP</w:t>
            </w:r>
          </w:p>
        </w:tc>
        <w:tc>
          <w:tcPr>
            <w:tcW w:w="1940" w:type="dxa"/>
            <w:vAlign w:val="bottom"/>
            <w:shd w:val="clear" w:color="auto" w:fill="DDE5ED"/>
          </w:tcPr>
          <w:p>
            <w:pPr>
              <w:spacing w:after="0"/>
              <w:rPr>
                <w:sz w:val="8"/>
                <w:szCs w:val="8"/>
                <w:color w:val="auto"/>
              </w:rPr>
            </w:pPr>
          </w:p>
        </w:tc>
        <w:tc>
          <w:tcPr>
            <w:tcW w:w="1560" w:type="dxa"/>
            <w:vAlign w:val="bottom"/>
            <w:tcBorders>
              <w:right w:val="single" w:sz="8" w:color="0B2E44"/>
            </w:tcBorders>
            <w:shd w:val="clear" w:color="auto" w:fill="DDE5ED"/>
          </w:tcPr>
          <w:p>
            <w:pPr>
              <w:spacing w:after="0"/>
              <w:rPr>
                <w:sz w:val="8"/>
                <w:szCs w:val="8"/>
                <w:color w:val="auto"/>
              </w:rPr>
            </w:pPr>
          </w:p>
        </w:tc>
        <w:tc>
          <w:tcPr>
            <w:tcW w:w="1780" w:type="dxa"/>
            <w:vAlign w:val="bottom"/>
            <w:tcBorders>
              <w:right w:val="single" w:sz="8" w:color="0B2E44"/>
            </w:tcBorders>
            <w:shd w:val="clear" w:color="auto" w:fill="DDE5ED"/>
          </w:tcPr>
          <w:p>
            <w:pPr>
              <w:spacing w:after="0"/>
              <w:rPr>
                <w:sz w:val="8"/>
                <w:szCs w:val="8"/>
                <w:color w:val="auto"/>
              </w:rPr>
            </w:pPr>
          </w:p>
        </w:tc>
        <w:tc>
          <w:tcPr>
            <w:tcW w:w="1800" w:type="dxa"/>
            <w:vAlign w:val="bottom"/>
            <w:tcBorders>
              <w:right w:val="single" w:sz="8" w:color="FF4A6A"/>
            </w:tcBorders>
            <w:shd w:val="clear" w:color="auto" w:fill="DDE5ED"/>
          </w:tcPr>
          <w:p>
            <w:pPr>
              <w:spacing w:after="0"/>
              <w:rPr>
                <w:sz w:val="8"/>
                <w:szCs w:val="8"/>
                <w:color w:val="auto"/>
              </w:rPr>
            </w:pPr>
          </w:p>
        </w:tc>
      </w:tr>
      <w:tr>
        <w:trPr>
          <w:trHeight w:val="169"/>
        </w:trPr>
        <w:tc>
          <w:tcPr>
            <w:tcW w:w="1500" w:type="dxa"/>
            <w:vAlign w:val="bottom"/>
            <w:tcBorders>
              <w:bottom w:val="single" w:sz="8" w:color="0B2E44"/>
              <w:right w:val="single" w:sz="8" w:color="FF4A6A"/>
            </w:tcBorders>
            <w:shd w:val="clear" w:color="auto" w:fill="0B2E44"/>
          </w:tcPr>
          <w:p>
            <w:pPr>
              <w:spacing w:after="0"/>
              <w:rPr>
                <w:sz w:val="14"/>
                <w:szCs w:val="14"/>
                <w:color w:val="auto"/>
              </w:rPr>
            </w:pPr>
          </w:p>
        </w:tc>
        <w:tc>
          <w:tcPr>
            <w:tcW w:w="740" w:type="dxa"/>
            <w:vAlign w:val="bottom"/>
            <w:tcBorders>
              <w:bottom w:val="single" w:sz="8" w:color="DDE5ED"/>
              <w:right w:val="single" w:sz="8" w:color="0B2E44"/>
            </w:tcBorders>
            <w:shd w:val="clear" w:color="auto" w:fill="DDE5ED"/>
          </w:tcPr>
          <w:p>
            <w:pPr>
              <w:spacing w:after="0"/>
              <w:rPr>
                <w:sz w:val="14"/>
                <w:szCs w:val="14"/>
                <w:color w:val="auto"/>
              </w:rPr>
            </w:pPr>
          </w:p>
        </w:tc>
        <w:tc>
          <w:tcPr>
            <w:tcW w:w="580" w:type="dxa"/>
            <w:vAlign w:val="bottom"/>
            <w:tcBorders>
              <w:bottom w:val="single" w:sz="8" w:color="DDE5ED"/>
              <w:right w:val="single" w:sz="8" w:color="0B2E44"/>
            </w:tcBorders>
            <w:shd w:val="clear" w:color="auto" w:fill="DDE5ED"/>
          </w:tcPr>
          <w:p>
            <w:pPr>
              <w:spacing w:after="0"/>
              <w:rPr>
                <w:sz w:val="20"/>
                <w:szCs w:val="20"/>
                <w:color w:val="auto"/>
              </w:rPr>
            </w:pPr>
            <w:r>
              <w:rPr>
                <w:rFonts w:ascii="Arial" w:cs="Arial" w:eastAsia="Arial" w:hAnsi="Arial"/>
                <w:sz w:val="13"/>
                <w:szCs w:val="13"/>
                <w:color w:val="0B2E44"/>
              </w:rPr>
              <w:t>EBIT</w:t>
            </w:r>
          </w:p>
        </w:tc>
        <w:tc>
          <w:tcPr>
            <w:tcW w:w="1940" w:type="dxa"/>
            <w:vAlign w:val="bottom"/>
            <w:tcBorders>
              <w:bottom w:val="single" w:sz="8" w:color="DDE5ED"/>
            </w:tcBorders>
            <w:shd w:val="clear" w:color="auto" w:fill="DDE5ED"/>
          </w:tcPr>
          <w:p>
            <w:pPr>
              <w:spacing w:after="0"/>
              <w:rPr>
                <w:sz w:val="14"/>
                <w:szCs w:val="14"/>
                <w:color w:val="auto"/>
              </w:rPr>
            </w:pPr>
          </w:p>
        </w:tc>
        <w:tc>
          <w:tcPr>
            <w:tcW w:w="1560" w:type="dxa"/>
            <w:vAlign w:val="bottom"/>
            <w:tcBorders>
              <w:bottom w:val="single" w:sz="8" w:color="DDE5ED"/>
              <w:right w:val="single" w:sz="8" w:color="0B2E44"/>
            </w:tcBorders>
            <w:shd w:val="clear" w:color="auto" w:fill="DDE5ED"/>
          </w:tcPr>
          <w:p>
            <w:pPr>
              <w:spacing w:after="0"/>
              <w:rPr>
                <w:sz w:val="14"/>
                <w:szCs w:val="14"/>
                <w:color w:val="auto"/>
              </w:rPr>
            </w:pPr>
          </w:p>
        </w:tc>
        <w:tc>
          <w:tcPr>
            <w:tcW w:w="1780" w:type="dxa"/>
            <w:vAlign w:val="bottom"/>
            <w:tcBorders>
              <w:bottom w:val="single" w:sz="8" w:color="DDE5ED"/>
              <w:right w:val="single" w:sz="8" w:color="0B2E44"/>
            </w:tcBorders>
            <w:shd w:val="clear" w:color="auto" w:fill="DDE5ED"/>
          </w:tcPr>
          <w:p>
            <w:pPr>
              <w:spacing w:after="0"/>
              <w:rPr>
                <w:sz w:val="14"/>
                <w:szCs w:val="14"/>
                <w:color w:val="auto"/>
              </w:rPr>
            </w:pPr>
          </w:p>
        </w:tc>
        <w:tc>
          <w:tcPr>
            <w:tcW w:w="1800" w:type="dxa"/>
            <w:vAlign w:val="bottom"/>
            <w:tcBorders>
              <w:bottom w:val="single" w:sz="8" w:color="DDE5ED"/>
              <w:right w:val="single" w:sz="8" w:color="FF4A6A"/>
            </w:tcBorders>
            <w:shd w:val="clear" w:color="auto" w:fill="DDE5ED"/>
          </w:tcPr>
          <w:p>
            <w:pPr>
              <w:spacing w:after="0"/>
              <w:rPr>
                <w:sz w:val="14"/>
                <w:szCs w:val="14"/>
                <w:color w:val="auto"/>
              </w:rPr>
            </w:pPr>
          </w:p>
        </w:tc>
      </w:tr>
      <w:tr>
        <w:trPr>
          <w:trHeight w:val="270"/>
        </w:trPr>
        <w:tc>
          <w:tcPr>
            <w:tcW w:w="1500" w:type="dxa"/>
            <w:vAlign w:val="bottom"/>
            <w:tcBorders>
              <w:right w:val="single" w:sz="8" w:color="FF4A6A"/>
            </w:tcBorders>
          </w:tcPr>
          <w:p>
            <w:pPr>
              <w:spacing w:after="0"/>
              <w:rPr>
                <w:sz w:val="23"/>
                <w:szCs w:val="23"/>
                <w:color w:val="auto"/>
              </w:rPr>
            </w:pPr>
          </w:p>
        </w:tc>
        <w:tc>
          <w:tcPr>
            <w:tcW w:w="740" w:type="dxa"/>
            <w:vAlign w:val="bottom"/>
            <w:tcBorders>
              <w:bottom w:val="single" w:sz="8" w:color="0B2E44"/>
            </w:tcBorders>
          </w:tcPr>
          <w:p>
            <w:pPr>
              <w:spacing w:after="0"/>
              <w:rPr>
                <w:sz w:val="23"/>
                <w:szCs w:val="23"/>
                <w:color w:val="auto"/>
              </w:rPr>
            </w:pPr>
          </w:p>
        </w:tc>
        <w:tc>
          <w:tcPr>
            <w:tcW w:w="580" w:type="dxa"/>
            <w:vAlign w:val="bottom"/>
            <w:tcBorders>
              <w:bottom w:val="single" w:sz="8" w:color="0B2E44"/>
            </w:tcBorders>
          </w:tcPr>
          <w:p>
            <w:pPr>
              <w:spacing w:after="0"/>
              <w:rPr>
                <w:sz w:val="23"/>
                <w:szCs w:val="23"/>
                <w:color w:val="auto"/>
              </w:rPr>
            </w:pPr>
          </w:p>
        </w:tc>
        <w:tc>
          <w:tcPr>
            <w:tcW w:w="1940" w:type="dxa"/>
            <w:vAlign w:val="bottom"/>
            <w:tcBorders>
              <w:bottom w:val="single" w:sz="8" w:color="0B2E44"/>
            </w:tcBorders>
          </w:tcPr>
          <w:p>
            <w:pPr>
              <w:spacing w:after="0"/>
              <w:rPr>
                <w:sz w:val="23"/>
                <w:szCs w:val="23"/>
                <w:color w:val="auto"/>
              </w:rPr>
            </w:pPr>
          </w:p>
        </w:tc>
        <w:tc>
          <w:tcPr>
            <w:tcW w:w="3340" w:type="dxa"/>
            <w:vAlign w:val="bottom"/>
            <w:tcBorders>
              <w:bottom w:val="single" w:sz="8" w:color="0B2E44"/>
            </w:tcBorders>
            <w:gridSpan w:val="2"/>
          </w:tcPr>
          <w:p>
            <w:pPr>
              <w:ind w:left="180"/>
              <w:spacing w:after="0"/>
              <w:rPr>
                <w:sz w:val="20"/>
                <w:szCs w:val="20"/>
                <w:color w:val="auto"/>
              </w:rPr>
            </w:pPr>
            <w:r>
              <w:rPr>
                <w:rFonts w:ascii="Arial" w:cs="Arial" w:eastAsia="Arial" w:hAnsi="Arial"/>
                <w:sz w:val="22"/>
                <w:szCs w:val="22"/>
                <w:b w:val="1"/>
                <w:bCs w:val="1"/>
                <w:color w:val="0B2E44"/>
              </w:rPr>
              <w:t xml:space="preserve">86% </w:t>
            </w:r>
            <w:r>
              <w:rPr>
                <w:rFonts w:ascii="Arial" w:cs="Arial" w:eastAsia="Arial" w:hAnsi="Arial"/>
                <w:sz w:val="19"/>
                <w:szCs w:val="19"/>
                <w:color w:val="0B2E44"/>
              </w:rPr>
              <w:t>At Risk Pay</w:t>
            </w:r>
          </w:p>
        </w:tc>
        <w:tc>
          <w:tcPr>
            <w:tcW w:w="1800" w:type="dxa"/>
            <w:vAlign w:val="bottom"/>
            <w:tcBorders>
              <w:bottom w:val="single" w:sz="8" w:color="0B2E44"/>
              <w:right w:val="single" w:sz="8" w:color="FF4A6A"/>
            </w:tcBorders>
          </w:tcPr>
          <w:p>
            <w:pPr>
              <w:spacing w:after="0"/>
              <w:rPr>
                <w:sz w:val="23"/>
                <w:szCs w:val="23"/>
                <w:color w:val="auto"/>
              </w:rPr>
            </w:pPr>
          </w:p>
        </w:tc>
      </w:tr>
    </w:tbl>
    <w:p>
      <w:pPr>
        <w:spacing w:after="0" w:line="256"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NEO compensation pay mix represents Messrs. Gary Merrill and Riccardo Di Blasio.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8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1"/>
          <w:szCs w:val="11"/>
          <w:color w:val="auto"/>
        </w:rPr>
        <w:t xml:space="preserve">PROXY SUMMARY </w:t>
      </w:r>
      <w:r>
        <w:rPr>
          <w:rFonts w:ascii="Arial" w:cs="Arial" w:eastAsia="Arial" w:hAnsi="Arial"/>
          <w:sz w:val="11"/>
          <w:szCs w:val="11"/>
          <w:color w:val="FF4A6A"/>
        </w:rPr>
        <w:t>|</w:t>
      </w:r>
      <w:r>
        <w:rPr>
          <w:sz w:val="20"/>
          <w:szCs w:val="20"/>
          <w:color w:val="auto"/>
        </w:rPr>
        <w:tab/>
      </w:r>
      <w:r>
        <w:rPr>
          <w:rFonts w:ascii="Arial" w:cs="Arial" w:eastAsia="Arial" w:hAnsi="Arial"/>
          <w:sz w:val="10"/>
          <w:szCs w:val="10"/>
          <w:b w:val="1"/>
          <w:bCs w:val="1"/>
          <w:color w:val="auto"/>
        </w:rPr>
        <w:t>CORPORATE SOCIAL RESPONSIBILITY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Corporate Social Responsibility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3188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318897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Climate</w:t>
      </w:r>
    </w:p>
    <w:p>
      <w:pPr>
        <w:spacing w:after="0" w:line="66"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0B2E44"/>
        </w:rPr>
        <w:t>At Commvault, we consider the natural environment a key stakeholder of our business. We strive to be a responsible steward and limit our environmental impact as part of our commitment to creating a sustainable world.</w:t>
      </w:r>
    </w:p>
    <w:p>
      <w:pPr>
        <w:spacing w:after="0" w:line="185" w:lineRule="exact"/>
        <w:rPr>
          <w:sz w:val="20"/>
          <w:szCs w:val="20"/>
          <w:color w:val="auto"/>
        </w:rPr>
      </w:pPr>
    </w:p>
    <w:p>
      <w:pPr>
        <w:ind w:left="160"/>
        <w:spacing w:after="0" w:line="270" w:lineRule="auto"/>
        <w:rPr>
          <w:sz w:val="20"/>
          <w:szCs w:val="20"/>
          <w:color w:val="auto"/>
        </w:rPr>
      </w:pPr>
      <w:r>
        <w:rPr>
          <w:rFonts w:ascii="Arial" w:cs="Arial" w:eastAsia="Arial" w:hAnsi="Arial"/>
          <w:sz w:val="16"/>
          <w:szCs w:val="16"/>
          <w:color w:val="0B2E44"/>
        </w:rPr>
        <w:t>This past year, Commvault’s Environmental, Social and Governance (“ESG”) team continued to seek innovative ways to bring awareness to the carbon footprint of data and the role our products and services play in mitigating emissions. We have focused primarily on our newly introduced carbon calculator, which allows customers to estimate the emissions reduction of using Commvault’s products and services.</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People</w:t>
      </w:r>
    </w:p>
    <w:p>
      <w:pPr>
        <w:spacing w:after="0" w:line="66" w:lineRule="exact"/>
        <w:rPr>
          <w:sz w:val="20"/>
          <w:szCs w:val="20"/>
          <w:color w:val="auto"/>
        </w:rPr>
      </w:pPr>
    </w:p>
    <w:p>
      <w:pPr>
        <w:ind w:left="160"/>
        <w:spacing w:after="0" w:line="270" w:lineRule="auto"/>
        <w:rPr>
          <w:sz w:val="20"/>
          <w:szCs w:val="20"/>
          <w:color w:val="auto"/>
        </w:rPr>
      </w:pPr>
      <w:r>
        <w:rPr>
          <w:rFonts w:ascii="Arial" w:cs="Arial" w:eastAsia="Arial" w:hAnsi="Arial"/>
          <w:sz w:val="16"/>
          <w:szCs w:val="16"/>
          <w:color w:val="0B2E44"/>
        </w:rPr>
        <w:t>We are stronger when different perspectives are represented and valued. Diversity, equity, and inclusion (“DEI”) are core tenets of our business, and we’re proud of the progress we continue to make to advance our commitment to fostering an inclusive work environment. In fiscal year 2023, we hosted courageous conversations featuring illuminating keynote speakers and extended our DEI volunteer efforts.</w:t>
      </w:r>
    </w:p>
    <w:p>
      <w:pPr>
        <w:spacing w:after="0" w:line="203" w:lineRule="exact"/>
        <w:rPr>
          <w:sz w:val="20"/>
          <w:szCs w:val="20"/>
          <w:color w:val="auto"/>
        </w:rPr>
      </w:pPr>
    </w:p>
    <w:p>
      <w:pPr>
        <w:ind w:left="160" w:right="260"/>
        <w:spacing w:after="0" w:line="270" w:lineRule="auto"/>
        <w:rPr>
          <w:sz w:val="20"/>
          <w:szCs w:val="20"/>
          <w:color w:val="auto"/>
        </w:rPr>
      </w:pPr>
      <w:r>
        <w:rPr>
          <w:rFonts w:ascii="Arial" w:cs="Arial" w:eastAsia="Arial" w:hAnsi="Arial"/>
          <w:sz w:val="16"/>
          <w:szCs w:val="16"/>
          <w:color w:val="0B2E44"/>
        </w:rPr>
        <w:t>Inclusive Leadership: Leadership training focused on understanding why inclusivity matters, conscious awareness of biases and how to manage them, and implementation of the six traits of inclusive leadership in the workplace. Inclusive leadership is now embedded into our Foundational Leadership Development program.</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6"/>
          <w:szCs w:val="16"/>
          <w:color w:val="0B2E44"/>
        </w:rPr>
        <w:t>THE SIX TRAITS OF INCLUSIVE LEADERSHIP</w:t>
      </w:r>
    </w:p>
    <w:p>
      <w:pPr>
        <w:spacing w:after="0" w:line="17" w:lineRule="exact"/>
        <w:rPr>
          <w:sz w:val="20"/>
          <w:szCs w:val="20"/>
          <w:color w:val="auto"/>
        </w:rPr>
      </w:pPr>
    </w:p>
    <w:p>
      <w:pPr>
        <w:ind w:left="380" w:hanging="229"/>
        <w:spacing w:after="0"/>
        <w:tabs>
          <w:tab w:leader="none" w:pos="380" w:val="left"/>
        </w:tabs>
        <w:numPr>
          <w:ilvl w:val="0"/>
          <w:numId w:val="11"/>
        </w:numPr>
        <w:rPr>
          <w:rFonts w:ascii="Arial" w:cs="Arial" w:eastAsia="Arial" w:hAnsi="Arial"/>
          <w:sz w:val="16"/>
          <w:szCs w:val="16"/>
          <w:color w:val="0B2E44"/>
        </w:rPr>
      </w:pPr>
      <w:r>
        <w:rPr>
          <w:rFonts w:ascii="Arial" w:cs="Arial" w:eastAsia="Arial" w:hAnsi="Arial"/>
          <w:sz w:val="16"/>
          <w:szCs w:val="16"/>
          <w:color w:val="0B2E44"/>
        </w:rPr>
        <w:t>Cognizance of Bias</w:t>
      </w:r>
    </w:p>
    <w:p>
      <w:pPr>
        <w:spacing w:after="0" w:line="5" w:lineRule="exact"/>
        <w:rPr>
          <w:rFonts w:ascii="Arial" w:cs="Arial" w:eastAsia="Arial" w:hAnsi="Arial"/>
          <w:sz w:val="16"/>
          <w:szCs w:val="16"/>
          <w:color w:val="0B2E44"/>
        </w:rPr>
      </w:pPr>
    </w:p>
    <w:p>
      <w:pPr>
        <w:ind w:left="380" w:hanging="229"/>
        <w:spacing w:after="0"/>
        <w:tabs>
          <w:tab w:leader="none" w:pos="380" w:val="left"/>
        </w:tabs>
        <w:numPr>
          <w:ilvl w:val="0"/>
          <w:numId w:val="11"/>
        </w:numPr>
        <w:rPr>
          <w:rFonts w:ascii="Arial" w:cs="Arial" w:eastAsia="Arial" w:hAnsi="Arial"/>
          <w:sz w:val="16"/>
          <w:szCs w:val="16"/>
          <w:color w:val="0B2E44"/>
        </w:rPr>
      </w:pPr>
      <w:r>
        <w:rPr>
          <w:rFonts w:ascii="Arial" w:cs="Arial" w:eastAsia="Arial" w:hAnsi="Arial"/>
          <w:sz w:val="16"/>
          <w:szCs w:val="16"/>
          <w:color w:val="0B2E44"/>
        </w:rPr>
        <w:t>Courage</w:t>
      </w:r>
    </w:p>
    <w:p>
      <w:pPr>
        <w:spacing w:after="0" w:line="10" w:lineRule="exact"/>
        <w:rPr>
          <w:rFonts w:ascii="Arial" w:cs="Arial" w:eastAsia="Arial" w:hAnsi="Arial"/>
          <w:sz w:val="16"/>
          <w:szCs w:val="16"/>
          <w:color w:val="0B2E44"/>
        </w:rPr>
      </w:pPr>
    </w:p>
    <w:p>
      <w:pPr>
        <w:ind w:left="380" w:hanging="229"/>
        <w:spacing w:after="0"/>
        <w:tabs>
          <w:tab w:leader="none" w:pos="380" w:val="left"/>
        </w:tabs>
        <w:numPr>
          <w:ilvl w:val="0"/>
          <w:numId w:val="11"/>
        </w:numPr>
        <w:rPr>
          <w:rFonts w:ascii="Arial" w:cs="Arial" w:eastAsia="Arial" w:hAnsi="Arial"/>
          <w:sz w:val="16"/>
          <w:szCs w:val="16"/>
          <w:color w:val="0B2E44"/>
        </w:rPr>
      </w:pPr>
      <w:r>
        <w:rPr>
          <w:rFonts w:ascii="Arial" w:cs="Arial" w:eastAsia="Arial" w:hAnsi="Arial"/>
          <w:sz w:val="16"/>
          <w:szCs w:val="16"/>
          <w:color w:val="0B2E44"/>
        </w:rPr>
        <w:t>Commitment</w:t>
      </w:r>
    </w:p>
    <w:p>
      <w:pPr>
        <w:spacing w:after="0" w:line="12" w:lineRule="exact"/>
        <w:rPr>
          <w:rFonts w:ascii="Arial" w:cs="Arial" w:eastAsia="Arial" w:hAnsi="Arial"/>
          <w:sz w:val="16"/>
          <w:szCs w:val="16"/>
          <w:color w:val="0B2E44"/>
        </w:rPr>
      </w:pPr>
    </w:p>
    <w:p>
      <w:pPr>
        <w:ind w:left="380" w:hanging="229"/>
        <w:spacing w:after="0"/>
        <w:tabs>
          <w:tab w:leader="none" w:pos="380" w:val="left"/>
        </w:tabs>
        <w:numPr>
          <w:ilvl w:val="0"/>
          <w:numId w:val="11"/>
        </w:numPr>
        <w:rPr>
          <w:rFonts w:ascii="Arial" w:cs="Arial" w:eastAsia="Arial" w:hAnsi="Arial"/>
          <w:sz w:val="16"/>
          <w:szCs w:val="16"/>
          <w:color w:val="0B2E44"/>
        </w:rPr>
      </w:pPr>
      <w:r>
        <w:rPr>
          <w:rFonts w:ascii="Arial" w:cs="Arial" w:eastAsia="Arial" w:hAnsi="Arial"/>
          <w:sz w:val="16"/>
          <w:szCs w:val="16"/>
          <w:color w:val="0B2E44"/>
        </w:rPr>
        <w:t>Curiosity</w:t>
      </w:r>
    </w:p>
    <w:p>
      <w:pPr>
        <w:spacing w:after="0" w:line="5" w:lineRule="exact"/>
        <w:rPr>
          <w:rFonts w:ascii="Arial" w:cs="Arial" w:eastAsia="Arial" w:hAnsi="Arial"/>
          <w:sz w:val="16"/>
          <w:szCs w:val="16"/>
          <w:color w:val="0B2E44"/>
        </w:rPr>
      </w:pPr>
    </w:p>
    <w:p>
      <w:pPr>
        <w:ind w:left="380" w:hanging="229"/>
        <w:spacing w:after="0"/>
        <w:tabs>
          <w:tab w:leader="none" w:pos="380" w:val="left"/>
        </w:tabs>
        <w:numPr>
          <w:ilvl w:val="0"/>
          <w:numId w:val="11"/>
        </w:numPr>
        <w:rPr>
          <w:rFonts w:ascii="Arial" w:cs="Arial" w:eastAsia="Arial" w:hAnsi="Arial"/>
          <w:sz w:val="16"/>
          <w:szCs w:val="16"/>
          <w:color w:val="0B2E44"/>
        </w:rPr>
      </w:pPr>
      <w:r>
        <w:rPr>
          <w:rFonts w:ascii="Arial" w:cs="Arial" w:eastAsia="Arial" w:hAnsi="Arial"/>
          <w:sz w:val="16"/>
          <w:szCs w:val="16"/>
          <w:color w:val="0B2E44"/>
        </w:rPr>
        <w:t>Cultural Intelligence</w:t>
      </w:r>
    </w:p>
    <w:p>
      <w:pPr>
        <w:spacing w:after="0" w:line="10" w:lineRule="exact"/>
        <w:rPr>
          <w:rFonts w:ascii="Arial" w:cs="Arial" w:eastAsia="Arial" w:hAnsi="Arial"/>
          <w:sz w:val="16"/>
          <w:szCs w:val="16"/>
          <w:color w:val="0B2E44"/>
        </w:rPr>
      </w:pPr>
    </w:p>
    <w:p>
      <w:pPr>
        <w:ind w:left="380" w:hanging="229"/>
        <w:spacing w:after="0"/>
        <w:tabs>
          <w:tab w:leader="none" w:pos="380" w:val="left"/>
        </w:tabs>
        <w:numPr>
          <w:ilvl w:val="0"/>
          <w:numId w:val="11"/>
        </w:numPr>
        <w:rPr>
          <w:rFonts w:ascii="Arial" w:cs="Arial" w:eastAsia="Arial" w:hAnsi="Arial"/>
          <w:sz w:val="16"/>
          <w:szCs w:val="16"/>
          <w:color w:val="0B2E44"/>
        </w:rPr>
      </w:pPr>
      <w:r>
        <w:rPr>
          <w:rFonts w:ascii="Arial" w:cs="Arial" w:eastAsia="Arial" w:hAnsi="Arial"/>
          <w:sz w:val="16"/>
          <w:szCs w:val="16"/>
          <w:color w:val="0B2E44"/>
        </w:rPr>
        <w:t>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221615</wp:posOffset>
            </wp:positionV>
            <wp:extent cx="7098030" cy="737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73723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Corporate Social Responsibility (“CSR”)</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6"/>
          <w:szCs w:val="16"/>
          <w:color w:val="0B2E44"/>
        </w:rPr>
        <w:t>Fourth annual CSR report published June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E14A6A"/>
        </w:rPr>
        <w:t>Governance</w:t>
      </w:r>
    </w:p>
    <w:p>
      <w:pPr>
        <w:spacing w:after="0" w:line="93" w:lineRule="exact"/>
        <w:rPr>
          <w:sz w:val="20"/>
          <w:szCs w:val="20"/>
          <w:color w:val="auto"/>
        </w:rPr>
      </w:pPr>
    </w:p>
    <w:p>
      <w:pPr>
        <w:spacing w:after="0" w:line="276" w:lineRule="auto"/>
        <w:rPr>
          <w:sz w:val="20"/>
          <w:szCs w:val="20"/>
          <w:color w:val="auto"/>
        </w:rPr>
      </w:pPr>
      <w:r>
        <w:rPr>
          <w:rFonts w:ascii="Arial" w:cs="Arial" w:eastAsia="Arial" w:hAnsi="Arial"/>
          <w:sz w:val="16"/>
          <w:szCs w:val="16"/>
          <w:color w:val="0B2E44"/>
        </w:rPr>
        <w:t>Commvault adopted a Supplier Code of Conduct that mirrors our Code of Ethics for all suppliers.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E14A6A"/>
        </w:rPr>
        <w:t>Global Philanthropy</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6"/>
          <w:szCs w:val="16"/>
          <w:color w:val="0B2E44"/>
        </w:rPr>
        <w:t>Commvault matched employees’ donations to the International Rescue Committee fund for the earthquake in Syria and Turkey.</w:t>
      </w:r>
    </w:p>
    <w:p>
      <w:pPr>
        <w:spacing w:after="0" w:line="200" w:lineRule="exact"/>
        <w:rPr>
          <w:sz w:val="20"/>
          <w:szCs w:val="20"/>
          <w:color w:val="auto"/>
        </w:rPr>
      </w:pPr>
    </w:p>
    <w:p>
      <w:pPr>
        <w:sectPr>
          <w:pgSz w:w="11900" w:h="16838" w:orient="portrait"/>
          <w:cols w:equalWidth="0" w:num="3">
            <w:col w:w="3600" w:space="300"/>
            <w:col w:w="3480" w:space="340"/>
            <w:col w:w="3460"/>
          </w:cols>
          <w:pgMar w:left="320" w:top="12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9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443230</wp:posOffset>
            </wp:positionV>
            <wp:extent cx="7029450" cy="17487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540"/>
        </w:trPr>
        <w:tc>
          <w:tcPr>
            <w:tcW w:w="7780" w:type="dxa"/>
            <w:vAlign w:val="bottom"/>
            <w:shd w:val="clear" w:color="auto" w:fill="0B2E44"/>
          </w:tcPr>
          <w:p>
            <w:pPr>
              <w:ind w:left="180"/>
              <w:spacing w:after="0"/>
              <w:rPr>
                <w:sz w:val="20"/>
                <w:szCs w:val="20"/>
                <w:color w:val="auto"/>
              </w:rPr>
            </w:pPr>
            <w:r>
              <w:rPr>
                <w:rFonts w:ascii="Arial" w:cs="Arial" w:eastAsia="Arial" w:hAnsi="Arial"/>
                <w:sz w:val="18"/>
                <w:szCs w:val="18"/>
                <w:b w:val="1"/>
                <w:bCs w:val="1"/>
                <w:color w:val="FFFFFF"/>
              </w:rPr>
              <w:t>What am I voting on?</w:t>
            </w:r>
          </w:p>
        </w:tc>
        <w:tc>
          <w:tcPr>
            <w:tcW w:w="100" w:type="dxa"/>
            <w:vAlign w:val="bottom"/>
          </w:tcPr>
          <w:p>
            <w:pPr>
              <w:spacing w:after="0"/>
              <w:rPr>
                <w:sz w:val="24"/>
                <w:szCs w:val="24"/>
                <w:color w:val="auto"/>
              </w:rPr>
            </w:pPr>
          </w:p>
        </w:tc>
        <w:tc>
          <w:tcPr>
            <w:tcW w:w="3320" w:type="dxa"/>
            <w:vAlign w:val="bottom"/>
            <w:shd w:val="clear" w:color="auto" w:fill="0B2E44"/>
          </w:tcPr>
          <w:p>
            <w:pPr>
              <w:ind w:left="180"/>
              <w:spacing w:after="0"/>
              <w:rPr>
                <w:sz w:val="20"/>
                <w:szCs w:val="20"/>
                <w:color w:val="auto"/>
              </w:rPr>
            </w:pPr>
            <w:r>
              <w:rPr>
                <w:rFonts w:ascii="Arial" w:cs="Arial" w:eastAsia="Arial" w:hAnsi="Arial"/>
                <w:sz w:val="18"/>
                <w:szCs w:val="18"/>
                <w:b w:val="1"/>
                <w:bCs w:val="1"/>
                <w:color w:val="FFFFFF"/>
              </w:rPr>
              <w:t>Vote Recommendation</w:t>
            </w:r>
          </w:p>
        </w:tc>
      </w:tr>
      <w:tr>
        <w:trPr>
          <w:trHeight w:val="227"/>
        </w:trPr>
        <w:tc>
          <w:tcPr>
            <w:tcW w:w="7780" w:type="dxa"/>
            <w:vAlign w:val="bottom"/>
            <w:shd w:val="clear" w:color="auto" w:fill="0B2E44"/>
          </w:tcPr>
          <w:p>
            <w:pPr>
              <w:ind w:left="180"/>
              <w:spacing w:after="0"/>
              <w:rPr>
                <w:sz w:val="20"/>
                <w:szCs w:val="20"/>
                <w:color w:val="auto"/>
              </w:rPr>
            </w:pPr>
            <w:r>
              <w:rPr>
                <w:rFonts w:ascii="Arial" w:cs="Arial" w:eastAsia="Arial" w:hAnsi="Arial"/>
                <w:sz w:val="16"/>
                <w:szCs w:val="16"/>
                <w:color w:val="FFFFFF"/>
              </w:rPr>
              <w:t>The Board has nominated nine people to serve as directors until the 2024 Annual Meeting.</w:t>
            </w:r>
          </w:p>
        </w:tc>
        <w:tc>
          <w:tcPr>
            <w:tcW w:w="100" w:type="dxa"/>
            <w:vAlign w:val="bottom"/>
          </w:tcPr>
          <w:p>
            <w:pPr>
              <w:spacing w:after="0"/>
              <w:rPr>
                <w:sz w:val="19"/>
                <w:szCs w:val="19"/>
                <w:color w:val="auto"/>
              </w:rPr>
            </w:pPr>
          </w:p>
        </w:tc>
        <w:tc>
          <w:tcPr>
            <w:tcW w:w="3320" w:type="dxa"/>
            <w:vAlign w:val="bottom"/>
            <w:shd w:val="clear" w:color="auto" w:fill="0B2E44"/>
          </w:tcPr>
          <w:p>
            <w:pPr>
              <w:ind w:left="180"/>
              <w:spacing w:after="0"/>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all nine nominees.</w:t>
            </w:r>
          </w:p>
        </w:tc>
      </w:tr>
      <w:tr>
        <w:trPr>
          <w:trHeight w:val="300"/>
        </w:trPr>
        <w:tc>
          <w:tcPr>
            <w:tcW w:w="7780" w:type="dxa"/>
            <w:vAlign w:val="bottom"/>
            <w:shd w:val="clear" w:color="auto" w:fill="0B2E44"/>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shd w:val="clear" w:color="auto" w:fill="0B2E44"/>
          </w:tcPr>
          <w:p>
            <w:pPr>
              <w:spacing w:after="0"/>
              <w:rPr>
                <w:sz w:val="24"/>
                <w:szCs w:val="24"/>
                <w:color w:val="auto"/>
              </w:rPr>
            </w:pPr>
          </w:p>
        </w:tc>
      </w:tr>
    </w:tbl>
    <w:p>
      <w:pPr>
        <w:spacing w:after="0" w:line="396" w:lineRule="exact"/>
        <w:rPr>
          <w:sz w:val="20"/>
          <w:szCs w:val="20"/>
          <w:color w:val="auto"/>
        </w:rPr>
      </w:pPr>
    </w:p>
    <w:p>
      <w:pPr>
        <w:ind w:right="520"/>
        <w:spacing w:after="0" w:line="233" w:lineRule="auto"/>
        <w:rPr>
          <w:sz w:val="20"/>
          <w:szCs w:val="20"/>
          <w:color w:val="auto"/>
        </w:rPr>
      </w:pPr>
      <w:r>
        <w:rPr>
          <w:rFonts w:ascii="Arial" w:cs="Arial" w:eastAsia="Arial" w:hAnsi="Arial"/>
          <w:sz w:val="22"/>
          <w:szCs w:val="22"/>
          <w:color w:val="0B2E44"/>
        </w:rPr>
        <w:t>As of the 2023 Annual Meeting, all directors will be elected annually, and the Board will no longer be divided into classes.</w:t>
      </w:r>
    </w:p>
    <w:p>
      <w:pPr>
        <w:spacing w:after="0" w:line="7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0B2E44"/>
        </w:rPr>
        <w:t>If you sign, date and return your proxy card, the individuals named as proxy voters on the proxy card for our 2023 Annual Meeting, or their substitutes, will vote your proxy for all the nominees, unless you provide contrary instructions. Commvault has no reason to believe that any nominee will be unavailable to serve as a director. However, if any nominee for director withdraws or for any reason is not able to serve as a director, we will vote your proxy for any replacement nominee designated by the Board.</w:t>
      </w: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Director Independence</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6"/>
          <w:szCs w:val="16"/>
          <w:color w:val="0B2E44"/>
        </w:rPr>
        <w:t>Our Corporate Governance Guidelines provide that the Board must have a majority of members who meet the independence standards set forth in the listing rules of the Nasdaq. The Board annually assesses the independence of each director and has determined that all the current directors except our CEO, Mr. Mirchandani, are independent under these standards. In making this determination, the Nominations and Governance Committee, acting on behalf of our Board, considered all relevant facts and circumstances to ascertain whether there was any relationship between a director and Commvault that, in the opinion of the committee, would interfere with the director’s exercise of independent judgment in carrying out the responsibilities of a director. The Board has determined that all members, other than Mr. Mirchandani,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10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PROPOSAL NO. 1: ELECTION OF DIRECTORS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BOARD DIVERSITY</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Board Diversity</w:t>
      </w:r>
    </w:p>
    <w:p>
      <w:pPr>
        <w:spacing w:after="0" w:line="8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The Board of Directors has adopted a policy on Board diversity that is implemented by the Nominations and Governance Committee. This policy requires the Nominations and Governance Committee to consider gender, race, and ethnicity when recommending director nominees, as well as diversity in professional experience, skills, business knowledge, training and understanding of Commvault’s business environment when recommending nominees to the Board. Our objective is to achieve a board composed of members whose individual backgrounds collectively provide a portfolio of experience and knowledge that will serve Commvault’s governance and strategic needs.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0B2E44"/>
        </w:rPr>
        <w:t>The diverse personal characteristics of our directors are shown in the graphics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5140" w:type="dxa"/>
            <w:vAlign w:val="bottom"/>
            <w:gridSpan w:val="2"/>
          </w:tcPr>
          <w:p>
            <w:pPr>
              <w:spacing w:after="0"/>
              <w:rPr>
                <w:sz w:val="20"/>
                <w:szCs w:val="20"/>
                <w:color w:val="auto"/>
              </w:rPr>
            </w:pPr>
            <w:r>
              <w:rPr>
                <w:rFonts w:ascii="Arial" w:cs="Arial" w:eastAsia="Arial" w:hAnsi="Arial"/>
                <w:sz w:val="22"/>
                <w:szCs w:val="22"/>
                <w:b w:val="1"/>
                <w:bCs w:val="1"/>
                <w:color w:val="0B2E44"/>
              </w:rPr>
              <w:t xml:space="preserve">Diversity Matrix </w:t>
            </w:r>
            <w:r>
              <w:rPr>
                <w:rFonts w:ascii="Arial" w:cs="Arial" w:eastAsia="Arial" w:hAnsi="Arial"/>
                <w:sz w:val="16"/>
                <w:szCs w:val="16"/>
                <w:color w:val="0B2E44"/>
              </w:rPr>
              <w:t>(As of July [ ], 2023)</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DDE9F2"/>
          </w:tcPr>
          <w:p>
            <w:pPr>
              <w:ind w:left="100"/>
              <w:spacing w:after="0"/>
              <w:rPr>
                <w:sz w:val="20"/>
                <w:szCs w:val="20"/>
                <w:color w:val="auto"/>
              </w:rPr>
            </w:pPr>
            <w:r>
              <w:rPr>
                <w:rFonts w:ascii="Arial" w:cs="Arial" w:eastAsia="Arial" w:hAnsi="Arial"/>
                <w:sz w:val="16"/>
                <w:szCs w:val="16"/>
                <w:b w:val="1"/>
                <w:bCs w:val="1"/>
                <w:color w:val="0B2E44"/>
              </w:rPr>
              <w:t>Total Number of Directors</w:t>
            </w:r>
          </w:p>
        </w:tc>
        <w:tc>
          <w:tcPr>
            <w:tcW w:w="20" w:type="dxa"/>
            <w:vAlign w:val="bottom"/>
            <w:shd w:val="clear" w:color="auto" w:fill="DDE9F2"/>
          </w:tcPr>
          <w:p>
            <w:pPr>
              <w:spacing w:after="0"/>
              <w:rPr>
                <w:sz w:val="18"/>
                <w:szCs w:val="18"/>
                <w:color w:val="auto"/>
              </w:rPr>
            </w:pPr>
          </w:p>
        </w:tc>
        <w:tc>
          <w:tcPr>
            <w:tcW w:w="1420" w:type="dxa"/>
            <w:vAlign w:val="bottom"/>
            <w:shd w:val="clear" w:color="auto" w:fill="DDE9F2"/>
          </w:tcPr>
          <w:p>
            <w:pPr>
              <w:spacing w:after="0"/>
              <w:rPr>
                <w:sz w:val="18"/>
                <w:szCs w:val="18"/>
                <w:color w:val="auto"/>
              </w:rPr>
            </w:pPr>
          </w:p>
        </w:tc>
        <w:tc>
          <w:tcPr>
            <w:tcW w:w="1160" w:type="dxa"/>
            <w:vAlign w:val="bottom"/>
            <w:shd w:val="clear" w:color="auto" w:fill="DDE9F2"/>
          </w:tcPr>
          <w:p>
            <w:pPr>
              <w:spacing w:after="0"/>
              <w:rPr>
                <w:sz w:val="18"/>
                <w:szCs w:val="18"/>
                <w:color w:val="auto"/>
              </w:rPr>
            </w:pPr>
          </w:p>
        </w:tc>
        <w:tc>
          <w:tcPr>
            <w:tcW w:w="1700" w:type="dxa"/>
            <w:vAlign w:val="bottom"/>
            <w:shd w:val="clear" w:color="auto" w:fill="DDE9F2"/>
          </w:tcPr>
          <w:p>
            <w:pPr>
              <w:jc w:val="right"/>
              <w:ind w:right="1080"/>
              <w:spacing w:after="0"/>
              <w:rPr>
                <w:sz w:val="20"/>
                <w:szCs w:val="20"/>
                <w:color w:val="auto"/>
              </w:rPr>
            </w:pPr>
            <w:r>
              <w:rPr>
                <w:rFonts w:ascii="Arial" w:cs="Arial" w:eastAsia="Arial" w:hAnsi="Arial"/>
                <w:sz w:val="16"/>
                <w:szCs w:val="16"/>
                <w:b w:val="1"/>
                <w:bCs w:val="1"/>
                <w:color w:val="0B2E44"/>
              </w:rPr>
              <w:t>11</w:t>
            </w:r>
          </w:p>
        </w:tc>
        <w:tc>
          <w:tcPr>
            <w:tcW w:w="1800" w:type="dxa"/>
            <w:vAlign w:val="bottom"/>
            <w:shd w:val="clear" w:color="auto" w:fill="DDE9F2"/>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vMerge w:val="restart"/>
          </w:tcPr>
          <w:p>
            <w:pPr>
              <w:jc w:val="right"/>
              <w:ind w:right="424"/>
              <w:spacing w:after="0"/>
              <w:rPr>
                <w:sz w:val="20"/>
                <w:szCs w:val="20"/>
                <w:color w:val="auto"/>
              </w:rPr>
            </w:pPr>
            <w:r>
              <w:rPr>
                <w:rFonts w:ascii="Arial" w:cs="Arial" w:eastAsia="Arial" w:hAnsi="Arial"/>
                <w:sz w:val="14"/>
                <w:szCs w:val="14"/>
                <w:color w:val="0B2E44"/>
              </w:rPr>
              <w:t>Female</w:t>
            </w:r>
          </w:p>
        </w:tc>
        <w:tc>
          <w:tcPr>
            <w:tcW w:w="1160" w:type="dxa"/>
            <w:vAlign w:val="bottom"/>
            <w:vMerge w:val="restart"/>
          </w:tcPr>
          <w:p>
            <w:pPr>
              <w:ind w:left="480"/>
              <w:spacing w:after="0"/>
              <w:rPr>
                <w:sz w:val="20"/>
                <w:szCs w:val="20"/>
                <w:color w:val="auto"/>
              </w:rPr>
            </w:pPr>
            <w:r>
              <w:rPr>
                <w:rFonts w:ascii="Arial" w:cs="Arial" w:eastAsia="Arial" w:hAnsi="Arial"/>
                <w:sz w:val="14"/>
                <w:szCs w:val="14"/>
                <w:color w:val="0B2E44"/>
              </w:rPr>
              <w:t>Male</w:t>
            </w:r>
          </w:p>
        </w:tc>
        <w:tc>
          <w:tcPr>
            <w:tcW w:w="1700" w:type="dxa"/>
            <w:vAlign w:val="bottom"/>
            <w:vMerge w:val="restart"/>
          </w:tcPr>
          <w:p>
            <w:pPr>
              <w:jc w:val="center"/>
              <w:ind w:left="100"/>
              <w:spacing w:after="0"/>
              <w:rPr>
                <w:sz w:val="20"/>
                <w:szCs w:val="20"/>
                <w:color w:val="auto"/>
              </w:rPr>
            </w:pPr>
            <w:r>
              <w:rPr>
                <w:rFonts w:ascii="Arial" w:cs="Arial" w:eastAsia="Arial" w:hAnsi="Arial"/>
                <w:sz w:val="14"/>
                <w:szCs w:val="14"/>
                <w:color w:val="0B2E44"/>
              </w:rPr>
              <w:t>Non-Binary</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0B2E44"/>
              </w:rPr>
              <w:t>Did not disclose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Borders>
              <w:bottom w:val="single" w:sz="8" w:color="E14A6A"/>
            </w:tcBorders>
          </w:tcPr>
          <w:p>
            <w:pPr>
              <w:spacing w:after="0"/>
              <w:rPr>
                <w:sz w:val="16"/>
                <w:szCs w:val="16"/>
                <w:color w:val="auto"/>
              </w:rPr>
            </w:pPr>
          </w:p>
        </w:tc>
        <w:tc>
          <w:tcPr>
            <w:tcW w:w="20" w:type="dxa"/>
            <w:vAlign w:val="bottom"/>
            <w:tcBorders>
              <w:bottom w:val="single" w:sz="8" w:color="DDE9F2"/>
            </w:tcBorders>
          </w:tcPr>
          <w:p>
            <w:pPr>
              <w:spacing w:after="0"/>
              <w:rPr>
                <w:sz w:val="16"/>
                <w:szCs w:val="16"/>
                <w:color w:val="auto"/>
              </w:rPr>
            </w:pPr>
          </w:p>
        </w:tc>
        <w:tc>
          <w:tcPr>
            <w:tcW w:w="1420" w:type="dxa"/>
            <w:vAlign w:val="bottom"/>
            <w:tcBorders>
              <w:bottom w:val="single" w:sz="8" w:color="E14A6A"/>
            </w:tcBorders>
            <w:vMerge w:val="continue"/>
          </w:tcPr>
          <w:p>
            <w:pPr>
              <w:spacing w:after="0"/>
              <w:rPr>
                <w:sz w:val="16"/>
                <w:szCs w:val="16"/>
                <w:color w:val="auto"/>
              </w:rPr>
            </w:pPr>
          </w:p>
        </w:tc>
        <w:tc>
          <w:tcPr>
            <w:tcW w:w="1160" w:type="dxa"/>
            <w:vAlign w:val="bottom"/>
            <w:tcBorders>
              <w:bottom w:val="single" w:sz="8" w:color="E14A6A"/>
            </w:tcBorders>
            <w:vMerge w:val="continue"/>
          </w:tcPr>
          <w:p>
            <w:pPr>
              <w:spacing w:after="0"/>
              <w:rPr>
                <w:sz w:val="16"/>
                <w:szCs w:val="16"/>
                <w:color w:val="auto"/>
              </w:rPr>
            </w:pPr>
          </w:p>
        </w:tc>
        <w:tc>
          <w:tcPr>
            <w:tcW w:w="1700" w:type="dxa"/>
            <w:vAlign w:val="bottom"/>
            <w:tcBorders>
              <w:bottom w:val="single" w:sz="8" w:color="E14A6A"/>
            </w:tcBorders>
            <w:vMerge w:val="continue"/>
          </w:tcPr>
          <w:p>
            <w:pPr>
              <w:spacing w:after="0"/>
              <w:rPr>
                <w:sz w:val="16"/>
                <w:szCs w:val="16"/>
                <w:color w:val="auto"/>
              </w:rPr>
            </w:pPr>
          </w:p>
        </w:tc>
        <w:tc>
          <w:tcPr>
            <w:tcW w:w="1800" w:type="dxa"/>
            <w:vAlign w:val="bottom"/>
            <w:tcBorders>
              <w:bottom w:val="single" w:sz="8" w:color="E14A6A"/>
            </w:tcBorders>
          </w:tcPr>
          <w:p>
            <w:pPr>
              <w:jc w:val="center"/>
              <w:spacing w:after="0"/>
              <w:rPr>
                <w:sz w:val="20"/>
                <w:szCs w:val="20"/>
                <w:color w:val="auto"/>
              </w:rPr>
            </w:pPr>
            <w:r>
              <w:rPr>
                <w:rFonts w:ascii="Arial" w:cs="Arial" w:eastAsia="Arial" w:hAnsi="Arial"/>
                <w:sz w:val="14"/>
                <w:szCs w:val="14"/>
                <w:color w:val="0B2E44"/>
              </w:rPr>
              <w:t>Gender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DDE9F2"/>
          </w:tcPr>
          <w:p>
            <w:pPr>
              <w:ind w:left="100"/>
              <w:spacing w:after="0"/>
              <w:rPr>
                <w:sz w:val="20"/>
                <w:szCs w:val="20"/>
                <w:color w:val="auto"/>
              </w:rPr>
            </w:pPr>
            <w:r>
              <w:rPr>
                <w:rFonts w:ascii="Arial" w:cs="Arial" w:eastAsia="Arial" w:hAnsi="Arial"/>
                <w:sz w:val="16"/>
                <w:szCs w:val="16"/>
                <w:b w:val="1"/>
                <w:bCs w:val="1"/>
                <w:color w:val="0B2E44"/>
              </w:rPr>
              <w:t>Directors</w:t>
            </w:r>
          </w:p>
        </w:tc>
        <w:tc>
          <w:tcPr>
            <w:tcW w:w="1440" w:type="dxa"/>
            <w:vAlign w:val="bottom"/>
            <w:gridSpan w:val="2"/>
            <w:shd w:val="clear" w:color="auto" w:fill="DDE9F2"/>
          </w:tcPr>
          <w:p>
            <w:pPr>
              <w:jc w:val="right"/>
              <w:ind w:right="704"/>
              <w:spacing w:after="0"/>
              <w:rPr>
                <w:sz w:val="20"/>
                <w:szCs w:val="20"/>
                <w:color w:val="auto"/>
              </w:rPr>
            </w:pPr>
            <w:r>
              <w:rPr>
                <w:rFonts w:ascii="Arial" w:cs="Arial" w:eastAsia="Arial" w:hAnsi="Arial"/>
                <w:sz w:val="16"/>
                <w:szCs w:val="16"/>
                <w:color w:val="0B2E44"/>
              </w:rPr>
              <w:t>3</w:t>
            </w:r>
          </w:p>
        </w:tc>
        <w:tc>
          <w:tcPr>
            <w:tcW w:w="1160" w:type="dxa"/>
            <w:vAlign w:val="bottom"/>
            <w:shd w:val="clear" w:color="auto" w:fill="DDE9F2"/>
          </w:tcPr>
          <w:p>
            <w:pPr>
              <w:jc w:val="center"/>
              <w:ind w:left="40"/>
              <w:spacing w:after="0"/>
              <w:rPr>
                <w:sz w:val="20"/>
                <w:szCs w:val="20"/>
                <w:color w:val="auto"/>
              </w:rPr>
            </w:pPr>
            <w:r>
              <w:rPr>
                <w:rFonts w:ascii="Arial" w:cs="Arial" w:eastAsia="Arial" w:hAnsi="Arial"/>
                <w:sz w:val="16"/>
                <w:szCs w:val="16"/>
                <w:color w:val="0B2E44"/>
                <w:w w:val="89"/>
              </w:rPr>
              <w:t>7</w:t>
            </w:r>
          </w:p>
        </w:tc>
        <w:tc>
          <w:tcPr>
            <w:tcW w:w="1700" w:type="dxa"/>
            <w:vAlign w:val="bottom"/>
            <w:shd w:val="clear" w:color="auto" w:fill="DDE9F2"/>
          </w:tcPr>
          <w:p>
            <w:pPr>
              <w:jc w:val="center"/>
              <w:ind w:left="100"/>
              <w:spacing w:after="0"/>
              <w:rPr>
                <w:sz w:val="20"/>
                <w:szCs w:val="20"/>
                <w:color w:val="auto"/>
              </w:rPr>
            </w:pPr>
            <w:r>
              <w:rPr>
                <w:rFonts w:ascii="Arial" w:cs="Arial" w:eastAsia="Arial" w:hAnsi="Arial"/>
                <w:sz w:val="16"/>
                <w:szCs w:val="16"/>
                <w:color w:val="0B2E44"/>
                <w:w w:val="99"/>
              </w:rPr>
              <w:t>—</w:t>
            </w:r>
          </w:p>
        </w:tc>
        <w:tc>
          <w:tcPr>
            <w:tcW w:w="1800" w:type="dxa"/>
            <w:vAlign w:val="bottom"/>
            <w:shd w:val="clear" w:color="auto" w:fill="DDE9F2"/>
          </w:tcPr>
          <w:p>
            <w:pPr>
              <w:jc w:val="right"/>
              <w:ind w:right="861"/>
              <w:spacing w:after="0"/>
              <w:rPr>
                <w:sz w:val="20"/>
                <w:szCs w:val="20"/>
                <w:color w:val="auto"/>
              </w:rPr>
            </w:pPr>
            <w:r>
              <w:rPr>
                <w:rFonts w:ascii="Arial" w:cs="Arial" w:eastAsia="Arial" w:hAnsi="Arial"/>
                <w:sz w:val="16"/>
                <w:szCs w:val="16"/>
                <w:color w:val="0B2E44"/>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gridSpan w:val="3"/>
          </w:tcPr>
          <w:p>
            <w:pPr>
              <w:ind w:left="120"/>
              <w:spacing w:after="0"/>
              <w:rPr>
                <w:sz w:val="20"/>
                <w:szCs w:val="20"/>
                <w:color w:val="auto"/>
              </w:rPr>
            </w:pPr>
            <w:r>
              <w:rPr>
                <w:rFonts w:ascii="Arial" w:cs="Arial" w:eastAsia="Arial" w:hAnsi="Arial"/>
                <w:sz w:val="14"/>
                <w:szCs w:val="14"/>
                <w:b w:val="1"/>
                <w:bCs w:val="1"/>
                <w:color w:val="0B2E44"/>
              </w:rPr>
              <w:t>NUMBER OF DIRECTORS WHO IDENTIFY IN ANY OF THE CATEGORIES BELOW:</w:t>
            </w: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DDE9F2"/>
          </w:tcPr>
          <w:p>
            <w:pPr>
              <w:ind w:left="120"/>
              <w:spacing w:after="0"/>
              <w:rPr>
                <w:sz w:val="20"/>
                <w:szCs w:val="20"/>
                <w:color w:val="auto"/>
              </w:rPr>
            </w:pPr>
            <w:r>
              <w:rPr>
                <w:rFonts w:ascii="Arial" w:cs="Arial" w:eastAsia="Arial" w:hAnsi="Arial"/>
                <w:sz w:val="14"/>
                <w:szCs w:val="14"/>
                <w:b w:val="1"/>
                <w:bCs w:val="1"/>
                <w:color w:val="0B2E44"/>
              </w:rPr>
              <w:t>African American or Black</w:t>
            </w:r>
          </w:p>
        </w:tc>
        <w:tc>
          <w:tcPr>
            <w:tcW w:w="20" w:type="dxa"/>
            <w:vAlign w:val="bottom"/>
            <w:shd w:val="clear" w:color="auto" w:fill="DDE9F2"/>
          </w:tcPr>
          <w:p>
            <w:pPr>
              <w:spacing w:after="0"/>
              <w:rPr>
                <w:sz w:val="18"/>
                <w:szCs w:val="18"/>
                <w:color w:val="auto"/>
              </w:rPr>
            </w:pPr>
          </w:p>
        </w:tc>
        <w:tc>
          <w:tcPr>
            <w:tcW w:w="1420" w:type="dxa"/>
            <w:vAlign w:val="bottom"/>
            <w:shd w:val="clear" w:color="auto" w:fill="DDE9F2"/>
          </w:tcPr>
          <w:p>
            <w:pPr>
              <w:jc w:val="center"/>
              <w:spacing w:after="0"/>
              <w:rPr>
                <w:sz w:val="20"/>
                <w:szCs w:val="20"/>
                <w:color w:val="auto"/>
              </w:rPr>
            </w:pPr>
            <w:r>
              <w:rPr>
                <w:rFonts w:ascii="Arial" w:cs="Arial" w:eastAsia="Arial" w:hAnsi="Arial"/>
                <w:sz w:val="16"/>
                <w:szCs w:val="16"/>
                <w:color w:val="0B2E44"/>
                <w:w w:val="99"/>
              </w:rPr>
              <w:t>—</w:t>
            </w:r>
          </w:p>
        </w:tc>
        <w:tc>
          <w:tcPr>
            <w:tcW w:w="1160" w:type="dxa"/>
            <w:vAlign w:val="bottom"/>
            <w:shd w:val="clear" w:color="auto" w:fill="DDE9F2"/>
          </w:tcPr>
          <w:p>
            <w:pPr>
              <w:jc w:val="center"/>
              <w:ind w:left="40"/>
              <w:spacing w:after="0"/>
              <w:rPr>
                <w:sz w:val="20"/>
                <w:szCs w:val="20"/>
                <w:color w:val="auto"/>
              </w:rPr>
            </w:pPr>
            <w:r>
              <w:rPr>
                <w:rFonts w:ascii="Arial" w:cs="Arial" w:eastAsia="Arial" w:hAnsi="Arial"/>
                <w:sz w:val="16"/>
                <w:szCs w:val="16"/>
                <w:color w:val="0B2E44"/>
                <w:w w:val="89"/>
              </w:rPr>
              <w:t>1</w:t>
            </w:r>
          </w:p>
        </w:tc>
        <w:tc>
          <w:tcPr>
            <w:tcW w:w="1700" w:type="dxa"/>
            <w:vAlign w:val="bottom"/>
            <w:shd w:val="clear" w:color="auto" w:fill="DDE9F2"/>
          </w:tcPr>
          <w:p>
            <w:pPr>
              <w:jc w:val="center"/>
              <w:ind w:left="100"/>
              <w:spacing w:after="0"/>
              <w:rPr>
                <w:sz w:val="20"/>
                <w:szCs w:val="20"/>
                <w:color w:val="auto"/>
              </w:rPr>
            </w:pPr>
            <w:r>
              <w:rPr>
                <w:rFonts w:ascii="Arial" w:cs="Arial" w:eastAsia="Arial" w:hAnsi="Arial"/>
                <w:sz w:val="16"/>
                <w:szCs w:val="16"/>
                <w:color w:val="0B2E44"/>
                <w:w w:val="99"/>
              </w:rPr>
              <w:t>—</w:t>
            </w:r>
          </w:p>
        </w:tc>
        <w:tc>
          <w:tcPr>
            <w:tcW w:w="1800" w:type="dxa"/>
            <w:vAlign w:val="bottom"/>
            <w:shd w:val="clear" w:color="auto" w:fill="DDE9F2"/>
          </w:tcPr>
          <w:p>
            <w:pPr>
              <w:jc w:val="center"/>
              <w:spacing w:after="0"/>
              <w:rPr>
                <w:sz w:val="20"/>
                <w:szCs w:val="20"/>
                <w:color w:val="auto"/>
              </w:rPr>
            </w:pPr>
            <w:r>
              <w:rPr>
                <w:rFonts w:ascii="Arial" w:cs="Arial" w:eastAsia="Arial" w:hAnsi="Arial"/>
                <w:sz w:val="16"/>
                <w:szCs w:val="16"/>
                <w:color w:val="0B2E44"/>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4"/>
                <w:szCs w:val="14"/>
                <w:b w:val="1"/>
                <w:bCs w:val="1"/>
                <w:color w:val="0B2E44"/>
              </w:rPr>
              <w:t>Asian</w:t>
            </w:r>
          </w:p>
        </w:tc>
        <w:tc>
          <w:tcPr>
            <w:tcW w:w="1440" w:type="dxa"/>
            <w:vAlign w:val="bottom"/>
            <w:gridSpan w:val="2"/>
          </w:tcPr>
          <w:p>
            <w:pPr>
              <w:jc w:val="center"/>
              <w:spacing w:after="0"/>
              <w:rPr>
                <w:sz w:val="20"/>
                <w:szCs w:val="20"/>
                <w:color w:val="auto"/>
              </w:rPr>
            </w:pPr>
            <w:r>
              <w:rPr>
                <w:rFonts w:ascii="Arial" w:cs="Arial" w:eastAsia="Arial" w:hAnsi="Arial"/>
                <w:sz w:val="16"/>
                <w:szCs w:val="16"/>
                <w:color w:val="0B2E44"/>
                <w:w w:val="89"/>
              </w:rPr>
              <w:t>1</w:t>
            </w:r>
          </w:p>
        </w:tc>
        <w:tc>
          <w:tcPr>
            <w:tcW w:w="1160" w:type="dxa"/>
            <w:vAlign w:val="bottom"/>
          </w:tcPr>
          <w:p>
            <w:pPr>
              <w:jc w:val="center"/>
              <w:ind w:left="40"/>
              <w:spacing w:after="0"/>
              <w:rPr>
                <w:sz w:val="20"/>
                <w:szCs w:val="20"/>
                <w:color w:val="auto"/>
              </w:rPr>
            </w:pPr>
            <w:r>
              <w:rPr>
                <w:rFonts w:ascii="Arial" w:cs="Arial" w:eastAsia="Arial" w:hAnsi="Arial"/>
                <w:sz w:val="16"/>
                <w:szCs w:val="16"/>
                <w:color w:val="0B2E44"/>
                <w:w w:val="89"/>
              </w:rPr>
              <w:t>1</w:t>
            </w:r>
          </w:p>
        </w:tc>
        <w:tc>
          <w:tcPr>
            <w:tcW w:w="1700" w:type="dxa"/>
            <w:vAlign w:val="bottom"/>
          </w:tcPr>
          <w:p>
            <w:pPr>
              <w:jc w:val="center"/>
              <w:ind w:left="100"/>
              <w:spacing w:after="0"/>
              <w:rPr>
                <w:sz w:val="20"/>
                <w:szCs w:val="20"/>
                <w:color w:val="auto"/>
              </w:rPr>
            </w:pPr>
            <w:r>
              <w:rPr>
                <w:rFonts w:ascii="Arial" w:cs="Arial" w:eastAsia="Arial" w:hAnsi="Arial"/>
                <w:sz w:val="16"/>
                <w:szCs w:val="16"/>
                <w:color w:val="0B2E44"/>
                <w:w w:val="99"/>
              </w:rPr>
              <w:t>—</w:t>
            </w:r>
          </w:p>
        </w:tc>
        <w:tc>
          <w:tcPr>
            <w:tcW w:w="1800" w:type="dxa"/>
            <w:vAlign w:val="bottom"/>
          </w:tcPr>
          <w:p>
            <w:pPr>
              <w:jc w:val="center"/>
              <w:spacing w:after="0"/>
              <w:rPr>
                <w:sz w:val="20"/>
                <w:szCs w:val="20"/>
                <w:color w:val="auto"/>
              </w:rPr>
            </w:pPr>
            <w:r>
              <w:rPr>
                <w:rFonts w:ascii="Arial" w:cs="Arial" w:eastAsia="Arial" w:hAnsi="Arial"/>
                <w:sz w:val="16"/>
                <w:szCs w:val="16"/>
                <w:color w:val="0B2E44"/>
                <w:w w:val="99"/>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DDE9F2"/>
          </w:tcPr>
          <w:p>
            <w:pPr>
              <w:ind w:left="120"/>
              <w:spacing w:after="0"/>
              <w:rPr>
                <w:sz w:val="20"/>
                <w:szCs w:val="20"/>
                <w:color w:val="auto"/>
              </w:rPr>
            </w:pPr>
            <w:r>
              <w:rPr>
                <w:rFonts w:ascii="Arial" w:cs="Arial" w:eastAsia="Arial" w:hAnsi="Arial"/>
                <w:sz w:val="14"/>
                <w:szCs w:val="14"/>
                <w:b w:val="1"/>
                <w:bCs w:val="1"/>
                <w:color w:val="0B2E44"/>
              </w:rPr>
              <w:t>Hispanic or Latinx</w:t>
            </w:r>
          </w:p>
        </w:tc>
        <w:tc>
          <w:tcPr>
            <w:tcW w:w="1440" w:type="dxa"/>
            <w:vAlign w:val="bottom"/>
            <w:gridSpan w:val="2"/>
            <w:shd w:val="clear" w:color="auto" w:fill="DDE9F2"/>
          </w:tcPr>
          <w:p>
            <w:pPr>
              <w:jc w:val="center"/>
              <w:spacing w:after="0"/>
              <w:rPr>
                <w:sz w:val="20"/>
                <w:szCs w:val="20"/>
                <w:color w:val="auto"/>
              </w:rPr>
            </w:pPr>
            <w:r>
              <w:rPr>
                <w:rFonts w:ascii="Arial" w:cs="Arial" w:eastAsia="Arial" w:hAnsi="Arial"/>
                <w:sz w:val="16"/>
                <w:szCs w:val="16"/>
                <w:color w:val="0B2E44"/>
                <w:w w:val="89"/>
              </w:rPr>
              <w:t>1</w:t>
            </w:r>
          </w:p>
        </w:tc>
        <w:tc>
          <w:tcPr>
            <w:tcW w:w="1160" w:type="dxa"/>
            <w:vAlign w:val="bottom"/>
            <w:shd w:val="clear" w:color="auto" w:fill="DDE9F2"/>
          </w:tcPr>
          <w:p>
            <w:pPr>
              <w:jc w:val="center"/>
              <w:ind w:left="40"/>
              <w:spacing w:after="0"/>
              <w:rPr>
                <w:sz w:val="20"/>
                <w:szCs w:val="20"/>
                <w:color w:val="auto"/>
              </w:rPr>
            </w:pPr>
            <w:r>
              <w:rPr>
                <w:rFonts w:ascii="Arial" w:cs="Arial" w:eastAsia="Arial" w:hAnsi="Arial"/>
                <w:sz w:val="16"/>
                <w:szCs w:val="16"/>
                <w:color w:val="0B2E44"/>
                <w:w w:val="99"/>
              </w:rPr>
              <w:t>—</w:t>
            </w:r>
          </w:p>
        </w:tc>
        <w:tc>
          <w:tcPr>
            <w:tcW w:w="1700" w:type="dxa"/>
            <w:vAlign w:val="bottom"/>
            <w:shd w:val="clear" w:color="auto" w:fill="DDE9F2"/>
          </w:tcPr>
          <w:p>
            <w:pPr>
              <w:jc w:val="center"/>
              <w:ind w:left="100"/>
              <w:spacing w:after="0"/>
              <w:rPr>
                <w:sz w:val="20"/>
                <w:szCs w:val="20"/>
                <w:color w:val="auto"/>
              </w:rPr>
            </w:pPr>
            <w:r>
              <w:rPr>
                <w:rFonts w:ascii="Arial" w:cs="Arial" w:eastAsia="Arial" w:hAnsi="Arial"/>
                <w:sz w:val="16"/>
                <w:szCs w:val="16"/>
                <w:color w:val="0B2E44"/>
                <w:w w:val="99"/>
              </w:rPr>
              <w:t>—</w:t>
            </w:r>
          </w:p>
        </w:tc>
        <w:tc>
          <w:tcPr>
            <w:tcW w:w="1800" w:type="dxa"/>
            <w:vAlign w:val="bottom"/>
            <w:shd w:val="clear" w:color="auto" w:fill="DDE9F2"/>
          </w:tcPr>
          <w:p>
            <w:pPr>
              <w:jc w:val="center"/>
              <w:spacing w:after="0"/>
              <w:rPr>
                <w:sz w:val="20"/>
                <w:szCs w:val="20"/>
                <w:color w:val="auto"/>
              </w:rPr>
            </w:pPr>
            <w:r>
              <w:rPr>
                <w:rFonts w:ascii="Arial" w:cs="Arial" w:eastAsia="Arial" w:hAnsi="Arial"/>
                <w:sz w:val="16"/>
                <w:szCs w:val="16"/>
                <w:color w:val="0B2E44"/>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4"/>
                <w:szCs w:val="14"/>
                <w:b w:val="1"/>
                <w:bCs w:val="1"/>
                <w:color w:val="0B2E44"/>
              </w:rPr>
              <w:t>White</w:t>
            </w:r>
          </w:p>
        </w:tc>
        <w:tc>
          <w:tcPr>
            <w:tcW w:w="1440" w:type="dxa"/>
            <w:vAlign w:val="bottom"/>
            <w:gridSpan w:val="2"/>
          </w:tcPr>
          <w:p>
            <w:pPr>
              <w:jc w:val="center"/>
              <w:spacing w:after="0"/>
              <w:rPr>
                <w:sz w:val="20"/>
                <w:szCs w:val="20"/>
                <w:color w:val="auto"/>
              </w:rPr>
            </w:pPr>
            <w:r>
              <w:rPr>
                <w:rFonts w:ascii="Arial" w:cs="Arial" w:eastAsia="Arial" w:hAnsi="Arial"/>
                <w:sz w:val="16"/>
                <w:szCs w:val="16"/>
                <w:color w:val="0B2E44"/>
                <w:w w:val="89"/>
              </w:rPr>
              <w:t>2</w:t>
            </w:r>
          </w:p>
        </w:tc>
        <w:tc>
          <w:tcPr>
            <w:tcW w:w="1160" w:type="dxa"/>
            <w:vAlign w:val="bottom"/>
          </w:tcPr>
          <w:p>
            <w:pPr>
              <w:jc w:val="center"/>
              <w:ind w:left="40"/>
              <w:spacing w:after="0"/>
              <w:rPr>
                <w:sz w:val="20"/>
                <w:szCs w:val="20"/>
                <w:color w:val="auto"/>
              </w:rPr>
            </w:pPr>
            <w:r>
              <w:rPr>
                <w:rFonts w:ascii="Arial" w:cs="Arial" w:eastAsia="Arial" w:hAnsi="Arial"/>
                <w:sz w:val="16"/>
                <w:szCs w:val="16"/>
                <w:color w:val="0B2E44"/>
                <w:w w:val="89"/>
              </w:rPr>
              <w:t>5</w:t>
            </w:r>
          </w:p>
        </w:tc>
        <w:tc>
          <w:tcPr>
            <w:tcW w:w="1700" w:type="dxa"/>
            <w:vAlign w:val="bottom"/>
          </w:tcPr>
          <w:p>
            <w:pPr>
              <w:jc w:val="center"/>
              <w:ind w:left="100"/>
              <w:spacing w:after="0"/>
              <w:rPr>
                <w:sz w:val="20"/>
                <w:szCs w:val="20"/>
                <w:color w:val="auto"/>
              </w:rPr>
            </w:pPr>
            <w:r>
              <w:rPr>
                <w:rFonts w:ascii="Arial" w:cs="Arial" w:eastAsia="Arial" w:hAnsi="Arial"/>
                <w:sz w:val="16"/>
                <w:szCs w:val="16"/>
                <w:color w:val="0B2E44"/>
                <w:w w:val="99"/>
              </w:rPr>
              <w:t>—</w:t>
            </w:r>
          </w:p>
        </w:tc>
        <w:tc>
          <w:tcPr>
            <w:tcW w:w="1800" w:type="dxa"/>
            <w:vAlign w:val="bottom"/>
          </w:tcPr>
          <w:p>
            <w:pPr>
              <w:jc w:val="center"/>
              <w:spacing w:after="0"/>
              <w:rPr>
                <w:sz w:val="20"/>
                <w:szCs w:val="20"/>
                <w:color w:val="auto"/>
              </w:rPr>
            </w:pPr>
            <w:r>
              <w:rPr>
                <w:rFonts w:ascii="Arial" w:cs="Arial" w:eastAsia="Arial" w:hAnsi="Arial"/>
                <w:sz w:val="16"/>
                <w:szCs w:val="16"/>
                <w:color w:val="0B2E44"/>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DDE9F2"/>
          </w:tcPr>
          <w:p>
            <w:pPr>
              <w:ind w:left="120"/>
              <w:spacing w:after="0"/>
              <w:rPr>
                <w:sz w:val="20"/>
                <w:szCs w:val="20"/>
                <w:color w:val="auto"/>
              </w:rPr>
            </w:pPr>
            <w:r>
              <w:rPr>
                <w:rFonts w:ascii="Arial" w:cs="Arial" w:eastAsia="Arial" w:hAnsi="Arial"/>
                <w:sz w:val="14"/>
                <w:szCs w:val="14"/>
                <w:b w:val="1"/>
                <w:bCs w:val="1"/>
                <w:color w:val="0B2E44"/>
              </w:rPr>
              <w:t>Two or More Races or Ethnicities</w:t>
            </w:r>
          </w:p>
        </w:tc>
        <w:tc>
          <w:tcPr>
            <w:tcW w:w="1440" w:type="dxa"/>
            <w:vAlign w:val="bottom"/>
            <w:gridSpan w:val="2"/>
            <w:shd w:val="clear" w:color="auto" w:fill="DDE9F2"/>
          </w:tcPr>
          <w:p>
            <w:pPr>
              <w:jc w:val="center"/>
              <w:spacing w:after="0"/>
              <w:rPr>
                <w:sz w:val="20"/>
                <w:szCs w:val="20"/>
                <w:color w:val="auto"/>
              </w:rPr>
            </w:pPr>
            <w:r>
              <w:rPr>
                <w:rFonts w:ascii="Arial" w:cs="Arial" w:eastAsia="Arial" w:hAnsi="Arial"/>
                <w:sz w:val="16"/>
                <w:szCs w:val="16"/>
                <w:color w:val="0B2E44"/>
                <w:w w:val="89"/>
              </w:rPr>
              <w:t>1</w:t>
            </w:r>
          </w:p>
        </w:tc>
        <w:tc>
          <w:tcPr>
            <w:tcW w:w="1160" w:type="dxa"/>
            <w:vAlign w:val="bottom"/>
            <w:shd w:val="clear" w:color="auto" w:fill="DDE9F2"/>
          </w:tcPr>
          <w:p>
            <w:pPr>
              <w:jc w:val="center"/>
              <w:ind w:left="40"/>
              <w:spacing w:after="0"/>
              <w:rPr>
                <w:sz w:val="20"/>
                <w:szCs w:val="20"/>
                <w:color w:val="auto"/>
              </w:rPr>
            </w:pPr>
            <w:r>
              <w:rPr>
                <w:rFonts w:ascii="Arial" w:cs="Arial" w:eastAsia="Arial" w:hAnsi="Arial"/>
                <w:sz w:val="16"/>
                <w:szCs w:val="16"/>
                <w:color w:val="0B2E44"/>
                <w:w w:val="99"/>
              </w:rPr>
              <w:t>—</w:t>
            </w:r>
          </w:p>
        </w:tc>
        <w:tc>
          <w:tcPr>
            <w:tcW w:w="1700" w:type="dxa"/>
            <w:vAlign w:val="bottom"/>
            <w:shd w:val="clear" w:color="auto" w:fill="DDE9F2"/>
          </w:tcPr>
          <w:p>
            <w:pPr>
              <w:jc w:val="center"/>
              <w:ind w:left="100"/>
              <w:spacing w:after="0"/>
              <w:rPr>
                <w:sz w:val="20"/>
                <w:szCs w:val="20"/>
                <w:color w:val="auto"/>
              </w:rPr>
            </w:pPr>
            <w:r>
              <w:rPr>
                <w:rFonts w:ascii="Arial" w:cs="Arial" w:eastAsia="Arial" w:hAnsi="Arial"/>
                <w:sz w:val="16"/>
                <w:szCs w:val="16"/>
                <w:color w:val="0B2E44"/>
                <w:w w:val="99"/>
              </w:rPr>
              <w:t>—</w:t>
            </w:r>
          </w:p>
        </w:tc>
        <w:tc>
          <w:tcPr>
            <w:tcW w:w="1800" w:type="dxa"/>
            <w:vAlign w:val="bottom"/>
            <w:shd w:val="clear" w:color="auto" w:fill="DDE9F2"/>
          </w:tcPr>
          <w:p>
            <w:pPr>
              <w:jc w:val="center"/>
              <w:spacing w:after="0"/>
              <w:rPr>
                <w:sz w:val="20"/>
                <w:szCs w:val="20"/>
                <w:color w:val="auto"/>
              </w:rPr>
            </w:pPr>
            <w:r>
              <w:rPr>
                <w:rFonts w:ascii="Arial" w:cs="Arial" w:eastAsia="Arial" w:hAnsi="Arial"/>
                <w:sz w:val="16"/>
                <w:szCs w:val="16"/>
                <w:color w:val="0B2E44"/>
                <w:w w:val="99"/>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Borders>
              <w:top w:val="single" w:sz="8" w:color="0B2E44"/>
            </w:tcBorders>
          </w:tcPr>
          <w:p>
            <w:pPr>
              <w:ind w:left="120"/>
              <w:spacing w:after="0"/>
              <w:rPr>
                <w:sz w:val="20"/>
                <w:szCs w:val="20"/>
                <w:color w:val="auto"/>
              </w:rPr>
            </w:pPr>
            <w:r>
              <w:rPr>
                <w:rFonts w:ascii="Arial" w:cs="Arial" w:eastAsia="Arial" w:hAnsi="Arial"/>
                <w:sz w:val="14"/>
                <w:szCs w:val="14"/>
                <w:b w:val="1"/>
                <w:bCs w:val="1"/>
                <w:color w:val="0B2E44"/>
              </w:rPr>
              <w:t>LGBTQ+</w:t>
            </w:r>
          </w:p>
        </w:tc>
        <w:tc>
          <w:tcPr>
            <w:tcW w:w="20" w:type="dxa"/>
            <w:vAlign w:val="bottom"/>
          </w:tcPr>
          <w:p>
            <w:pPr>
              <w:spacing w:after="0"/>
              <w:rPr>
                <w:sz w:val="17"/>
                <w:szCs w:val="17"/>
                <w:color w:val="auto"/>
              </w:rPr>
            </w:pPr>
          </w:p>
        </w:tc>
        <w:tc>
          <w:tcPr>
            <w:tcW w:w="1420" w:type="dxa"/>
            <w:vAlign w:val="bottom"/>
            <w:tcBorders>
              <w:top w:val="single" w:sz="8" w:color="0B2E44"/>
            </w:tcBorders>
          </w:tcPr>
          <w:p>
            <w:pPr>
              <w:spacing w:after="0"/>
              <w:rPr>
                <w:sz w:val="17"/>
                <w:szCs w:val="17"/>
                <w:color w:val="auto"/>
              </w:rPr>
            </w:pPr>
          </w:p>
        </w:tc>
        <w:tc>
          <w:tcPr>
            <w:tcW w:w="1160" w:type="dxa"/>
            <w:vAlign w:val="bottom"/>
            <w:tcBorders>
              <w:top w:val="single" w:sz="8" w:color="0B2E44"/>
            </w:tcBorders>
          </w:tcPr>
          <w:p>
            <w:pPr>
              <w:spacing w:after="0"/>
              <w:rPr>
                <w:sz w:val="17"/>
                <w:szCs w:val="17"/>
                <w:color w:val="auto"/>
              </w:rPr>
            </w:pPr>
          </w:p>
        </w:tc>
        <w:tc>
          <w:tcPr>
            <w:tcW w:w="1700" w:type="dxa"/>
            <w:vAlign w:val="bottom"/>
            <w:tcBorders>
              <w:top w:val="single" w:sz="8" w:color="0B2E44"/>
            </w:tcBorders>
          </w:tcPr>
          <w:p>
            <w:pPr>
              <w:jc w:val="right"/>
              <w:ind w:right="1120"/>
              <w:spacing w:after="0"/>
              <w:rPr>
                <w:sz w:val="20"/>
                <w:szCs w:val="20"/>
                <w:color w:val="auto"/>
              </w:rPr>
            </w:pPr>
            <w:r>
              <w:rPr>
                <w:rFonts w:ascii="Arial" w:cs="Arial" w:eastAsia="Arial" w:hAnsi="Arial"/>
                <w:sz w:val="16"/>
                <w:szCs w:val="16"/>
                <w:color w:val="0B2E44"/>
              </w:rPr>
              <w:t>1</w:t>
            </w:r>
          </w:p>
        </w:tc>
        <w:tc>
          <w:tcPr>
            <w:tcW w:w="1800" w:type="dxa"/>
            <w:vAlign w:val="bottom"/>
            <w:tcBorders>
              <w:top w:val="single" w:sz="8" w:color="0B2E44"/>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-1452880</wp:posOffset>
            </wp:positionV>
            <wp:extent cx="3874770" cy="1457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4770" cy="145732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0B2E44"/>
        </w:rPr>
        <w:t>Mr. David Walker and Mr. Todd Bradley will not stand for re-election at the Company’s 2023 Annual Meeting.</w:t>
      </w:r>
    </w:p>
    <w:p>
      <w:pPr>
        <w:spacing w:after="0" w:line="127" w:lineRule="exact"/>
        <w:rPr>
          <w:sz w:val="20"/>
          <w:szCs w:val="20"/>
          <w:color w:val="auto"/>
        </w:rPr>
      </w:pPr>
    </w:p>
    <w:p>
      <w:pPr>
        <w:ind w:right="780"/>
        <w:spacing w:after="0" w:line="276" w:lineRule="auto"/>
        <w:rPr>
          <w:sz w:val="20"/>
          <w:szCs w:val="20"/>
          <w:color w:val="auto"/>
        </w:rPr>
      </w:pPr>
      <w:r>
        <w:rPr>
          <w:rFonts w:ascii="Arial" w:cs="Arial" w:eastAsia="Arial" w:hAnsi="Arial"/>
          <w:sz w:val="16"/>
          <w:szCs w:val="16"/>
          <w:color w:val="0B2E44"/>
        </w:rPr>
        <w:t>Mr. Walker has served as a director and chairman of the Audit Committee since 2006. His in-depth understanding of, and expertise in governance, accounting, and finance has well-served the Company for almost two decades.</w:t>
      </w:r>
    </w:p>
    <w:p>
      <w:pPr>
        <w:spacing w:after="0" w:line="63" w:lineRule="exact"/>
        <w:rPr>
          <w:sz w:val="20"/>
          <w:szCs w:val="20"/>
          <w:color w:val="auto"/>
        </w:rPr>
      </w:pPr>
    </w:p>
    <w:p>
      <w:pPr>
        <w:ind w:right="840"/>
        <w:spacing w:after="0" w:line="293" w:lineRule="auto"/>
        <w:rPr>
          <w:sz w:val="20"/>
          <w:szCs w:val="20"/>
          <w:color w:val="auto"/>
        </w:rPr>
      </w:pPr>
      <w:r>
        <w:rPr>
          <w:rFonts w:ascii="Arial" w:cs="Arial" w:eastAsia="Arial" w:hAnsi="Arial"/>
          <w:sz w:val="16"/>
          <w:szCs w:val="16"/>
          <w:color w:val="0B2E44"/>
        </w:rPr>
        <w:t>Mr. Bradley has served as a director since 2020, serving on both the Talent Management and Compensation Committee (“TMCC”) and Operating Committee. The Company has benefited from Mr. Bradley’s decades of experience in the technology industry.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0B2E44"/>
        </w:rPr>
        <w:t>We thank Messrs. Walker and Bradley for their dedication and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11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Nominees for Election</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-1499235</wp:posOffset>
            </wp:positionV>
            <wp:extent cx="1345565" cy="1346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5565" cy="134620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59</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Chair of the Board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 xml:space="preserve">since </w:t>
      </w:r>
      <w:r>
        <w:rPr>
          <w:rFonts w:ascii="Arial" w:cs="Arial" w:eastAsia="Arial" w:hAnsi="Arial"/>
          <w:sz w:val="14"/>
          <w:szCs w:val="14"/>
          <w:b w:val="1"/>
          <w:bCs w:val="1"/>
          <w:color w:val="092E44"/>
        </w:rPr>
        <w:t>2019</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92E44"/>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1"/>
          <w:szCs w:val="31"/>
          <w:color w:val="E14A6A"/>
        </w:rPr>
        <w:t>Nicholas Adamo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77" w:lineRule="exact"/>
        <w:rPr>
          <w:sz w:val="20"/>
          <w:szCs w:val="20"/>
          <w:color w:val="auto"/>
        </w:rPr>
      </w:pPr>
    </w:p>
    <w:p>
      <w:pPr>
        <w:spacing w:after="0" w:line="258" w:lineRule="auto"/>
        <w:rPr>
          <w:sz w:val="20"/>
          <w:szCs w:val="20"/>
          <w:color w:val="auto"/>
        </w:rPr>
      </w:pPr>
      <w:r>
        <w:rPr>
          <w:rFonts w:ascii="Arial" w:cs="Arial" w:eastAsia="Arial" w:hAnsi="Arial"/>
          <w:sz w:val="15"/>
          <w:szCs w:val="15"/>
          <w:color w:val="092E44"/>
        </w:rPr>
        <w:t>Mr. Adamo is a former senior executive of Cisco Systems, where he served in a variety of sales and leadership roles over a 22-year career before his retirement in 2016. In particular, Mr. Adamo was Senior Vice President of the Americas, where he managed Cisco’s largest geographic region, with annual IT and communications sales of more than $26 billion, and was responsible for 6,500 employees working across 60 countries. Mr. Adamo also served as Senior Vice President of Cisco’s $12 billion Global Service Provider organization, leading sales, service delivery, and development for the company’s top service provider customers, among various other roles. Prior to his tenure at Cisco, Mr. Adamo spent more than a decade at IBM in various sales and management assignments.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91"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092E44"/>
        </w:rPr>
        <w:t>Mr. Adamo is an experienced information technology executive, with a deep working knowledge of the industry. He leverages his background with both enterprise and service provider segments to provide valuable insight and perspectives to our Board and management. He also has demonstrated an extensive ability to balance strategy and operational execution, foster long-standing strategic relationships, and guide business and technology discussions and decisions for shared success.</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92E44"/>
        </w:rPr>
        <w:t>Other Affiliations</w:t>
      </w:r>
    </w:p>
    <w:p>
      <w:pPr>
        <w:spacing w:after="0" w:line="50" w:lineRule="exact"/>
        <w:rPr>
          <w:sz w:val="20"/>
          <w:szCs w:val="20"/>
          <w:color w:val="auto"/>
        </w:rPr>
      </w:pPr>
    </w:p>
    <w:p>
      <w:pPr>
        <w:ind w:left="620" w:right="1680" w:hanging="322"/>
        <w:spacing w:after="0" w:line="262" w:lineRule="auto"/>
        <w:tabs>
          <w:tab w:leader="none" w:pos="620" w:val="left"/>
        </w:tabs>
        <w:numPr>
          <w:ilvl w:val="0"/>
          <w:numId w:val="12"/>
        </w:numPr>
        <w:rPr>
          <w:rFonts w:ascii="Arial" w:cs="Arial" w:eastAsia="Arial" w:hAnsi="Arial"/>
          <w:sz w:val="11"/>
          <w:szCs w:val="11"/>
          <w:color w:val="FF4A6A"/>
        </w:rPr>
      </w:pPr>
      <w:r>
        <w:rPr>
          <w:rFonts w:ascii="Arial" w:cs="Arial" w:eastAsia="Arial" w:hAnsi="Arial"/>
          <w:sz w:val="15"/>
          <w:szCs w:val="15"/>
          <w:color w:val="092E44"/>
        </w:rPr>
        <w:t>Founder and president of Making A Mark, Inc., a New Jersey-based charitable foundation targeting the environment and education</w:t>
      </w:r>
    </w:p>
    <w:p>
      <w:pPr>
        <w:spacing w:after="0" w:line="1" w:lineRule="exact"/>
        <w:rPr>
          <w:rFonts w:ascii="Arial" w:cs="Arial" w:eastAsia="Arial" w:hAnsi="Arial"/>
          <w:sz w:val="11"/>
          <w:szCs w:val="11"/>
          <w:color w:val="FF4A6A"/>
        </w:rPr>
      </w:pPr>
    </w:p>
    <w:p>
      <w:pPr>
        <w:ind w:left="620" w:hanging="322"/>
        <w:spacing w:after="0"/>
        <w:tabs>
          <w:tab w:leader="none" w:pos="620" w:val="left"/>
        </w:tabs>
        <w:numPr>
          <w:ilvl w:val="0"/>
          <w:numId w:val="12"/>
        </w:numPr>
        <w:rPr>
          <w:rFonts w:ascii="Arial" w:cs="Arial" w:eastAsia="Arial" w:hAnsi="Arial"/>
          <w:sz w:val="11"/>
          <w:szCs w:val="11"/>
          <w:color w:val="FF4A6A"/>
        </w:rPr>
      </w:pPr>
      <w:r>
        <w:rPr>
          <w:rFonts w:ascii="Arial" w:cs="Arial" w:eastAsia="Arial" w:hAnsi="Arial"/>
          <w:sz w:val="15"/>
          <w:szCs w:val="15"/>
          <w:color w:val="092E44"/>
        </w:rPr>
        <w:t>Lookout, Inc.</w:t>
      </w:r>
    </w:p>
    <w:p>
      <w:pPr>
        <w:spacing w:after="0" w:line="200" w:lineRule="exact"/>
        <w:rPr>
          <w:sz w:val="20"/>
          <w:szCs w:val="20"/>
          <w:color w:val="auto"/>
        </w:rPr>
      </w:pPr>
    </w:p>
    <w:p>
      <w:pPr>
        <w:sectPr>
          <w:pgSz w:w="11900" w:h="16838" w:orient="portrait"/>
          <w:cols w:equalWidth="0" w:num="2">
            <w:col w:w="2160" w:space="720"/>
            <w:col w:w="8320"/>
          </w:cols>
          <w:pgMar w:left="320" w:top="12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-1499235</wp:posOffset>
            </wp:positionV>
            <wp:extent cx="1345565" cy="1346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45565" cy="134620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61</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40" w:right="539"/>
        <w:spacing w:after="0" w:line="298" w:lineRule="auto"/>
        <w:rPr>
          <w:sz w:val="20"/>
          <w:szCs w:val="20"/>
          <w:color w:val="auto"/>
        </w:rPr>
      </w:pPr>
      <w:r>
        <w:rPr>
          <w:rFonts w:ascii="Arial" w:cs="Arial" w:eastAsia="Arial" w:hAnsi="Arial"/>
          <w:sz w:val="14"/>
          <w:szCs w:val="14"/>
          <w:b w:val="1"/>
          <w:bCs w:val="1"/>
          <w:color w:val="092E44"/>
        </w:rPr>
        <w:t>Nominations and 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1"/>
        <w:spacing w:after="0"/>
        <w:rPr>
          <w:sz w:val="20"/>
          <w:szCs w:val="20"/>
          <w:color w:val="auto"/>
        </w:rPr>
      </w:pPr>
      <w:r>
        <w:rPr>
          <w:rFonts w:ascii="Arial" w:cs="Arial" w:eastAsia="Arial" w:hAnsi="Arial"/>
          <w:sz w:val="31"/>
          <w:szCs w:val="31"/>
          <w:color w:val="E14A6A"/>
        </w:rPr>
        <w:t>Martha Bejar</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92E44"/>
        </w:rPr>
        <w:t>Professional Background</w:t>
      </w:r>
    </w:p>
    <w:p>
      <w:pPr>
        <w:spacing w:after="0" w:line="77" w:lineRule="exact"/>
        <w:rPr>
          <w:sz w:val="20"/>
          <w:szCs w:val="20"/>
          <w:color w:val="auto"/>
        </w:rPr>
      </w:pPr>
    </w:p>
    <w:p>
      <w:pPr>
        <w:ind w:left="1" w:right="180"/>
        <w:spacing w:after="0" w:line="260" w:lineRule="auto"/>
        <w:rPr>
          <w:sz w:val="20"/>
          <w:szCs w:val="20"/>
          <w:color w:val="auto"/>
        </w:rPr>
      </w:pPr>
      <w:r>
        <w:rPr>
          <w:rFonts w:ascii="Arial" w:cs="Arial" w:eastAsia="Arial" w:hAnsi="Arial"/>
          <w:sz w:val="15"/>
          <w:szCs w:val="15"/>
          <w:color w:val="092E44"/>
        </w:rPr>
        <w:t>Ms. Bejar has been a senior partner at Dagrosa Capital LLC since 2021. She is also the co-founder and Chief Executive Officer of Red Bison Advisory Group, LLC. Ms. Bejar has served as Chief Executive Officer of several private telecommunications and technology companies, including Unium Inc., Flow Mobile Inc., and Wipro Infocrossing Inc. She has also held executive positions at Microsoft Corporation, Nortel Networks Corporation, and Bell Communications Research.</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92E44"/>
        </w:rPr>
        <w:t>Qualifications</w:t>
      </w:r>
    </w:p>
    <w:p>
      <w:pPr>
        <w:spacing w:after="0" w:line="77" w:lineRule="exact"/>
        <w:rPr>
          <w:sz w:val="20"/>
          <w:szCs w:val="20"/>
          <w:color w:val="auto"/>
        </w:rPr>
      </w:pPr>
    </w:p>
    <w:p>
      <w:pPr>
        <w:ind w:left="1" w:right="100"/>
        <w:spacing w:after="0" w:line="266" w:lineRule="auto"/>
        <w:rPr>
          <w:sz w:val="20"/>
          <w:szCs w:val="20"/>
          <w:color w:val="auto"/>
        </w:rPr>
      </w:pPr>
      <w:r>
        <w:rPr>
          <w:rFonts w:ascii="Arial" w:cs="Arial" w:eastAsia="Arial" w:hAnsi="Arial"/>
          <w:sz w:val="15"/>
          <w:szCs w:val="15"/>
          <w:color w:val="092E44"/>
        </w:rPr>
        <w:t>Ms. Bejar has a strong track record of leadership and a proven ability to drive and support innovation in the technology and software space. She provides the Board with a wealth of executive, strategic, and governance experience in the industry and valuable insights regarding Commvault’s operations and strategic development. She has a passion for CSR and sustainability and is an active participant in driving initiatives in those areas.</w:t>
      </w:r>
    </w:p>
    <w:p>
      <w:pPr>
        <w:spacing w:after="0" w:line="200" w:lineRule="exact"/>
        <w:rPr>
          <w:sz w:val="20"/>
          <w:szCs w:val="20"/>
          <w:color w:val="auto"/>
        </w:rPr>
      </w:pPr>
    </w:p>
    <w:p>
      <w:pPr>
        <w:spacing w:after="0" w:line="246" w:lineRule="exact"/>
        <w:rPr>
          <w:sz w:val="20"/>
          <w:szCs w:val="20"/>
          <w:color w:val="auto"/>
        </w:rPr>
      </w:pPr>
    </w:p>
    <w:tbl>
      <w:tblPr>
        <w:tblLayout w:type="fixed"/>
        <w:tblInd w:w="1" w:type="dxa"/>
        <w:tblCellMar>
          <w:top w:w="0" w:type="dxa"/>
          <w:left w:w="0" w:type="dxa"/>
          <w:bottom w:w="0" w:type="dxa"/>
          <w:right w:w="0" w:type="dxa"/>
        </w:tblCellMar>
      </w:tblPr>
      <w:tr>
        <w:trPr>
          <w:trHeight w:val="221"/>
        </w:trPr>
        <w:tc>
          <w:tcPr>
            <w:tcW w:w="3400" w:type="dxa"/>
            <w:vAlign w:val="bottom"/>
            <w:gridSpan w:val="2"/>
          </w:tcPr>
          <w:p>
            <w:pPr>
              <w:spacing w:after="0"/>
              <w:rPr>
                <w:sz w:val="20"/>
                <w:szCs w:val="20"/>
                <w:color w:val="auto"/>
              </w:rPr>
            </w:pPr>
            <w:r>
              <w:rPr>
                <w:rFonts w:ascii="Arial" w:cs="Arial" w:eastAsia="Arial" w:hAnsi="Arial"/>
                <w:sz w:val="16"/>
                <w:szCs w:val="16"/>
                <w:b w:val="1"/>
                <w:bCs w:val="1"/>
                <w:color w:val="092E44"/>
              </w:rPr>
              <w:t>Other Public Company Boards</w:t>
            </w:r>
          </w:p>
        </w:tc>
        <w:tc>
          <w:tcPr>
            <w:tcW w:w="2260" w:type="dxa"/>
            <w:vAlign w:val="bottom"/>
            <w:gridSpan w:val="2"/>
          </w:tcPr>
          <w:p>
            <w:pPr>
              <w:ind w:left="920"/>
              <w:spacing w:after="0"/>
              <w:rPr>
                <w:sz w:val="20"/>
                <w:szCs w:val="20"/>
                <w:color w:val="auto"/>
              </w:rPr>
            </w:pPr>
            <w:r>
              <w:rPr>
                <w:rFonts w:ascii="Arial" w:cs="Arial" w:eastAsia="Arial" w:hAnsi="Arial"/>
                <w:sz w:val="16"/>
                <w:szCs w:val="16"/>
                <w:b w:val="1"/>
                <w:bCs w:val="1"/>
                <w:color w:val="092E44"/>
              </w:rPr>
              <w:t>Other Affiliations</w:t>
            </w:r>
          </w:p>
        </w:tc>
      </w:tr>
      <w:tr>
        <w:trPr>
          <w:trHeight w:val="189"/>
        </w:trPr>
        <w:tc>
          <w:tcPr>
            <w:tcW w:w="140" w:type="dxa"/>
            <w:vAlign w:val="bottom"/>
          </w:tcPr>
          <w:p>
            <w:pPr>
              <w:spacing w:after="0"/>
              <w:rPr>
                <w:sz w:val="20"/>
                <w:szCs w:val="20"/>
                <w:color w:val="auto"/>
              </w:rPr>
            </w:pPr>
            <w:r>
              <w:rPr>
                <w:rFonts w:ascii="Arial" w:cs="Arial" w:eastAsia="Arial" w:hAnsi="Arial"/>
                <w:sz w:val="15"/>
                <w:szCs w:val="15"/>
                <w:color w:val="E14A6A"/>
              </w:rPr>
              <w:t>•</w:t>
            </w:r>
          </w:p>
        </w:tc>
        <w:tc>
          <w:tcPr>
            <w:tcW w:w="3260" w:type="dxa"/>
            <w:vAlign w:val="bottom"/>
          </w:tcPr>
          <w:p>
            <w:pPr>
              <w:ind w:left="80"/>
              <w:spacing w:after="0"/>
              <w:rPr>
                <w:sz w:val="20"/>
                <w:szCs w:val="20"/>
                <w:color w:val="auto"/>
              </w:rPr>
            </w:pPr>
            <w:r>
              <w:rPr>
                <w:rFonts w:ascii="Arial" w:cs="Arial" w:eastAsia="Arial" w:hAnsi="Arial"/>
                <w:sz w:val="15"/>
                <w:szCs w:val="15"/>
                <w:color w:val="092E44"/>
              </w:rPr>
              <w:t>Lumen Technologies (since 2016)</w:t>
            </w:r>
          </w:p>
        </w:tc>
        <w:tc>
          <w:tcPr>
            <w:tcW w:w="1060" w:type="dxa"/>
            <w:vAlign w:val="bottom"/>
          </w:tcPr>
          <w:p>
            <w:pPr>
              <w:ind w:left="920"/>
              <w:spacing w:after="0"/>
              <w:rPr>
                <w:sz w:val="20"/>
                <w:szCs w:val="20"/>
                <w:color w:val="auto"/>
              </w:rPr>
            </w:pPr>
            <w:r>
              <w:rPr>
                <w:rFonts w:ascii="Arial" w:cs="Arial" w:eastAsia="Arial" w:hAnsi="Arial"/>
                <w:sz w:val="15"/>
                <w:szCs w:val="15"/>
                <w:color w:val="E14A6A"/>
              </w:rPr>
              <w:t>•</w:t>
            </w:r>
          </w:p>
        </w:tc>
        <w:tc>
          <w:tcPr>
            <w:tcW w:w="1200" w:type="dxa"/>
            <w:vAlign w:val="bottom"/>
          </w:tcPr>
          <w:p>
            <w:pPr>
              <w:ind w:left="80"/>
              <w:spacing w:after="0"/>
              <w:rPr>
                <w:sz w:val="20"/>
                <w:szCs w:val="20"/>
                <w:color w:val="auto"/>
              </w:rPr>
            </w:pPr>
            <w:r>
              <w:rPr>
                <w:rFonts w:ascii="Arial" w:cs="Arial" w:eastAsia="Arial" w:hAnsi="Arial"/>
                <w:sz w:val="15"/>
                <w:szCs w:val="15"/>
                <w:color w:val="092E44"/>
              </w:rPr>
              <w:t>Afinitix</w:t>
            </w:r>
          </w:p>
        </w:tc>
      </w:tr>
      <w:tr>
        <w:trPr>
          <w:trHeight w:val="199"/>
        </w:trPr>
        <w:tc>
          <w:tcPr>
            <w:tcW w:w="140" w:type="dxa"/>
            <w:vAlign w:val="bottom"/>
          </w:tcPr>
          <w:p>
            <w:pPr>
              <w:spacing w:after="0"/>
              <w:rPr>
                <w:sz w:val="20"/>
                <w:szCs w:val="20"/>
                <w:color w:val="auto"/>
              </w:rPr>
            </w:pPr>
            <w:r>
              <w:rPr>
                <w:rFonts w:ascii="Arial" w:cs="Arial" w:eastAsia="Arial" w:hAnsi="Arial"/>
                <w:sz w:val="15"/>
                <w:szCs w:val="15"/>
                <w:color w:val="E14A6A"/>
              </w:rPr>
              <w:t>•</w:t>
            </w:r>
          </w:p>
        </w:tc>
        <w:tc>
          <w:tcPr>
            <w:tcW w:w="3260" w:type="dxa"/>
            <w:vAlign w:val="bottom"/>
          </w:tcPr>
          <w:p>
            <w:pPr>
              <w:ind w:left="80"/>
              <w:spacing w:after="0"/>
              <w:rPr>
                <w:sz w:val="20"/>
                <w:szCs w:val="20"/>
                <w:color w:val="auto"/>
              </w:rPr>
            </w:pPr>
            <w:r>
              <w:rPr>
                <w:rFonts w:ascii="Arial" w:cs="Arial" w:eastAsia="Arial" w:hAnsi="Arial"/>
                <w:sz w:val="15"/>
                <w:szCs w:val="15"/>
                <w:color w:val="092E44"/>
              </w:rPr>
              <w:t>Quadient S.A. (since 2019)</w:t>
            </w:r>
          </w:p>
        </w:tc>
        <w:tc>
          <w:tcPr>
            <w:tcW w:w="1060" w:type="dxa"/>
            <w:vAlign w:val="bottom"/>
          </w:tcPr>
          <w:p>
            <w:pPr>
              <w:ind w:left="920"/>
              <w:spacing w:after="0"/>
              <w:rPr>
                <w:sz w:val="20"/>
                <w:szCs w:val="20"/>
                <w:color w:val="auto"/>
              </w:rPr>
            </w:pPr>
            <w:r>
              <w:rPr>
                <w:rFonts w:ascii="Arial" w:cs="Arial" w:eastAsia="Arial" w:hAnsi="Arial"/>
                <w:sz w:val="15"/>
                <w:szCs w:val="15"/>
                <w:color w:val="E14A6A"/>
              </w:rPr>
              <w:t>•</w:t>
            </w:r>
          </w:p>
        </w:tc>
        <w:tc>
          <w:tcPr>
            <w:tcW w:w="1200" w:type="dxa"/>
            <w:vAlign w:val="bottom"/>
          </w:tcPr>
          <w:p>
            <w:pPr>
              <w:ind w:left="80"/>
              <w:spacing w:after="0"/>
              <w:rPr>
                <w:sz w:val="20"/>
                <w:szCs w:val="20"/>
                <w:color w:val="auto"/>
              </w:rPr>
            </w:pPr>
            <w:r>
              <w:rPr>
                <w:rFonts w:ascii="Arial" w:cs="Arial" w:eastAsia="Arial" w:hAnsi="Arial"/>
                <w:sz w:val="15"/>
                <w:szCs w:val="15"/>
                <w:color w:val="092E44"/>
                <w:w w:val="99"/>
              </w:rPr>
              <w:t>Rainier Scholars</w:t>
            </w:r>
          </w:p>
        </w:tc>
      </w:tr>
    </w:tbl>
    <w:p>
      <w:pPr>
        <w:ind w:left="221" w:hanging="221"/>
        <w:spacing w:after="0"/>
        <w:tabs>
          <w:tab w:leader="none" w:pos="221" w:val="left"/>
        </w:tabs>
        <w:numPr>
          <w:ilvl w:val="0"/>
          <w:numId w:val="13"/>
        </w:numPr>
        <w:rPr>
          <w:rFonts w:ascii="Arial" w:cs="Arial" w:eastAsia="Arial" w:hAnsi="Arial"/>
          <w:sz w:val="15"/>
          <w:szCs w:val="15"/>
          <w:color w:val="E14A6A"/>
        </w:rPr>
      </w:pPr>
      <w:r>
        <w:rPr>
          <w:rFonts w:ascii="Arial" w:cs="Arial" w:eastAsia="Arial" w:hAnsi="Arial"/>
          <w:sz w:val="15"/>
          <w:szCs w:val="15"/>
          <w:color w:val="092E44"/>
        </w:rPr>
        <w:t>Sportsman’s Warehouse (since 2019)</w:t>
      </w:r>
    </w:p>
    <w:p>
      <w:pPr>
        <w:spacing w:after="0" w:line="200" w:lineRule="exact"/>
        <w:rPr>
          <w:sz w:val="20"/>
          <w:szCs w:val="20"/>
          <w:color w:val="auto"/>
        </w:rPr>
      </w:pPr>
    </w:p>
    <w:p>
      <w:pPr>
        <w:sectPr>
          <w:pgSz w:w="11900" w:h="16838" w:orient="portrait"/>
          <w:cols w:equalWidth="0" w:num="2">
            <w:col w:w="1899" w:space="720"/>
            <w:col w:w="8581"/>
          </w:cols>
          <w:pgMar w:left="320" w:top="12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12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-1584960</wp:posOffset>
            </wp:positionV>
            <wp:extent cx="1345565" cy="1345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70</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1996</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92E44"/>
        </w:rPr>
        <w:t>TMCC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171450</wp:posOffset>
            </wp:positionV>
            <wp:extent cx="1345565" cy="1345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E14A6A"/>
        </w:rPr>
        <w:t>Independent</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56</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2018</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92E44"/>
        </w:rPr>
        <w:t>Nominations and</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92E44"/>
        </w:rPr>
        <w:t>Governance, Talent Management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92E44"/>
        </w:rPr>
        <w:t>and 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31"/>
          <w:szCs w:val="31"/>
          <w:color w:val="E14A6A"/>
        </w:rPr>
        <w:t>Keith Geeslin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77"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092E44"/>
        </w:rPr>
        <w:t>Mr. Geeslin has been a partner at Francisco Partners, a global private equity firm, since 2004. Before joining Francisco Partners, Mr. Geeslin spent 19 years with the Sprout Group, the venture capital arm of Credit Suisse’s asset management business. Prior to joining the Sprout Group, Mr. Geeslin was the general manager of a division of Tymshare, Inc., a provider of public computer and network services, and held various positions at its Tymnet subsidiary, from 1980 to 1984. He was also previously a staff member of the U.S. Senate Commerce Committee.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77"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092E44"/>
        </w:rPr>
        <w:t>Mr. Geeslin’s private equity and venture capital experience, with a focus on technology sector companies, has given him an understanding of finance and of growth strategies, as well as experience in evaluating businesses in our company’s industry. Originally representing one of our company’s initial investors, Mr. Geeslin has a long history with Commvault and its management, providing continuity to Board deliberations. Mr. Geeslin’s experience on other public company boards is also valuable to the Board.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77" w:lineRule="exact"/>
        <w:rPr>
          <w:sz w:val="20"/>
          <w:szCs w:val="20"/>
          <w:color w:val="auto"/>
        </w:rPr>
      </w:pPr>
    </w:p>
    <w:p>
      <w:pPr>
        <w:ind w:left="220" w:hanging="219"/>
        <w:spacing w:after="0"/>
        <w:tabs>
          <w:tab w:leader="none" w:pos="220" w:val="left"/>
        </w:tabs>
        <w:numPr>
          <w:ilvl w:val="0"/>
          <w:numId w:val="14"/>
        </w:numPr>
        <w:rPr>
          <w:rFonts w:ascii="Arial" w:cs="Arial" w:eastAsia="Arial" w:hAnsi="Arial"/>
          <w:sz w:val="15"/>
          <w:szCs w:val="15"/>
          <w:color w:val="E14A6A"/>
        </w:rPr>
      </w:pPr>
      <w:r>
        <w:rPr>
          <w:rFonts w:ascii="Arial" w:cs="Arial" w:eastAsia="Arial" w:hAnsi="Arial"/>
          <w:sz w:val="15"/>
          <w:szCs w:val="15"/>
          <w:color w:val="092E44"/>
        </w:rPr>
        <w:t>Synaptics, Inc. (since 1986)</w:t>
      </w:r>
    </w:p>
    <w:p>
      <w:pPr>
        <w:spacing w:after="0" w:line="123" w:lineRule="exact"/>
        <w:rPr>
          <w:sz w:val="20"/>
          <w:szCs w:val="20"/>
          <w:color w:val="auto"/>
        </w:rPr>
      </w:pPr>
    </w:p>
    <w:p>
      <w:pPr>
        <w:spacing w:after="0"/>
        <w:rPr>
          <w:sz w:val="20"/>
          <w:szCs w:val="20"/>
          <w:color w:val="auto"/>
        </w:rPr>
      </w:pPr>
      <w:r>
        <w:rPr>
          <w:rFonts w:ascii="Arial" w:cs="Arial" w:eastAsia="Arial" w:hAnsi="Arial"/>
          <w:sz w:val="31"/>
          <w:szCs w:val="31"/>
          <w:color w:val="E14A6A"/>
        </w:rPr>
        <w:t>Vivie “YY” Lee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77" w:lineRule="exact"/>
        <w:rPr>
          <w:sz w:val="20"/>
          <w:szCs w:val="20"/>
          <w:color w:val="auto"/>
        </w:rPr>
      </w:pPr>
    </w:p>
    <w:p>
      <w:pPr>
        <w:spacing w:after="0" w:line="258" w:lineRule="auto"/>
        <w:rPr>
          <w:sz w:val="20"/>
          <w:szCs w:val="20"/>
          <w:color w:val="auto"/>
        </w:rPr>
      </w:pPr>
      <w:r>
        <w:rPr>
          <w:rFonts w:ascii="Arial" w:cs="Arial" w:eastAsia="Arial" w:hAnsi="Arial"/>
          <w:sz w:val="15"/>
          <w:szCs w:val="15"/>
          <w:color w:val="092E44"/>
        </w:rPr>
        <w:t>Ms. Lee served as Senior Vice President and Chief Strategy Officer of Anaplan, a SaaS software company, from September 2018 until October 2021. Prior to joining Anaplan, Ms. Lee served as Chief Executive Officer for FirstRain, a business analytics platform company, from 2015 until 2018, and as Chief Operating Officer for ten years before that. Earlier in her career, Ms. Lee served as General Manager of Worldwide Services at Cadence Design Systems. In that position, she merged several services divisions into an industry-leading advanced technology operation. She held P&amp;L responsibility for the business, spanning research and development, go-to-market, sales, and support across global regions including the US, UK/EU, India, China, and Japan. Before Ms. Lee’s tenure at Cadence, she co-founded Aqueduct Software, an enterprise-class software development solution for automating application data collection, profiling, and analysis during iterative development, testing, and deployment. Bootstrapping the company from the ground-up, she secured top-tier VC financing, and ultimately led the company through acquisition by NetManage in 2000. Ms. Lee began her career at Bell Labs and has also worked at Synopsys and 8x8 (formerly Integrated Information Technology, Inc.) in various product management roles.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91" w:lineRule="exact"/>
        <w:rPr>
          <w:sz w:val="20"/>
          <w:szCs w:val="20"/>
          <w:color w:val="auto"/>
        </w:rPr>
      </w:pPr>
    </w:p>
    <w:p>
      <w:pPr>
        <w:ind w:right="220"/>
        <w:spacing w:after="0" w:line="260" w:lineRule="auto"/>
        <w:rPr>
          <w:sz w:val="20"/>
          <w:szCs w:val="20"/>
          <w:color w:val="auto"/>
        </w:rPr>
      </w:pPr>
      <w:r>
        <w:rPr>
          <w:rFonts w:ascii="Arial" w:cs="Arial" w:eastAsia="Arial" w:hAnsi="Arial"/>
          <w:sz w:val="15"/>
          <w:szCs w:val="15"/>
          <w:color w:val="092E44"/>
        </w:rPr>
        <w:t>Through her tenures at numerous start-up and mature technology companies, Ms. Lee brings significant entrepreneurial and executive-level experience in the technology and software industry to the Board. Her expertise in the IT space is broad; and provides the Board with tech-focused insight and perspective in the critical areas of operations, marketing, and strategic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77" w:lineRule="exact"/>
        <w:rPr>
          <w:sz w:val="20"/>
          <w:szCs w:val="20"/>
          <w:color w:val="auto"/>
        </w:rPr>
      </w:pPr>
    </w:p>
    <w:p>
      <w:pPr>
        <w:ind w:left="220" w:hanging="219"/>
        <w:spacing w:after="0"/>
        <w:tabs>
          <w:tab w:leader="none" w:pos="220" w:val="left"/>
        </w:tabs>
        <w:numPr>
          <w:ilvl w:val="0"/>
          <w:numId w:val="15"/>
        </w:numPr>
        <w:rPr>
          <w:rFonts w:ascii="Arial" w:cs="Arial" w:eastAsia="Arial" w:hAnsi="Arial"/>
          <w:sz w:val="15"/>
          <w:szCs w:val="15"/>
          <w:color w:val="E14A6A"/>
        </w:rPr>
      </w:pPr>
      <w:r>
        <w:rPr>
          <w:rFonts w:ascii="Arial" w:cs="Arial" w:eastAsia="Arial" w:hAnsi="Arial"/>
          <w:sz w:val="15"/>
          <w:szCs w:val="15"/>
          <w:color w:val="092E44"/>
        </w:rPr>
        <w:t>Synaptics, Inc. (since 2022)</w:t>
      </w:r>
    </w:p>
    <w:p>
      <w:pPr>
        <w:spacing w:after="0" w:line="30" w:lineRule="exact"/>
        <w:rPr>
          <w:rFonts w:ascii="Arial" w:cs="Arial" w:eastAsia="Arial" w:hAnsi="Arial"/>
          <w:sz w:val="15"/>
          <w:szCs w:val="15"/>
          <w:color w:val="E14A6A"/>
        </w:rPr>
      </w:pPr>
    </w:p>
    <w:p>
      <w:pPr>
        <w:ind w:left="220" w:hanging="219"/>
        <w:spacing w:after="0"/>
        <w:tabs>
          <w:tab w:leader="none" w:pos="220" w:val="left"/>
        </w:tabs>
        <w:numPr>
          <w:ilvl w:val="0"/>
          <w:numId w:val="15"/>
        </w:numPr>
        <w:rPr>
          <w:rFonts w:ascii="Arial" w:cs="Arial" w:eastAsia="Arial" w:hAnsi="Arial"/>
          <w:sz w:val="15"/>
          <w:szCs w:val="15"/>
          <w:color w:val="E14A6A"/>
        </w:rPr>
      </w:pPr>
      <w:r>
        <w:rPr>
          <w:rFonts w:ascii="Arial" w:cs="Arial" w:eastAsia="Arial" w:hAnsi="Arial"/>
          <w:sz w:val="15"/>
          <w:szCs w:val="15"/>
          <w:color w:val="092E44"/>
        </w:rPr>
        <w:t>Belden, Inc. (since 2023)</w:t>
      </w:r>
    </w:p>
    <w:p>
      <w:pPr>
        <w:spacing w:after="0" w:line="200" w:lineRule="exact"/>
        <w:rPr>
          <w:sz w:val="20"/>
          <w:szCs w:val="20"/>
          <w:color w:val="auto"/>
        </w:rPr>
      </w:pPr>
    </w:p>
    <w:p>
      <w:pPr>
        <w:sectPr>
          <w:pgSz w:w="11900" w:h="16838" w:orient="portrait"/>
          <w:cols w:equalWidth="0" w:num="2">
            <w:col w:w="2360" w:space="240"/>
            <w:col w:w="862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13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-1584960</wp:posOffset>
            </wp:positionV>
            <wp:extent cx="1345565" cy="13455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2019</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92E44"/>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1"/>
          <w:szCs w:val="31"/>
          <w:color w:val="E14A6A"/>
        </w:rPr>
        <w:t>Sanjay Mirchandani</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77"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092E44"/>
        </w:rPr>
        <w:t>Mr. Mirchandani has been the President and Chief Executive Officer of Commvault since February 2019. Previously, he served as the Chief Executive Officer of Puppet, Inc., an Oregon-based IT automation company from 2016-2019. Before joining Puppet, he was Corporate Senior Vice President and General Manager of Asia Pacific and Japan at VMware, Inc. from 2013 to 2016. During his seven years at EMC Corporation, Mr. Mirchandani served as the company’s Chief Information Officer and led its Global Centers of Excellence. Prior to that, he held various positions at Microsoft Corporation.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77"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092E44"/>
        </w:rPr>
        <w:t>Mr. Mirchandani brings a wealth of international business, software and SaaS experience from a rich background in technology and IT leadership. As a former CIO, he has unique experience helping CIOs and IT leaders manage the collision occurring between IT and Security. As our Chief Executive Officer, he brings his knowledge and perspective about critical company business strategies, financial position, and operational matters into Board deliberations. His insight regarding the Company’s operations and future are critical to the successful functioning of the Board.</w:t>
      </w:r>
    </w:p>
    <w:p>
      <w:pPr>
        <w:spacing w:after="0" w:line="396" w:lineRule="exact"/>
        <w:rPr>
          <w:sz w:val="20"/>
          <w:szCs w:val="20"/>
          <w:color w:val="auto"/>
        </w:rPr>
      </w:pPr>
    </w:p>
    <w:p>
      <w:pPr>
        <w:sectPr>
          <w:pgSz w:w="11900" w:h="16838" w:orient="portrait"/>
          <w:cols w:equalWidth="0" w:num="2">
            <w:col w:w="1900" w:space="720"/>
            <w:col w:w="860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-1584960</wp:posOffset>
            </wp:positionV>
            <wp:extent cx="1345565" cy="1346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45565" cy="1346200"/>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68</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2018</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92E44"/>
        </w:rPr>
        <w:t>Audit, Operating</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31"/>
          <w:szCs w:val="31"/>
          <w:color w:val="E14A6A"/>
        </w:rPr>
        <w:t>Charles “Chuck” Moran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092E44"/>
        </w:rPr>
        <w:t>Mr. Moran is the founder of Skillsoft Plc. and served as its Chief Executive Officer and President from 1998 until his retirement in 2015. He served as Chairman of the Board for Skillsoft from 1998 to 2002, as a director from 2002 to 2006, and resumed his service as Chairman from 2006 to 2010. Upon Skillsoft’s privatization in 2010, Mr. Moran served as a director until 2015, and as Chairman from 2015 to 2016. He now serves as a director and advisor to various private companies and private equity firms.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092E44"/>
        </w:rPr>
        <w:t>Before forming Skillsoft, Mr. Moran was the President and Chief Executive Officer of NETg National Education Training Group, a computer-based information technology training company, from 1995 to 1997. Prior to NETg, Mr. Moran was the Chief Financial Officer and Chief Operations Officer of Softdesk, Inc., where he helped lead the company’s successful initial public offering. Earlier in his career, Mr. Moran held senior-level sales and marketing positions at Insite Peripherals, Inc. and Archive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77"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092E44"/>
        </w:rPr>
        <w:t>With more than two decades of experience working with technology companies, Mr. Moran has an in-depth understanding of the industry and expertise in critical areas including operations, finance, sales, marketing, and cloud/SaaS software. Mr. Moran’s various board memberships also give him financial expertise that he deploys to great benefit as a member of our Audit Committee. The Board has determined that he is an audit committee financial expert.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77" w:lineRule="exact"/>
        <w:rPr>
          <w:sz w:val="20"/>
          <w:szCs w:val="20"/>
          <w:color w:val="auto"/>
        </w:rPr>
      </w:pPr>
    </w:p>
    <w:p>
      <w:pPr>
        <w:ind w:left="220" w:hanging="215"/>
        <w:spacing w:after="0"/>
        <w:tabs>
          <w:tab w:leader="none" w:pos="220" w:val="left"/>
        </w:tabs>
        <w:numPr>
          <w:ilvl w:val="0"/>
          <w:numId w:val="16"/>
        </w:numPr>
        <w:rPr>
          <w:rFonts w:ascii="Arial" w:cs="Arial" w:eastAsia="Arial" w:hAnsi="Arial"/>
          <w:sz w:val="15"/>
          <w:szCs w:val="15"/>
          <w:color w:val="E14A6A"/>
        </w:rPr>
      </w:pPr>
      <w:r>
        <w:rPr>
          <w:rFonts w:ascii="Arial" w:cs="Arial" w:eastAsia="Arial" w:hAnsi="Arial"/>
          <w:sz w:val="15"/>
          <w:szCs w:val="15"/>
          <w:color w:val="092E44"/>
        </w:rPr>
        <w:t>Manhattan Associates, Inc. (since 2017)</w:t>
      </w:r>
    </w:p>
    <w:p>
      <w:pPr>
        <w:spacing w:after="0" w:line="13" w:lineRule="exact"/>
        <w:rPr>
          <w:rFonts w:ascii="Arial" w:cs="Arial" w:eastAsia="Arial" w:hAnsi="Arial"/>
          <w:sz w:val="15"/>
          <w:szCs w:val="15"/>
          <w:color w:val="E14A6A"/>
        </w:rPr>
      </w:pPr>
    </w:p>
    <w:p>
      <w:pPr>
        <w:ind w:left="220" w:hanging="215"/>
        <w:spacing w:after="0"/>
        <w:tabs>
          <w:tab w:leader="none" w:pos="220" w:val="left"/>
        </w:tabs>
        <w:numPr>
          <w:ilvl w:val="0"/>
          <w:numId w:val="16"/>
        </w:numPr>
        <w:rPr>
          <w:rFonts w:ascii="Arial" w:cs="Arial" w:eastAsia="Arial" w:hAnsi="Arial"/>
          <w:sz w:val="15"/>
          <w:szCs w:val="15"/>
          <w:color w:val="E14A6A"/>
        </w:rPr>
      </w:pPr>
      <w:r>
        <w:rPr>
          <w:rFonts w:ascii="Arial" w:cs="Arial" w:eastAsia="Arial" w:hAnsi="Arial"/>
          <w:sz w:val="15"/>
          <w:szCs w:val="15"/>
          <w:color w:val="092E44"/>
        </w:rPr>
        <w:t>Intapp Inc. (since 2019)</w:t>
      </w:r>
    </w:p>
    <w:p>
      <w:pPr>
        <w:spacing w:after="0" w:line="11" w:lineRule="exact"/>
        <w:rPr>
          <w:rFonts w:ascii="Arial" w:cs="Arial" w:eastAsia="Arial" w:hAnsi="Arial"/>
          <w:sz w:val="15"/>
          <w:szCs w:val="15"/>
          <w:color w:val="E14A6A"/>
        </w:rPr>
      </w:pPr>
    </w:p>
    <w:p>
      <w:pPr>
        <w:ind w:left="220" w:hanging="215"/>
        <w:spacing w:after="0"/>
        <w:tabs>
          <w:tab w:leader="none" w:pos="220" w:val="left"/>
        </w:tabs>
        <w:numPr>
          <w:ilvl w:val="0"/>
          <w:numId w:val="16"/>
        </w:numPr>
        <w:rPr>
          <w:rFonts w:ascii="Arial" w:cs="Arial" w:eastAsia="Arial" w:hAnsi="Arial"/>
          <w:sz w:val="15"/>
          <w:szCs w:val="15"/>
          <w:color w:val="E14A6A"/>
        </w:rPr>
      </w:pPr>
      <w:r>
        <w:rPr>
          <w:rFonts w:ascii="Arial" w:cs="Arial" w:eastAsia="Arial" w:hAnsi="Arial"/>
          <w:sz w:val="15"/>
          <w:szCs w:val="15"/>
          <w:color w:val="092E44"/>
        </w:rPr>
        <w:t>Clarivate Analytics (2016-2020)</w:t>
      </w:r>
    </w:p>
    <w:p>
      <w:pPr>
        <w:spacing w:after="0" w:line="24" w:lineRule="exact"/>
        <w:rPr>
          <w:rFonts w:ascii="Arial" w:cs="Arial" w:eastAsia="Arial" w:hAnsi="Arial"/>
          <w:sz w:val="15"/>
          <w:szCs w:val="15"/>
          <w:color w:val="E14A6A"/>
        </w:rPr>
      </w:pPr>
    </w:p>
    <w:p>
      <w:pPr>
        <w:ind w:left="220" w:hanging="215"/>
        <w:spacing w:after="0"/>
        <w:tabs>
          <w:tab w:leader="none" w:pos="220" w:val="left"/>
        </w:tabs>
        <w:numPr>
          <w:ilvl w:val="0"/>
          <w:numId w:val="16"/>
        </w:numPr>
        <w:rPr>
          <w:rFonts w:ascii="Arial" w:cs="Arial" w:eastAsia="Arial" w:hAnsi="Arial"/>
          <w:sz w:val="15"/>
          <w:szCs w:val="15"/>
          <w:color w:val="E14A6A"/>
        </w:rPr>
      </w:pPr>
      <w:r>
        <w:rPr>
          <w:rFonts w:ascii="Arial" w:cs="Arial" w:eastAsia="Arial" w:hAnsi="Arial"/>
          <w:sz w:val="15"/>
          <w:szCs w:val="15"/>
          <w:color w:val="092E44"/>
        </w:rPr>
        <w:t>Duck Creek Technologies (2016-2022)</w:t>
      </w:r>
    </w:p>
    <w:p>
      <w:pPr>
        <w:spacing w:after="0" w:line="200" w:lineRule="exact"/>
        <w:rPr>
          <w:sz w:val="20"/>
          <w:szCs w:val="20"/>
          <w:color w:val="auto"/>
        </w:rPr>
      </w:pPr>
    </w:p>
    <w:p>
      <w:pPr>
        <w:sectPr>
          <w:pgSz w:w="11900" w:h="16838" w:orient="portrait"/>
          <w:cols w:equalWidth="0" w:num="2">
            <w:col w:w="1880" w:space="720"/>
            <w:col w:w="862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14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-1584960</wp:posOffset>
            </wp:positionV>
            <wp:extent cx="1345565" cy="13455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38</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2020</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92E44"/>
        </w:rPr>
        <w:t>Nominations and</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92E44"/>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1"/>
          <w:szCs w:val="31"/>
          <w:color w:val="E14A6A"/>
        </w:rPr>
        <w:t>Allison Pickens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77" w:lineRule="exact"/>
        <w:rPr>
          <w:sz w:val="20"/>
          <w:szCs w:val="20"/>
          <w:color w:val="auto"/>
        </w:rPr>
      </w:pPr>
    </w:p>
    <w:p>
      <w:pPr>
        <w:spacing w:after="0" w:line="261" w:lineRule="auto"/>
        <w:rPr>
          <w:sz w:val="20"/>
          <w:szCs w:val="20"/>
          <w:color w:val="auto"/>
        </w:rPr>
      </w:pPr>
      <w:r>
        <w:rPr>
          <w:rFonts w:ascii="Arial" w:cs="Arial" w:eastAsia="Arial" w:hAnsi="Arial"/>
          <w:sz w:val="15"/>
          <w:szCs w:val="15"/>
          <w:color w:val="092E44"/>
        </w:rPr>
        <w:t>Ms. Pickens is the founding General Partner of The New Normal Fund, LP, a venture capital fund focused on SaaS businesses, a director at dbt Labs, Inc., a venture-backed data transformation company, and a Senior Advisor to Boston Consulting Group, where she advises on strategic transformations of technology companies. Previously, Ms. Pickens served as Chief Operating Officer, and held other executive roles, at Gainsight, a SaaS company, from 2014 to 2020. From 2018 to 2020, she also served as the Executive-in-Residence at Bessemer Venture Partners. Earlier in her career, Ms. Pickens was an associate at Bain Capital Private Equity from 2009 to 2011, where she evaluated investments in a range of industries, and a management consultant to both public and private companies at Boston Consulting Group from 2007 to 2009. She is the co-author of the book The Customer Success Economy, published by Wiley in 2020.</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77"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092E44"/>
        </w:rPr>
        <w:t>Ms. Pickens is a technology executive with significant experience driving growth and strategic transformation initiatives at SaaS companies. She has extensive experience coaching CEOs and executives in the software industry through her work at Gainsight and other advisory roles, through speaking engagements, and through the content she has authored, which earned her recognition as one of the Top Women Leaders in SaaS in 2018 by The Software Report. Ms. Pickens also has a unique breadth of experience that spans industries including software, investment management, and management consulting. She brings significant skill in finance, general management, mergers and acquisitions, strategy, and customer growth and retention to the Board.</w:t>
      </w:r>
    </w:p>
    <w:p>
      <w:pPr>
        <w:spacing w:after="0" w:line="104" w:lineRule="exact"/>
        <w:rPr>
          <w:sz w:val="20"/>
          <w:szCs w:val="20"/>
          <w:color w:val="auto"/>
        </w:rPr>
      </w:pPr>
    </w:p>
    <w:p>
      <w:pPr>
        <w:sectPr>
          <w:pgSz w:w="11900" w:h="16838" w:orient="portrait"/>
          <w:cols w:equalWidth="0" w:num="2">
            <w:col w:w="1900" w:space="720"/>
            <w:col w:w="860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-1584960</wp:posOffset>
            </wp:positionV>
            <wp:extent cx="1345565" cy="13455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60</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2022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92E44"/>
        </w:rPr>
        <w:t>Audit</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31"/>
          <w:szCs w:val="31"/>
          <w:color w:val="E14A6A"/>
        </w:rPr>
        <w:t>Shane Sanders</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92E44"/>
        </w:rPr>
        <w:t>Professional Background</w:t>
      </w:r>
    </w:p>
    <w:p>
      <w:pPr>
        <w:spacing w:after="0" w:line="91" w:lineRule="exact"/>
        <w:rPr>
          <w:sz w:val="20"/>
          <w:szCs w:val="20"/>
          <w:color w:val="auto"/>
        </w:rPr>
      </w:pPr>
    </w:p>
    <w:p>
      <w:pPr>
        <w:ind w:left="7" w:right="100"/>
        <w:spacing w:after="0" w:line="261" w:lineRule="auto"/>
        <w:rPr>
          <w:sz w:val="20"/>
          <w:szCs w:val="20"/>
          <w:color w:val="auto"/>
        </w:rPr>
      </w:pPr>
      <w:r>
        <w:rPr>
          <w:rFonts w:ascii="Arial" w:cs="Arial" w:eastAsia="Arial" w:hAnsi="Arial"/>
          <w:sz w:val="15"/>
          <w:szCs w:val="15"/>
          <w:color w:val="092E44"/>
        </w:rPr>
        <w:t>Mr. Sanders served as Senior Vice President, Business Transformation at Verizon Communications from 2020 to 2022 where he was responsible for driving the enterprise-wide cost transformation program through zero-based budgeting and operational excellence. Mr. Sanders was with Verizon since 2000 during which time he served in various roles including Senior Vice President, Internal Audit &amp; Chief Audit Executive until 2015 where he led enterprise governance and risk management reporting directly to the Verizon Board of Directors and Audit Committee. From 2015 to 2020, Mr. Sanders served as Senior Vice President, Corporate Finance where he also managed long-range planning and capital allocation.</w:t>
      </w:r>
    </w:p>
    <w:p>
      <w:pPr>
        <w:spacing w:after="0" w:line="9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92E44"/>
        </w:rPr>
        <w:t>Qualifications</w:t>
      </w:r>
    </w:p>
    <w:p>
      <w:pPr>
        <w:spacing w:after="0" w:line="77" w:lineRule="exact"/>
        <w:rPr>
          <w:sz w:val="20"/>
          <w:szCs w:val="20"/>
          <w:color w:val="auto"/>
        </w:rPr>
      </w:pPr>
    </w:p>
    <w:p>
      <w:pPr>
        <w:ind w:left="7" w:right="100"/>
        <w:spacing w:after="0" w:line="261" w:lineRule="auto"/>
        <w:rPr>
          <w:sz w:val="20"/>
          <w:szCs w:val="20"/>
          <w:color w:val="auto"/>
        </w:rPr>
      </w:pPr>
      <w:r>
        <w:rPr>
          <w:rFonts w:ascii="Arial" w:cs="Arial" w:eastAsia="Arial" w:hAnsi="Arial"/>
          <w:sz w:val="15"/>
          <w:szCs w:val="15"/>
          <w:color w:val="092E44"/>
        </w:rPr>
        <w:t>Mr. Sanders brings over two decades of financial planning and forecasting, corporate governance and risk management expertise to the Board. Alongside the Chief Security Officer, Mr. Sanders led the implementation of the Verizon Enterprise Security Council which focused on cybersecurity and IT security risk management. His experience with Verizon, one of the world’s largest communications and technology companies, provides a unique perspective on all aspects of our business. His proven business transformation skills make him well qualified to offer guidance to the Board and management. The Board has determined that he is an audit committee financial expert.</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92E44"/>
        </w:rPr>
        <w:t>Other Public Company Boards</w:t>
      </w:r>
    </w:p>
    <w:p>
      <w:pPr>
        <w:spacing w:after="0" w:line="77" w:lineRule="exact"/>
        <w:rPr>
          <w:sz w:val="20"/>
          <w:szCs w:val="20"/>
          <w:color w:val="auto"/>
        </w:rPr>
      </w:pPr>
    </w:p>
    <w:p>
      <w:pPr>
        <w:ind w:left="227" w:hanging="227"/>
        <w:spacing w:after="0"/>
        <w:tabs>
          <w:tab w:leader="none" w:pos="227" w:val="left"/>
        </w:tabs>
        <w:numPr>
          <w:ilvl w:val="0"/>
          <w:numId w:val="17"/>
        </w:numPr>
        <w:rPr>
          <w:rFonts w:ascii="Arial" w:cs="Arial" w:eastAsia="Arial" w:hAnsi="Arial"/>
          <w:sz w:val="15"/>
          <w:szCs w:val="15"/>
          <w:color w:val="E14A6A"/>
        </w:rPr>
      </w:pPr>
      <w:r>
        <w:rPr>
          <w:rFonts w:ascii="Arial" w:cs="Arial" w:eastAsia="Arial" w:hAnsi="Arial"/>
          <w:sz w:val="15"/>
          <w:szCs w:val="15"/>
          <w:color w:val="092E44"/>
        </w:rPr>
        <w:t>Danaher (since 2021)</w:t>
      </w:r>
    </w:p>
    <w:p>
      <w:pPr>
        <w:spacing w:after="0" w:line="200" w:lineRule="exact"/>
        <w:rPr>
          <w:sz w:val="20"/>
          <w:szCs w:val="20"/>
          <w:color w:val="auto"/>
        </w:rPr>
      </w:pPr>
    </w:p>
    <w:p>
      <w:pPr>
        <w:sectPr>
          <w:pgSz w:w="11900" w:h="16838" w:orient="portrait"/>
          <w:cols w:equalWidth="0" w:num="2">
            <w:col w:w="1893" w:space="720"/>
            <w:col w:w="8607"/>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15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-1584960</wp:posOffset>
            </wp:positionV>
            <wp:extent cx="1345565" cy="13455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52</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2020</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Committees: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92E44"/>
        </w:rPr>
        <w:t>Operating (chair),</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92E44"/>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left="8"/>
        <w:spacing w:after="0"/>
        <w:rPr>
          <w:sz w:val="20"/>
          <w:szCs w:val="20"/>
          <w:color w:val="auto"/>
        </w:rPr>
      </w:pPr>
      <w:r>
        <w:rPr>
          <w:rFonts w:ascii="Arial" w:cs="Arial" w:eastAsia="Arial" w:hAnsi="Arial"/>
          <w:sz w:val="31"/>
          <w:szCs w:val="31"/>
          <w:color w:val="E14A6A"/>
        </w:rPr>
        <w:t>Arlen Shenkman</w:t>
      </w:r>
    </w:p>
    <w:p>
      <w:pPr>
        <w:spacing w:after="0" w:line="8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92E44"/>
        </w:rPr>
        <w:t>Professional Background</w:t>
      </w:r>
    </w:p>
    <w:p>
      <w:pPr>
        <w:spacing w:after="0" w:line="77" w:lineRule="exact"/>
        <w:rPr>
          <w:sz w:val="20"/>
          <w:szCs w:val="20"/>
          <w:color w:val="auto"/>
        </w:rPr>
      </w:pPr>
    </w:p>
    <w:p>
      <w:pPr>
        <w:ind w:left="8" w:right="20"/>
        <w:spacing w:after="0" w:line="257" w:lineRule="auto"/>
        <w:rPr>
          <w:sz w:val="20"/>
          <w:szCs w:val="20"/>
          <w:color w:val="auto"/>
        </w:rPr>
      </w:pPr>
      <w:r>
        <w:rPr>
          <w:rFonts w:ascii="Arial" w:cs="Arial" w:eastAsia="Arial" w:hAnsi="Arial"/>
          <w:sz w:val="15"/>
          <w:szCs w:val="15"/>
          <w:color w:val="092E44"/>
        </w:rPr>
        <w:t>Mr. Shenkman is the President and Chief Financial Officer of Boomi, Inc. where he is responsible for driving business transformation and financial growth. Prior to that, he was Executive Vice President and Chief Financial Officer at Citrix Systems, Inc. from 2019 until March 2022, where he was responsible for all the company’s financial and capital management strategies, budgeting and planning, financial accounting, tax and treasury, investor relations, strategic alliances, and M&amp;A. He joined Citrix from SAP, where he served in many roles, including Executive Vice President and Global Head of Business Development and Ecosystems (2017-2019); Chief Financial Officer of SAP North America, the company’s largest business unit (2015-2017); and Global Head of Corporate Development (2012-2015). During his tenure, Mr. Shenkman led the finance functions across North America, including planning and forecasting, business streamlining, and overall financial management, and led SAP’s corporate development and M&amp;A activities worldwide.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92E44"/>
        </w:rPr>
        <w:t>Qualifications</w:t>
      </w:r>
    </w:p>
    <w:p>
      <w:pPr>
        <w:spacing w:after="0" w:line="77" w:lineRule="exact"/>
        <w:rPr>
          <w:sz w:val="20"/>
          <w:szCs w:val="20"/>
          <w:color w:val="auto"/>
        </w:rPr>
      </w:pPr>
    </w:p>
    <w:p>
      <w:pPr>
        <w:ind w:left="8"/>
        <w:spacing w:after="0" w:line="258" w:lineRule="auto"/>
        <w:rPr>
          <w:sz w:val="20"/>
          <w:szCs w:val="20"/>
          <w:color w:val="auto"/>
        </w:rPr>
      </w:pPr>
      <w:r>
        <w:rPr>
          <w:rFonts w:ascii="Arial" w:cs="Arial" w:eastAsia="Arial" w:hAnsi="Arial"/>
          <w:sz w:val="15"/>
          <w:szCs w:val="15"/>
          <w:color w:val="092E44"/>
        </w:rPr>
        <w:t>Mr. Shenkman has substantial experience helping to lead large-scale business transformations for growth of SaaS and working with companies that specialize in complex-cloud environments and enterprise application software. He has significant financial experience, including in his role as Chief Financial Officer for Citrix. Due to that experience, the Board has determined that he is an audit committee financial expert. Mr. Shenkman also has significant experience managing large software companies, including in his former roles at Citrix and as CFO of SAP North America, where he was a principal architect of SAP’s rapid transformation into a cloud company. Mr. Shenkman’s substantial record and experience at global SaaS companies make him well qualified to serve as Chair of the Operating Committee.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92E44"/>
        </w:rPr>
        <w:t>Other Public Company Boards</w:t>
      </w:r>
    </w:p>
    <w:p>
      <w:pPr>
        <w:spacing w:after="0" w:line="77" w:lineRule="exact"/>
        <w:rPr>
          <w:sz w:val="20"/>
          <w:szCs w:val="20"/>
          <w:color w:val="auto"/>
        </w:rPr>
      </w:pPr>
    </w:p>
    <w:p>
      <w:pPr>
        <w:ind w:left="228" w:hanging="228"/>
        <w:spacing w:after="0"/>
        <w:tabs>
          <w:tab w:leader="none" w:pos="228" w:val="left"/>
        </w:tabs>
        <w:numPr>
          <w:ilvl w:val="0"/>
          <w:numId w:val="18"/>
        </w:numPr>
        <w:rPr>
          <w:rFonts w:ascii="Arial" w:cs="Arial" w:eastAsia="Arial" w:hAnsi="Arial"/>
          <w:sz w:val="15"/>
          <w:szCs w:val="15"/>
          <w:color w:val="E14A6A"/>
        </w:rPr>
      </w:pPr>
      <w:r>
        <w:rPr>
          <w:rFonts w:ascii="Arial" w:cs="Arial" w:eastAsia="Arial" w:hAnsi="Arial"/>
          <w:sz w:val="15"/>
          <w:szCs w:val="15"/>
          <w:color w:val="092E44"/>
        </w:rPr>
        <w:t>AspenTech (since 2022)</w:t>
      </w:r>
    </w:p>
    <w:p>
      <w:pPr>
        <w:spacing w:after="0" w:line="200" w:lineRule="exact"/>
        <w:rPr>
          <w:sz w:val="20"/>
          <w:szCs w:val="20"/>
          <w:color w:val="auto"/>
        </w:rPr>
      </w:pPr>
    </w:p>
    <w:p>
      <w:pPr>
        <w:sectPr>
          <w:pgSz w:w="11900" w:h="16838" w:orient="portrait"/>
          <w:cols w:equalWidth="0" w:num="2">
            <w:col w:w="1892" w:space="720"/>
            <w:col w:w="8588"/>
          </w:cols>
          <w:pgMar w:left="320" w:top="126" w:right="37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Majority Vote Standard and Resignation Policy in Director Elections</w:t>
      </w:r>
    </w:p>
    <w:p>
      <w:pPr>
        <w:spacing w:after="0" w:line="97" w:lineRule="exact"/>
        <w:rPr>
          <w:sz w:val="20"/>
          <w:szCs w:val="20"/>
          <w:color w:val="auto"/>
        </w:rPr>
      </w:pPr>
    </w:p>
    <w:p>
      <w:pPr>
        <w:spacing w:after="0" w:line="257" w:lineRule="auto"/>
        <w:rPr>
          <w:sz w:val="20"/>
          <w:szCs w:val="20"/>
          <w:color w:val="auto"/>
        </w:rPr>
      </w:pPr>
      <w:r>
        <w:rPr>
          <w:rFonts w:ascii="Arial" w:cs="Arial" w:eastAsia="Arial" w:hAnsi="Arial"/>
          <w:sz w:val="16"/>
          <w:szCs w:val="16"/>
          <w:color w:val="0B2E44"/>
        </w:rPr>
        <w:t>In uncontested elections, if a quorum is present or represented, directors are elected by an affirmative vote of a majority of the votes cast. If an incumbent director fails to receive the affirmative vote of a majority of votes cast in an uncontested election, such director must promptly tender an irrevocable resignation to the Board which is contingent upon the Board’s acceptance. Within 90 days after certification of the results of the stockholder vote, the Board of Directors will act on the resignation, taking into account, among other things, a recommendation from the Nominations and Governance Committee. We will publicly disclose the Board’s decision whether to accept or reject the resignation, together with an explanation of the process (and the reasons for rejecting the resignation, if applicable). Any director whose resignation is being so considered may not participate in the deliberations of the Nominations and Governance Committee or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16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443230</wp:posOffset>
            </wp:positionV>
            <wp:extent cx="7029450" cy="17487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Overview</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21"/>
          <w:szCs w:val="21"/>
          <w:color w:val="0B2E44"/>
        </w:rPr>
        <w:t>The Board has adopted comprehensive Corporate Governance Guidelines to define responsibilities, set high standards of professional and personal integrity, and ensure compliance with such responsibilities and standards. The Board of Directors annually monitors developments in the area of corporate governance and reviews the Corporate Governance Guidelines. Some of our significant corporate governance policies and practices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659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659765"/>
                    </a:xfrm>
                    <a:prstGeom prst="rect">
                      <a:avLst/>
                    </a:prstGeom>
                    <a:noFill/>
                  </pic:spPr>
                </pic:pic>
              </a:graphicData>
            </a:graphic>
          </wp:anchor>
        </w:drawing>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E14A6A"/>
        </w:rPr>
        <w:t>Independence and Composition of Our Board of Directors</w:t>
      </w:r>
    </w:p>
    <w:p>
      <w:pPr>
        <w:spacing w:after="0" w:line="65" w:lineRule="exact"/>
        <w:rPr>
          <w:sz w:val="20"/>
          <w:szCs w:val="20"/>
          <w:color w:val="auto"/>
        </w:rPr>
      </w:pPr>
    </w:p>
    <w:p>
      <w:pPr>
        <w:ind w:left="680" w:hanging="398"/>
        <w:spacing w:after="0"/>
        <w:tabs>
          <w:tab w:leader="none" w:pos="680" w:val="left"/>
        </w:tabs>
        <w:numPr>
          <w:ilvl w:val="0"/>
          <w:numId w:val="19"/>
        </w:numPr>
        <w:rPr>
          <w:rFonts w:ascii="Arial" w:cs="Arial" w:eastAsia="Arial" w:hAnsi="Arial"/>
          <w:sz w:val="18"/>
          <w:szCs w:val="18"/>
          <w:color w:val="E14A6A"/>
        </w:rPr>
      </w:pPr>
      <w:r>
        <w:rPr>
          <w:rFonts w:ascii="Arial" w:cs="Arial" w:eastAsia="Arial" w:hAnsi="Arial"/>
          <w:sz w:val="16"/>
          <w:szCs w:val="16"/>
          <w:color w:val="092E44"/>
        </w:rPr>
        <w:t>Ten of our eleven current directors are independent under Nasdaq listing standards.</w:t>
      </w:r>
    </w:p>
    <w:p>
      <w:pPr>
        <w:spacing w:after="0" w:line="9" w:lineRule="exact"/>
        <w:rPr>
          <w:rFonts w:ascii="Arial" w:cs="Arial" w:eastAsia="Arial" w:hAnsi="Arial"/>
          <w:sz w:val="18"/>
          <w:szCs w:val="18"/>
          <w:color w:val="E14A6A"/>
        </w:rPr>
      </w:pPr>
    </w:p>
    <w:p>
      <w:pPr>
        <w:ind w:left="680" w:hanging="398"/>
        <w:spacing w:after="0"/>
        <w:tabs>
          <w:tab w:leader="none" w:pos="680" w:val="left"/>
        </w:tabs>
        <w:numPr>
          <w:ilvl w:val="0"/>
          <w:numId w:val="19"/>
        </w:numPr>
        <w:rPr>
          <w:rFonts w:ascii="Arial" w:cs="Arial" w:eastAsia="Arial" w:hAnsi="Arial"/>
          <w:sz w:val="18"/>
          <w:szCs w:val="18"/>
          <w:color w:val="E14A6A"/>
        </w:rPr>
      </w:pPr>
      <w:r>
        <w:rPr>
          <w:rFonts w:ascii="Arial" w:cs="Arial" w:eastAsia="Arial" w:hAnsi="Arial"/>
          <w:sz w:val="16"/>
          <w:szCs w:val="16"/>
          <w:color w:val="092E44"/>
        </w:rPr>
        <w:t>Our Board is led by an independent chairman so our President and Chief Executive Officer can focus on his executive leadership role.</w:t>
      </w:r>
    </w:p>
    <w:p>
      <w:pPr>
        <w:spacing w:after="0" w:line="9" w:lineRule="exact"/>
        <w:rPr>
          <w:rFonts w:ascii="Arial" w:cs="Arial" w:eastAsia="Arial" w:hAnsi="Arial"/>
          <w:sz w:val="18"/>
          <w:szCs w:val="18"/>
          <w:color w:val="E14A6A"/>
        </w:rPr>
      </w:pPr>
    </w:p>
    <w:p>
      <w:pPr>
        <w:ind w:left="680" w:hanging="398"/>
        <w:spacing w:after="0"/>
        <w:tabs>
          <w:tab w:leader="none" w:pos="680" w:val="left"/>
        </w:tabs>
        <w:numPr>
          <w:ilvl w:val="0"/>
          <w:numId w:val="19"/>
        </w:numPr>
        <w:rPr>
          <w:rFonts w:ascii="Arial" w:cs="Arial" w:eastAsia="Arial" w:hAnsi="Arial"/>
          <w:sz w:val="18"/>
          <w:szCs w:val="18"/>
          <w:color w:val="E14A6A"/>
        </w:rPr>
      </w:pPr>
      <w:r>
        <w:rPr>
          <w:rFonts w:ascii="Arial" w:cs="Arial" w:eastAsia="Arial" w:hAnsi="Arial"/>
          <w:sz w:val="16"/>
          <w:szCs w:val="16"/>
          <w:color w:val="092E44"/>
        </w:rPr>
        <w:t>All of our directors will be de-classified and elected for one-year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762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76263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E14A6A"/>
        </w:rPr>
        <w:t>Majority Voting for Directors</w:t>
      </w:r>
    </w:p>
    <w:p>
      <w:pPr>
        <w:spacing w:after="0" w:line="52" w:lineRule="exact"/>
        <w:rPr>
          <w:sz w:val="20"/>
          <w:szCs w:val="20"/>
          <w:color w:val="auto"/>
        </w:rPr>
      </w:pPr>
    </w:p>
    <w:p>
      <w:pPr>
        <w:ind w:left="680" w:hanging="398"/>
        <w:spacing w:after="0"/>
        <w:tabs>
          <w:tab w:leader="none" w:pos="680" w:val="left"/>
        </w:tabs>
        <w:numPr>
          <w:ilvl w:val="0"/>
          <w:numId w:val="20"/>
        </w:numPr>
        <w:rPr>
          <w:rFonts w:ascii="Arial" w:cs="Arial" w:eastAsia="Arial" w:hAnsi="Arial"/>
          <w:sz w:val="18"/>
          <w:szCs w:val="18"/>
          <w:color w:val="E14A6A"/>
        </w:rPr>
      </w:pPr>
      <w:r>
        <w:rPr>
          <w:rFonts w:ascii="Arial" w:cs="Arial" w:eastAsia="Arial" w:hAnsi="Arial"/>
          <w:sz w:val="16"/>
          <w:szCs w:val="16"/>
          <w:color w:val="092E44"/>
        </w:rPr>
        <w:t>We have adopted a majority vote standard for the election of directors in an uncontested election.</w:t>
      </w:r>
    </w:p>
    <w:p>
      <w:pPr>
        <w:spacing w:after="0" w:line="9" w:lineRule="exact"/>
        <w:rPr>
          <w:rFonts w:ascii="Arial" w:cs="Arial" w:eastAsia="Arial" w:hAnsi="Arial"/>
          <w:sz w:val="18"/>
          <w:szCs w:val="18"/>
          <w:color w:val="E14A6A"/>
        </w:rPr>
      </w:pPr>
    </w:p>
    <w:p>
      <w:pPr>
        <w:ind w:left="680" w:right="800" w:hanging="398"/>
        <w:spacing w:after="0" w:line="263" w:lineRule="auto"/>
        <w:tabs>
          <w:tab w:leader="none" w:pos="680" w:val="left"/>
        </w:tabs>
        <w:numPr>
          <w:ilvl w:val="0"/>
          <w:numId w:val="20"/>
        </w:numPr>
        <w:rPr>
          <w:rFonts w:ascii="Arial" w:cs="Arial" w:eastAsia="Arial" w:hAnsi="Arial"/>
          <w:sz w:val="18"/>
          <w:szCs w:val="18"/>
          <w:color w:val="E14A6A"/>
        </w:rPr>
      </w:pPr>
      <w:r>
        <w:rPr>
          <w:rFonts w:ascii="Arial" w:cs="Arial" w:eastAsia="Arial" w:hAnsi="Arial"/>
          <w:sz w:val="16"/>
          <w:szCs w:val="16"/>
          <w:color w:val="092E44"/>
        </w:rPr>
        <w:t>Any incumbent director who does not receive a majority of the votes cast in an uncontested election must promptly tender an irrevocable resignation, which is contingent upon the Board’s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183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E14A6A"/>
        </w:rPr>
        <w:t>Standing Committees</w:t>
      </w:r>
    </w:p>
    <w:p>
      <w:pPr>
        <w:spacing w:after="0" w:line="52" w:lineRule="exact"/>
        <w:rPr>
          <w:sz w:val="20"/>
          <w:szCs w:val="20"/>
          <w:color w:val="auto"/>
        </w:rPr>
      </w:pPr>
    </w:p>
    <w:p>
      <w:pPr>
        <w:ind w:left="680" w:right="200" w:hanging="398"/>
        <w:spacing w:after="0" w:line="251" w:lineRule="auto"/>
        <w:tabs>
          <w:tab w:leader="none" w:pos="680" w:val="left"/>
        </w:tabs>
        <w:numPr>
          <w:ilvl w:val="0"/>
          <w:numId w:val="21"/>
        </w:numPr>
        <w:rPr>
          <w:rFonts w:ascii="Arial" w:cs="Arial" w:eastAsia="Arial" w:hAnsi="Arial"/>
          <w:sz w:val="18"/>
          <w:szCs w:val="18"/>
          <w:color w:val="E14A6A"/>
        </w:rPr>
      </w:pPr>
      <w:r>
        <w:rPr>
          <w:rFonts w:ascii="Arial" w:cs="Arial" w:eastAsia="Arial" w:hAnsi="Arial"/>
          <w:sz w:val="16"/>
          <w:szCs w:val="16"/>
          <w:color w:val="092E44"/>
        </w:rPr>
        <w:t>The members of all four of the Board’s standing committees are independent and, where relevant, meet the heightened independence standards prescribed by the Nasdaq listing standards and SEC rules for service on particular committees.</w:t>
      </w:r>
    </w:p>
    <w:p>
      <w:pPr>
        <w:ind w:left="680" w:hanging="398"/>
        <w:spacing w:after="0" w:line="234" w:lineRule="auto"/>
        <w:tabs>
          <w:tab w:leader="none" w:pos="680" w:val="left"/>
        </w:tabs>
        <w:numPr>
          <w:ilvl w:val="0"/>
          <w:numId w:val="21"/>
        </w:numPr>
        <w:rPr>
          <w:rFonts w:ascii="Arial" w:cs="Arial" w:eastAsia="Arial" w:hAnsi="Arial"/>
          <w:sz w:val="18"/>
          <w:szCs w:val="18"/>
          <w:color w:val="E14A6A"/>
        </w:rPr>
      </w:pPr>
      <w:r>
        <w:rPr>
          <w:rFonts w:ascii="Arial" w:cs="Arial" w:eastAsia="Arial" w:hAnsi="Arial"/>
          <w:sz w:val="16"/>
          <w:szCs w:val="16"/>
          <w:color w:val="092E44"/>
        </w:rPr>
        <w:t>All members of the Audit Committee qualify as “audit committee financial experts” pursuant to SEC guidelines.</w:t>
      </w:r>
    </w:p>
    <w:p>
      <w:pPr>
        <w:spacing w:after="0" w:line="9" w:lineRule="exact"/>
        <w:rPr>
          <w:rFonts w:ascii="Arial" w:cs="Arial" w:eastAsia="Arial" w:hAnsi="Arial"/>
          <w:sz w:val="18"/>
          <w:szCs w:val="18"/>
          <w:color w:val="E14A6A"/>
        </w:rPr>
      </w:pPr>
    </w:p>
    <w:p>
      <w:pPr>
        <w:ind w:left="680" w:hanging="398"/>
        <w:spacing w:after="0"/>
        <w:tabs>
          <w:tab w:leader="none" w:pos="680" w:val="left"/>
        </w:tabs>
        <w:numPr>
          <w:ilvl w:val="0"/>
          <w:numId w:val="21"/>
        </w:numPr>
        <w:rPr>
          <w:rFonts w:ascii="Arial" w:cs="Arial" w:eastAsia="Arial" w:hAnsi="Arial"/>
          <w:sz w:val="18"/>
          <w:szCs w:val="18"/>
          <w:color w:val="E14A6A"/>
        </w:rPr>
      </w:pPr>
      <w:r>
        <w:rPr>
          <w:rFonts w:ascii="Arial" w:cs="Arial" w:eastAsia="Arial" w:hAnsi="Arial"/>
          <w:sz w:val="16"/>
          <w:szCs w:val="16"/>
          <w:color w:val="092E44"/>
        </w:rPr>
        <w:t>Each standing committee operates under a written charter that is available on our website.</w:t>
      </w:r>
    </w:p>
    <w:p>
      <w:pPr>
        <w:spacing w:after="0" w:line="9" w:lineRule="exact"/>
        <w:rPr>
          <w:rFonts w:ascii="Arial" w:cs="Arial" w:eastAsia="Arial" w:hAnsi="Arial"/>
          <w:sz w:val="18"/>
          <w:szCs w:val="18"/>
          <w:color w:val="E14A6A"/>
        </w:rPr>
      </w:pPr>
    </w:p>
    <w:p>
      <w:pPr>
        <w:ind w:left="680" w:right="120" w:hanging="398"/>
        <w:spacing w:after="0" w:line="263" w:lineRule="auto"/>
        <w:tabs>
          <w:tab w:leader="none" w:pos="680" w:val="left"/>
        </w:tabs>
        <w:numPr>
          <w:ilvl w:val="0"/>
          <w:numId w:val="21"/>
        </w:numPr>
        <w:rPr>
          <w:rFonts w:ascii="Arial" w:cs="Arial" w:eastAsia="Arial" w:hAnsi="Arial"/>
          <w:sz w:val="18"/>
          <w:szCs w:val="18"/>
          <w:color w:val="E14A6A"/>
        </w:rPr>
      </w:pPr>
      <w:r>
        <w:rPr>
          <w:rFonts w:ascii="Arial" w:cs="Arial" w:eastAsia="Arial" w:hAnsi="Arial"/>
          <w:sz w:val="16"/>
          <w:szCs w:val="16"/>
          <w:color w:val="092E44"/>
        </w:rPr>
        <w:t>The chairs of each committee rotate every five years and the Chair of the Board rotates every ten years. In 2023, Ms. Lee was elected to serve as Chair of the TMCC.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17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371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color w:val="E14A6A"/>
        </w:rPr>
        <w:t>Corporate Governance Policies</w:t>
      </w:r>
    </w:p>
    <w:p>
      <w:pPr>
        <w:spacing w:after="0" w:line="52" w:lineRule="exact"/>
        <w:rPr>
          <w:sz w:val="20"/>
          <w:szCs w:val="20"/>
          <w:color w:val="auto"/>
        </w:rPr>
      </w:pPr>
    </w:p>
    <w:p>
      <w:pPr>
        <w:ind w:left="680" w:right="380" w:hanging="398"/>
        <w:spacing w:after="0" w:line="262" w:lineRule="auto"/>
        <w:tabs>
          <w:tab w:leader="none" w:pos="680" w:val="left"/>
        </w:tabs>
        <w:numPr>
          <w:ilvl w:val="0"/>
          <w:numId w:val="22"/>
        </w:numPr>
        <w:rPr>
          <w:rFonts w:ascii="Arial" w:cs="Arial" w:eastAsia="Arial" w:hAnsi="Arial"/>
          <w:sz w:val="18"/>
          <w:szCs w:val="18"/>
          <w:color w:val="E14A6A"/>
        </w:rPr>
      </w:pPr>
      <w:r>
        <w:rPr>
          <w:rFonts w:ascii="Arial" w:cs="Arial" w:eastAsia="Arial" w:hAnsi="Arial"/>
          <w:sz w:val="16"/>
          <w:szCs w:val="16"/>
          <w:color w:val="092E44"/>
        </w:rPr>
        <w:t>Our Ethics and Integrity Reporting Policy outlines management’s handling of unethical behavior and reports, our zero-tolerance policy for retaliation of any kind, and ways to report misconduct confidentially or anonymously. Our reporting policy and process is covered at the end of each compliance training program provided to employees throughout the year.</w:t>
      </w:r>
    </w:p>
    <w:p>
      <w:pPr>
        <w:spacing w:after="0" w:line="33" w:lineRule="exact"/>
        <w:rPr>
          <w:rFonts w:ascii="Arial" w:cs="Arial" w:eastAsia="Arial" w:hAnsi="Arial"/>
          <w:sz w:val="18"/>
          <w:szCs w:val="18"/>
          <w:color w:val="E14A6A"/>
        </w:rPr>
      </w:pPr>
    </w:p>
    <w:p>
      <w:pPr>
        <w:ind w:left="680" w:right="180" w:hanging="398"/>
        <w:spacing w:after="0" w:line="254" w:lineRule="auto"/>
        <w:tabs>
          <w:tab w:leader="none" w:pos="680" w:val="left"/>
        </w:tabs>
        <w:numPr>
          <w:ilvl w:val="0"/>
          <w:numId w:val="22"/>
        </w:numPr>
        <w:rPr>
          <w:rFonts w:ascii="Arial" w:cs="Arial" w:eastAsia="Arial" w:hAnsi="Arial"/>
          <w:sz w:val="18"/>
          <w:szCs w:val="18"/>
          <w:color w:val="E14A6A"/>
        </w:rPr>
      </w:pPr>
      <w:r>
        <w:rPr>
          <w:rFonts w:ascii="Arial" w:cs="Arial" w:eastAsia="Arial" w:hAnsi="Arial"/>
          <w:sz w:val="16"/>
          <w:szCs w:val="16"/>
          <w:color w:val="092E44"/>
        </w:rPr>
        <w:t>Our Human Rights Policy includes our commitment to DEI; personal privacy; safety, health, and wellness; fair work hours and wages; freedom of association; and opposition of forced labor, child labor, and human trafficking. We require our employees, contractors, representatives, and suppliers to uphold the principles of this Policy.</w:t>
      </w:r>
    </w:p>
    <w:p>
      <w:pPr>
        <w:spacing w:after="0" w:line="53" w:lineRule="exact"/>
        <w:rPr>
          <w:rFonts w:ascii="Arial" w:cs="Arial" w:eastAsia="Arial" w:hAnsi="Arial"/>
          <w:sz w:val="18"/>
          <w:szCs w:val="18"/>
          <w:color w:val="E14A6A"/>
        </w:rPr>
      </w:pPr>
    </w:p>
    <w:p>
      <w:pPr>
        <w:ind w:left="680" w:right="160" w:hanging="398"/>
        <w:spacing w:after="0" w:line="263" w:lineRule="auto"/>
        <w:tabs>
          <w:tab w:leader="none" w:pos="680" w:val="left"/>
        </w:tabs>
        <w:numPr>
          <w:ilvl w:val="0"/>
          <w:numId w:val="22"/>
        </w:numPr>
        <w:rPr>
          <w:rFonts w:ascii="Arial" w:cs="Arial" w:eastAsia="Arial" w:hAnsi="Arial"/>
          <w:sz w:val="18"/>
          <w:szCs w:val="18"/>
          <w:color w:val="E14A6A"/>
        </w:rPr>
      </w:pPr>
      <w:r>
        <w:rPr>
          <w:rFonts w:ascii="Arial" w:cs="Arial" w:eastAsia="Arial" w:hAnsi="Arial"/>
          <w:sz w:val="16"/>
          <w:szCs w:val="16"/>
          <w:color w:val="092E44"/>
        </w:rPr>
        <w:t>Our Supplier Code of Conduct mirrors our Code of Ethics, outlining key principles for ethical business conduct. We require all suppliers, meaning any third-party providing goods or services to Commvault, to comply with the principles therein and encourage the same for their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3887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color w:val="E14A6A"/>
        </w:rPr>
        <w:t>Governance Documents</w:t>
      </w:r>
    </w:p>
    <w:p>
      <w:pPr>
        <w:spacing w:after="0" w:line="52" w:lineRule="exact"/>
        <w:rPr>
          <w:sz w:val="20"/>
          <w:szCs w:val="20"/>
          <w:color w:val="auto"/>
        </w:rPr>
      </w:pPr>
    </w:p>
    <w:p>
      <w:pPr>
        <w:ind w:left="680" w:right="500" w:hanging="398"/>
        <w:spacing w:after="0" w:line="263" w:lineRule="auto"/>
        <w:tabs>
          <w:tab w:leader="none" w:pos="680" w:val="left"/>
        </w:tabs>
        <w:numPr>
          <w:ilvl w:val="0"/>
          <w:numId w:val="23"/>
        </w:numPr>
        <w:rPr>
          <w:rFonts w:ascii="Arial" w:cs="Arial" w:eastAsia="Arial" w:hAnsi="Arial"/>
          <w:sz w:val="18"/>
          <w:szCs w:val="18"/>
          <w:color w:val="E14A6A"/>
        </w:rPr>
      </w:pPr>
      <w:r>
        <w:rPr>
          <w:rFonts w:ascii="Arial" w:cs="Arial" w:eastAsia="Arial" w:hAnsi="Arial"/>
          <w:sz w:val="16"/>
          <w:szCs w:val="16"/>
          <w:color w:val="092E44"/>
        </w:rPr>
        <w:t>Our Code of Ethics, which applies to all directors, officers, employees, and contractors is approved by the Audit Committee and the Board of Directors annually. The Code highlights Commvault’s core operating principles and values to ensure lawful and ethical business conduct.</w:t>
      </w:r>
    </w:p>
    <w:p>
      <w:pPr>
        <w:spacing w:after="0" w:line="44" w:lineRule="exact"/>
        <w:rPr>
          <w:rFonts w:ascii="Arial" w:cs="Arial" w:eastAsia="Arial" w:hAnsi="Arial"/>
          <w:sz w:val="18"/>
          <w:szCs w:val="18"/>
          <w:color w:val="E14A6A"/>
        </w:rPr>
      </w:pPr>
    </w:p>
    <w:p>
      <w:pPr>
        <w:ind w:left="680" w:right="820" w:hanging="398"/>
        <w:spacing w:after="0" w:line="263" w:lineRule="auto"/>
        <w:tabs>
          <w:tab w:leader="none" w:pos="680" w:val="left"/>
        </w:tabs>
        <w:numPr>
          <w:ilvl w:val="0"/>
          <w:numId w:val="23"/>
        </w:numPr>
        <w:rPr>
          <w:rFonts w:ascii="Arial" w:cs="Arial" w:eastAsia="Arial" w:hAnsi="Arial"/>
          <w:sz w:val="18"/>
          <w:szCs w:val="18"/>
          <w:color w:val="E14A6A"/>
        </w:rPr>
      </w:pPr>
      <w:r>
        <w:rPr>
          <w:rFonts w:ascii="Arial" w:cs="Arial" w:eastAsia="Arial" w:hAnsi="Arial"/>
          <w:sz w:val="16"/>
          <w:szCs w:val="16"/>
          <w:color w:val="092E44"/>
        </w:rPr>
        <w:t>We have adopted a Code of Ethics for Senior Financial Officers that applies to our Chief Executive Officer, Chief Financial Officer, Chief Accounting Officer, and Controller.</w:t>
      </w:r>
    </w:p>
    <w:p>
      <w:pPr>
        <w:spacing w:after="0" w:line="30" w:lineRule="exact"/>
        <w:rPr>
          <w:rFonts w:ascii="Arial" w:cs="Arial" w:eastAsia="Arial" w:hAnsi="Arial"/>
          <w:sz w:val="18"/>
          <w:szCs w:val="18"/>
          <w:color w:val="E14A6A"/>
        </w:rPr>
      </w:pPr>
    </w:p>
    <w:p>
      <w:pPr>
        <w:ind w:left="680" w:right="460" w:hanging="398"/>
        <w:spacing w:after="0" w:line="263" w:lineRule="auto"/>
        <w:tabs>
          <w:tab w:leader="none" w:pos="680" w:val="left"/>
        </w:tabs>
        <w:numPr>
          <w:ilvl w:val="0"/>
          <w:numId w:val="23"/>
        </w:numPr>
        <w:rPr>
          <w:rFonts w:ascii="Arial" w:cs="Arial" w:eastAsia="Arial" w:hAnsi="Arial"/>
          <w:sz w:val="18"/>
          <w:szCs w:val="18"/>
          <w:color w:val="E14A6A"/>
        </w:rPr>
      </w:pPr>
      <w:r>
        <w:rPr>
          <w:rFonts w:ascii="Arial" w:cs="Arial" w:eastAsia="Arial" w:hAnsi="Arial"/>
          <w:sz w:val="16"/>
          <w:szCs w:val="16"/>
          <w:color w:val="092E44"/>
        </w:rPr>
        <w:t>Our Integrity Counts program provides for confidential and anonymous submissions by our employees and other interested parties regarding accounting or auditing matters, violations of our Code of Ethics, and other unethical behavior or practices.</w:t>
      </w:r>
    </w:p>
    <w:p>
      <w:pPr>
        <w:spacing w:after="0" w:line="44" w:lineRule="exact"/>
        <w:rPr>
          <w:rFonts w:ascii="Arial" w:cs="Arial" w:eastAsia="Arial" w:hAnsi="Arial"/>
          <w:sz w:val="18"/>
          <w:szCs w:val="18"/>
          <w:color w:val="E14A6A"/>
        </w:rPr>
      </w:pPr>
    </w:p>
    <w:p>
      <w:pPr>
        <w:ind w:left="680" w:right="540" w:hanging="398"/>
        <w:spacing w:after="0" w:line="263" w:lineRule="auto"/>
        <w:tabs>
          <w:tab w:leader="none" w:pos="680" w:val="left"/>
        </w:tabs>
        <w:numPr>
          <w:ilvl w:val="0"/>
          <w:numId w:val="23"/>
        </w:numPr>
        <w:rPr>
          <w:rFonts w:ascii="Arial" w:cs="Arial" w:eastAsia="Arial" w:hAnsi="Arial"/>
          <w:sz w:val="18"/>
          <w:szCs w:val="18"/>
          <w:color w:val="E14A6A"/>
        </w:rPr>
      </w:pPr>
      <w:r>
        <w:rPr>
          <w:rFonts w:ascii="Arial" w:cs="Arial" w:eastAsia="Arial" w:hAnsi="Arial"/>
          <w:sz w:val="16"/>
          <w:szCs w:val="16"/>
          <w:color w:val="092E44"/>
        </w:rPr>
        <w:t>All of our key governance documents are publicly available on our website at www.commvault.com, from the Investor Relations—Corporate Governance tab.</w:t>
      </w: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Cybersecurity</w:t>
      </w:r>
    </w:p>
    <w:p>
      <w:pPr>
        <w:spacing w:after="0" w:line="8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0B2E44"/>
        </w:rPr>
        <w:t>Commvault has established a robust cybersecurity governance program for the benefit of the company, our customers, partners and stockholders. Led by our Chief Information Security Officer (“CISO”), our cybersecurity program is aligned to the NIST cybersecurity controls framework. Core to the program, Commvault’s Information Security Policy covers a wide range of requirements, including but not limited to those related to: Security Governance, Risk Management, Personnel Security, Incident Response, Network and Application Security, Cryptography, Identity and Access Management, Vulnerability Management, Disaster Recovery and Business Continuity, Vendor Risk Management, and compliance with customer contracts, laws, and standards. The CISO updates the Audit Committee quarterly and the Board of Directors annually, about the maturity of the information security program, key risks and priorities, performance metrics, and third-party audit results. The Audit Committee provides oversight of the security program and advises on risk management strategies. The CISO regularly meets with management to discuss program priorities based on current business objectives and risk tolerance. Commvault maintains a dedicated security team to operate and maintain the program.</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Board Leadership Structure</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6"/>
          <w:szCs w:val="16"/>
          <w:color w:val="0B2E44"/>
        </w:rPr>
        <w:t>Our policy is to adopt the leadership structure that best serves Commvault’s needs at any particular time. Currently, our Board has determined that the most effective leadership structure is to have an independent Chairman so our President and CEO can focus on his executive leadership role. Mr. Adamo has served as Chair of the Board since 2019. In this capacity, Mr. Adamo is responsible for presiding at Board meetings and executive sessions, and facilitating communication between Board members and the CEO and other members of senior management. As a member of our Board, Mr. Mirchandani ensures that Board members have a high level of access and visibility regarding Commvault’s business, including Mr. Mirchandani’ s insights and perspectives on our operations, strategy, and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18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BOARD OVERSIGHT OF RISK</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Board Oversight of Risk</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0B2E44"/>
        </w:rPr>
        <w:t>The Board oversees Commvault’s policies and procedures relating to enterprise risk. This involves understanding the risks the Company faces and the steps management is taking to manage those risks, and also considering what level of risk is appropriate for our Company. The Board’s involvement in overseeing Commvault’s business strategy informs its assessment of management’s risk tolerance and its determination of an appropriate level of risk.</w:t>
      </w:r>
    </w:p>
    <w:p>
      <w:pPr>
        <w:spacing w:after="0" w:line="311"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0B2E44"/>
        </w:rPr>
        <w:t>The Board of Directors considers risk management to varying degrees regularly at its meetings. The Board adjusts its practices with respect to risk oversight as necessary and involves itself in particular areas or business circumstances where the proper exercise of oversight requires it. The Board and senior management may engage outside advisors for risk assessment where warranted.</w:t>
      </w:r>
    </w:p>
    <w:p>
      <w:pPr>
        <w:spacing w:after="0" w:line="324"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0B2E44"/>
        </w:rPr>
        <w:t>While the Board has ultimate oversight responsibility for the risk management process, the Board’s standing committees also have responsibility for risk assessment and risk management with respect to matters in their purview.</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E14A6A"/>
        </w:rPr>
        <w:t xml:space="preserve">The Audit Committee </w:t>
      </w:r>
      <w:r>
        <w:rPr>
          <w:rFonts w:ascii="Arial" w:cs="Arial" w:eastAsia="Arial" w:hAnsi="Arial"/>
          <w:sz w:val="16"/>
          <w:szCs w:val="16"/>
          <w:color w:val="0B2E44"/>
        </w:rPr>
        <w:t>is required under its charter to discuss with</w:t>
      </w:r>
      <w:r>
        <w:rPr>
          <w:rFonts w:ascii="Arial" w:cs="Arial" w:eastAsia="Arial" w:hAnsi="Arial"/>
          <w:sz w:val="16"/>
          <w:szCs w:val="16"/>
          <w:b w:val="1"/>
          <w:bCs w:val="1"/>
          <w:color w:val="E14A6A"/>
        </w:rPr>
        <w:t xml:space="preserve"> </w:t>
      </w:r>
      <w:r>
        <w:rPr>
          <w:rFonts w:ascii="Arial" w:cs="Arial" w:eastAsia="Arial" w:hAnsi="Arial"/>
          <w:sz w:val="16"/>
          <w:szCs w:val="16"/>
          <w:color w:val="0B2E44"/>
        </w:rPr>
        <w:t>management and the independent auditor our cybersecurity, IT and financial risks or exposures and to assess the steps management has taken to minimize such risks. The Audit Committee also oversees Commvault’s internal audit function and compliance matters, and reviews with the Chief Legal and Compliance Officer (“CLO”) any legal or compliance matters, including litigation, that may have a material impact on our financial statements, financial condition, or results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E14A6A"/>
        </w:rPr>
        <w:t xml:space="preserve">The Talent Management and Compensation Committee </w:t>
      </w:r>
      <w:r>
        <w:rPr>
          <w:rFonts w:ascii="Arial" w:cs="Arial" w:eastAsia="Arial" w:hAnsi="Arial"/>
          <w:sz w:val="16"/>
          <w:szCs w:val="16"/>
          <w:color w:val="0B2E44"/>
        </w:rPr>
        <w:t>assesses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0B2E44"/>
        </w:rPr>
        <w:t>compensation-related risk.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E14A6A"/>
        </w:rPr>
        <w:t xml:space="preserve">The Nominations and Governance Committee </w:t>
      </w:r>
      <w:r>
        <w:rPr>
          <w:rFonts w:ascii="Arial" w:cs="Arial" w:eastAsia="Arial" w:hAnsi="Arial"/>
          <w:sz w:val="16"/>
          <w:szCs w:val="16"/>
          <w:color w:val="0B2E44"/>
        </w:rPr>
        <w:t>addresses management</w:t>
      </w:r>
    </w:p>
    <w:p>
      <w:pPr>
        <w:spacing w:after="0" w:line="3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0B2E44"/>
        </w:rPr>
        <w:t>and governance risk, including through its oversight of the succession planning and nominating processes, our Corporate Governance Guidelines, and our corporate social responsibility efforts.</w:t>
      </w:r>
    </w:p>
    <w:p>
      <w:pPr>
        <w:spacing w:after="0" w:line="3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b w:val="1"/>
          <w:bCs w:val="1"/>
          <w:color w:val="E14A6A"/>
        </w:rPr>
        <w:t xml:space="preserve">The Operating Committee </w:t>
      </w:r>
      <w:r>
        <w:rPr>
          <w:rFonts w:ascii="Arial" w:cs="Arial" w:eastAsia="Arial" w:hAnsi="Arial"/>
          <w:sz w:val="16"/>
          <w:szCs w:val="16"/>
          <w:color w:val="0B2E44"/>
        </w:rPr>
        <w:t>provides oversight on various risk-related</w:t>
      </w:r>
      <w:r>
        <w:rPr>
          <w:rFonts w:ascii="Arial" w:cs="Arial" w:eastAsia="Arial" w:hAnsi="Arial"/>
          <w:sz w:val="16"/>
          <w:szCs w:val="16"/>
          <w:b w:val="1"/>
          <w:bCs w:val="1"/>
          <w:color w:val="E14A6A"/>
        </w:rPr>
        <w:t xml:space="preserve"> </w:t>
      </w:r>
      <w:r>
        <w:rPr>
          <w:rFonts w:ascii="Arial" w:cs="Arial" w:eastAsia="Arial" w:hAnsi="Arial"/>
          <w:sz w:val="16"/>
          <w:szCs w:val="16"/>
          <w:color w:val="0B2E44"/>
        </w:rPr>
        <w:t>matters as determined by the Board and management.</w:t>
      </w:r>
    </w:p>
    <w:p>
      <w:pPr>
        <w:spacing w:after="0" w:line="31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0B2E44"/>
        </w:rPr>
        <w:t>Each of these Board committees reports to the full Board with respect to its risk oversight functions.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b w:val="1"/>
          <w:bCs w:val="1"/>
          <w:color w:val="E14A6A"/>
        </w:rPr>
        <w:t xml:space="preserve">At the management level, </w:t>
      </w:r>
      <w:r>
        <w:rPr>
          <w:rFonts w:ascii="Arial" w:cs="Arial" w:eastAsia="Arial" w:hAnsi="Arial"/>
          <w:sz w:val="16"/>
          <w:szCs w:val="16"/>
          <w:color w:val="0B2E44"/>
        </w:rPr>
        <w:t>our Chief Financial Officer (“CFO”) and CLO</w:t>
      </w:r>
      <w:r>
        <w:rPr>
          <w:rFonts w:ascii="Arial" w:cs="Arial" w:eastAsia="Arial" w:hAnsi="Arial"/>
          <w:sz w:val="16"/>
          <w:szCs w:val="16"/>
          <w:b w:val="1"/>
          <w:bCs w:val="1"/>
          <w:color w:val="E14A6A"/>
        </w:rPr>
        <w:t xml:space="preserve"> </w:t>
      </w:r>
      <w:r>
        <w:rPr>
          <w:rFonts w:ascii="Arial" w:cs="Arial" w:eastAsia="Arial" w:hAnsi="Arial"/>
          <w:sz w:val="16"/>
          <w:szCs w:val="16"/>
          <w:color w:val="0B2E44"/>
        </w:rPr>
        <w:t>oversee risk-related matters. In addition, we have established disclosure controls to monitor our compliance with securities disclosure obligations and an executive review committee to monitor and approve certain transactions or other corporate matters that deviate from our standard practices. Senior management reports to the Board or an appropriate Board committee regarding risk issues.</w:t>
      </w:r>
    </w:p>
    <w:p>
      <w:pPr>
        <w:spacing w:after="0" w:line="31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0B2E44"/>
        </w:rPr>
        <w:t>Under our Corporate Governance Policies, the Board has complete and open access to any member of management and any employee, as well as any outside advisor or independent advisor retained by the Board, to inquire about risk-related (or other) topics. In addition, our CFO and CLO are available at Board and committee meetings to answer questions relating to risk oversight. Further, because the CEO is a director, he brings a unique perspective on our risk profile and risk assessment to Board deliberations based on his day-to-day management responsibilities and knowledge about the Company.</w:t>
      </w:r>
    </w:p>
    <w:p>
      <w:pPr>
        <w:spacing w:after="0" w:line="773" w:lineRule="exact"/>
        <w:rPr>
          <w:sz w:val="20"/>
          <w:szCs w:val="20"/>
          <w:color w:val="auto"/>
        </w:rPr>
      </w:pPr>
    </w:p>
    <w:p>
      <w:pPr>
        <w:sectPr>
          <w:pgSz w:w="11900" w:h="16838" w:orient="portrait"/>
          <w:cols w:equalWidth="0" w:num="2">
            <w:col w:w="5460" w:space="200"/>
            <w:col w:w="556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19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1" w:name="page22"/>
    <w:bookmarkEnd w:id="21"/>
    <w:p>
      <w:pPr>
        <w:spacing w:after="0" w:line="191" w:lineRule="auto"/>
        <w:framePr w:w="1980" w:h="147" w:wrap="auto" w:vAnchor="page" w:hAnchor="page" w:x="7780" w:y="2896"/>
        <w:rPr>
          <w:rFonts w:ascii="Arial" w:cs="Arial" w:eastAsia="Arial" w:hAnsi="Arial"/>
          <w:sz w:val="16"/>
          <w:szCs w:val="16"/>
          <w:color w:val="092E44"/>
        </w:rPr>
      </w:pPr>
      <w:r>
        <w:rPr>
          <w:rFonts w:ascii="Arial" w:cs="Arial" w:eastAsia="Arial" w:hAnsi="Arial"/>
          <w:sz w:val="16"/>
          <w:szCs w:val="16"/>
          <w:color w:val="092E44"/>
        </w:rPr>
        <w:t>with existing investors and</w:t>
      </w:r>
    </w:p>
    <w:p>
      <w:pPr>
        <w:spacing w:after="0" w:line="257" w:lineRule="auto"/>
        <w:framePr w:w="1760" w:h="740" w:wrap="auto" w:vAnchor="page" w:hAnchor="page" w:x="7780" w:y="3194"/>
        <w:rPr>
          <w:rFonts w:ascii="Arial" w:cs="Arial" w:eastAsia="Arial" w:hAnsi="Arial"/>
          <w:sz w:val="15"/>
          <w:szCs w:val="15"/>
          <w:color w:val="092E44"/>
        </w:rPr>
      </w:pPr>
      <w:r>
        <w:rPr>
          <w:rFonts w:ascii="Arial" w:cs="Arial" w:eastAsia="Arial" w:hAnsi="Arial"/>
          <w:sz w:val="45"/>
          <w:szCs w:val="45"/>
          <w:b w:val="1"/>
          <w:bCs w:val="1"/>
          <w:color w:val="E14A6A"/>
        </w:rPr>
        <w:t xml:space="preserve">67 </w:t>
      </w:r>
      <w:r>
        <w:rPr>
          <w:rFonts w:ascii="Arial" w:cs="Arial" w:eastAsia="Arial" w:hAnsi="Arial"/>
          <w:sz w:val="15"/>
          <w:szCs w:val="15"/>
          <w:b w:val="1"/>
          <w:bCs w:val="1"/>
          <w:color w:val="092E44"/>
        </w:rPr>
        <w:t>meetings</w:t>
      </w:r>
      <w:r>
        <w:rPr>
          <w:rFonts w:ascii="Arial" w:cs="Arial" w:eastAsia="Arial" w:hAnsi="Arial"/>
          <w:sz w:val="45"/>
          <w:szCs w:val="45"/>
          <w:b w:val="1"/>
          <w:bCs w:val="1"/>
          <w:color w:val="E14A6A"/>
        </w:rPr>
        <w:t xml:space="preserve"> </w:t>
      </w:r>
      <w:r>
        <w:rPr>
          <w:rFonts w:ascii="Arial" w:cs="Arial" w:eastAsia="Arial" w:hAnsi="Arial"/>
          <w:sz w:val="15"/>
          <w:szCs w:val="15"/>
          <w:color w:val="092E44"/>
        </w:rPr>
        <w:t>with potential investors.</w:t>
      </w:r>
    </w:p>
    <w:p>
      <w:pPr>
        <w:spacing w:after="0" w:line="191" w:lineRule="auto"/>
        <w:framePr w:w="2040" w:h="147" w:wrap="auto" w:vAnchor="page" w:hAnchor="page" w:x="7780" w:y="4313"/>
        <w:rPr>
          <w:rFonts w:ascii="Arial" w:cs="Arial" w:eastAsia="Arial" w:hAnsi="Arial"/>
          <w:sz w:val="16"/>
          <w:szCs w:val="16"/>
          <w:b w:val="1"/>
          <w:bCs w:val="1"/>
          <w:color w:val="092E44"/>
        </w:rPr>
      </w:pPr>
      <w:r>
        <w:rPr>
          <w:rFonts w:ascii="Arial" w:cs="Arial" w:eastAsia="Arial" w:hAnsi="Arial"/>
          <w:sz w:val="16"/>
          <w:szCs w:val="16"/>
          <w:b w:val="1"/>
          <w:bCs w:val="1"/>
          <w:color w:val="092E44"/>
        </w:rPr>
        <w:t>Topics discussed include</w:t>
      </w:r>
    </w:p>
    <w:p>
      <w:pPr>
        <w:spacing w:after="0" w:line="191" w:lineRule="auto"/>
        <w:framePr w:w="2560" w:h="147" w:wrap="auto" w:vAnchor="page" w:hAnchor="page" w:x="7860" w:y="4597"/>
        <w:rPr>
          <w:rFonts w:ascii="Arial" w:cs="Arial" w:eastAsia="Arial" w:hAnsi="Arial"/>
          <w:sz w:val="16"/>
          <w:szCs w:val="16"/>
          <w:b w:val="1"/>
          <w:bCs w:val="1"/>
          <w:color w:val="FF4A6A"/>
        </w:rPr>
      </w:pPr>
      <w:r>
        <w:rPr>
          <w:rFonts w:ascii="Arial" w:cs="Arial" w:eastAsia="Arial" w:hAnsi="Arial"/>
          <w:sz w:val="16"/>
          <w:szCs w:val="16"/>
          <w:b w:val="1"/>
          <w:bCs w:val="1"/>
          <w:color w:val="FF4A6A"/>
        </w:rPr>
        <w:t xml:space="preserve">•  </w:t>
      </w:r>
      <w:r>
        <w:rPr>
          <w:rFonts w:ascii="Arial" w:cs="Arial" w:eastAsia="Arial" w:hAnsi="Arial"/>
          <w:sz w:val="16"/>
          <w:szCs w:val="16"/>
          <w:b w:val="1"/>
          <w:bCs w:val="1"/>
          <w:color w:val="092E44"/>
        </w:rPr>
        <w:t>revenue growth and profitability</w:t>
      </w:r>
    </w:p>
    <w:p>
      <w:pPr>
        <w:spacing w:after="0" w:line="191" w:lineRule="auto"/>
        <w:framePr w:w="2240" w:h="147" w:wrap="auto" w:vAnchor="page" w:hAnchor="page" w:x="7860" w:y="4894"/>
        <w:rPr>
          <w:rFonts w:ascii="Arial" w:cs="Arial" w:eastAsia="Arial" w:hAnsi="Arial"/>
          <w:sz w:val="16"/>
          <w:szCs w:val="16"/>
          <w:b w:val="1"/>
          <w:bCs w:val="1"/>
          <w:color w:val="FF4A6A"/>
        </w:rPr>
      </w:pPr>
      <w:r>
        <w:rPr>
          <w:rFonts w:ascii="Arial" w:cs="Arial" w:eastAsia="Arial" w:hAnsi="Arial"/>
          <w:sz w:val="16"/>
          <w:szCs w:val="16"/>
          <w:b w:val="1"/>
          <w:bCs w:val="1"/>
          <w:color w:val="FF4A6A"/>
        </w:rPr>
        <w:t xml:space="preserve">•  </w:t>
      </w:r>
      <w:r>
        <w:rPr>
          <w:rFonts w:ascii="Arial" w:cs="Arial" w:eastAsia="Arial" w:hAnsi="Arial"/>
          <w:sz w:val="16"/>
          <w:szCs w:val="16"/>
          <w:b w:val="1"/>
          <w:bCs w:val="1"/>
          <w:color w:val="092E44"/>
        </w:rPr>
        <w:t>sales and marketing spend</w:t>
      </w:r>
    </w:p>
    <w:p>
      <w:pPr>
        <w:spacing w:after="0" w:line="191" w:lineRule="auto"/>
        <w:framePr w:w="2040" w:h="147" w:wrap="auto" w:vAnchor="page" w:hAnchor="page" w:x="7860" w:y="5204"/>
        <w:rPr>
          <w:rFonts w:ascii="Arial" w:cs="Arial" w:eastAsia="Arial" w:hAnsi="Arial"/>
          <w:sz w:val="16"/>
          <w:szCs w:val="16"/>
          <w:b w:val="1"/>
          <w:bCs w:val="1"/>
          <w:color w:val="FF4A6A"/>
        </w:rPr>
      </w:pPr>
      <w:r>
        <w:rPr>
          <w:rFonts w:ascii="Arial" w:cs="Arial" w:eastAsia="Arial" w:hAnsi="Arial"/>
          <w:sz w:val="16"/>
          <w:szCs w:val="16"/>
          <w:b w:val="1"/>
          <w:bCs w:val="1"/>
          <w:color w:val="FF4A6A"/>
        </w:rPr>
        <w:t xml:space="preserve">•  </w:t>
      </w:r>
      <w:r>
        <w:rPr>
          <w:rFonts w:ascii="Arial" w:cs="Arial" w:eastAsia="Arial" w:hAnsi="Arial"/>
          <w:sz w:val="16"/>
          <w:szCs w:val="16"/>
          <w:b w:val="1"/>
          <w:bCs w:val="1"/>
          <w:color w:val="092E44"/>
        </w:rPr>
        <w:t>executive compensation</w:t>
      </w:r>
    </w:p>
    <w:p>
      <w:pPr>
        <w:spacing w:after="0" w:line="191" w:lineRule="auto"/>
        <w:framePr w:w="1380" w:h="147" w:wrap="auto" w:vAnchor="page" w:hAnchor="page" w:x="7860" w:y="5501"/>
        <w:rPr>
          <w:rFonts w:ascii="Arial" w:cs="Arial" w:eastAsia="Arial" w:hAnsi="Arial"/>
          <w:sz w:val="16"/>
          <w:szCs w:val="16"/>
          <w:b w:val="1"/>
          <w:bCs w:val="1"/>
          <w:color w:val="FF4A6A"/>
        </w:rPr>
      </w:pPr>
      <w:r>
        <w:rPr>
          <w:rFonts w:ascii="Arial" w:cs="Arial" w:eastAsia="Arial" w:hAnsi="Arial"/>
          <w:sz w:val="16"/>
          <w:szCs w:val="16"/>
          <w:b w:val="1"/>
          <w:bCs w:val="1"/>
          <w:color w:val="FF4A6A"/>
        </w:rPr>
        <w:t xml:space="preserve">•  </w:t>
      </w:r>
      <w:r>
        <w:rPr>
          <w:rFonts w:ascii="Arial" w:cs="Arial" w:eastAsia="Arial" w:hAnsi="Arial"/>
          <w:sz w:val="16"/>
          <w:szCs w:val="16"/>
          <w:b w:val="1"/>
          <w:bCs w:val="1"/>
          <w:color w:val="092E44"/>
        </w:rPr>
        <w:t>talent retention</w:t>
      </w:r>
    </w:p>
    <w:p>
      <w:pPr>
        <w:spacing w:after="0" w:line="191" w:lineRule="auto"/>
        <w:framePr w:w="3240" w:h="147" w:wrap="auto" w:vAnchor="page" w:hAnchor="page" w:x="7860" w:y="5798"/>
        <w:rPr>
          <w:rFonts w:ascii="Arial" w:cs="Arial" w:eastAsia="Arial" w:hAnsi="Arial"/>
          <w:sz w:val="16"/>
          <w:szCs w:val="16"/>
          <w:b w:val="1"/>
          <w:bCs w:val="1"/>
          <w:color w:val="FF4A6A"/>
        </w:rPr>
      </w:pPr>
      <w:r>
        <w:rPr>
          <w:rFonts w:ascii="Arial" w:cs="Arial" w:eastAsia="Arial" w:hAnsi="Arial"/>
          <w:sz w:val="16"/>
          <w:szCs w:val="16"/>
          <w:b w:val="1"/>
          <w:bCs w:val="1"/>
          <w:color w:val="FF4A6A"/>
        </w:rPr>
        <w:t xml:space="preserve">•  </w:t>
      </w:r>
      <w:r>
        <w:rPr>
          <w:rFonts w:ascii="Arial" w:cs="Arial" w:eastAsia="Arial" w:hAnsi="Arial"/>
          <w:sz w:val="16"/>
          <w:szCs w:val="16"/>
          <w:color w:val="092E44"/>
        </w:rPr>
        <w:t>measures to increase workforce diversity</w:t>
      </w:r>
    </w:p>
    <w:p>
      <w:pPr>
        <w:spacing w:after="0" w:line="218" w:lineRule="auto"/>
        <w:framePr w:w="3540" w:h="336" w:wrap="auto" w:vAnchor="page" w:hAnchor="page" w:x="7860" w:y="6109"/>
        <w:rPr>
          <w:rFonts w:ascii="Arial" w:cs="Arial" w:eastAsia="Arial" w:hAnsi="Arial"/>
          <w:sz w:val="16"/>
          <w:szCs w:val="16"/>
          <w:color w:val="092E44"/>
        </w:rPr>
      </w:pPr>
      <w:r>
        <w:rPr>
          <w:rFonts w:ascii="Arial" w:cs="Arial" w:eastAsia="Arial" w:hAnsi="Arial"/>
          <w:sz w:val="16"/>
          <w:szCs w:val="16"/>
          <w:b w:val="1"/>
          <w:bCs w:val="1"/>
          <w:color w:val="FF4A6A"/>
        </w:rPr>
        <w:t xml:space="preserve">• </w:t>
      </w:r>
      <w:r>
        <w:rPr>
          <w:rFonts w:ascii="Arial" w:cs="Arial" w:eastAsia="Arial" w:hAnsi="Arial"/>
          <w:sz w:val="16"/>
          <w:szCs w:val="16"/>
          <w:color w:val="092E44"/>
        </w:rPr>
        <w:t>capital allocation (such as share repurchases</w:t>
      </w:r>
      <w:r>
        <w:rPr>
          <w:rFonts w:ascii="Arial" w:cs="Arial" w:eastAsia="Arial" w:hAnsi="Arial"/>
          <w:sz w:val="16"/>
          <w:szCs w:val="16"/>
          <w:b w:val="1"/>
          <w:bCs w:val="1"/>
          <w:color w:val="FF4A6A"/>
        </w:rPr>
        <w:t xml:space="preserve"> </w:t>
      </w:r>
      <w:r>
        <w:rPr>
          <w:rFonts w:ascii="Arial" w:cs="Arial" w:eastAsia="Arial" w:hAnsi="Arial"/>
          <w:sz w:val="16"/>
          <w:szCs w:val="16"/>
          <w:color w:val="092E44"/>
        </w:rPr>
        <w:t>and M&amp;A)</w:t>
      </w:r>
    </w:p>
    <w:p>
      <w:pPr>
        <w:spacing w:after="0" w:line="206" w:lineRule="auto"/>
        <w:framePr w:w="1400" w:h="456" w:wrap="auto" w:vAnchor="page" w:hAnchor="page" w:x="7780" w:y="2316"/>
        <w:rPr>
          <w:rFonts w:ascii="Arial" w:cs="Arial" w:eastAsia="Arial" w:hAnsi="Arial"/>
          <w:sz w:val="46"/>
          <w:szCs w:val="46"/>
          <w:b w:val="1"/>
          <w:bCs w:val="1"/>
          <w:color w:val="E14A6A"/>
        </w:rPr>
      </w:pPr>
      <w:r>
        <w:rPr>
          <w:rFonts w:ascii="Arial" w:cs="Arial" w:eastAsia="Arial" w:hAnsi="Arial"/>
          <w:sz w:val="46"/>
          <w:szCs w:val="46"/>
          <w:b w:val="1"/>
          <w:bCs w:val="1"/>
          <w:color w:val="E14A6A"/>
        </w:rPr>
        <w:t xml:space="preserve">95 </w:t>
      </w:r>
      <w:r>
        <w:rPr>
          <w:rFonts w:ascii="Arial" w:cs="Arial" w:eastAsia="Arial" w:hAnsi="Arial"/>
          <w:sz w:val="15"/>
          <w:szCs w:val="15"/>
          <w:b w:val="1"/>
          <w:bCs w:val="1"/>
          <w:color w:val="092E44"/>
        </w:rPr>
        <w:t>meetings</w:t>
      </w:r>
    </w:p>
    <w:p>
      <w:pPr>
        <w:jc w:val="both"/>
        <w:spacing w:after="0" w:line="228" w:lineRule="auto"/>
        <w:framePr w:w="7400" w:h="525" w:wrap="auto" w:vAnchor="page" w:hAnchor="page" w:x="400" w:y="1505"/>
        <w:rPr>
          <w:rFonts w:ascii="Arial" w:cs="Arial" w:eastAsia="Arial" w:hAnsi="Arial"/>
          <w:sz w:val="16"/>
          <w:szCs w:val="16"/>
          <w:b w:val="1"/>
          <w:bCs w:val="1"/>
          <w:color w:val="092E44"/>
        </w:rPr>
      </w:pPr>
      <w:r>
        <w:rPr>
          <w:rFonts w:ascii="Arial" w:cs="Arial" w:eastAsia="Arial" w:hAnsi="Arial"/>
          <w:sz w:val="16"/>
          <w:szCs w:val="16"/>
          <w:b w:val="1"/>
          <w:bCs w:val="1"/>
          <w:color w:val="092E44"/>
        </w:rPr>
        <w:t>We maintain a quarterly stockholder outreach program, which includes proactive CEO and CFO post-earnings calls with our top stockholders, and subsequent phone calls with all interested investors. Our CEO, CFO, Head of Investor Relations, and senior management participate in broker-sponsored, non-</w:t>
      </w:r>
    </w:p>
    <w:p>
      <w:pPr>
        <w:spacing w:after="0" w:line="190" w:lineRule="auto"/>
        <w:framePr w:w="3120" w:h="228" w:wrap="auto" w:vAnchor="page" w:hAnchor="page" w:x="400" w:y="1127"/>
        <w:rPr>
          <w:rFonts w:ascii="Arial" w:cs="Arial" w:eastAsia="Arial" w:hAnsi="Arial"/>
          <w:sz w:val="25"/>
          <w:szCs w:val="25"/>
          <w:b w:val="1"/>
          <w:bCs w:val="1"/>
          <w:color w:val="E14A6A"/>
        </w:rPr>
      </w:pPr>
      <w:r>
        <w:rPr>
          <w:rFonts w:ascii="Arial" w:cs="Arial" w:eastAsia="Arial" w:hAnsi="Arial"/>
          <w:sz w:val="25"/>
          <w:szCs w:val="25"/>
          <w:b w:val="1"/>
          <w:bCs w:val="1"/>
          <w:color w:val="E14A6A"/>
        </w:rPr>
        <w:t>Stockholder Engagement</w:t>
      </w: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rFonts w:ascii="Arial" w:cs="Arial" w:eastAsia="Arial" w:hAnsi="Arial"/>
          <w:sz w:val="25"/>
          <w:szCs w:val="25"/>
          <w:b w:val="1"/>
          <w:bCs w:val="1"/>
          <w:color w:val="E14A6A"/>
        </w:rPr>
      </w:pPr>
    </w:p>
    <w:p>
      <w:pPr>
        <w:spacing w:after="0" w:line="253" w:lineRule="exact"/>
        <w:rPr>
          <w:rFonts w:ascii="Arial" w:cs="Arial" w:eastAsia="Arial" w:hAnsi="Arial"/>
          <w:sz w:val="25"/>
          <w:szCs w:val="25"/>
          <w:b w:val="1"/>
          <w:bCs w:val="1"/>
          <w:color w:val="E14A6A"/>
        </w:rPr>
      </w:pPr>
    </w:p>
    <w:p>
      <w:pPr>
        <w:ind w:left="4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STOCKHOLDER ENGAGEMENT</w:t>
      </w:r>
    </w:p>
    <w:p>
      <w:pPr>
        <w:spacing w:after="0" w:line="20" w:lineRule="exact"/>
        <w:rPr>
          <w:rFonts w:ascii="Arial" w:cs="Arial" w:eastAsia="Arial" w:hAnsi="Arial"/>
          <w:sz w:val="25"/>
          <w:szCs w:val="25"/>
          <w:b w:val="1"/>
          <w:bCs w:val="1"/>
          <w:color w:val="E14A6A"/>
        </w:rPr>
      </w:pPr>
      <w:r>
        <w:rPr>
          <w:rFonts w:ascii="Arial" w:cs="Arial" w:eastAsia="Arial" w:hAnsi="Arial"/>
          <w:sz w:val="25"/>
          <w:szCs w:val="25"/>
          <w:b w:val="1"/>
          <w:bCs w:val="1"/>
          <w:color w:val="E14A6A"/>
        </w:rPr>
        <w:drawing>
          <wp:anchor simplePos="0" relativeHeight="251657728" behindDoc="1" locked="0" layoutInCell="0" allowOverlap="1">
            <wp:simplePos x="0" y="0"/>
            <wp:positionH relativeFrom="column">
              <wp:posOffset>4754245</wp:posOffset>
            </wp:positionH>
            <wp:positionV relativeFrom="paragraph">
              <wp:posOffset>118110</wp:posOffset>
            </wp:positionV>
            <wp:extent cx="2314575" cy="1851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14575" cy="1851660"/>
                    </a:xfrm>
                    <a:prstGeom prst="rect">
                      <a:avLst/>
                    </a:prstGeom>
                    <a:noFill/>
                  </pic:spPr>
                </pic:pic>
              </a:graphicData>
            </a:graphic>
          </wp:anchor>
        </w:drawing>
      </w:r>
    </w:p>
    <w:p>
      <w:pPr>
        <w:spacing w:after="0" w:line="175" w:lineRule="exact"/>
        <w:rPr>
          <w:rFonts w:ascii="Arial" w:cs="Arial" w:eastAsia="Arial" w:hAnsi="Arial"/>
          <w:sz w:val="25"/>
          <w:szCs w:val="25"/>
          <w:b w:val="1"/>
          <w:bCs w:val="1"/>
          <w:color w:val="E14A6A"/>
        </w:rPr>
      </w:pPr>
    </w:p>
    <w:p>
      <w:pPr>
        <w:ind w:left="7500"/>
        <w:spacing w:after="0"/>
        <w:rPr>
          <w:sz w:val="20"/>
          <w:szCs w:val="20"/>
          <w:color w:val="auto"/>
        </w:rPr>
      </w:pPr>
      <w:r>
        <w:rPr>
          <w:rFonts w:ascii="Arial" w:cs="Arial" w:eastAsia="Arial" w:hAnsi="Arial"/>
          <w:sz w:val="16"/>
          <w:szCs w:val="16"/>
          <w:b w:val="1"/>
          <w:bCs w:val="1"/>
          <w:color w:val="092E44"/>
        </w:rPr>
        <w:t>In fiscal year 2023 we hosted</w:t>
      </w:r>
    </w:p>
    <w:p>
      <w:pPr>
        <w:spacing w:after="0" w:line="70" w:lineRule="exact"/>
        <w:rPr>
          <w:rFonts w:ascii="Arial" w:cs="Arial" w:eastAsia="Arial" w:hAnsi="Arial"/>
          <w:sz w:val="25"/>
          <w:szCs w:val="25"/>
          <w:b w:val="1"/>
          <w:bCs w:val="1"/>
          <w:color w:val="E14A6A"/>
        </w:rPr>
      </w:pPr>
    </w:p>
    <w:p>
      <w:pPr>
        <w:ind w:left="7500"/>
        <w:spacing w:after="0"/>
        <w:rPr>
          <w:sz w:val="20"/>
          <w:szCs w:val="20"/>
          <w:color w:val="auto"/>
        </w:rPr>
      </w:pPr>
      <w:r>
        <w:rPr>
          <w:rFonts w:ascii="Arial" w:cs="Arial" w:eastAsia="Arial" w:hAnsi="Arial"/>
          <w:sz w:val="50"/>
          <w:szCs w:val="50"/>
          <w:b w:val="1"/>
          <w:bCs w:val="1"/>
          <w:color w:val="E14A6A"/>
        </w:rPr>
        <w:t>162</w:t>
      </w:r>
      <w:r>
        <w:rPr>
          <w:rFonts w:ascii="Arial" w:cs="Arial" w:eastAsia="Arial" w:hAnsi="Arial"/>
          <w:sz w:val="16"/>
          <w:szCs w:val="16"/>
          <w:b w:val="1"/>
          <w:bCs w:val="1"/>
          <w:color w:val="092E44"/>
        </w:rPr>
        <w:t>investor meetings</w:t>
      </w:r>
    </w:p>
    <w:p>
      <w:pPr>
        <w:spacing w:after="0" w:line="114" w:lineRule="exact"/>
        <w:rPr>
          <w:rFonts w:ascii="Arial" w:cs="Arial" w:eastAsia="Arial" w:hAnsi="Arial"/>
          <w:sz w:val="25"/>
          <w:szCs w:val="25"/>
          <w:b w:val="1"/>
          <w:bCs w:val="1"/>
          <w:color w:val="E14A6A"/>
        </w:rPr>
      </w:pPr>
    </w:p>
    <w:p>
      <w:pPr>
        <w:ind w:left="120" w:right="2020"/>
        <w:spacing w:after="0" w:line="183" w:lineRule="auto"/>
        <w:rPr>
          <w:sz w:val="20"/>
          <w:szCs w:val="20"/>
          <w:color w:val="auto"/>
        </w:rPr>
      </w:pPr>
      <w:r>
        <w:rPr>
          <w:rFonts w:ascii="Arial" w:cs="Arial" w:eastAsia="Arial" w:hAnsi="Arial"/>
          <w:sz w:val="11"/>
          <w:szCs w:val="11"/>
          <w:color w:val="092E44"/>
        </w:rPr>
        <w:t xml:space="preserve">deal roadshows and conferences each quarter. In fiscal year 2023 we hosted 162 investor meetings or </w:t>
      </w:r>
      <w:r>
        <w:rPr>
          <w:rFonts w:ascii="Arial" w:cs="Arial" w:eastAsia="Arial" w:hAnsi="Arial"/>
          <w:sz w:val="17"/>
          <w:szCs w:val="17"/>
          <w:color w:val="092E44"/>
          <w:vertAlign w:val="superscript"/>
        </w:rPr>
        <w:t>or phone calls including</w:t>
      </w:r>
      <w:r>
        <w:rPr>
          <w:rFonts w:ascii="Arial" w:cs="Arial" w:eastAsia="Arial" w:hAnsi="Arial"/>
          <w:sz w:val="11"/>
          <w:szCs w:val="11"/>
          <w:color w:val="092E44"/>
        </w:rPr>
        <w:t xml:space="preserve"> phone calls, including 95 meetings with existing investors and 67 meetings with potential investors.</w:t>
      </w:r>
    </w:p>
    <w:p>
      <w:pPr>
        <w:spacing w:after="0" w:line="359" w:lineRule="exact"/>
        <w:rPr>
          <w:rFonts w:ascii="Arial" w:cs="Arial" w:eastAsia="Arial" w:hAnsi="Arial"/>
          <w:sz w:val="25"/>
          <w:szCs w:val="25"/>
          <w:b w:val="1"/>
          <w:bCs w:val="1"/>
          <w:color w:val="E14A6A"/>
        </w:rPr>
      </w:pPr>
    </w:p>
    <w:p>
      <w:pPr>
        <w:ind w:left="120" w:right="3800"/>
        <w:spacing w:after="0" w:line="259" w:lineRule="auto"/>
        <w:rPr>
          <w:sz w:val="20"/>
          <w:szCs w:val="20"/>
          <w:color w:val="auto"/>
        </w:rPr>
      </w:pPr>
      <w:r>
        <w:rPr>
          <w:rFonts w:ascii="Arial" w:cs="Arial" w:eastAsia="Arial" w:hAnsi="Arial"/>
          <w:sz w:val="16"/>
          <w:szCs w:val="16"/>
          <w:color w:val="092E44"/>
        </w:rPr>
        <w:t>Every June through August, in advance of our Annual Meeting, we reach out to our top 50 stockholders, representing 74% of our outstanding common stock. Our proxy outreach team includes the Chair of the Board and several independent directors, the Head of Investor Relations, our CLO, and our Chief People Officer (“CPO”). Topics discussed include executive compensation, talent retention, measures to increase workforce diversity, and capital allocation (such as share repurchases and M&amp;A).</w:t>
      </w:r>
    </w:p>
    <w:p>
      <w:pPr>
        <w:spacing w:after="0" w:line="172" w:lineRule="exact"/>
        <w:rPr>
          <w:rFonts w:ascii="Arial" w:cs="Arial" w:eastAsia="Arial" w:hAnsi="Arial"/>
          <w:sz w:val="25"/>
          <w:szCs w:val="25"/>
          <w:b w:val="1"/>
          <w:bCs w:val="1"/>
          <w:color w:val="E14A6A"/>
        </w:rPr>
      </w:pPr>
    </w:p>
    <w:p>
      <w:pPr>
        <w:ind w:left="120" w:right="3800"/>
        <w:spacing w:after="0" w:line="259" w:lineRule="auto"/>
        <w:rPr>
          <w:sz w:val="20"/>
          <w:szCs w:val="20"/>
          <w:color w:val="auto"/>
        </w:rPr>
      </w:pPr>
      <w:r>
        <w:rPr>
          <w:rFonts w:ascii="Arial" w:cs="Arial" w:eastAsia="Arial" w:hAnsi="Arial"/>
          <w:sz w:val="16"/>
          <w:szCs w:val="16"/>
          <w:color w:val="092E44"/>
        </w:rPr>
        <w:t>We received positive stockholder feedback on our fiscal year 2022 outreach. In particular, stockholders applauded the efforts Commvault makes relative to peers in terms of ESG disclosures, describing such disclosures as best-in-class among peers. Stockholders were also appreciative of our independent directors’ commitment to stockholder engagement and our receptivity to stockholder feedback.</w:t>
      </w:r>
    </w:p>
    <w:p>
      <w:pPr>
        <w:spacing w:after="0" w:line="20" w:lineRule="exact"/>
        <w:rPr>
          <w:rFonts w:ascii="Arial" w:cs="Arial" w:eastAsia="Arial" w:hAnsi="Arial"/>
          <w:sz w:val="25"/>
          <w:szCs w:val="25"/>
          <w:b w:val="1"/>
          <w:bCs w:val="1"/>
          <w:color w:val="E14A6A"/>
        </w:rPr>
      </w:pPr>
      <w:r>
        <w:rPr>
          <w:rFonts w:ascii="Arial" w:cs="Arial" w:eastAsia="Arial" w:hAnsi="Arial"/>
          <w:sz w:val="25"/>
          <w:szCs w:val="25"/>
          <w:b w:val="1"/>
          <w:bCs w:val="1"/>
          <w:color w:val="E14A6A"/>
        </w:rPr>
        <w:drawing>
          <wp:anchor simplePos="0" relativeHeight="251657728" behindDoc="1" locked="0" layoutInCell="0" allowOverlap="1">
            <wp:simplePos x="0" y="0"/>
            <wp:positionH relativeFrom="column">
              <wp:posOffset>4754245</wp:posOffset>
            </wp:positionH>
            <wp:positionV relativeFrom="paragraph">
              <wp:posOffset>-334645</wp:posOffset>
            </wp:positionV>
            <wp:extent cx="2314575" cy="1534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14575" cy="1534160"/>
                    </a:xfrm>
                    <a:prstGeom prst="rect">
                      <a:avLst/>
                    </a:prstGeom>
                    <a:noFill/>
                  </pic:spPr>
                </pic:pic>
              </a:graphicData>
            </a:graphic>
          </wp:anchor>
        </w:drawing>
      </w:r>
    </w:p>
    <w:p>
      <w:pPr>
        <w:spacing w:after="0" w:line="200" w:lineRule="exact"/>
        <w:rPr>
          <w:rFonts w:ascii="Arial" w:cs="Arial" w:eastAsia="Arial" w:hAnsi="Arial"/>
          <w:sz w:val="25"/>
          <w:szCs w:val="25"/>
          <w:b w:val="1"/>
          <w:bCs w:val="1"/>
          <w:color w:val="E14A6A"/>
        </w:rPr>
      </w:pPr>
    </w:p>
    <w:p>
      <w:pPr>
        <w:spacing w:after="0" w:line="200" w:lineRule="exact"/>
        <w:rPr>
          <w:rFonts w:ascii="Arial" w:cs="Arial" w:eastAsia="Arial" w:hAnsi="Arial"/>
          <w:sz w:val="25"/>
          <w:szCs w:val="25"/>
          <w:b w:val="1"/>
          <w:bCs w:val="1"/>
          <w:color w:val="E14A6A"/>
        </w:rPr>
      </w:pPr>
    </w:p>
    <w:p>
      <w:pPr>
        <w:spacing w:after="0" w:line="200" w:lineRule="exact"/>
        <w:rPr>
          <w:rFonts w:ascii="Arial" w:cs="Arial" w:eastAsia="Arial" w:hAnsi="Arial"/>
          <w:sz w:val="25"/>
          <w:szCs w:val="25"/>
          <w:b w:val="1"/>
          <w:bCs w:val="1"/>
          <w:color w:val="E14A6A"/>
        </w:rPr>
      </w:pPr>
    </w:p>
    <w:p>
      <w:pPr>
        <w:spacing w:after="0" w:line="200" w:lineRule="exact"/>
        <w:rPr>
          <w:rFonts w:ascii="Arial" w:cs="Arial" w:eastAsia="Arial" w:hAnsi="Arial"/>
          <w:sz w:val="25"/>
          <w:szCs w:val="25"/>
          <w:b w:val="1"/>
          <w:bCs w:val="1"/>
          <w:color w:val="E14A6A"/>
        </w:rPr>
      </w:pPr>
    </w:p>
    <w:p>
      <w:pPr>
        <w:spacing w:after="0" w:line="200" w:lineRule="exact"/>
        <w:rPr>
          <w:rFonts w:ascii="Arial" w:cs="Arial" w:eastAsia="Arial" w:hAnsi="Arial"/>
          <w:sz w:val="25"/>
          <w:szCs w:val="25"/>
          <w:b w:val="1"/>
          <w:bCs w:val="1"/>
          <w:color w:val="E14A6A"/>
        </w:rPr>
      </w:pPr>
    </w:p>
    <w:p>
      <w:pPr>
        <w:spacing w:after="0" w:line="200" w:lineRule="exact"/>
        <w:rPr>
          <w:rFonts w:ascii="Arial" w:cs="Arial" w:eastAsia="Arial" w:hAnsi="Arial"/>
          <w:sz w:val="25"/>
          <w:szCs w:val="25"/>
          <w:b w:val="1"/>
          <w:bCs w:val="1"/>
          <w:color w:val="E14A6A"/>
        </w:rPr>
      </w:pPr>
    </w:p>
    <w:p>
      <w:pPr>
        <w:spacing w:after="0" w:line="200" w:lineRule="exact"/>
        <w:rPr>
          <w:rFonts w:ascii="Arial" w:cs="Arial" w:eastAsia="Arial" w:hAnsi="Arial"/>
          <w:sz w:val="25"/>
          <w:szCs w:val="25"/>
          <w:b w:val="1"/>
          <w:bCs w:val="1"/>
          <w:color w:val="E14A6A"/>
        </w:rPr>
      </w:pPr>
    </w:p>
    <w:p>
      <w:pPr>
        <w:spacing w:after="0" w:line="200" w:lineRule="exact"/>
        <w:rPr>
          <w:rFonts w:ascii="Arial" w:cs="Arial" w:eastAsia="Arial" w:hAnsi="Arial"/>
          <w:sz w:val="25"/>
          <w:szCs w:val="25"/>
          <w:b w:val="1"/>
          <w:bCs w:val="1"/>
          <w:color w:val="E14A6A"/>
        </w:rPr>
      </w:pPr>
    </w:p>
    <w:p>
      <w:pPr>
        <w:spacing w:after="0" w:line="373" w:lineRule="exact"/>
        <w:rPr>
          <w:rFonts w:ascii="Arial" w:cs="Arial" w:eastAsia="Arial" w:hAnsi="Arial"/>
          <w:sz w:val="25"/>
          <w:szCs w:val="25"/>
          <w:b w:val="1"/>
          <w:bCs w:val="1"/>
          <w:color w:val="E14A6A"/>
        </w:rPr>
      </w:pPr>
    </w:p>
    <w:p>
      <w:pPr>
        <w:spacing w:after="0"/>
        <w:rPr>
          <w:sz w:val="20"/>
          <w:szCs w:val="20"/>
          <w:color w:val="auto"/>
        </w:rPr>
      </w:pPr>
      <w:r>
        <w:rPr>
          <w:rFonts w:ascii="Arial" w:cs="Arial" w:eastAsia="Arial" w:hAnsi="Arial"/>
          <w:sz w:val="25"/>
          <w:szCs w:val="25"/>
          <w:b w:val="1"/>
          <w:bCs w:val="1"/>
          <w:color w:val="E14A6A"/>
        </w:rPr>
        <w:t>How We Choose Directors</w:t>
      </w:r>
    </w:p>
    <w:p>
      <w:pPr>
        <w:spacing w:after="0" w:line="97" w:lineRule="exact"/>
        <w:rPr>
          <w:rFonts w:ascii="Arial" w:cs="Arial" w:eastAsia="Arial" w:hAnsi="Arial"/>
          <w:sz w:val="25"/>
          <w:szCs w:val="25"/>
          <w:b w:val="1"/>
          <w:bCs w:val="1"/>
          <w:color w:val="E14A6A"/>
        </w:rPr>
      </w:pPr>
    </w:p>
    <w:p>
      <w:pPr>
        <w:spacing w:after="0" w:line="261" w:lineRule="auto"/>
        <w:rPr>
          <w:sz w:val="20"/>
          <w:szCs w:val="20"/>
          <w:color w:val="auto"/>
        </w:rPr>
      </w:pPr>
      <w:r>
        <w:rPr>
          <w:rFonts w:ascii="Arial" w:cs="Arial" w:eastAsia="Arial" w:hAnsi="Arial"/>
          <w:sz w:val="16"/>
          <w:szCs w:val="16"/>
          <w:color w:val="092E44"/>
        </w:rPr>
        <w:t>The Nominations and Governance Committee is responsible for assessing the appropriate balance of experience, skills, and characteristics required of our Board of Directors and for carrying out adequate due diligence with respect to prospective board members. Generally speaking, we believe the Board should include individuals with skills and experience in the following areas:</w:t>
      </w:r>
    </w:p>
    <w:p>
      <w:pPr>
        <w:spacing w:after="0" w:line="196" w:lineRule="exact"/>
        <w:rPr>
          <w:rFonts w:ascii="Arial" w:cs="Arial" w:eastAsia="Arial" w:hAnsi="Arial"/>
          <w:sz w:val="25"/>
          <w:szCs w:val="25"/>
          <w:b w:val="1"/>
          <w:bCs w:val="1"/>
          <w:color w:val="E14A6A"/>
        </w:rPr>
      </w:pPr>
    </w:p>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6"/>
                <w:szCs w:val="16"/>
                <w:color w:val="E14A6A"/>
              </w:rPr>
              <w:t xml:space="preserve">•   </w:t>
            </w:r>
            <w:r>
              <w:rPr>
                <w:rFonts w:ascii="Arial" w:cs="Arial" w:eastAsia="Arial" w:hAnsi="Arial"/>
                <w:sz w:val="16"/>
                <w:szCs w:val="16"/>
                <w:color w:val="092E44"/>
              </w:rPr>
              <w:t>HR-Workforce of the Future</w:t>
            </w:r>
          </w:p>
        </w:tc>
        <w:tc>
          <w:tcPr>
            <w:tcW w:w="920" w:type="dxa"/>
            <w:vAlign w:val="bottom"/>
            <w:vMerge w:val="restart"/>
          </w:tcPr>
          <w:p>
            <w:pPr>
              <w:ind w:left="780"/>
              <w:spacing w:after="0"/>
              <w:rPr>
                <w:sz w:val="20"/>
                <w:szCs w:val="20"/>
                <w:color w:val="auto"/>
              </w:rPr>
            </w:pPr>
            <w:r>
              <w:rPr>
                <w:rFonts w:ascii="Arial" w:cs="Arial" w:eastAsia="Arial" w:hAnsi="Arial"/>
                <w:sz w:val="16"/>
                <w:szCs w:val="16"/>
                <w:color w:val="E14A6A"/>
              </w:rPr>
              <w:t>•</w:t>
            </w:r>
          </w:p>
        </w:tc>
        <w:tc>
          <w:tcPr>
            <w:tcW w:w="2560" w:type="dxa"/>
            <w:vAlign w:val="bottom"/>
            <w:vMerge w:val="restart"/>
          </w:tcPr>
          <w:p>
            <w:pPr>
              <w:ind w:left="100"/>
              <w:spacing w:after="0"/>
              <w:rPr>
                <w:sz w:val="20"/>
                <w:szCs w:val="20"/>
                <w:color w:val="auto"/>
              </w:rPr>
            </w:pPr>
            <w:r>
              <w:rPr>
                <w:rFonts w:ascii="Arial" w:cs="Arial" w:eastAsia="Arial" w:hAnsi="Arial"/>
                <w:sz w:val="16"/>
                <w:szCs w:val="16"/>
                <w:color w:val="092E44"/>
              </w:rPr>
              <w:t>Financial Expertise</w:t>
            </w:r>
          </w:p>
        </w:tc>
        <w:tc>
          <w:tcPr>
            <w:tcW w:w="1220" w:type="dxa"/>
            <w:vAlign w:val="bottom"/>
            <w:vMerge w:val="restart"/>
          </w:tcPr>
          <w:p>
            <w:pPr>
              <w:ind w:left="1080"/>
              <w:spacing w:after="0"/>
              <w:rPr>
                <w:sz w:val="20"/>
                <w:szCs w:val="20"/>
                <w:color w:val="auto"/>
              </w:rPr>
            </w:pPr>
            <w:r>
              <w:rPr>
                <w:rFonts w:ascii="Arial" w:cs="Arial" w:eastAsia="Arial" w:hAnsi="Arial"/>
                <w:sz w:val="16"/>
                <w:szCs w:val="16"/>
                <w:color w:val="E14A6A"/>
              </w:rPr>
              <w:t>•</w:t>
            </w:r>
          </w:p>
        </w:tc>
        <w:tc>
          <w:tcPr>
            <w:tcW w:w="1800" w:type="dxa"/>
            <w:vAlign w:val="bottom"/>
            <w:vMerge w:val="restart"/>
          </w:tcPr>
          <w:p>
            <w:pPr>
              <w:ind w:left="100"/>
              <w:spacing w:after="0"/>
              <w:rPr>
                <w:sz w:val="20"/>
                <w:szCs w:val="20"/>
                <w:color w:val="auto"/>
              </w:rPr>
            </w:pPr>
            <w:r>
              <w:rPr>
                <w:rFonts w:ascii="Arial" w:cs="Arial" w:eastAsia="Arial" w:hAnsi="Arial"/>
                <w:sz w:val="16"/>
                <w:szCs w:val="16"/>
                <w:color w:val="092E44"/>
              </w:rPr>
              <w:t>M&amp;A and Integrations</w:t>
            </w:r>
          </w:p>
        </w:tc>
        <w:tc>
          <w:tcPr>
            <w:tcW w:w="0" w:type="dxa"/>
            <w:vAlign w:val="bottom"/>
          </w:tcPr>
          <w:p>
            <w:pPr>
              <w:spacing w:after="0"/>
              <w:rPr>
                <w:sz w:val="1"/>
                <w:szCs w:val="1"/>
                <w:color w:val="auto"/>
              </w:rPr>
            </w:pPr>
          </w:p>
        </w:tc>
      </w:tr>
      <w:tr>
        <w:trPr>
          <w:trHeight w:val="68"/>
        </w:trPr>
        <w:tc>
          <w:tcPr>
            <w:tcW w:w="160" w:type="dxa"/>
            <w:vAlign w:val="bottom"/>
            <w:vMerge w:val="restart"/>
          </w:tcPr>
          <w:p>
            <w:pPr>
              <w:spacing w:after="0"/>
              <w:rPr>
                <w:sz w:val="20"/>
                <w:szCs w:val="20"/>
                <w:color w:val="auto"/>
              </w:rPr>
            </w:pPr>
            <w:r>
              <w:rPr>
                <w:rFonts w:ascii="Arial" w:cs="Arial" w:eastAsia="Arial" w:hAnsi="Arial"/>
                <w:sz w:val="16"/>
                <w:szCs w:val="16"/>
                <w:color w:val="E14A6A"/>
              </w:rPr>
              <w:t>•</w:t>
            </w:r>
          </w:p>
        </w:tc>
        <w:tc>
          <w:tcPr>
            <w:tcW w:w="2860" w:type="dxa"/>
            <w:vAlign w:val="bottom"/>
            <w:vMerge w:val="restart"/>
          </w:tcPr>
          <w:p>
            <w:pPr>
              <w:ind w:left="80"/>
              <w:spacing w:after="0"/>
              <w:rPr>
                <w:sz w:val="20"/>
                <w:szCs w:val="20"/>
                <w:color w:val="auto"/>
              </w:rPr>
            </w:pPr>
            <w:r>
              <w:rPr>
                <w:rFonts w:ascii="Arial" w:cs="Arial" w:eastAsia="Arial" w:hAnsi="Arial"/>
                <w:sz w:val="16"/>
                <w:szCs w:val="16"/>
                <w:color w:val="092E44"/>
              </w:rPr>
              <w:t>Engineering and Innovation</w:t>
            </w:r>
          </w:p>
        </w:tc>
        <w:tc>
          <w:tcPr>
            <w:tcW w:w="92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0" w:type="dxa"/>
            <w:vAlign w:val="bottom"/>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920" w:type="dxa"/>
            <w:vAlign w:val="bottom"/>
            <w:vMerge w:val="restart"/>
          </w:tcPr>
          <w:p>
            <w:pPr>
              <w:ind w:left="780"/>
              <w:spacing w:after="0"/>
              <w:rPr>
                <w:sz w:val="20"/>
                <w:szCs w:val="20"/>
                <w:color w:val="auto"/>
              </w:rPr>
            </w:pPr>
            <w:r>
              <w:rPr>
                <w:rFonts w:ascii="Arial" w:cs="Arial" w:eastAsia="Arial" w:hAnsi="Arial"/>
                <w:sz w:val="16"/>
                <w:szCs w:val="16"/>
                <w:color w:val="E14A6A"/>
              </w:rPr>
              <w:t>•</w:t>
            </w:r>
          </w:p>
        </w:tc>
        <w:tc>
          <w:tcPr>
            <w:tcW w:w="2560" w:type="dxa"/>
            <w:vAlign w:val="bottom"/>
            <w:vMerge w:val="restart"/>
          </w:tcPr>
          <w:p>
            <w:pPr>
              <w:ind w:left="100"/>
              <w:spacing w:after="0"/>
              <w:rPr>
                <w:sz w:val="20"/>
                <w:szCs w:val="20"/>
                <w:color w:val="auto"/>
              </w:rPr>
            </w:pPr>
            <w:r>
              <w:rPr>
                <w:rFonts w:ascii="Arial" w:cs="Arial" w:eastAsia="Arial" w:hAnsi="Arial"/>
                <w:sz w:val="16"/>
                <w:szCs w:val="16"/>
                <w:color w:val="092E44"/>
              </w:rPr>
              <w:t>SaaS</w:t>
            </w:r>
          </w:p>
        </w:tc>
        <w:tc>
          <w:tcPr>
            <w:tcW w:w="1220" w:type="dxa"/>
            <w:vAlign w:val="bottom"/>
            <w:vMerge w:val="restart"/>
          </w:tcPr>
          <w:p>
            <w:pPr>
              <w:ind w:left="1080"/>
              <w:spacing w:after="0"/>
              <w:rPr>
                <w:sz w:val="20"/>
                <w:szCs w:val="20"/>
                <w:color w:val="auto"/>
              </w:rPr>
            </w:pPr>
            <w:r>
              <w:rPr>
                <w:rFonts w:ascii="Arial" w:cs="Arial" w:eastAsia="Arial" w:hAnsi="Arial"/>
                <w:sz w:val="16"/>
                <w:szCs w:val="16"/>
                <w:color w:val="E14A6A"/>
              </w:rPr>
              <w:t>•</w:t>
            </w:r>
          </w:p>
        </w:tc>
        <w:tc>
          <w:tcPr>
            <w:tcW w:w="1800" w:type="dxa"/>
            <w:vAlign w:val="bottom"/>
            <w:vMerge w:val="restart"/>
          </w:tcPr>
          <w:p>
            <w:pPr>
              <w:ind w:left="100"/>
              <w:spacing w:after="0"/>
              <w:rPr>
                <w:sz w:val="20"/>
                <w:szCs w:val="20"/>
                <w:color w:val="auto"/>
              </w:rPr>
            </w:pPr>
            <w:r>
              <w:rPr>
                <w:rFonts w:ascii="Arial" w:cs="Arial" w:eastAsia="Arial" w:hAnsi="Arial"/>
                <w:sz w:val="16"/>
                <w:szCs w:val="16"/>
                <w:color w:val="092E44"/>
              </w:rPr>
              <w:t>Executive Management</w:t>
            </w:r>
          </w:p>
        </w:tc>
        <w:tc>
          <w:tcPr>
            <w:tcW w:w="0" w:type="dxa"/>
            <w:vAlign w:val="bottom"/>
          </w:tcPr>
          <w:p>
            <w:pPr>
              <w:spacing w:after="0"/>
              <w:rPr>
                <w:sz w:val="1"/>
                <w:szCs w:val="1"/>
                <w:color w:val="auto"/>
              </w:rPr>
            </w:pPr>
          </w:p>
        </w:tc>
      </w:tr>
      <w:tr>
        <w:trPr>
          <w:trHeight w:val="81"/>
        </w:trPr>
        <w:tc>
          <w:tcPr>
            <w:tcW w:w="160" w:type="dxa"/>
            <w:vAlign w:val="bottom"/>
            <w:vMerge w:val="restart"/>
          </w:tcPr>
          <w:p>
            <w:pPr>
              <w:spacing w:after="0"/>
              <w:rPr>
                <w:sz w:val="20"/>
                <w:szCs w:val="20"/>
                <w:color w:val="auto"/>
              </w:rPr>
            </w:pPr>
            <w:r>
              <w:rPr>
                <w:rFonts w:ascii="Arial" w:cs="Arial" w:eastAsia="Arial" w:hAnsi="Arial"/>
                <w:sz w:val="16"/>
                <w:szCs w:val="16"/>
                <w:color w:val="E14A6A"/>
              </w:rPr>
              <w:t>•</w:t>
            </w:r>
          </w:p>
        </w:tc>
        <w:tc>
          <w:tcPr>
            <w:tcW w:w="2860" w:type="dxa"/>
            <w:vAlign w:val="bottom"/>
            <w:vMerge w:val="restart"/>
          </w:tcPr>
          <w:p>
            <w:pPr>
              <w:ind w:left="80"/>
              <w:spacing w:after="0"/>
              <w:rPr>
                <w:sz w:val="20"/>
                <w:szCs w:val="20"/>
                <w:color w:val="auto"/>
              </w:rPr>
            </w:pPr>
            <w:r>
              <w:rPr>
                <w:rFonts w:ascii="Arial" w:cs="Arial" w:eastAsia="Arial" w:hAnsi="Arial"/>
                <w:sz w:val="16"/>
                <w:szCs w:val="16"/>
                <w:color w:val="092E44"/>
              </w:rPr>
              <w:t>Go-to-Market</w:t>
            </w:r>
          </w:p>
        </w:tc>
        <w:tc>
          <w:tcPr>
            <w:tcW w:w="920" w:type="dxa"/>
            <w:vAlign w:val="bottom"/>
            <w:vMerge w:val="continue"/>
          </w:tcPr>
          <w:p>
            <w:pPr>
              <w:spacing w:after="0"/>
              <w:rPr>
                <w:sz w:val="7"/>
                <w:szCs w:val="7"/>
                <w:color w:val="auto"/>
              </w:rPr>
            </w:pPr>
          </w:p>
        </w:tc>
        <w:tc>
          <w:tcPr>
            <w:tcW w:w="25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0" w:type="dxa"/>
            <w:vAlign w:val="bottom"/>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920" w:type="dxa"/>
            <w:vAlign w:val="bottom"/>
            <w:vMerge w:val="restart"/>
          </w:tcPr>
          <w:p>
            <w:pPr>
              <w:ind w:left="780"/>
              <w:spacing w:after="0"/>
              <w:rPr>
                <w:sz w:val="20"/>
                <w:szCs w:val="20"/>
                <w:color w:val="auto"/>
              </w:rPr>
            </w:pPr>
            <w:r>
              <w:rPr>
                <w:rFonts w:ascii="Arial" w:cs="Arial" w:eastAsia="Arial" w:hAnsi="Arial"/>
                <w:sz w:val="16"/>
                <w:szCs w:val="16"/>
                <w:color w:val="E14A6A"/>
              </w:rPr>
              <w:t>•</w:t>
            </w:r>
          </w:p>
        </w:tc>
        <w:tc>
          <w:tcPr>
            <w:tcW w:w="2560" w:type="dxa"/>
            <w:vAlign w:val="bottom"/>
            <w:vMerge w:val="restart"/>
          </w:tcPr>
          <w:p>
            <w:pPr>
              <w:ind w:left="100"/>
              <w:spacing w:after="0"/>
              <w:rPr>
                <w:sz w:val="20"/>
                <w:szCs w:val="20"/>
                <w:color w:val="auto"/>
              </w:rPr>
            </w:pPr>
            <w:r>
              <w:rPr>
                <w:rFonts w:ascii="Arial" w:cs="Arial" w:eastAsia="Arial" w:hAnsi="Arial"/>
                <w:sz w:val="16"/>
                <w:szCs w:val="16"/>
                <w:color w:val="092E44"/>
              </w:rPr>
              <w:t>Global/Strategy</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40" w:hanging="232"/>
        <w:spacing w:after="0"/>
        <w:tabs>
          <w:tab w:leader="none" w:pos="240" w:val="left"/>
        </w:tabs>
        <w:numPr>
          <w:ilvl w:val="0"/>
          <w:numId w:val="24"/>
        </w:numPr>
        <w:rPr>
          <w:rFonts w:ascii="Arial" w:cs="Arial" w:eastAsia="Arial" w:hAnsi="Arial"/>
          <w:sz w:val="16"/>
          <w:szCs w:val="16"/>
          <w:color w:val="E14A6A"/>
        </w:rPr>
      </w:pPr>
      <w:r>
        <w:rPr>
          <w:rFonts w:ascii="Arial" w:cs="Arial" w:eastAsia="Arial" w:hAnsi="Arial"/>
          <w:sz w:val="16"/>
          <w:szCs w:val="16"/>
          <w:color w:val="092E44"/>
        </w:rPr>
        <w:t>Cybersecurity</w:t>
      </w:r>
    </w:p>
    <w:p>
      <w:pPr>
        <w:spacing w:after="0" w:line="209" w:lineRule="exact"/>
        <w:rPr>
          <w:rFonts w:ascii="Arial" w:cs="Arial" w:eastAsia="Arial" w:hAnsi="Arial"/>
          <w:sz w:val="25"/>
          <w:szCs w:val="25"/>
          <w:b w:val="1"/>
          <w:bCs w:val="1"/>
          <w:color w:val="E14A6A"/>
        </w:rPr>
      </w:pPr>
    </w:p>
    <w:p>
      <w:pPr>
        <w:spacing w:after="0" w:line="290" w:lineRule="auto"/>
        <w:rPr>
          <w:sz w:val="20"/>
          <w:szCs w:val="20"/>
          <w:color w:val="auto"/>
        </w:rPr>
      </w:pPr>
      <w:r>
        <w:rPr>
          <w:rFonts w:ascii="Arial" w:cs="Arial" w:eastAsia="Arial" w:hAnsi="Arial"/>
          <w:sz w:val="16"/>
          <w:szCs w:val="16"/>
          <w:color w:val="092E44"/>
        </w:rPr>
        <w:t>The Nominations and Governance Committee will consider nominees that are recommended by current directors, management, or stockholders. Candidates recommended by stockholders will be evaluated in the same manner as candidates identified through other means.</w:t>
      </w:r>
    </w:p>
    <w:p>
      <w:pPr>
        <w:spacing w:after="0" w:line="1" w:lineRule="exact"/>
        <w:rPr>
          <w:rFonts w:ascii="Arial" w:cs="Arial" w:eastAsia="Arial" w:hAnsi="Arial"/>
          <w:sz w:val="25"/>
          <w:szCs w:val="25"/>
          <w:b w:val="1"/>
          <w:bCs w:val="1"/>
          <w:color w:val="E14A6A"/>
        </w:rPr>
      </w:pPr>
    </w:p>
    <w:p>
      <w:pPr>
        <w:ind w:right="40"/>
        <w:spacing w:after="0" w:line="262" w:lineRule="auto"/>
        <w:rPr>
          <w:sz w:val="20"/>
          <w:szCs w:val="20"/>
          <w:color w:val="auto"/>
        </w:rPr>
      </w:pPr>
      <w:r>
        <w:rPr>
          <w:rFonts w:ascii="Arial" w:cs="Arial" w:eastAsia="Arial" w:hAnsi="Arial"/>
          <w:sz w:val="16"/>
          <w:szCs w:val="16"/>
          <w:color w:val="092E44"/>
        </w:rPr>
        <w:t>Nominees for director are selected on the basis of diversity, depth and breadth of experience, integrity, ability to make independent analytical inquiries, understanding of our business environment, willingness to devote adequate time to board duties, and the interplay of the candidate’s experience and skills with those of other board members. Our Corporate Governance Guidelines provide that the Nominations and Governance Committee must also consider gender, race, and ethnicity when recommending director nominees, with the objective of achieving a Board with diverse business, personal, and educational backgrounds.</w:t>
      </w:r>
    </w:p>
    <w:p>
      <w:pPr>
        <w:spacing w:after="0" w:line="200" w:lineRule="exact"/>
        <w:rPr>
          <w:rFonts w:ascii="Arial" w:cs="Arial" w:eastAsia="Arial" w:hAnsi="Arial"/>
          <w:sz w:val="25"/>
          <w:szCs w:val="25"/>
          <w:b w:val="1"/>
          <w:bCs w:val="1"/>
          <w:color w:val="E14A6A"/>
        </w:rPr>
      </w:pPr>
    </w:p>
    <w:p>
      <w:pPr>
        <w:spacing w:after="0" w:line="200" w:lineRule="exact"/>
        <w:rPr>
          <w:rFonts w:ascii="Arial" w:cs="Arial" w:eastAsia="Arial" w:hAnsi="Arial"/>
          <w:sz w:val="25"/>
          <w:szCs w:val="25"/>
          <w:b w:val="1"/>
          <w:bCs w:val="1"/>
          <w:color w:val="E14A6A"/>
        </w:rPr>
      </w:pPr>
    </w:p>
    <w:p>
      <w:pPr>
        <w:spacing w:after="0" w:line="332" w:lineRule="exact"/>
        <w:rPr>
          <w:rFonts w:ascii="Arial" w:cs="Arial" w:eastAsia="Arial" w:hAnsi="Arial"/>
          <w:sz w:val="25"/>
          <w:szCs w:val="25"/>
          <w:b w:val="1"/>
          <w:bCs w:val="1"/>
          <w:color w:val="E14A6A"/>
        </w:rPr>
      </w:pPr>
    </w:p>
    <w:p>
      <w:pPr>
        <w:spacing w:after="0"/>
        <w:rPr>
          <w:sz w:val="20"/>
          <w:szCs w:val="20"/>
          <w:color w:val="auto"/>
        </w:rPr>
      </w:pPr>
      <w:r>
        <w:rPr>
          <w:rFonts w:ascii="Arial" w:cs="Arial" w:eastAsia="Arial" w:hAnsi="Arial"/>
          <w:sz w:val="11"/>
          <w:szCs w:val="11"/>
          <w:color w:val="0B2E44"/>
        </w:rPr>
        <w:t xml:space="preserve">20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rFonts w:ascii="Arial" w:cs="Arial" w:eastAsia="Arial" w:hAnsi="Arial"/>
          <w:sz w:val="25"/>
          <w:szCs w:val="25"/>
          <w:b w:val="1"/>
          <w:bCs w:val="1"/>
          <w:color w:val="E14A6A"/>
        </w:rPr>
      </w:pPr>
      <w:r>
        <w:rPr>
          <w:rFonts w:ascii="Arial" w:cs="Arial" w:eastAsia="Arial" w:hAnsi="Arial"/>
          <w:sz w:val="25"/>
          <w:szCs w:val="25"/>
          <w:b w:val="1"/>
          <w:bCs w:val="1"/>
          <w:color w:val="E14A6A"/>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BOARD COMMITTEES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Board Committees</w:t>
      </w:r>
    </w:p>
    <w:p>
      <w:pPr>
        <w:spacing w:after="0" w:line="93"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092E44"/>
        </w:rPr>
        <w:t xml:space="preserve">The Board of Directors has three standing committees and one </w:t>
      </w:r>
      <w:r>
        <w:rPr>
          <w:rFonts w:ascii="Arial" w:cs="Arial" w:eastAsia="Arial" w:hAnsi="Arial"/>
          <w:sz w:val="16"/>
          <w:szCs w:val="16"/>
          <w:i w:val="1"/>
          <w:iCs w:val="1"/>
          <w:color w:val="092E44"/>
        </w:rPr>
        <w:t>ad hoc</w:t>
      </w:r>
      <w:r>
        <w:rPr>
          <w:rFonts w:ascii="Arial" w:cs="Arial" w:eastAsia="Arial" w:hAnsi="Arial"/>
          <w:sz w:val="16"/>
          <w:szCs w:val="16"/>
          <w:color w:val="092E44"/>
        </w:rPr>
        <w:t xml:space="preserve"> committee. Each committee operates under a written charter that is available on the “Investor Relations—Corporate Governance Overview” section of our website. The members of all of the committees are independent as defined in the Nasdaq listing standards.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E14A6A"/>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-1284605</wp:posOffset>
            </wp:positionV>
            <wp:extent cx="1131570" cy="11315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92E44"/>
        </w:rPr>
        <w:t>Messrs. Walker</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092E44"/>
        </w:rPr>
        <w:t>(Chair),</w:t>
      </w:r>
    </w:p>
    <w:p>
      <w:pPr>
        <w:spacing w:after="0" w:line="45" w:lineRule="exact"/>
        <w:rPr>
          <w:sz w:val="20"/>
          <w:szCs w:val="20"/>
          <w:color w:val="auto"/>
        </w:rPr>
      </w:pPr>
    </w:p>
    <w:p>
      <w:pPr>
        <w:ind w:left="40"/>
        <w:spacing w:after="0" w:line="296" w:lineRule="auto"/>
        <w:rPr>
          <w:sz w:val="20"/>
          <w:szCs w:val="20"/>
          <w:color w:val="auto"/>
        </w:rPr>
      </w:pPr>
      <w:r>
        <w:rPr>
          <w:rFonts w:ascii="Arial" w:cs="Arial" w:eastAsia="Arial" w:hAnsi="Arial"/>
          <w:sz w:val="14"/>
          <w:szCs w:val="14"/>
          <w:color w:val="092E44"/>
        </w:rPr>
        <w:t>Moran, Sanders and Shenkman Meetings in fiscal</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31"/>
          <w:szCs w:val="31"/>
          <w:color w:val="E14A6A"/>
        </w:rPr>
        <w:t>Audit Committee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092E44"/>
        </w:rPr>
        <w:t>The Audit Committee is responsible for:</w:t>
      </w:r>
    </w:p>
    <w:p>
      <w:pPr>
        <w:spacing w:after="0" w:line="111" w:lineRule="exact"/>
        <w:rPr>
          <w:sz w:val="20"/>
          <w:szCs w:val="20"/>
          <w:color w:val="auto"/>
        </w:rPr>
      </w:pPr>
    </w:p>
    <w:p>
      <w:pPr>
        <w:ind w:left="240" w:hanging="238"/>
        <w:spacing w:after="0" w:line="274" w:lineRule="auto"/>
        <w:tabs>
          <w:tab w:leader="none" w:pos="240" w:val="left"/>
        </w:tabs>
        <w:numPr>
          <w:ilvl w:val="0"/>
          <w:numId w:val="25"/>
        </w:numPr>
        <w:rPr>
          <w:rFonts w:ascii="Arial" w:cs="Arial" w:eastAsia="Arial" w:hAnsi="Arial"/>
          <w:sz w:val="15"/>
          <w:szCs w:val="15"/>
          <w:color w:val="FF4A6A"/>
        </w:rPr>
      </w:pPr>
      <w:r>
        <w:rPr>
          <w:rFonts w:ascii="Arial" w:cs="Arial" w:eastAsia="Arial" w:hAnsi="Arial"/>
          <w:sz w:val="15"/>
          <w:szCs w:val="15"/>
          <w:color w:val="092E44"/>
        </w:rPr>
        <w:t>the appointment, compensation, and oversight of our independent auditor</w:t>
      </w:r>
    </w:p>
    <w:p>
      <w:pPr>
        <w:spacing w:after="0" w:line="24" w:lineRule="exact"/>
        <w:rPr>
          <w:rFonts w:ascii="Arial" w:cs="Arial" w:eastAsia="Arial" w:hAnsi="Arial"/>
          <w:sz w:val="15"/>
          <w:szCs w:val="15"/>
          <w:color w:val="FF4A6A"/>
        </w:rPr>
      </w:pPr>
    </w:p>
    <w:p>
      <w:pPr>
        <w:ind w:left="240" w:hanging="238"/>
        <w:spacing w:after="0"/>
        <w:tabs>
          <w:tab w:leader="none" w:pos="240" w:val="left"/>
        </w:tabs>
        <w:numPr>
          <w:ilvl w:val="0"/>
          <w:numId w:val="25"/>
        </w:numPr>
        <w:rPr>
          <w:rFonts w:ascii="Arial" w:cs="Arial" w:eastAsia="Arial" w:hAnsi="Arial"/>
          <w:sz w:val="15"/>
          <w:szCs w:val="15"/>
          <w:color w:val="FF4A6A"/>
        </w:rPr>
      </w:pPr>
      <w:r>
        <w:rPr>
          <w:rFonts w:ascii="Arial" w:cs="Arial" w:eastAsia="Arial" w:hAnsi="Arial"/>
          <w:sz w:val="15"/>
          <w:szCs w:val="15"/>
          <w:color w:val="092E44"/>
        </w:rPr>
        <w:t>the integrity of our financial statements</w:t>
      </w:r>
    </w:p>
    <w:p>
      <w:pPr>
        <w:spacing w:after="0" w:line="70" w:lineRule="exact"/>
        <w:rPr>
          <w:rFonts w:ascii="Arial" w:cs="Arial" w:eastAsia="Arial" w:hAnsi="Arial"/>
          <w:sz w:val="15"/>
          <w:szCs w:val="15"/>
          <w:color w:val="FF4A6A"/>
        </w:rPr>
      </w:pPr>
    </w:p>
    <w:p>
      <w:pPr>
        <w:ind w:left="240" w:right="560" w:hanging="238"/>
        <w:spacing w:after="0" w:line="274" w:lineRule="auto"/>
        <w:tabs>
          <w:tab w:leader="none" w:pos="240" w:val="left"/>
        </w:tabs>
        <w:numPr>
          <w:ilvl w:val="0"/>
          <w:numId w:val="25"/>
        </w:numPr>
        <w:rPr>
          <w:rFonts w:ascii="Arial" w:cs="Arial" w:eastAsia="Arial" w:hAnsi="Arial"/>
          <w:sz w:val="15"/>
          <w:szCs w:val="15"/>
          <w:color w:val="FF4A6A"/>
        </w:rPr>
      </w:pPr>
      <w:r>
        <w:rPr>
          <w:rFonts w:ascii="Arial" w:cs="Arial" w:eastAsia="Arial" w:hAnsi="Arial"/>
          <w:sz w:val="15"/>
          <w:szCs w:val="15"/>
          <w:color w:val="092E44"/>
        </w:rPr>
        <w:t>our independent auditor’s performance qualifications, and independence</w:t>
      </w:r>
    </w:p>
    <w:p>
      <w:pPr>
        <w:spacing w:after="0" w:line="24" w:lineRule="exact"/>
        <w:rPr>
          <w:rFonts w:ascii="Arial" w:cs="Arial" w:eastAsia="Arial" w:hAnsi="Arial"/>
          <w:sz w:val="15"/>
          <w:szCs w:val="15"/>
          <w:color w:val="FF4A6A"/>
        </w:rPr>
      </w:pPr>
    </w:p>
    <w:p>
      <w:pPr>
        <w:ind w:left="240" w:right="220" w:hanging="238"/>
        <w:spacing w:after="0" w:line="274" w:lineRule="auto"/>
        <w:tabs>
          <w:tab w:leader="none" w:pos="240" w:val="left"/>
        </w:tabs>
        <w:numPr>
          <w:ilvl w:val="0"/>
          <w:numId w:val="25"/>
        </w:numPr>
        <w:rPr>
          <w:rFonts w:ascii="Arial" w:cs="Arial" w:eastAsia="Arial" w:hAnsi="Arial"/>
          <w:sz w:val="15"/>
          <w:szCs w:val="15"/>
          <w:color w:val="FF4A6A"/>
        </w:rPr>
      </w:pPr>
      <w:r>
        <w:rPr>
          <w:rFonts w:ascii="Arial" w:cs="Arial" w:eastAsia="Arial" w:hAnsi="Arial"/>
          <w:sz w:val="15"/>
          <w:szCs w:val="15"/>
          <w:color w:val="092E44"/>
        </w:rPr>
        <w:t>our compliance with legal and regulatory requirements and our compliance program generally</w:t>
      </w:r>
    </w:p>
    <w:p>
      <w:pPr>
        <w:spacing w:after="0" w:line="24" w:lineRule="exact"/>
        <w:rPr>
          <w:rFonts w:ascii="Arial" w:cs="Arial" w:eastAsia="Arial" w:hAnsi="Arial"/>
          <w:sz w:val="15"/>
          <w:szCs w:val="15"/>
          <w:color w:val="FF4A6A"/>
        </w:rPr>
      </w:pPr>
    </w:p>
    <w:p>
      <w:pPr>
        <w:ind w:left="240" w:right="220" w:hanging="238"/>
        <w:spacing w:after="0" w:line="291" w:lineRule="auto"/>
        <w:tabs>
          <w:tab w:leader="none" w:pos="240" w:val="left"/>
        </w:tabs>
        <w:numPr>
          <w:ilvl w:val="0"/>
          <w:numId w:val="25"/>
        </w:numPr>
        <w:rPr>
          <w:rFonts w:ascii="Arial" w:cs="Arial" w:eastAsia="Arial" w:hAnsi="Arial"/>
          <w:sz w:val="15"/>
          <w:szCs w:val="15"/>
          <w:color w:val="FF4A6A"/>
        </w:rPr>
      </w:pPr>
      <w:r>
        <w:rPr>
          <w:rFonts w:ascii="Arial" w:cs="Arial" w:eastAsia="Arial" w:hAnsi="Arial"/>
          <w:sz w:val="15"/>
          <w:szCs w:val="15"/>
          <w:color w:val="092E44"/>
        </w:rPr>
        <w:t>the performance of our internal audit function and independent auditor</w:t>
      </w:r>
    </w:p>
    <w:p>
      <w:pPr>
        <w:ind w:left="240" w:hanging="238"/>
        <w:spacing w:after="0"/>
        <w:tabs>
          <w:tab w:leader="none" w:pos="240" w:val="left"/>
        </w:tabs>
        <w:numPr>
          <w:ilvl w:val="0"/>
          <w:numId w:val="25"/>
        </w:numPr>
        <w:rPr>
          <w:rFonts w:ascii="Arial" w:cs="Arial" w:eastAsia="Arial" w:hAnsi="Arial"/>
          <w:sz w:val="15"/>
          <w:szCs w:val="15"/>
          <w:color w:val="FF4A6A"/>
        </w:rPr>
      </w:pPr>
      <w:r>
        <w:rPr>
          <w:rFonts w:ascii="Arial" w:cs="Arial" w:eastAsia="Arial" w:hAnsi="Arial"/>
          <w:sz w:val="15"/>
          <w:szCs w:val="15"/>
          <w:color w:val="092E44"/>
        </w:rPr>
        <w:t>related person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5" w:hanging="245"/>
        <w:spacing w:after="0"/>
        <w:tabs>
          <w:tab w:leader="none" w:pos="245" w:val="left"/>
        </w:tabs>
        <w:numPr>
          <w:ilvl w:val="0"/>
          <w:numId w:val="26"/>
        </w:numPr>
        <w:rPr>
          <w:rFonts w:ascii="Arial" w:cs="Arial" w:eastAsia="Arial" w:hAnsi="Arial"/>
          <w:sz w:val="15"/>
          <w:szCs w:val="15"/>
          <w:color w:val="FF4A6A"/>
        </w:rPr>
      </w:pPr>
      <w:r>
        <w:rPr>
          <w:rFonts w:ascii="Arial" w:cs="Arial" w:eastAsia="Arial" w:hAnsi="Arial"/>
          <w:sz w:val="15"/>
          <w:szCs w:val="15"/>
          <w:color w:val="092E44"/>
        </w:rPr>
        <w:t>our cybersecurity and IT compliance programs</w:t>
      </w:r>
    </w:p>
    <w:p>
      <w:pPr>
        <w:spacing w:after="0" w:line="57" w:lineRule="exact"/>
        <w:rPr>
          <w:rFonts w:ascii="Arial" w:cs="Arial" w:eastAsia="Arial" w:hAnsi="Arial"/>
          <w:sz w:val="15"/>
          <w:szCs w:val="15"/>
          <w:color w:val="FF4A6A"/>
        </w:rPr>
      </w:pPr>
    </w:p>
    <w:p>
      <w:pPr>
        <w:ind w:left="245" w:right="20" w:hanging="245"/>
        <w:spacing w:after="0" w:line="293" w:lineRule="auto"/>
        <w:tabs>
          <w:tab w:leader="none" w:pos="245" w:val="left"/>
        </w:tabs>
        <w:numPr>
          <w:ilvl w:val="0"/>
          <w:numId w:val="26"/>
        </w:numPr>
        <w:rPr>
          <w:rFonts w:ascii="Arial" w:cs="Arial" w:eastAsia="Arial" w:hAnsi="Arial"/>
          <w:sz w:val="15"/>
          <w:szCs w:val="15"/>
          <w:color w:val="FF4A6A"/>
        </w:rPr>
      </w:pPr>
      <w:r>
        <w:rPr>
          <w:rFonts w:ascii="Arial" w:cs="Arial" w:eastAsia="Arial" w:hAnsi="Arial"/>
          <w:sz w:val="15"/>
          <w:szCs w:val="15"/>
          <w:color w:val="092E44"/>
        </w:rPr>
        <w:t>whistleblower complaints (Integrity Counts) and related investigations</w:t>
      </w:r>
    </w:p>
    <w:p>
      <w:pPr>
        <w:spacing w:after="0" w:line="10" w:lineRule="exact"/>
        <w:rPr>
          <w:rFonts w:ascii="Arial" w:cs="Arial" w:eastAsia="Arial" w:hAnsi="Arial"/>
          <w:sz w:val="15"/>
          <w:szCs w:val="15"/>
          <w:color w:val="FF4A6A"/>
        </w:rPr>
      </w:pPr>
    </w:p>
    <w:p>
      <w:pPr>
        <w:ind w:left="245" w:hanging="245"/>
        <w:spacing w:after="0"/>
        <w:tabs>
          <w:tab w:leader="none" w:pos="245" w:val="left"/>
        </w:tabs>
        <w:numPr>
          <w:ilvl w:val="0"/>
          <w:numId w:val="26"/>
        </w:numPr>
        <w:rPr>
          <w:rFonts w:ascii="Arial" w:cs="Arial" w:eastAsia="Arial" w:hAnsi="Arial"/>
          <w:sz w:val="15"/>
          <w:szCs w:val="15"/>
          <w:color w:val="FF4A6A"/>
        </w:rPr>
      </w:pPr>
      <w:r>
        <w:rPr>
          <w:rFonts w:ascii="Arial" w:cs="Arial" w:eastAsia="Arial" w:hAnsi="Arial"/>
          <w:sz w:val="15"/>
          <w:szCs w:val="15"/>
          <w:color w:val="092E44"/>
        </w:rPr>
        <w:t>our audit results</w:t>
      </w:r>
    </w:p>
    <w:p>
      <w:pPr>
        <w:spacing w:after="0" w:line="57" w:lineRule="exact"/>
        <w:rPr>
          <w:rFonts w:ascii="Arial" w:cs="Arial" w:eastAsia="Arial" w:hAnsi="Arial"/>
          <w:sz w:val="15"/>
          <w:szCs w:val="15"/>
          <w:color w:val="FF4A6A"/>
        </w:rPr>
      </w:pPr>
    </w:p>
    <w:p>
      <w:pPr>
        <w:ind w:left="245" w:hanging="245"/>
        <w:spacing w:after="0"/>
        <w:tabs>
          <w:tab w:leader="none" w:pos="245" w:val="left"/>
        </w:tabs>
        <w:numPr>
          <w:ilvl w:val="0"/>
          <w:numId w:val="26"/>
        </w:numPr>
        <w:rPr>
          <w:rFonts w:ascii="Arial" w:cs="Arial" w:eastAsia="Arial" w:hAnsi="Arial"/>
          <w:sz w:val="15"/>
          <w:szCs w:val="15"/>
          <w:color w:val="FF4A6A"/>
        </w:rPr>
      </w:pPr>
      <w:r>
        <w:rPr>
          <w:rFonts w:ascii="Arial" w:cs="Arial" w:eastAsia="Arial" w:hAnsi="Arial"/>
          <w:sz w:val="15"/>
          <w:szCs w:val="15"/>
          <w:color w:val="092E44"/>
        </w:rPr>
        <w:t>our critical accounting policies and practices</w:t>
      </w:r>
    </w:p>
    <w:p>
      <w:pPr>
        <w:spacing w:after="0" w:line="70" w:lineRule="exact"/>
        <w:rPr>
          <w:rFonts w:ascii="Arial" w:cs="Arial" w:eastAsia="Arial" w:hAnsi="Arial"/>
          <w:sz w:val="15"/>
          <w:szCs w:val="15"/>
          <w:color w:val="FF4A6A"/>
        </w:rPr>
      </w:pPr>
    </w:p>
    <w:p>
      <w:pPr>
        <w:ind w:left="245" w:right="780" w:hanging="245"/>
        <w:spacing w:after="0" w:line="274" w:lineRule="auto"/>
        <w:tabs>
          <w:tab w:leader="none" w:pos="245" w:val="left"/>
        </w:tabs>
        <w:numPr>
          <w:ilvl w:val="0"/>
          <w:numId w:val="26"/>
        </w:numPr>
        <w:rPr>
          <w:rFonts w:ascii="Arial" w:cs="Arial" w:eastAsia="Arial" w:hAnsi="Arial"/>
          <w:sz w:val="15"/>
          <w:szCs w:val="15"/>
          <w:color w:val="FF4A6A"/>
        </w:rPr>
      </w:pPr>
      <w:r>
        <w:rPr>
          <w:rFonts w:ascii="Arial" w:cs="Arial" w:eastAsia="Arial" w:hAnsi="Arial"/>
          <w:sz w:val="15"/>
          <w:szCs w:val="15"/>
          <w:color w:val="092E44"/>
        </w:rPr>
        <w:t>the adequacy of our disclosure controls and procedures</w:t>
      </w:r>
    </w:p>
    <w:p>
      <w:pPr>
        <w:spacing w:after="0" w:line="24" w:lineRule="exact"/>
        <w:rPr>
          <w:rFonts w:ascii="Arial" w:cs="Arial" w:eastAsia="Arial" w:hAnsi="Arial"/>
          <w:sz w:val="15"/>
          <w:szCs w:val="15"/>
          <w:color w:val="FF4A6A"/>
        </w:rPr>
      </w:pPr>
    </w:p>
    <w:p>
      <w:pPr>
        <w:ind w:left="245" w:hanging="245"/>
        <w:spacing w:after="0"/>
        <w:tabs>
          <w:tab w:leader="none" w:pos="245" w:val="left"/>
        </w:tabs>
        <w:numPr>
          <w:ilvl w:val="0"/>
          <w:numId w:val="26"/>
        </w:numPr>
        <w:rPr>
          <w:rFonts w:ascii="Arial" w:cs="Arial" w:eastAsia="Arial" w:hAnsi="Arial"/>
          <w:sz w:val="15"/>
          <w:szCs w:val="15"/>
          <w:color w:val="FF4A6A"/>
        </w:rPr>
      </w:pPr>
      <w:r>
        <w:rPr>
          <w:rFonts w:ascii="Arial" w:cs="Arial" w:eastAsia="Arial" w:hAnsi="Arial"/>
          <w:sz w:val="15"/>
          <w:szCs w:val="15"/>
          <w:color w:val="092E44"/>
        </w:rPr>
        <w:t>management of significant financial risk</w:t>
      </w:r>
    </w:p>
    <w:p>
      <w:pPr>
        <w:spacing w:after="0" w:line="449" w:lineRule="exact"/>
        <w:rPr>
          <w:sz w:val="20"/>
          <w:szCs w:val="20"/>
          <w:color w:val="auto"/>
        </w:rPr>
      </w:pPr>
    </w:p>
    <w:p>
      <w:pPr>
        <w:sectPr>
          <w:pgSz w:w="11900" w:h="16838" w:orient="portrait"/>
          <w:cols w:equalWidth="0" w:num="3">
            <w:col w:w="2060" w:space="160"/>
            <w:col w:w="4700" w:space="295"/>
            <w:col w:w="3985"/>
          </w:cols>
          <w:pgMar w:left="320" w:top="125" w:right="379" w:bottom="1440" w:gutter="0" w:footer="0" w:header="0"/>
          <w:type w:val="continuous"/>
        </w:sectPr>
      </w:pPr>
    </w:p>
    <w:p>
      <w:pPr>
        <w:ind w:left="40"/>
        <w:spacing w:after="0" w:line="181" w:lineRule="auto"/>
        <w:rPr>
          <w:sz w:val="20"/>
          <w:szCs w:val="20"/>
          <w:color w:val="auto"/>
        </w:rPr>
      </w:pPr>
      <w:r>
        <w:rPr>
          <w:rFonts w:ascii="Arial" w:cs="Arial" w:eastAsia="Arial" w:hAnsi="Arial"/>
          <w:sz w:val="12"/>
          <w:szCs w:val="12"/>
          <w:color w:val="092E44"/>
        </w:rPr>
        <w:t xml:space="preserve">2023: </w:t>
      </w:r>
      <w:r>
        <w:rPr>
          <w:rFonts w:ascii="Arial" w:cs="Arial" w:eastAsia="Arial" w:hAnsi="Arial"/>
          <w:sz w:val="12"/>
          <w:szCs w:val="12"/>
          <w:b w:val="1"/>
          <w:bCs w:val="1"/>
          <w:color w:val="E14A6A"/>
        </w:rPr>
        <w:t>5</w:t>
      </w:r>
    </w:p>
    <w:p>
      <w:pPr>
        <w:ind w:left="2220" w:right="100"/>
        <w:spacing w:after="0" w:line="260" w:lineRule="auto"/>
        <w:rPr>
          <w:sz w:val="20"/>
          <w:szCs w:val="20"/>
          <w:color w:val="auto"/>
        </w:rPr>
      </w:pPr>
      <w:r>
        <w:rPr>
          <w:rFonts w:ascii="Arial" w:cs="Arial" w:eastAsia="Arial" w:hAnsi="Arial"/>
          <w:sz w:val="15"/>
          <w:szCs w:val="15"/>
          <w:color w:val="092E44"/>
        </w:rPr>
        <w:t>The Audit Committee is also responsible for ensuring Commvault’s Code of Ethics for Senior Financial Officers remains current and for approving any non-auditing services performed by our independent auditor.</w:t>
      </w:r>
    </w:p>
    <w:p>
      <w:pPr>
        <w:spacing w:after="0" w:line="170" w:lineRule="exact"/>
        <w:rPr>
          <w:sz w:val="20"/>
          <w:szCs w:val="20"/>
          <w:color w:val="auto"/>
        </w:rPr>
      </w:pPr>
    </w:p>
    <w:p>
      <w:pPr>
        <w:ind w:left="2220"/>
        <w:spacing w:after="0" w:line="274" w:lineRule="auto"/>
        <w:rPr>
          <w:sz w:val="20"/>
          <w:szCs w:val="20"/>
          <w:color w:val="auto"/>
        </w:rPr>
      </w:pPr>
      <w:r>
        <w:rPr>
          <w:rFonts w:ascii="Arial" w:cs="Arial" w:eastAsia="Arial" w:hAnsi="Arial"/>
          <w:sz w:val="15"/>
          <w:szCs w:val="15"/>
          <w:color w:val="092E44"/>
        </w:rPr>
        <w:t>The Audit Committee relies on the knowledge and expertise of our management, the internal auditors, and the independent auditor in carrying out its oversight responsibilities.</w:t>
      </w:r>
    </w:p>
    <w:p>
      <w:pPr>
        <w:spacing w:after="0" w:line="146" w:lineRule="exact"/>
        <w:rPr>
          <w:sz w:val="20"/>
          <w:szCs w:val="20"/>
          <w:color w:val="auto"/>
        </w:rPr>
      </w:pPr>
    </w:p>
    <w:p>
      <w:pPr>
        <w:jc w:val="both"/>
        <w:ind w:left="2220" w:right="140"/>
        <w:spacing w:after="0" w:line="266" w:lineRule="auto"/>
        <w:rPr>
          <w:sz w:val="20"/>
          <w:szCs w:val="20"/>
          <w:color w:val="auto"/>
        </w:rPr>
      </w:pPr>
      <w:r>
        <w:rPr>
          <w:rFonts w:ascii="Arial" w:cs="Arial" w:eastAsia="Arial" w:hAnsi="Arial"/>
          <w:sz w:val="15"/>
          <w:szCs w:val="15"/>
          <w:color w:val="092E44"/>
        </w:rPr>
        <w:t>The members of the Audit Committee meet all of the heightened independence standards for audit committee membership as set forth in the Nasdaq listing standards and SEC rules. The Board of Directors has determined that each of Messrs. Moran, Sanders, Shenkman, and Walker qualifies as an “audit committee financial expert” as that term is defined in SEC rules, and that each is able to read and understand fundamental financial statements.</w:t>
      </w:r>
    </w:p>
    <w:p>
      <w:pPr>
        <w:spacing w:after="0" w:line="232" w:lineRule="exact"/>
        <w:rPr>
          <w:sz w:val="20"/>
          <w:szCs w:val="20"/>
          <w:color w:val="auto"/>
        </w:rPr>
      </w:pPr>
    </w:p>
    <w:p>
      <w:pPr>
        <w:ind w:left="2220"/>
        <w:spacing w:after="0"/>
        <w:rPr>
          <w:sz w:val="20"/>
          <w:szCs w:val="20"/>
          <w:color w:val="auto"/>
        </w:rPr>
      </w:pPr>
      <w:r>
        <w:rPr>
          <w:rFonts w:ascii="Arial" w:cs="Arial" w:eastAsia="Arial" w:hAnsi="Arial"/>
          <w:sz w:val="31"/>
          <w:szCs w:val="31"/>
          <w:color w:val="E14A6A"/>
        </w:rPr>
        <w:t>Talent Management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-198755</wp:posOffset>
            </wp:positionV>
            <wp:extent cx="1131570" cy="11315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E14A6A"/>
        </w:rPr>
        <w:t>Members: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92E44"/>
        </w:rPr>
        <w:t>Ms. Lee</w:t>
      </w:r>
    </w:p>
    <w:p>
      <w:pPr>
        <w:spacing w:after="0" w:line="33" w:lineRule="exact"/>
        <w:rPr>
          <w:sz w:val="20"/>
          <w:szCs w:val="20"/>
          <w:color w:val="auto"/>
        </w:rPr>
      </w:pPr>
    </w:p>
    <w:p>
      <w:pPr>
        <w:ind w:left="120" w:right="200"/>
        <w:spacing w:after="0" w:line="258" w:lineRule="auto"/>
        <w:rPr>
          <w:sz w:val="20"/>
          <w:szCs w:val="20"/>
          <w:color w:val="auto"/>
        </w:rPr>
      </w:pPr>
      <w:r>
        <w:rPr>
          <w:rFonts w:ascii="Arial" w:cs="Arial" w:eastAsia="Arial" w:hAnsi="Arial"/>
          <w:sz w:val="14"/>
          <w:szCs w:val="14"/>
          <w:color w:val="092E44"/>
        </w:rPr>
        <w:t>(Chair) and Messrs. Bradley and Geeslin</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092E44"/>
        </w:rPr>
        <w:t>Meetings in fiscal</w:t>
      </w:r>
    </w:p>
    <w:p>
      <w:pPr>
        <w:spacing w:after="0" w:line="21" w:lineRule="exact"/>
        <w:rPr>
          <w:sz w:val="20"/>
          <w:szCs w:val="20"/>
          <w:color w:val="auto"/>
        </w:rPr>
      </w:pPr>
    </w:p>
    <w:p>
      <w:pPr>
        <w:ind w:left="120"/>
        <w:spacing w:after="0" w:line="272" w:lineRule="auto"/>
        <w:rPr>
          <w:sz w:val="20"/>
          <w:szCs w:val="20"/>
          <w:color w:val="auto"/>
        </w:rPr>
      </w:pPr>
      <w:r>
        <w:rPr>
          <w:rFonts w:ascii="Arial" w:cs="Arial" w:eastAsia="Arial" w:hAnsi="Arial"/>
          <w:sz w:val="14"/>
          <w:szCs w:val="14"/>
          <w:color w:val="092E44"/>
        </w:rPr>
        <w:t xml:space="preserve">2023: met </w:t>
      </w:r>
      <w:r>
        <w:rPr>
          <w:rFonts w:ascii="Arial" w:cs="Arial" w:eastAsia="Arial" w:hAnsi="Arial"/>
          <w:sz w:val="14"/>
          <w:szCs w:val="14"/>
          <w:b w:val="1"/>
          <w:bCs w:val="1"/>
          <w:color w:val="E14A6A"/>
        </w:rPr>
        <w:t>10</w:t>
      </w:r>
      <w:r>
        <w:rPr>
          <w:rFonts w:ascii="Arial" w:cs="Arial" w:eastAsia="Arial" w:hAnsi="Arial"/>
          <w:sz w:val="14"/>
          <w:szCs w:val="14"/>
          <w:color w:val="092E44"/>
        </w:rPr>
        <w:t xml:space="preserve"> times or acted by unanimous written consent </w:t>
      </w:r>
      <w:r>
        <w:rPr>
          <w:rFonts w:ascii="Arial" w:cs="Arial" w:eastAsia="Arial" w:hAnsi="Arial"/>
          <w:sz w:val="14"/>
          <w:szCs w:val="14"/>
          <w:b w:val="1"/>
          <w:bCs w:val="1"/>
          <w:color w:val="E14A6A"/>
        </w:rPr>
        <w:t>2</w:t>
      </w:r>
      <w:r>
        <w:rPr>
          <w:rFonts w:ascii="Arial" w:cs="Arial" w:eastAsia="Arial" w:hAnsi="Arial"/>
          <w:sz w:val="14"/>
          <w:szCs w:val="14"/>
          <w:color w:val="092E44"/>
        </w:rPr>
        <w:t xml:space="preserve"> times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092E44"/>
        </w:rPr>
        <w:t>The TMCC is responsible for overseeing Commvault’s compensation and benefit plans, including all compensation arrangements for executive officers and directors. In particular, the TMCC sets the compensation of our CEO and reviews and approves our CEO’s recommendations regarding the compensation of our other executive officers. Additionally, the TMCC oversees:</w:t>
      </w:r>
    </w:p>
    <w:p>
      <w:pPr>
        <w:spacing w:after="0" w:line="286" w:lineRule="exact"/>
        <w:rPr>
          <w:sz w:val="20"/>
          <w:szCs w:val="20"/>
          <w:color w:val="auto"/>
        </w:rPr>
      </w:pPr>
    </w:p>
    <w:p>
      <w:pPr>
        <w:spacing w:after="0"/>
        <w:tabs>
          <w:tab w:leader="none" w:pos="220" w:val="left"/>
          <w:tab w:leader="none" w:pos="4980" w:val="left"/>
          <w:tab w:leader="none" w:pos="5220" w:val="left"/>
        </w:tabs>
        <w:rPr>
          <w:sz w:val="20"/>
          <w:szCs w:val="20"/>
          <w:color w:val="auto"/>
        </w:rPr>
      </w:pPr>
      <w:r>
        <w:rPr>
          <w:rFonts w:ascii="Arial" w:cs="Arial" w:eastAsia="Arial" w:hAnsi="Arial"/>
          <w:sz w:val="15"/>
          <w:szCs w:val="15"/>
          <w:color w:val="FF4A6A"/>
        </w:rPr>
        <w:t>•</w:t>
      </w:r>
      <w:r>
        <w:rPr>
          <w:rFonts w:ascii="Arial" w:cs="Arial" w:eastAsia="Arial" w:hAnsi="Arial"/>
          <w:sz w:val="15"/>
          <w:szCs w:val="15"/>
          <w:color w:val="092E44"/>
        </w:rPr>
        <w:tab/>
        <w:t>Commvault’s diversity and inclusion programs and policies</w:t>
      </w:r>
      <w:r>
        <w:rPr>
          <w:sz w:val="20"/>
          <w:szCs w:val="20"/>
          <w:color w:val="auto"/>
        </w:rPr>
        <w:tab/>
      </w:r>
      <w:r>
        <w:rPr>
          <w:rFonts w:ascii="Arial" w:cs="Arial" w:eastAsia="Arial" w:hAnsi="Arial"/>
          <w:sz w:val="15"/>
          <w:szCs w:val="15"/>
          <w:color w:val="FF4A6A"/>
        </w:rPr>
        <w:t>•</w:t>
      </w:r>
      <w:r>
        <w:rPr>
          <w:rFonts w:ascii="Arial" w:cs="Arial" w:eastAsia="Arial" w:hAnsi="Arial"/>
          <w:sz w:val="15"/>
          <w:szCs w:val="15"/>
          <w:color w:val="092E44"/>
        </w:rPr>
        <w:tab/>
        <w:t>executive employment agreements</w:t>
      </w:r>
    </w:p>
    <w:p>
      <w:pPr>
        <w:spacing w:after="0" w:line="57" w:lineRule="exact"/>
        <w:rPr>
          <w:sz w:val="20"/>
          <w:szCs w:val="20"/>
          <w:color w:val="auto"/>
        </w:rPr>
      </w:pPr>
    </w:p>
    <w:p>
      <w:pPr>
        <w:spacing w:after="0"/>
        <w:tabs>
          <w:tab w:leader="none" w:pos="220" w:val="left"/>
          <w:tab w:leader="none" w:pos="4980" w:val="left"/>
          <w:tab w:leader="none" w:pos="5220" w:val="left"/>
        </w:tabs>
        <w:rPr>
          <w:sz w:val="20"/>
          <w:szCs w:val="20"/>
          <w:color w:val="auto"/>
        </w:rPr>
      </w:pPr>
      <w:r>
        <w:rPr>
          <w:rFonts w:ascii="Arial" w:cs="Arial" w:eastAsia="Arial" w:hAnsi="Arial"/>
          <w:sz w:val="15"/>
          <w:szCs w:val="15"/>
          <w:color w:val="FF4A6A"/>
        </w:rPr>
        <w:t>•</w:t>
      </w:r>
      <w:r>
        <w:rPr>
          <w:rFonts w:ascii="Arial" w:cs="Arial" w:eastAsia="Arial" w:hAnsi="Arial"/>
          <w:sz w:val="15"/>
          <w:szCs w:val="15"/>
          <w:color w:val="092E44"/>
        </w:rPr>
        <w:tab/>
        <w:t>workplace health and safety matters</w:t>
      </w:r>
      <w:r>
        <w:rPr>
          <w:sz w:val="20"/>
          <w:szCs w:val="20"/>
          <w:color w:val="auto"/>
        </w:rPr>
        <w:tab/>
      </w:r>
      <w:r>
        <w:rPr>
          <w:rFonts w:ascii="Arial" w:cs="Arial" w:eastAsia="Arial" w:hAnsi="Arial"/>
          <w:sz w:val="15"/>
          <w:szCs w:val="15"/>
          <w:color w:val="FF4A6A"/>
        </w:rPr>
        <w:t>•</w:t>
      </w:r>
      <w:r>
        <w:rPr>
          <w:rFonts w:ascii="Arial" w:cs="Arial" w:eastAsia="Arial" w:hAnsi="Arial"/>
          <w:sz w:val="15"/>
          <w:szCs w:val="15"/>
          <w:color w:val="092E44"/>
        </w:rPr>
        <w:tab/>
        <w:t>talent management</w:t>
      </w:r>
    </w:p>
    <w:p>
      <w:pPr>
        <w:spacing w:after="0" w:line="71" w:lineRule="exact"/>
        <w:rPr>
          <w:sz w:val="20"/>
          <w:szCs w:val="20"/>
          <w:color w:val="auto"/>
        </w:rPr>
      </w:pPr>
    </w:p>
    <w:p>
      <w:pPr>
        <w:ind w:left="5000"/>
        <w:spacing w:after="0"/>
        <w:tabs>
          <w:tab w:leader="none" w:pos="5220" w:val="left"/>
        </w:tabs>
        <w:rPr>
          <w:sz w:val="20"/>
          <w:szCs w:val="20"/>
          <w:color w:val="auto"/>
        </w:rPr>
      </w:pPr>
      <w:r>
        <w:rPr>
          <w:rFonts w:ascii="Arial" w:cs="Arial" w:eastAsia="Arial" w:hAnsi="Arial"/>
          <w:sz w:val="15"/>
          <w:szCs w:val="15"/>
          <w:color w:val="FF4A6A"/>
        </w:rPr>
        <w:t>•</w:t>
      </w:r>
      <w:r>
        <w:rPr>
          <w:rFonts w:ascii="Arial" w:cs="Arial" w:eastAsia="Arial" w:hAnsi="Arial"/>
          <w:sz w:val="15"/>
          <w:szCs w:val="15"/>
          <w:color w:val="092E44"/>
        </w:rPr>
        <w:tab/>
        <w:t>management of risk arising from compensation</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15"/>
          <w:szCs w:val="15"/>
          <w:color w:val="092E44"/>
        </w:rPr>
        <w:t>practices and policies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092E44"/>
        </w:rPr>
        <w:t>The TMCC also is responsible for approving Commvault’s Code of Ethics.</w:t>
      </w:r>
    </w:p>
    <w:p>
      <w:pPr>
        <w:spacing w:after="0" w:line="192" w:lineRule="exact"/>
        <w:rPr>
          <w:sz w:val="20"/>
          <w:szCs w:val="20"/>
          <w:color w:val="auto"/>
        </w:rPr>
      </w:pPr>
    </w:p>
    <w:p>
      <w:pPr>
        <w:ind w:right="420"/>
        <w:spacing w:after="0" w:line="274" w:lineRule="auto"/>
        <w:rPr>
          <w:sz w:val="20"/>
          <w:szCs w:val="20"/>
          <w:color w:val="auto"/>
        </w:rPr>
      </w:pPr>
      <w:r>
        <w:rPr>
          <w:rFonts w:ascii="Arial" w:cs="Arial" w:eastAsia="Arial" w:hAnsi="Arial"/>
          <w:sz w:val="15"/>
          <w:szCs w:val="15"/>
          <w:color w:val="092E44"/>
        </w:rPr>
        <w:t>All members of the TMCC meet the heightened independence standards for compensation committee members set forth in the Nasdaq listing standards.</w:t>
      </w:r>
    </w:p>
    <w:p>
      <w:pPr>
        <w:spacing w:after="0" w:line="530" w:lineRule="exact"/>
        <w:rPr>
          <w:sz w:val="20"/>
          <w:szCs w:val="20"/>
          <w:color w:val="auto"/>
        </w:rPr>
      </w:pPr>
    </w:p>
    <w:p>
      <w:pPr>
        <w:sectPr>
          <w:pgSz w:w="11900" w:h="16838" w:orient="portrait"/>
          <w:cols w:equalWidth="0" w:num="2">
            <w:col w:w="2100" w:space="120"/>
            <w:col w:w="898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21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BOARD COMMITTEES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E14A6A"/>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-1284605</wp:posOffset>
            </wp:positionV>
            <wp:extent cx="1131570" cy="11315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2E44"/>
        </w:rPr>
        <w:t>Mses. Bejar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092E44"/>
        </w:rPr>
        <w:t>(Chair),</w:t>
      </w:r>
    </w:p>
    <w:p>
      <w:pPr>
        <w:spacing w:after="0" w:line="11" w:lineRule="exact"/>
        <w:rPr>
          <w:sz w:val="20"/>
          <w:szCs w:val="20"/>
          <w:color w:val="auto"/>
        </w:rPr>
      </w:pPr>
    </w:p>
    <w:p>
      <w:pPr>
        <w:ind w:left="20" w:firstLine="10"/>
        <w:spacing w:after="0" w:line="358" w:lineRule="auto"/>
        <w:rPr>
          <w:sz w:val="20"/>
          <w:szCs w:val="20"/>
          <w:color w:val="auto"/>
        </w:rPr>
      </w:pPr>
      <w:r>
        <w:rPr>
          <w:rFonts w:ascii="Arial" w:cs="Arial" w:eastAsia="Arial" w:hAnsi="Arial"/>
          <w:sz w:val="14"/>
          <w:szCs w:val="14"/>
          <w:color w:val="092E44"/>
        </w:rPr>
        <w:t xml:space="preserve">Lee and Pickens Meetings in fiscal 2023: </w:t>
      </w:r>
      <w:r>
        <w:rPr>
          <w:rFonts w:ascii="Arial" w:cs="Arial" w:eastAsia="Arial" w:hAnsi="Arial"/>
          <w:sz w:val="14"/>
          <w:szCs w:val="14"/>
          <w:b w:val="1"/>
          <w:bCs w:val="1"/>
          <w:color w:val="E14A6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1131570" cy="11315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3"/>
        <w:spacing w:after="0"/>
        <w:rPr>
          <w:sz w:val="20"/>
          <w:szCs w:val="20"/>
          <w:color w:val="auto"/>
        </w:rPr>
      </w:pPr>
      <w:r>
        <w:rPr>
          <w:rFonts w:ascii="Arial" w:cs="Arial" w:eastAsia="Arial" w:hAnsi="Arial"/>
          <w:sz w:val="31"/>
          <w:szCs w:val="31"/>
          <w:color w:val="E14A6A"/>
        </w:rPr>
        <w:t>Nominations and Governance Committee</w:t>
      </w:r>
    </w:p>
    <w:p>
      <w:pPr>
        <w:spacing w:after="0" w:line="91" w:lineRule="exact"/>
        <w:rPr>
          <w:sz w:val="20"/>
          <w:szCs w:val="20"/>
          <w:color w:val="auto"/>
        </w:rPr>
      </w:pPr>
    </w:p>
    <w:p>
      <w:pPr>
        <w:ind w:left="3" w:right="20"/>
        <w:spacing w:after="0" w:line="266" w:lineRule="auto"/>
        <w:rPr>
          <w:sz w:val="20"/>
          <w:szCs w:val="20"/>
          <w:color w:val="auto"/>
        </w:rPr>
      </w:pPr>
      <w:r>
        <w:rPr>
          <w:rFonts w:ascii="Arial" w:cs="Arial" w:eastAsia="Arial" w:hAnsi="Arial"/>
          <w:sz w:val="15"/>
          <w:szCs w:val="15"/>
          <w:color w:val="092E44"/>
        </w:rPr>
        <w:t>The Nominations and Governance Committee is responsible for identifying and recommending to our Board of Directors appropriate director nominee candidates and providing oversight with respect to corporate governance matters, including reviewing our corporate governance program and approving Corporate Governance Guidelines and other governance policies. The Nominations and Governance Committee also oversees:</w:t>
      </w:r>
    </w:p>
    <w:p>
      <w:pPr>
        <w:spacing w:after="0" w:line="153" w:lineRule="exact"/>
        <w:rPr>
          <w:sz w:val="20"/>
          <w:szCs w:val="20"/>
          <w:color w:val="auto"/>
        </w:rPr>
      </w:pPr>
    </w:p>
    <w:p>
      <w:pPr>
        <w:ind w:left="243" w:hanging="243"/>
        <w:spacing w:after="0"/>
        <w:tabs>
          <w:tab w:leader="none" w:pos="243" w:val="left"/>
        </w:tabs>
        <w:numPr>
          <w:ilvl w:val="0"/>
          <w:numId w:val="27"/>
        </w:numPr>
        <w:rPr>
          <w:rFonts w:ascii="Arial" w:cs="Arial" w:eastAsia="Arial" w:hAnsi="Arial"/>
          <w:sz w:val="15"/>
          <w:szCs w:val="15"/>
          <w:color w:val="E14A6A"/>
        </w:rPr>
      </w:pPr>
      <w:r>
        <w:rPr>
          <w:rFonts w:ascii="Arial" w:cs="Arial" w:eastAsia="Arial" w:hAnsi="Arial"/>
          <w:sz w:val="15"/>
          <w:szCs w:val="15"/>
          <w:color w:val="092E44"/>
        </w:rPr>
        <w:t>Commvault’s sustainability, stewardship, and corporate social responsibility</w:t>
      </w:r>
    </w:p>
    <w:p>
      <w:pPr>
        <w:spacing w:after="0" w:line="70" w:lineRule="exact"/>
        <w:rPr>
          <w:rFonts w:ascii="Arial" w:cs="Arial" w:eastAsia="Arial" w:hAnsi="Arial"/>
          <w:sz w:val="15"/>
          <w:szCs w:val="15"/>
          <w:color w:val="E14A6A"/>
        </w:rPr>
      </w:pPr>
    </w:p>
    <w:p>
      <w:pPr>
        <w:ind w:left="243" w:hanging="243"/>
        <w:spacing w:after="0"/>
        <w:tabs>
          <w:tab w:leader="none" w:pos="243" w:val="left"/>
        </w:tabs>
        <w:numPr>
          <w:ilvl w:val="0"/>
          <w:numId w:val="27"/>
        </w:numPr>
        <w:rPr>
          <w:rFonts w:ascii="Arial" w:cs="Arial" w:eastAsia="Arial" w:hAnsi="Arial"/>
          <w:sz w:val="15"/>
          <w:szCs w:val="15"/>
          <w:color w:val="E14A6A"/>
        </w:rPr>
      </w:pPr>
      <w:r>
        <w:rPr>
          <w:rFonts w:ascii="Arial" w:cs="Arial" w:eastAsia="Arial" w:hAnsi="Arial"/>
          <w:sz w:val="15"/>
          <w:szCs w:val="15"/>
          <w:color w:val="092E44"/>
        </w:rPr>
        <w:t>succession planning</w:t>
      </w:r>
    </w:p>
    <w:p>
      <w:pPr>
        <w:spacing w:after="0" w:line="57" w:lineRule="exact"/>
        <w:rPr>
          <w:rFonts w:ascii="Arial" w:cs="Arial" w:eastAsia="Arial" w:hAnsi="Arial"/>
          <w:sz w:val="15"/>
          <w:szCs w:val="15"/>
          <w:color w:val="E14A6A"/>
        </w:rPr>
      </w:pPr>
    </w:p>
    <w:p>
      <w:pPr>
        <w:ind w:left="243" w:hanging="243"/>
        <w:spacing w:after="0"/>
        <w:tabs>
          <w:tab w:leader="none" w:pos="243" w:val="left"/>
        </w:tabs>
        <w:numPr>
          <w:ilvl w:val="0"/>
          <w:numId w:val="27"/>
        </w:numPr>
        <w:rPr>
          <w:rFonts w:ascii="Arial" w:cs="Arial" w:eastAsia="Arial" w:hAnsi="Arial"/>
          <w:sz w:val="15"/>
          <w:szCs w:val="15"/>
          <w:color w:val="E14A6A"/>
        </w:rPr>
      </w:pPr>
      <w:r>
        <w:rPr>
          <w:rFonts w:ascii="Arial" w:cs="Arial" w:eastAsia="Arial" w:hAnsi="Arial"/>
          <w:sz w:val="15"/>
          <w:szCs w:val="15"/>
          <w:color w:val="092E44"/>
        </w:rPr>
        <w:t>annual review of all Board committee charters</w:t>
      </w:r>
    </w:p>
    <w:p>
      <w:pPr>
        <w:spacing w:after="0" w:line="70" w:lineRule="exact"/>
        <w:rPr>
          <w:rFonts w:ascii="Arial" w:cs="Arial" w:eastAsia="Arial" w:hAnsi="Arial"/>
          <w:sz w:val="15"/>
          <w:szCs w:val="15"/>
          <w:color w:val="E14A6A"/>
        </w:rPr>
      </w:pPr>
    </w:p>
    <w:p>
      <w:pPr>
        <w:ind w:left="243" w:hanging="243"/>
        <w:spacing w:after="0"/>
        <w:tabs>
          <w:tab w:leader="none" w:pos="243" w:val="left"/>
        </w:tabs>
        <w:numPr>
          <w:ilvl w:val="0"/>
          <w:numId w:val="27"/>
        </w:numPr>
        <w:rPr>
          <w:rFonts w:ascii="Arial" w:cs="Arial" w:eastAsia="Arial" w:hAnsi="Arial"/>
          <w:sz w:val="15"/>
          <w:szCs w:val="15"/>
          <w:color w:val="E14A6A"/>
        </w:rPr>
      </w:pPr>
      <w:r>
        <w:rPr>
          <w:rFonts w:ascii="Arial" w:cs="Arial" w:eastAsia="Arial" w:hAnsi="Arial"/>
          <w:sz w:val="15"/>
          <w:szCs w:val="15"/>
          <w:color w:val="092E44"/>
        </w:rPr>
        <w:t>annual performance evaluations of the CEO, Board and its committees</w:t>
      </w:r>
    </w:p>
    <w:p>
      <w:pPr>
        <w:spacing w:after="0" w:line="57" w:lineRule="exact"/>
        <w:rPr>
          <w:rFonts w:ascii="Arial" w:cs="Arial" w:eastAsia="Arial" w:hAnsi="Arial"/>
          <w:sz w:val="15"/>
          <w:szCs w:val="15"/>
          <w:color w:val="E14A6A"/>
        </w:rPr>
      </w:pPr>
    </w:p>
    <w:p>
      <w:pPr>
        <w:ind w:left="243" w:hanging="243"/>
        <w:spacing w:after="0"/>
        <w:tabs>
          <w:tab w:leader="none" w:pos="243" w:val="left"/>
        </w:tabs>
        <w:numPr>
          <w:ilvl w:val="0"/>
          <w:numId w:val="27"/>
        </w:numPr>
        <w:rPr>
          <w:rFonts w:ascii="Arial" w:cs="Arial" w:eastAsia="Arial" w:hAnsi="Arial"/>
          <w:sz w:val="15"/>
          <w:szCs w:val="15"/>
          <w:color w:val="E14A6A"/>
        </w:rPr>
      </w:pPr>
      <w:r>
        <w:rPr>
          <w:rFonts w:ascii="Arial" w:cs="Arial" w:eastAsia="Arial" w:hAnsi="Arial"/>
          <w:sz w:val="15"/>
          <w:szCs w:val="15"/>
          <w:color w:val="092E44"/>
        </w:rPr>
        <w:t>recommendations for directors to serve on Board committees</w:t>
      </w:r>
    </w:p>
    <w:p>
      <w:pPr>
        <w:spacing w:after="0" w:line="200" w:lineRule="exact"/>
        <w:rPr>
          <w:sz w:val="20"/>
          <w:szCs w:val="20"/>
          <w:color w:val="auto"/>
        </w:rPr>
      </w:pPr>
    </w:p>
    <w:p>
      <w:pPr>
        <w:spacing w:after="0" w:line="287" w:lineRule="exact"/>
        <w:rPr>
          <w:sz w:val="20"/>
          <w:szCs w:val="20"/>
          <w:color w:val="auto"/>
        </w:rPr>
      </w:pPr>
    </w:p>
    <w:p>
      <w:pPr>
        <w:ind w:left="3"/>
        <w:spacing w:after="0"/>
        <w:rPr>
          <w:sz w:val="20"/>
          <w:szCs w:val="20"/>
          <w:color w:val="auto"/>
        </w:rPr>
      </w:pPr>
      <w:r>
        <w:rPr>
          <w:rFonts w:ascii="Arial" w:cs="Arial" w:eastAsia="Arial" w:hAnsi="Arial"/>
          <w:sz w:val="31"/>
          <w:szCs w:val="31"/>
          <w:color w:val="E14A6A"/>
        </w:rPr>
        <w:t>Operating Committee</w:t>
      </w:r>
    </w:p>
    <w:p>
      <w:pPr>
        <w:spacing w:after="0" w:line="91" w:lineRule="exact"/>
        <w:rPr>
          <w:sz w:val="20"/>
          <w:szCs w:val="20"/>
          <w:color w:val="auto"/>
        </w:rPr>
      </w:pPr>
    </w:p>
    <w:p>
      <w:pPr>
        <w:ind w:left="3" w:right="260"/>
        <w:spacing w:after="0" w:line="260" w:lineRule="auto"/>
        <w:rPr>
          <w:sz w:val="20"/>
          <w:szCs w:val="20"/>
          <w:color w:val="auto"/>
        </w:rPr>
      </w:pPr>
      <w:r>
        <w:rPr>
          <w:rFonts w:ascii="Arial" w:cs="Arial" w:eastAsia="Arial" w:hAnsi="Arial"/>
          <w:sz w:val="15"/>
          <w:szCs w:val="15"/>
          <w:color w:val="092E44"/>
        </w:rPr>
        <w:t>The general purpose of the Operating Committee is to provide oversight of various matters as determined by the Board and management. The Operating Committee reviews Commvault’s annual budget and works with management to establish margin targets and a balanced capital allocation policy. The Operating Committee also oversees earnings announcements and guidance. The focus of the Operating Committee is on achieving profitable growth, return on investment, and stockholder value.</w:t>
      </w:r>
    </w:p>
    <w:p>
      <w:pPr>
        <w:spacing w:after="0" w:line="200" w:lineRule="exact"/>
        <w:rPr>
          <w:sz w:val="20"/>
          <w:szCs w:val="20"/>
          <w:color w:val="auto"/>
        </w:rPr>
      </w:pPr>
    </w:p>
    <w:p>
      <w:pPr>
        <w:sectPr>
          <w:pgSz w:w="11900" w:h="16838" w:orient="portrait"/>
          <w:cols w:equalWidth="0" w:num="2">
            <w:col w:w="1640" w:space="557"/>
            <w:col w:w="9003"/>
          </w:cols>
          <w:pgMar w:left="320" w:top="125" w:right="37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E14A6A"/>
        </w:rPr>
        <w:t>Members: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2E44"/>
        </w:rPr>
        <w:t>Messrs. Shenkman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092E44"/>
        </w:rPr>
        <w:t>(Chair),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092E44"/>
        </w:rPr>
        <w:t>Bradley and Moran</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092E44"/>
        </w:rPr>
        <w:t xml:space="preserve">Meetings in fiscal 2023: </w:t>
      </w:r>
      <w:r>
        <w:rPr>
          <w:rFonts w:ascii="Arial" w:cs="Arial" w:eastAsia="Arial" w:hAnsi="Arial"/>
          <w:sz w:val="14"/>
          <w:szCs w:val="14"/>
          <w:b w:val="1"/>
          <w:bCs w:val="1"/>
          <w:color w:val="E14A6A"/>
        </w:rPr>
        <w:t>4</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Meetings of the Board</w:t>
      </w:r>
    </w:p>
    <w:p>
      <w:pPr>
        <w:spacing w:after="0" w:line="97"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0B2E44"/>
        </w:rPr>
        <w:t>During the fiscal year ended March 31, 2023, our Board of Directors held six meetings, made up of both virtual and in person meetings. All of our directors attended more than 90% of the meetings of the Board of Directors and meetings of the committees of the Board on which they served during the time they served.</w:t>
      </w:r>
    </w:p>
    <w:p>
      <w:pPr>
        <w:spacing w:after="0" w:line="34"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0B2E44"/>
        </w:rPr>
        <w:t>The Board of Directors meets in executive session, without management, at every Board meeting. During fiscal year 2023, Mr. Adamo, as the independent Chair of the Board, led these executive sessions and acted as primary spokesperson in communicating matters arising out of these sessions to management.</w:t>
      </w:r>
    </w:p>
    <w:p>
      <w:pPr>
        <w:spacing w:after="0" w:line="14" w:lineRule="exact"/>
        <w:rPr>
          <w:sz w:val="20"/>
          <w:szCs w:val="20"/>
          <w:color w:val="auto"/>
        </w:rPr>
      </w:pPr>
    </w:p>
    <w:p>
      <w:pPr>
        <w:ind w:right="500"/>
        <w:spacing w:after="0" w:line="276" w:lineRule="auto"/>
        <w:rPr>
          <w:sz w:val="20"/>
          <w:szCs w:val="20"/>
          <w:color w:val="auto"/>
        </w:rPr>
      </w:pPr>
      <w:r>
        <w:rPr>
          <w:rFonts w:ascii="Arial" w:cs="Arial" w:eastAsia="Arial" w:hAnsi="Arial"/>
          <w:sz w:val="16"/>
          <w:szCs w:val="16"/>
          <w:color w:val="0B2E44"/>
        </w:rPr>
        <w:t>Because we do not regularly schedule a Board of Directors meeting to coincide with our Annual Meeting, director attendance at our Annual Meeting is encouraged but not required. Ninety percent of our directors attended our 2022 Annual Meeting virtually.</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How to Contact Our Board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0B2E44"/>
        </w:rPr>
        <w:t>Stockholders can contact our Board of Directors to provide comments, to report concerns, or to ask a question, at the following address: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0B2E44"/>
        </w:rPr>
        <w:t>Corporate Secretary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0B2E44"/>
        </w:rPr>
        <w:t>Commvault Systems,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B2E44"/>
        </w:rPr>
        <w:t>1 Commvault 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B2E44"/>
        </w:rPr>
        <w:t>Tinton Falls, New Jersey 07724</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0B2E44"/>
        </w:rPr>
        <w:t>Email: CorporateSecretary@commvault.com</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6"/>
          <w:szCs w:val="16"/>
          <w:color w:val="0B2E44"/>
        </w:rPr>
        <w:t xml:space="preserve">Communications are distributed to our Board of Directors, or to individual directors as appropriate, depending on the nature of the communication. You may also communicate online with our Board of Directors as a group through the Investor Relations section of our website at </w:t>
      </w:r>
      <w:r>
        <w:rPr>
          <w:rFonts w:ascii="Arial" w:cs="Arial" w:eastAsia="Arial" w:hAnsi="Arial"/>
          <w:sz w:val="16"/>
          <w:szCs w:val="16"/>
          <w:i w:val="1"/>
          <w:iCs w:val="1"/>
          <w:color w:val="0B2E44"/>
        </w:rPr>
        <w:t>www.commvault.com</w:t>
      </w:r>
      <w:r>
        <w:rPr>
          <w:rFonts w:ascii="Arial" w:cs="Arial" w:eastAsia="Arial" w:hAnsi="Arial"/>
          <w:sz w:val="16"/>
          <w:szCs w:val="16"/>
          <w:color w:val="0B2E44"/>
        </w:rPr>
        <w:t>. All relevant communications directed to the full Board will be forwarded to the Chair of the Audit Committee or the Chair of the Nominations and Governance Committee, who will determine when it is appropriate to distribute such communications to other members of the Board or to management.</w:t>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22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GOVERNANCE DOCUMENTS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Governance Documents</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6"/>
          <w:szCs w:val="16"/>
          <w:color w:val="0B2E44"/>
        </w:rPr>
        <w:t xml:space="preserve">Our Code of Ethics applies to all of our directors and employees, including executives and contractors. The Code establishes our legal and ethical standards of behavior, and supports our commitments to human rights, respectful treatment, and equal opportunity, among other core values. Employees and interested third parties can report concerns or suspected violations of the Code, other company policies, or violations of the law to Commvault’s CLO or CPO directly or through Integrity Counts, an anonymous hotline at </w:t>
      </w:r>
      <w:r>
        <w:rPr>
          <w:rFonts w:ascii="Arial" w:cs="Arial" w:eastAsia="Arial" w:hAnsi="Arial"/>
          <w:sz w:val="16"/>
          <w:szCs w:val="16"/>
          <w:color w:val="FF4A6A"/>
        </w:rPr>
        <w:t>commvault@integritycounts.ca</w:t>
      </w:r>
      <w:r>
        <w:rPr>
          <w:rFonts w:ascii="Arial" w:cs="Arial" w:eastAsia="Arial" w:hAnsi="Arial"/>
          <w:sz w:val="16"/>
          <w:szCs w:val="16"/>
          <w:color w:val="0B2E44"/>
        </w:rPr>
        <w:t xml:space="preserve"> or by navigating to the website </w:t>
      </w:r>
      <w:r>
        <w:rPr>
          <w:rFonts w:ascii="Arial" w:cs="Arial" w:eastAsia="Arial" w:hAnsi="Arial"/>
          <w:sz w:val="16"/>
          <w:szCs w:val="16"/>
          <w:color w:val="FF4A6A"/>
        </w:rPr>
        <w:t>https://integritycounts.ca/org/commvault</w:t>
      </w:r>
      <w:r>
        <w:rPr>
          <w:rFonts w:ascii="Arial" w:cs="Arial" w:eastAsia="Arial" w:hAnsi="Arial"/>
          <w:sz w:val="16"/>
          <w:szCs w:val="16"/>
          <w:color w:val="0B2E44"/>
        </w:rPr>
        <w:t>. The Code and the following additional governance documents are available in the Investor Relations section of our</w:t>
      </w:r>
      <w:r>
        <w:rPr>
          <w:rFonts w:ascii="Arial" w:cs="Arial" w:eastAsia="Arial" w:hAnsi="Arial"/>
          <w:sz w:val="16"/>
          <w:szCs w:val="16"/>
          <w:color w:val="FF4A6A"/>
        </w:rPr>
        <w:t xml:space="preserve"> </w:t>
      </w:r>
      <w:r>
        <w:rPr>
          <w:rFonts w:ascii="Arial" w:cs="Arial" w:eastAsia="Arial" w:hAnsi="Arial"/>
          <w:sz w:val="16"/>
          <w:szCs w:val="16"/>
          <w:color w:val="0B2E44"/>
        </w:rPr>
        <w:t>website under “Corporate Governance—Overview”: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Arial" w:cs="Arial" w:eastAsia="Arial" w:hAnsi="Arial"/>
                <w:sz w:val="16"/>
                <w:szCs w:val="16"/>
                <w:color w:val="E14A6A"/>
              </w:rPr>
              <w:t>•</w:t>
            </w:r>
          </w:p>
        </w:tc>
        <w:tc>
          <w:tcPr>
            <w:tcW w:w="4340" w:type="dxa"/>
            <w:vAlign w:val="bottom"/>
          </w:tcPr>
          <w:p>
            <w:pPr>
              <w:ind w:left="80"/>
              <w:spacing w:after="0"/>
              <w:rPr>
                <w:sz w:val="20"/>
                <w:szCs w:val="20"/>
                <w:color w:val="auto"/>
              </w:rPr>
            </w:pPr>
            <w:r>
              <w:rPr>
                <w:rFonts w:ascii="Arial" w:cs="Arial" w:eastAsia="Arial" w:hAnsi="Arial"/>
                <w:sz w:val="16"/>
                <w:szCs w:val="16"/>
                <w:color w:val="092E44"/>
              </w:rPr>
              <w:t>Corporate Governance Guidelines</w:t>
            </w:r>
          </w:p>
        </w:tc>
        <w:tc>
          <w:tcPr>
            <w:tcW w:w="1280" w:type="dxa"/>
            <w:vAlign w:val="bottom"/>
          </w:tcPr>
          <w:p>
            <w:pPr>
              <w:ind w:left="1160"/>
              <w:spacing w:after="0"/>
              <w:rPr>
                <w:sz w:val="20"/>
                <w:szCs w:val="20"/>
                <w:color w:val="auto"/>
              </w:rPr>
            </w:pPr>
            <w:r>
              <w:rPr>
                <w:rFonts w:ascii="Arial" w:cs="Arial" w:eastAsia="Arial" w:hAnsi="Arial"/>
                <w:sz w:val="16"/>
                <w:szCs w:val="16"/>
                <w:color w:val="FF4A6A"/>
              </w:rPr>
              <w:t>•</w:t>
            </w:r>
          </w:p>
        </w:tc>
        <w:tc>
          <w:tcPr>
            <w:tcW w:w="5140" w:type="dxa"/>
            <w:vAlign w:val="bottom"/>
          </w:tcPr>
          <w:p>
            <w:pPr>
              <w:ind w:left="40"/>
              <w:spacing w:after="0"/>
              <w:rPr>
                <w:sz w:val="20"/>
                <w:szCs w:val="20"/>
                <w:color w:val="auto"/>
              </w:rPr>
            </w:pPr>
            <w:r>
              <w:rPr>
                <w:rFonts w:ascii="Arial" w:cs="Arial" w:eastAsia="Arial" w:hAnsi="Arial"/>
                <w:sz w:val="16"/>
                <w:szCs w:val="16"/>
                <w:color w:val="092E44"/>
              </w:rPr>
              <w:t>Human Rights Policy</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Arial" w:cs="Arial" w:eastAsia="Arial" w:hAnsi="Arial"/>
                <w:sz w:val="16"/>
                <w:szCs w:val="16"/>
                <w:color w:val="E14A6A"/>
              </w:rPr>
              <w:t>•</w:t>
            </w:r>
          </w:p>
        </w:tc>
        <w:tc>
          <w:tcPr>
            <w:tcW w:w="4340" w:type="dxa"/>
            <w:vAlign w:val="bottom"/>
          </w:tcPr>
          <w:p>
            <w:pPr>
              <w:ind w:left="80"/>
              <w:spacing w:after="0"/>
              <w:rPr>
                <w:sz w:val="20"/>
                <w:szCs w:val="20"/>
                <w:color w:val="auto"/>
              </w:rPr>
            </w:pPr>
            <w:r>
              <w:rPr>
                <w:rFonts w:ascii="Arial" w:cs="Arial" w:eastAsia="Arial" w:hAnsi="Arial"/>
                <w:sz w:val="16"/>
                <w:szCs w:val="16"/>
                <w:color w:val="092E44"/>
              </w:rPr>
              <w:t>Amended and Restated Bylaws</w:t>
            </w:r>
          </w:p>
        </w:tc>
        <w:tc>
          <w:tcPr>
            <w:tcW w:w="1280" w:type="dxa"/>
            <w:vAlign w:val="bottom"/>
          </w:tcPr>
          <w:p>
            <w:pPr>
              <w:ind w:left="1160"/>
              <w:spacing w:after="0"/>
              <w:rPr>
                <w:sz w:val="20"/>
                <w:szCs w:val="20"/>
                <w:color w:val="auto"/>
              </w:rPr>
            </w:pPr>
            <w:r>
              <w:rPr>
                <w:rFonts w:ascii="Arial" w:cs="Arial" w:eastAsia="Arial" w:hAnsi="Arial"/>
                <w:sz w:val="16"/>
                <w:szCs w:val="16"/>
                <w:color w:val="E14A6A"/>
              </w:rPr>
              <w:t>•</w:t>
            </w:r>
          </w:p>
        </w:tc>
        <w:tc>
          <w:tcPr>
            <w:tcW w:w="5140" w:type="dxa"/>
            <w:vAlign w:val="bottom"/>
          </w:tcPr>
          <w:p>
            <w:pPr>
              <w:ind w:left="120"/>
              <w:spacing w:after="0"/>
              <w:rPr>
                <w:sz w:val="20"/>
                <w:szCs w:val="20"/>
                <w:color w:val="auto"/>
              </w:rPr>
            </w:pPr>
            <w:r>
              <w:rPr>
                <w:rFonts w:ascii="Arial" w:cs="Arial" w:eastAsia="Arial" w:hAnsi="Arial"/>
                <w:sz w:val="16"/>
                <w:szCs w:val="16"/>
                <w:color w:val="092E44"/>
              </w:rPr>
              <w:t>Sanctions Guidelines</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Arial" w:cs="Arial" w:eastAsia="Arial" w:hAnsi="Arial"/>
                <w:sz w:val="16"/>
                <w:szCs w:val="16"/>
                <w:color w:val="E14A6A"/>
              </w:rPr>
              <w:t>•</w:t>
            </w:r>
          </w:p>
        </w:tc>
        <w:tc>
          <w:tcPr>
            <w:tcW w:w="4340" w:type="dxa"/>
            <w:vAlign w:val="bottom"/>
          </w:tcPr>
          <w:p>
            <w:pPr>
              <w:ind w:left="80"/>
              <w:spacing w:after="0"/>
              <w:rPr>
                <w:sz w:val="20"/>
                <w:szCs w:val="20"/>
                <w:color w:val="auto"/>
              </w:rPr>
            </w:pPr>
            <w:r>
              <w:rPr>
                <w:rFonts w:ascii="Arial" w:cs="Arial" w:eastAsia="Arial" w:hAnsi="Arial"/>
                <w:sz w:val="16"/>
                <w:szCs w:val="16"/>
                <w:color w:val="092E44"/>
              </w:rPr>
              <w:t>Code of Ethics for Senior Financial Officers</w:t>
            </w:r>
          </w:p>
        </w:tc>
        <w:tc>
          <w:tcPr>
            <w:tcW w:w="1280" w:type="dxa"/>
            <w:vAlign w:val="bottom"/>
          </w:tcPr>
          <w:p>
            <w:pPr>
              <w:ind w:left="1160"/>
              <w:spacing w:after="0"/>
              <w:rPr>
                <w:sz w:val="20"/>
                <w:szCs w:val="20"/>
                <w:color w:val="auto"/>
              </w:rPr>
            </w:pPr>
            <w:r>
              <w:rPr>
                <w:rFonts w:ascii="Arial" w:cs="Arial" w:eastAsia="Arial" w:hAnsi="Arial"/>
                <w:sz w:val="16"/>
                <w:szCs w:val="16"/>
                <w:color w:val="E14A6A"/>
              </w:rPr>
              <w:t>•</w:t>
            </w:r>
          </w:p>
        </w:tc>
        <w:tc>
          <w:tcPr>
            <w:tcW w:w="5140" w:type="dxa"/>
            <w:vAlign w:val="bottom"/>
          </w:tcPr>
          <w:p>
            <w:pPr>
              <w:ind w:left="120"/>
              <w:spacing w:after="0"/>
              <w:rPr>
                <w:sz w:val="20"/>
                <w:szCs w:val="20"/>
                <w:color w:val="auto"/>
              </w:rPr>
            </w:pPr>
            <w:r>
              <w:rPr>
                <w:rFonts w:ascii="Arial" w:cs="Arial" w:eastAsia="Arial" w:hAnsi="Arial"/>
                <w:sz w:val="16"/>
                <w:szCs w:val="16"/>
                <w:color w:val="092E44"/>
              </w:rPr>
              <w:t>Insider Trading Policy</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Arial" w:cs="Arial" w:eastAsia="Arial" w:hAnsi="Arial"/>
                <w:sz w:val="16"/>
                <w:szCs w:val="16"/>
                <w:color w:val="E14A6A"/>
              </w:rPr>
              <w:t>•</w:t>
            </w:r>
          </w:p>
        </w:tc>
        <w:tc>
          <w:tcPr>
            <w:tcW w:w="4340" w:type="dxa"/>
            <w:vAlign w:val="bottom"/>
          </w:tcPr>
          <w:p>
            <w:pPr>
              <w:ind w:left="80"/>
              <w:spacing w:after="0"/>
              <w:rPr>
                <w:sz w:val="20"/>
                <w:szCs w:val="20"/>
                <w:color w:val="auto"/>
              </w:rPr>
            </w:pPr>
            <w:r>
              <w:rPr>
                <w:rFonts w:ascii="Arial" w:cs="Arial" w:eastAsia="Arial" w:hAnsi="Arial"/>
                <w:sz w:val="16"/>
                <w:szCs w:val="16"/>
                <w:color w:val="092E44"/>
              </w:rPr>
              <w:t>Supplier Code of Conduct</w:t>
            </w:r>
          </w:p>
        </w:tc>
        <w:tc>
          <w:tcPr>
            <w:tcW w:w="6420" w:type="dxa"/>
            <w:vAlign w:val="bottom"/>
            <w:gridSpan w:val="2"/>
          </w:tcPr>
          <w:p>
            <w:pPr>
              <w:ind w:left="1160"/>
              <w:spacing w:after="0"/>
              <w:rPr>
                <w:sz w:val="20"/>
                <w:szCs w:val="20"/>
                <w:color w:val="auto"/>
              </w:rPr>
            </w:pPr>
            <w:r>
              <w:rPr>
                <w:rFonts w:ascii="Arial" w:cs="Arial" w:eastAsia="Arial" w:hAnsi="Arial"/>
                <w:sz w:val="16"/>
                <w:szCs w:val="16"/>
                <w:color w:val="E14A6A"/>
              </w:rPr>
              <w:t xml:space="preserve">•   </w:t>
            </w:r>
            <w:r>
              <w:rPr>
                <w:rFonts w:ascii="Arial" w:cs="Arial" w:eastAsia="Arial" w:hAnsi="Arial"/>
                <w:sz w:val="16"/>
                <w:szCs w:val="16"/>
                <w:color w:val="092E44"/>
              </w:rPr>
              <w:t>Charters for all the Board’s committees and management’s Disclosure</w:t>
            </w:r>
          </w:p>
        </w:tc>
        <w:tc>
          <w:tcPr>
            <w:tcW w:w="0" w:type="dxa"/>
            <w:vAlign w:val="bottom"/>
          </w:tcPr>
          <w:p>
            <w:pPr>
              <w:spacing w:after="0"/>
              <w:rPr>
                <w:sz w:val="1"/>
                <w:szCs w:val="1"/>
                <w:color w:val="auto"/>
              </w:rPr>
            </w:pPr>
          </w:p>
        </w:tc>
      </w:tr>
      <w:tr>
        <w:trPr>
          <w:trHeight w:val="207"/>
        </w:trPr>
        <w:tc>
          <w:tcPr>
            <w:tcW w:w="4500" w:type="dxa"/>
            <w:vAlign w:val="bottom"/>
            <w:gridSpan w:val="2"/>
            <w:vMerge w:val="restart"/>
          </w:tcPr>
          <w:p>
            <w:pPr>
              <w:spacing w:after="0"/>
              <w:rPr>
                <w:sz w:val="20"/>
                <w:szCs w:val="20"/>
                <w:color w:val="auto"/>
              </w:rPr>
            </w:pPr>
            <w:r>
              <w:rPr>
                <w:rFonts w:ascii="Arial" w:cs="Arial" w:eastAsia="Arial" w:hAnsi="Arial"/>
                <w:sz w:val="16"/>
                <w:szCs w:val="16"/>
                <w:color w:val="E14A6A"/>
              </w:rPr>
              <w:t xml:space="preserve">•   </w:t>
            </w:r>
            <w:r>
              <w:rPr>
                <w:rFonts w:ascii="Arial" w:cs="Arial" w:eastAsia="Arial" w:hAnsi="Arial"/>
                <w:sz w:val="16"/>
                <w:szCs w:val="16"/>
                <w:color w:val="092E44"/>
              </w:rPr>
              <w:t>Ethics and Integrity Reporting Policy</w:t>
            </w:r>
          </w:p>
        </w:tc>
        <w:tc>
          <w:tcPr>
            <w:tcW w:w="128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6"/>
                <w:szCs w:val="16"/>
                <w:color w:val="092E44"/>
              </w:rPr>
              <w:t>Committee</w:t>
            </w:r>
          </w:p>
        </w:tc>
        <w:tc>
          <w:tcPr>
            <w:tcW w:w="0" w:type="dxa"/>
            <w:vAlign w:val="bottom"/>
          </w:tcPr>
          <w:p>
            <w:pPr>
              <w:spacing w:after="0"/>
              <w:rPr>
                <w:sz w:val="1"/>
                <w:szCs w:val="1"/>
                <w:color w:val="auto"/>
              </w:rPr>
            </w:pPr>
          </w:p>
        </w:tc>
      </w:tr>
      <w:tr>
        <w:trPr>
          <w:trHeight w:val="54"/>
        </w:trPr>
        <w:tc>
          <w:tcPr>
            <w:tcW w:w="450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5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0"/>
                <w:szCs w:val="20"/>
                <w:color w:val="auto"/>
              </w:rPr>
            </w:pPr>
            <w:r>
              <w:rPr>
                <w:rFonts w:ascii="Arial" w:cs="Arial" w:eastAsia="Arial" w:hAnsi="Arial"/>
                <w:sz w:val="16"/>
                <w:szCs w:val="16"/>
                <w:color w:val="E14A6A"/>
              </w:rPr>
              <w:t>•</w:t>
            </w:r>
          </w:p>
        </w:tc>
        <w:tc>
          <w:tcPr>
            <w:tcW w:w="4340" w:type="dxa"/>
            <w:vAlign w:val="bottom"/>
          </w:tcPr>
          <w:p>
            <w:pPr>
              <w:ind w:left="80"/>
              <w:spacing w:after="0"/>
              <w:rPr>
                <w:sz w:val="20"/>
                <w:szCs w:val="20"/>
                <w:color w:val="auto"/>
              </w:rPr>
            </w:pPr>
            <w:r>
              <w:rPr>
                <w:rFonts w:ascii="Arial" w:cs="Arial" w:eastAsia="Arial" w:hAnsi="Arial"/>
                <w:sz w:val="16"/>
                <w:szCs w:val="16"/>
                <w:color w:val="092E44"/>
              </w:rPr>
              <w:t>Privacy Policy</w:t>
            </w:r>
          </w:p>
        </w:tc>
        <w:tc>
          <w:tcPr>
            <w:tcW w:w="128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0B2E44"/>
        </w:rPr>
        <w:t>If we were to amend or waive any provision of the Code of Ethics or Code of Ethics for Senior Financial Officers applicable to our directors and executive officers (including senior financial officers), we intend to satisfy our disclosure obligations, if any, with respect to any such waiver or amendment by posting such information on our website at the address and location specified above.</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Transactions With Related Persons</w:t>
      </w:r>
    </w:p>
    <w:p>
      <w:pPr>
        <w:spacing w:after="0" w:line="9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0B2E44"/>
        </w:rPr>
        <w:t>The Board of Directors recognizes that transactions between the Company and certain related persons present a heightened risk of conflicts of interest. It is our policy to have the Audit Committee review and approve, ratify, or disapprove of proposed transactions or courses of dealings with respect to which executive officers or directors or members of their immediate families have an interest. The Audit Committee reviews any such transaction based upon the applicable SEC rules and our ethics and governance guidelines. There were no related person transactions during the fiscal year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23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DIRECTOR COMPENSATION</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Director Compensation</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Annual Cash and Equity Retainers</w:t>
      </w:r>
    </w:p>
    <w:p>
      <w:pPr>
        <w:spacing w:after="0" w:line="66"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0B2E44"/>
        </w:rPr>
        <w:t>Our TMCC determines the amount and form of any fees and expense reimbursements that non-employee directors receive for or in connection with their service on Commvault’s Board of Directors. In June 2022, the TMCC engaged an external third-party compensation consultant, Compensia, to provide an assessment of our non-employee director compensation practices, including a peer analysis of practices related to cash compensation, equity compensation, and equity vesting. Based on the results of this analysis, the TMCC finalized on the following changes to director compensation intended to better align our compensation with the median of our peer group:</w:t>
      </w:r>
    </w:p>
    <w:p>
      <w:pPr>
        <w:spacing w:after="0" w:line="2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FF4A6A"/>
        </w:rPr>
      </w:pPr>
      <w:r>
        <w:rPr>
          <w:rFonts w:ascii="Arial" w:cs="Arial" w:eastAsia="Arial" w:hAnsi="Arial"/>
          <w:sz w:val="16"/>
          <w:szCs w:val="16"/>
          <w:color w:val="0B2E44"/>
        </w:rPr>
        <w:t>Director equity compensation was increased to $215,000 from $200,000.</w:t>
      </w:r>
    </w:p>
    <w:p>
      <w:pPr>
        <w:spacing w:after="0" w:line="72" w:lineRule="exact"/>
        <w:rPr>
          <w:rFonts w:ascii="Arial" w:cs="Arial" w:eastAsia="Arial" w:hAnsi="Arial"/>
          <w:sz w:val="16"/>
          <w:szCs w:val="16"/>
          <w:color w:val="FF4A6A"/>
        </w:rPr>
      </w:pPr>
    </w:p>
    <w:p>
      <w:pPr>
        <w:ind w:left="660" w:hanging="328"/>
        <w:spacing w:after="0"/>
        <w:tabs>
          <w:tab w:leader="none" w:pos="660" w:val="left"/>
        </w:tabs>
        <w:numPr>
          <w:ilvl w:val="0"/>
          <w:numId w:val="28"/>
        </w:numPr>
        <w:rPr>
          <w:rFonts w:ascii="Arial" w:cs="Arial" w:eastAsia="Arial" w:hAnsi="Arial"/>
          <w:sz w:val="16"/>
          <w:szCs w:val="16"/>
          <w:color w:val="FF4A6A"/>
        </w:rPr>
      </w:pPr>
      <w:r>
        <w:rPr>
          <w:rFonts w:ascii="Arial" w:cs="Arial" w:eastAsia="Arial" w:hAnsi="Arial"/>
          <w:sz w:val="16"/>
          <w:szCs w:val="16"/>
          <w:color w:val="0B2E44"/>
        </w:rPr>
        <w:t>Non-Executive chairman’s annual cash retainer was reduced to $110,000 from $125,000.</w:t>
      </w:r>
    </w:p>
    <w:p>
      <w:pPr>
        <w:spacing w:after="0" w:line="59" w:lineRule="exact"/>
        <w:rPr>
          <w:sz w:val="20"/>
          <w:szCs w:val="20"/>
          <w:color w:val="auto"/>
        </w:rPr>
      </w:pPr>
    </w:p>
    <w:p>
      <w:pPr>
        <w:ind w:right="500"/>
        <w:spacing w:after="0" w:line="276" w:lineRule="auto"/>
        <w:rPr>
          <w:sz w:val="20"/>
          <w:szCs w:val="20"/>
          <w:color w:val="auto"/>
        </w:rPr>
      </w:pPr>
      <w:r>
        <w:rPr>
          <w:rFonts w:ascii="Arial" w:cs="Arial" w:eastAsia="Arial" w:hAnsi="Arial"/>
          <w:sz w:val="16"/>
          <w:szCs w:val="16"/>
          <w:color w:val="0B2E44"/>
        </w:rPr>
        <w:t>For more information about our peer group, see “Compensation Discussion and Analysis—How Compensation Decisions are Made—Role of the Peer Group.”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B2E44"/>
        </w:rPr>
        <w:t>Compensation earned by our non-employee directors for their service as members of the Board of Directors or any committee of the Board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40" w:type="dxa"/>
            <w:vAlign w:val="bottom"/>
            <w:tcBorders>
              <w:bottom w:val="single" w:sz="8" w:color="E14A6A"/>
            </w:tcBorders>
          </w:tcPr>
          <w:p>
            <w:pPr>
              <w:ind w:left="140"/>
              <w:spacing w:after="0"/>
              <w:rPr>
                <w:sz w:val="20"/>
                <w:szCs w:val="20"/>
                <w:color w:val="auto"/>
              </w:rPr>
            </w:pPr>
            <w:r>
              <w:rPr>
                <w:rFonts w:ascii="Arial" w:cs="Arial" w:eastAsia="Arial" w:hAnsi="Arial"/>
                <w:sz w:val="14"/>
                <w:szCs w:val="14"/>
                <w:color w:val="0B2E44"/>
              </w:rPr>
              <w:t>Who receives</w:t>
            </w:r>
          </w:p>
        </w:tc>
        <w:tc>
          <w:tcPr>
            <w:tcW w:w="1600" w:type="dxa"/>
            <w:vAlign w:val="bottom"/>
            <w:tcBorders>
              <w:bottom w:val="single" w:sz="8" w:color="E14A6A"/>
            </w:tcBorders>
          </w:tcPr>
          <w:p>
            <w:pPr>
              <w:ind w:left="60"/>
              <w:spacing w:after="0"/>
              <w:rPr>
                <w:sz w:val="20"/>
                <w:szCs w:val="20"/>
                <w:color w:val="auto"/>
              </w:rPr>
            </w:pPr>
            <w:r>
              <w:rPr>
                <w:rFonts w:ascii="Arial" w:cs="Arial" w:eastAsia="Arial" w:hAnsi="Arial"/>
                <w:sz w:val="14"/>
                <w:szCs w:val="14"/>
                <w:color w:val="0B2E44"/>
              </w:rPr>
              <w:t>Amount</w:t>
            </w:r>
          </w:p>
        </w:tc>
        <w:tc>
          <w:tcPr>
            <w:tcW w:w="5000" w:type="dxa"/>
            <w:vAlign w:val="bottom"/>
            <w:tcBorders>
              <w:bottom w:val="single" w:sz="8" w:color="E14A6A"/>
            </w:tcBorders>
          </w:tcPr>
          <w:p>
            <w:pPr>
              <w:ind w:left="840"/>
              <w:spacing w:after="0"/>
              <w:rPr>
                <w:sz w:val="20"/>
                <w:szCs w:val="20"/>
                <w:color w:val="auto"/>
              </w:rPr>
            </w:pPr>
            <w:r>
              <w:rPr>
                <w:rFonts w:ascii="Arial" w:cs="Arial" w:eastAsia="Arial" w:hAnsi="Arial"/>
                <w:sz w:val="14"/>
                <w:szCs w:val="14"/>
                <w:color w:val="0B2E44"/>
              </w:rPr>
              <w:t>Form</w:t>
            </w:r>
          </w:p>
        </w:tc>
        <w:tc>
          <w:tcPr>
            <w:tcW w:w="0" w:type="dxa"/>
            <w:vAlign w:val="bottom"/>
          </w:tcPr>
          <w:p>
            <w:pPr>
              <w:spacing w:after="0"/>
              <w:rPr>
                <w:sz w:val="1"/>
                <w:szCs w:val="1"/>
                <w:color w:val="auto"/>
              </w:rPr>
            </w:pPr>
          </w:p>
        </w:tc>
      </w:tr>
      <w:tr>
        <w:trPr>
          <w:trHeight w:val="213"/>
        </w:trPr>
        <w:tc>
          <w:tcPr>
            <w:tcW w:w="4640" w:type="dxa"/>
            <w:vAlign w:val="bottom"/>
          </w:tcPr>
          <w:p>
            <w:pPr>
              <w:ind w:left="120"/>
              <w:spacing w:after="0"/>
              <w:rPr>
                <w:sz w:val="20"/>
                <w:szCs w:val="20"/>
                <w:color w:val="auto"/>
              </w:rPr>
            </w:pPr>
            <w:r>
              <w:rPr>
                <w:rFonts w:ascii="Arial" w:cs="Arial" w:eastAsia="Arial" w:hAnsi="Arial"/>
                <w:sz w:val="16"/>
                <w:szCs w:val="16"/>
                <w:color w:val="0B2E44"/>
              </w:rPr>
              <w:t>Every non-employee director</w:t>
            </w:r>
          </w:p>
        </w:tc>
        <w:tc>
          <w:tcPr>
            <w:tcW w:w="1600" w:type="dxa"/>
            <w:vAlign w:val="bottom"/>
          </w:tcPr>
          <w:p>
            <w:pPr>
              <w:ind w:left="60"/>
              <w:spacing w:after="0"/>
              <w:rPr>
                <w:sz w:val="20"/>
                <w:szCs w:val="20"/>
                <w:color w:val="auto"/>
              </w:rPr>
            </w:pPr>
            <w:r>
              <w:rPr>
                <w:rFonts w:ascii="Arial" w:cs="Arial" w:eastAsia="Arial" w:hAnsi="Arial"/>
                <w:sz w:val="16"/>
                <w:szCs w:val="16"/>
                <w:color w:val="0B2E44"/>
              </w:rPr>
              <w:t>$ 42,000</w:t>
            </w:r>
          </w:p>
        </w:tc>
        <w:tc>
          <w:tcPr>
            <w:tcW w:w="5000" w:type="dxa"/>
            <w:vAlign w:val="bottom"/>
          </w:tcPr>
          <w:p>
            <w:pPr>
              <w:ind w:left="880"/>
              <w:spacing w:after="0"/>
              <w:rPr>
                <w:sz w:val="20"/>
                <w:szCs w:val="20"/>
                <w:color w:val="auto"/>
              </w:rPr>
            </w:pPr>
            <w:r>
              <w:rPr>
                <w:rFonts w:ascii="Arial" w:cs="Arial" w:eastAsia="Arial" w:hAnsi="Arial"/>
                <w:sz w:val="16"/>
                <w:szCs w:val="16"/>
                <w:color w:val="0B2E44"/>
              </w:rPr>
              <w:t>Cash annual retainer</w:t>
            </w:r>
          </w:p>
        </w:tc>
        <w:tc>
          <w:tcPr>
            <w:tcW w:w="0" w:type="dxa"/>
            <w:vAlign w:val="bottom"/>
          </w:tcPr>
          <w:p>
            <w:pPr>
              <w:spacing w:after="0"/>
              <w:rPr>
                <w:sz w:val="1"/>
                <w:szCs w:val="1"/>
                <w:color w:val="auto"/>
              </w:rPr>
            </w:pPr>
          </w:p>
        </w:tc>
      </w:tr>
      <w:tr>
        <w:trPr>
          <w:trHeight w:val="219"/>
        </w:trPr>
        <w:tc>
          <w:tcPr>
            <w:tcW w:w="46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Independent Board Chair</w:t>
            </w:r>
          </w:p>
        </w:tc>
        <w:tc>
          <w:tcPr>
            <w:tcW w:w="1600" w:type="dxa"/>
            <w:vAlign w:val="bottom"/>
            <w:shd w:val="clear" w:color="auto" w:fill="DDE9F2"/>
          </w:tcPr>
          <w:p>
            <w:pPr>
              <w:ind w:left="60"/>
              <w:spacing w:after="0"/>
              <w:rPr>
                <w:sz w:val="20"/>
                <w:szCs w:val="20"/>
                <w:color w:val="auto"/>
              </w:rPr>
            </w:pPr>
            <w:r>
              <w:rPr>
                <w:rFonts w:ascii="Arial" w:cs="Arial" w:eastAsia="Arial" w:hAnsi="Arial"/>
                <w:sz w:val="16"/>
                <w:szCs w:val="16"/>
                <w:color w:val="0B2E44"/>
              </w:rPr>
              <w:t>$ 110,000</w:t>
            </w:r>
          </w:p>
        </w:tc>
        <w:tc>
          <w:tcPr>
            <w:tcW w:w="5000" w:type="dxa"/>
            <w:vAlign w:val="bottom"/>
            <w:shd w:val="clear" w:color="auto" w:fill="DDE9F2"/>
          </w:tcPr>
          <w:p>
            <w:pPr>
              <w:ind w:left="880"/>
              <w:spacing w:after="0"/>
              <w:rPr>
                <w:sz w:val="20"/>
                <w:szCs w:val="20"/>
                <w:color w:val="auto"/>
              </w:rPr>
            </w:pPr>
            <w:r>
              <w:rPr>
                <w:rFonts w:ascii="Arial" w:cs="Arial" w:eastAsia="Arial" w:hAnsi="Arial"/>
                <w:sz w:val="16"/>
                <w:szCs w:val="16"/>
                <w:color w:val="0B2E44"/>
              </w:rPr>
              <w:t>Additional cash annual retainer</w:t>
            </w:r>
          </w:p>
        </w:tc>
        <w:tc>
          <w:tcPr>
            <w:tcW w:w="0" w:type="dxa"/>
            <w:vAlign w:val="bottom"/>
          </w:tcPr>
          <w:p>
            <w:pPr>
              <w:spacing w:after="0"/>
              <w:rPr>
                <w:sz w:val="1"/>
                <w:szCs w:val="1"/>
                <w:color w:val="auto"/>
              </w:rPr>
            </w:pPr>
          </w:p>
        </w:tc>
      </w:tr>
      <w:tr>
        <w:trPr>
          <w:trHeight w:val="213"/>
        </w:trPr>
        <w:tc>
          <w:tcPr>
            <w:tcW w:w="4640" w:type="dxa"/>
            <w:vAlign w:val="bottom"/>
          </w:tcPr>
          <w:p>
            <w:pPr>
              <w:ind w:left="120"/>
              <w:spacing w:after="0"/>
              <w:rPr>
                <w:sz w:val="20"/>
                <w:szCs w:val="20"/>
                <w:color w:val="auto"/>
              </w:rPr>
            </w:pPr>
            <w:r>
              <w:rPr>
                <w:rFonts w:ascii="Arial" w:cs="Arial" w:eastAsia="Arial" w:hAnsi="Arial"/>
                <w:sz w:val="16"/>
                <w:szCs w:val="16"/>
                <w:color w:val="0B2E44"/>
              </w:rPr>
              <w:t>Audit Committee Chair</w:t>
            </w:r>
          </w:p>
        </w:tc>
        <w:tc>
          <w:tcPr>
            <w:tcW w:w="1600" w:type="dxa"/>
            <w:vAlign w:val="bottom"/>
          </w:tcPr>
          <w:p>
            <w:pPr>
              <w:ind w:left="60"/>
              <w:spacing w:after="0"/>
              <w:rPr>
                <w:sz w:val="20"/>
                <w:szCs w:val="20"/>
                <w:color w:val="auto"/>
              </w:rPr>
            </w:pPr>
            <w:r>
              <w:rPr>
                <w:rFonts w:ascii="Arial" w:cs="Arial" w:eastAsia="Arial" w:hAnsi="Arial"/>
                <w:sz w:val="16"/>
                <w:szCs w:val="16"/>
                <w:color w:val="0B2E44"/>
              </w:rPr>
              <w:t>$ 30,000</w:t>
            </w:r>
          </w:p>
        </w:tc>
        <w:tc>
          <w:tcPr>
            <w:tcW w:w="5000" w:type="dxa"/>
            <w:vAlign w:val="bottom"/>
          </w:tcPr>
          <w:p>
            <w:pPr>
              <w:ind w:left="880"/>
              <w:spacing w:after="0"/>
              <w:rPr>
                <w:sz w:val="20"/>
                <w:szCs w:val="20"/>
                <w:color w:val="auto"/>
              </w:rPr>
            </w:pPr>
            <w:r>
              <w:rPr>
                <w:rFonts w:ascii="Arial" w:cs="Arial" w:eastAsia="Arial" w:hAnsi="Arial"/>
                <w:sz w:val="16"/>
                <w:szCs w:val="16"/>
                <w:color w:val="0B2E44"/>
              </w:rPr>
              <w:t>Additional cash annual retainer</w:t>
            </w:r>
          </w:p>
        </w:tc>
        <w:tc>
          <w:tcPr>
            <w:tcW w:w="0" w:type="dxa"/>
            <w:vAlign w:val="bottom"/>
          </w:tcPr>
          <w:p>
            <w:pPr>
              <w:spacing w:after="0"/>
              <w:rPr>
                <w:sz w:val="1"/>
                <w:szCs w:val="1"/>
                <w:color w:val="auto"/>
              </w:rPr>
            </w:pPr>
          </w:p>
        </w:tc>
      </w:tr>
      <w:tr>
        <w:trPr>
          <w:trHeight w:val="219"/>
        </w:trPr>
        <w:tc>
          <w:tcPr>
            <w:tcW w:w="46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TMCC Committee Chair</w:t>
            </w:r>
          </w:p>
        </w:tc>
        <w:tc>
          <w:tcPr>
            <w:tcW w:w="1600" w:type="dxa"/>
            <w:vAlign w:val="bottom"/>
            <w:shd w:val="clear" w:color="auto" w:fill="DDE9F2"/>
          </w:tcPr>
          <w:p>
            <w:pPr>
              <w:ind w:left="60"/>
              <w:spacing w:after="0"/>
              <w:rPr>
                <w:sz w:val="20"/>
                <w:szCs w:val="20"/>
                <w:color w:val="auto"/>
              </w:rPr>
            </w:pPr>
            <w:r>
              <w:rPr>
                <w:rFonts w:ascii="Arial" w:cs="Arial" w:eastAsia="Arial" w:hAnsi="Arial"/>
                <w:sz w:val="16"/>
                <w:szCs w:val="16"/>
                <w:color w:val="0B2E44"/>
              </w:rPr>
              <w:t>$ 20,000</w:t>
            </w:r>
          </w:p>
        </w:tc>
        <w:tc>
          <w:tcPr>
            <w:tcW w:w="5000" w:type="dxa"/>
            <w:vAlign w:val="bottom"/>
            <w:shd w:val="clear" w:color="auto" w:fill="DDE9F2"/>
          </w:tcPr>
          <w:p>
            <w:pPr>
              <w:ind w:left="880"/>
              <w:spacing w:after="0"/>
              <w:rPr>
                <w:sz w:val="20"/>
                <w:szCs w:val="20"/>
                <w:color w:val="auto"/>
              </w:rPr>
            </w:pPr>
            <w:r>
              <w:rPr>
                <w:rFonts w:ascii="Arial" w:cs="Arial" w:eastAsia="Arial" w:hAnsi="Arial"/>
                <w:sz w:val="16"/>
                <w:szCs w:val="16"/>
                <w:color w:val="0B2E44"/>
              </w:rPr>
              <w:t>Additional cash annual retainer</w:t>
            </w:r>
          </w:p>
        </w:tc>
        <w:tc>
          <w:tcPr>
            <w:tcW w:w="0" w:type="dxa"/>
            <w:vAlign w:val="bottom"/>
          </w:tcPr>
          <w:p>
            <w:pPr>
              <w:spacing w:after="0"/>
              <w:rPr>
                <w:sz w:val="1"/>
                <w:szCs w:val="1"/>
                <w:color w:val="auto"/>
              </w:rPr>
            </w:pPr>
          </w:p>
        </w:tc>
      </w:tr>
      <w:tr>
        <w:trPr>
          <w:trHeight w:val="165"/>
        </w:trPr>
        <w:tc>
          <w:tcPr>
            <w:tcW w:w="4640" w:type="dxa"/>
            <w:vAlign w:val="bottom"/>
          </w:tcPr>
          <w:p>
            <w:pPr>
              <w:ind w:left="120"/>
              <w:spacing w:after="0" w:line="165" w:lineRule="exact"/>
              <w:rPr>
                <w:sz w:val="20"/>
                <w:szCs w:val="20"/>
                <w:color w:val="auto"/>
              </w:rPr>
            </w:pPr>
            <w:r>
              <w:rPr>
                <w:rFonts w:ascii="Arial" w:cs="Arial" w:eastAsia="Arial" w:hAnsi="Arial"/>
                <w:sz w:val="16"/>
                <w:szCs w:val="16"/>
                <w:color w:val="0B2E44"/>
              </w:rPr>
              <w:t>Chairs of the Nominations and Governance Committee and</w:t>
            </w:r>
          </w:p>
        </w:tc>
        <w:tc>
          <w:tcPr>
            <w:tcW w:w="1600" w:type="dxa"/>
            <w:vAlign w:val="bottom"/>
            <w:vMerge w:val="restart"/>
          </w:tcPr>
          <w:p>
            <w:pPr>
              <w:ind w:left="60"/>
              <w:spacing w:after="0"/>
              <w:rPr>
                <w:sz w:val="20"/>
                <w:szCs w:val="20"/>
                <w:color w:val="auto"/>
              </w:rPr>
            </w:pPr>
            <w:r>
              <w:rPr>
                <w:rFonts w:ascii="Arial" w:cs="Arial" w:eastAsia="Arial" w:hAnsi="Arial"/>
                <w:sz w:val="16"/>
                <w:szCs w:val="16"/>
                <w:color w:val="0B2E44"/>
              </w:rPr>
              <w:t>$ 12,000</w:t>
            </w:r>
          </w:p>
        </w:tc>
        <w:tc>
          <w:tcPr>
            <w:tcW w:w="5000" w:type="dxa"/>
            <w:vAlign w:val="bottom"/>
            <w:vMerge w:val="restart"/>
          </w:tcPr>
          <w:p>
            <w:pPr>
              <w:ind w:left="880"/>
              <w:spacing w:after="0"/>
              <w:rPr>
                <w:sz w:val="20"/>
                <w:szCs w:val="20"/>
                <w:color w:val="auto"/>
              </w:rPr>
            </w:pPr>
            <w:r>
              <w:rPr>
                <w:rFonts w:ascii="Arial" w:cs="Arial" w:eastAsia="Arial" w:hAnsi="Arial"/>
                <w:sz w:val="16"/>
                <w:szCs w:val="16"/>
                <w:color w:val="0B2E44"/>
              </w:rPr>
              <w:t>Additional cash annual retainer</w:t>
            </w:r>
          </w:p>
        </w:tc>
        <w:tc>
          <w:tcPr>
            <w:tcW w:w="0" w:type="dxa"/>
            <w:vAlign w:val="bottom"/>
          </w:tcPr>
          <w:p>
            <w:pPr>
              <w:spacing w:after="0"/>
              <w:rPr>
                <w:sz w:val="1"/>
                <w:szCs w:val="1"/>
                <w:color w:val="auto"/>
              </w:rPr>
            </w:pPr>
          </w:p>
        </w:tc>
      </w:tr>
      <w:tr>
        <w:trPr>
          <w:trHeight w:val="126"/>
        </w:trPr>
        <w:tc>
          <w:tcPr>
            <w:tcW w:w="4640" w:type="dxa"/>
            <w:vAlign w:val="bottom"/>
            <w:vMerge w:val="restart"/>
          </w:tcPr>
          <w:p>
            <w:pPr>
              <w:ind w:left="120"/>
              <w:spacing w:after="0"/>
              <w:rPr>
                <w:sz w:val="20"/>
                <w:szCs w:val="20"/>
                <w:color w:val="auto"/>
              </w:rPr>
            </w:pPr>
            <w:r>
              <w:rPr>
                <w:rFonts w:ascii="Arial" w:cs="Arial" w:eastAsia="Arial" w:hAnsi="Arial"/>
                <w:sz w:val="16"/>
                <w:szCs w:val="16"/>
                <w:color w:val="0B2E44"/>
              </w:rPr>
              <w:t>the Operating Committee</w:t>
            </w:r>
          </w:p>
        </w:tc>
        <w:tc>
          <w:tcPr>
            <w:tcW w:w="1600" w:type="dxa"/>
            <w:vAlign w:val="bottom"/>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64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5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Audit Committee members</w:t>
            </w:r>
          </w:p>
        </w:tc>
        <w:tc>
          <w:tcPr>
            <w:tcW w:w="1600" w:type="dxa"/>
            <w:vAlign w:val="bottom"/>
            <w:shd w:val="clear" w:color="auto" w:fill="DDE9F2"/>
          </w:tcPr>
          <w:p>
            <w:pPr>
              <w:ind w:left="60"/>
              <w:spacing w:after="0"/>
              <w:rPr>
                <w:sz w:val="20"/>
                <w:szCs w:val="20"/>
                <w:color w:val="auto"/>
              </w:rPr>
            </w:pPr>
            <w:r>
              <w:rPr>
                <w:rFonts w:ascii="Arial" w:cs="Arial" w:eastAsia="Arial" w:hAnsi="Arial"/>
                <w:sz w:val="16"/>
                <w:szCs w:val="16"/>
                <w:color w:val="0B2E44"/>
              </w:rPr>
              <w:t>$ 15,000</w:t>
            </w:r>
          </w:p>
        </w:tc>
        <w:tc>
          <w:tcPr>
            <w:tcW w:w="5000" w:type="dxa"/>
            <w:vAlign w:val="bottom"/>
            <w:shd w:val="clear" w:color="auto" w:fill="DDE9F2"/>
          </w:tcPr>
          <w:p>
            <w:pPr>
              <w:ind w:left="880"/>
              <w:spacing w:after="0"/>
              <w:rPr>
                <w:sz w:val="20"/>
                <w:szCs w:val="20"/>
                <w:color w:val="auto"/>
              </w:rPr>
            </w:pPr>
            <w:r>
              <w:rPr>
                <w:rFonts w:ascii="Arial" w:cs="Arial" w:eastAsia="Arial" w:hAnsi="Arial"/>
                <w:sz w:val="16"/>
                <w:szCs w:val="16"/>
                <w:color w:val="0B2E44"/>
              </w:rPr>
              <w:t>Additional cash annual retainer</w:t>
            </w:r>
          </w:p>
        </w:tc>
        <w:tc>
          <w:tcPr>
            <w:tcW w:w="0" w:type="dxa"/>
            <w:vAlign w:val="bottom"/>
          </w:tcPr>
          <w:p>
            <w:pPr>
              <w:spacing w:after="0"/>
              <w:rPr>
                <w:sz w:val="1"/>
                <w:szCs w:val="1"/>
                <w:color w:val="auto"/>
              </w:rPr>
            </w:pPr>
          </w:p>
        </w:tc>
      </w:tr>
      <w:tr>
        <w:trPr>
          <w:trHeight w:val="213"/>
        </w:trPr>
        <w:tc>
          <w:tcPr>
            <w:tcW w:w="4640" w:type="dxa"/>
            <w:vAlign w:val="bottom"/>
          </w:tcPr>
          <w:p>
            <w:pPr>
              <w:ind w:left="120"/>
              <w:spacing w:after="0"/>
              <w:rPr>
                <w:sz w:val="20"/>
                <w:szCs w:val="20"/>
                <w:color w:val="auto"/>
              </w:rPr>
            </w:pPr>
            <w:r>
              <w:rPr>
                <w:rFonts w:ascii="Arial" w:cs="Arial" w:eastAsia="Arial" w:hAnsi="Arial"/>
                <w:sz w:val="16"/>
                <w:szCs w:val="16"/>
                <w:color w:val="0B2E44"/>
              </w:rPr>
              <w:t>TMCC Committee members</w:t>
            </w:r>
          </w:p>
        </w:tc>
        <w:tc>
          <w:tcPr>
            <w:tcW w:w="1600" w:type="dxa"/>
            <w:vAlign w:val="bottom"/>
          </w:tcPr>
          <w:p>
            <w:pPr>
              <w:ind w:left="60"/>
              <w:spacing w:after="0"/>
              <w:rPr>
                <w:sz w:val="20"/>
                <w:szCs w:val="20"/>
                <w:color w:val="auto"/>
              </w:rPr>
            </w:pPr>
            <w:r>
              <w:rPr>
                <w:rFonts w:ascii="Arial" w:cs="Arial" w:eastAsia="Arial" w:hAnsi="Arial"/>
                <w:sz w:val="16"/>
                <w:szCs w:val="16"/>
                <w:color w:val="0B2E44"/>
              </w:rPr>
              <w:t>$ 10,000</w:t>
            </w:r>
          </w:p>
        </w:tc>
        <w:tc>
          <w:tcPr>
            <w:tcW w:w="5000" w:type="dxa"/>
            <w:vAlign w:val="bottom"/>
          </w:tcPr>
          <w:p>
            <w:pPr>
              <w:ind w:left="880"/>
              <w:spacing w:after="0"/>
              <w:rPr>
                <w:sz w:val="20"/>
                <w:szCs w:val="20"/>
                <w:color w:val="auto"/>
              </w:rPr>
            </w:pPr>
            <w:r>
              <w:rPr>
                <w:rFonts w:ascii="Arial" w:cs="Arial" w:eastAsia="Arial" w:hAnsi="Arial"/>
                <w:sz w:val="16"/>
                <w:szCs w:val="16"/>
                <w:color w:val="0B2E44"/>
              </w:rPr>
              <w:t>Additional cash annual retainer</w:t>
            </w:r>
          </w:p>
        </w:tc>
        <w:tc>
          <w:tcPr>
            <w:tcW w:w="0" w:type="dxa"/>
            <w:vAlign w:val="bottom"/>
          </w:tcPr>
          <w:p>
            <w:pPr>
              <w:spacing w:after="0"/>
              <w:rPr>
                <w:sz w:val="1"/>
                <w:szCs w:val="1"/>
                <w:color w:val="auto"/>
              </w:rPr>
            </w:pPr>
          </w:p>
        </w:tc>
      </w:tr>
      <w:tr>
        <w:trPr>
          <w:trHeight w:val="246"/>
        </w:trPr>
        <w:tc>
          <w:tcPr>
            <w:tcW w:w="46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Members of the Nominations and Governance Committee and</w:t>
            </w:r>
          </w:p>
        </w:tc>
        <w:tc>
          <w:tcPr>
            <w:tcW w:w="1600" w:type="dxa"/>
            <w:vAlign w:val="bottom"/>
            <w:shd w:val="clear" w:color="auto" w:fill="DDE9F2"/>
          </w:tcPr>
          <w:p>
            <w:pPr>
              <w:ind w:left="60"/>
              <w:spacing w:after="0"/>
              <w:rPr>
                <w:sz w:val="20"/>
                <w:szCs w:val="20"/>
                <w:color w:val="auto"/>
              </w:rPr>
            </w:pPr>
            <w:r>
              <w:rPr>
                <w:rFonts w:ascii="Arial" w:cs="Arial" w:eastAsia="Arial" w:hAnsi="Arial"/>
                <w:sz w:val="16"/>
                <w:szCs w:val="16"/>
                <w:color w:val="0B2E44"/>
              </w:rPr>
              <w:t>$ 5,000</w:t>
            </w:r>
          </w:p>
        </w:tc>
        <w:tc>
          <w:tcPr>
            <w:tcW w:w="5000" w:type="dxa"/>
            <w:vAlign w:val="bottom"/>
            <w:shd w:val="clear" w:color="auto" w:fill="DDE9F2"/>
          </w:tcPr>
          <w:p>
            <w:pPr>
              <w:ind w:left="880"/>
              <w:spacing w:after="0"/>
              <w:rPr>
                <w:sz w:val="20"/>
                <w:szCs w:val="20"/>
                <w:color w:val="auto"/>
              </w:rPr>
            </w:pPr>
            <w:r>
              <w:rPr>
                <w:rFonts w:ascii="Arial" w:cs="Arial" w:eastAsia="Arial" w:hAnsi="Arial"/>
                <w:sz w:val="16"/>
                <w:szCs w:val="16"/>
                <w:color w:val="0B2E44"/>
              </w:rPr>
              <w:t>Additional cash annual retainer</w:t>
            </w:r>
          </w:p>
        </w:tc>
        <w:tc>
          <w:tcPr>
            <w:tcW w:w="0" w:type="dxa"/>
            <w:vAlign w:val="bottom"/>
          </w:tcPr>
          <w:p>
            <w:pPr>
              <w:spacing w:after="0"/>
              <w:rPr>
                <w:sz w:val="1"/>
                <w:szCs w:val="1"/>
                <w:color w:val="auto"/>
              </w:rPr>
            </w:pPr>
          </w:p>
        </w:tc>
      </w:tr>
      <w:tr>
        <w:trPr>
          <w:trHeight w:val="135"/>
        </w:trPr>
        <w:tc>
          <w:tcPr>
            <w:tcW w:w="4640" w:type="dxa"/>
            <w:vAlign w:val="bottom"/>
            <w:tcBorders>
              <w:bottom w:val="single" w:sz="8" w:color="0B2E44"/>
            </w:tcBorders>
            <w:shd w:val="clear" w:color="auto" w:fill="DDE9F2"/>
          </w:tcPr>
          <w:p>
            <w:pPr>
              <w:ind w:left="120"/>
              <w:spacing w:after="0" w:line="135" w:lineRule="exact"/>
              <w:rPr>
                <w:sz w:val="20"/>
                <w:szCs w:val="20"/>
                <w:color w:val="auto"/>
              </w:rPr>
            </w:pPr>
            <w:r>
              <w:rPr>
                <w:rFonts w:ascii="Arial" w:cs="Arial" w:eastAsia="Arial" w:hAnsi="Arial"/>
                <w:sz w:val="15"/>
                <w:szCs w:val="15"/>
                <w:color w:val="0B2E44"/>
              </w:rPr>
              <w:t>the Operating Committee</w:t>
            </w:r>
          </w:p>
        </w:tc>
        <w:tc>
          <w:tcPr>
            <w:tcW w:w="1600" w:type="dxa"/>
            <w:vAlign w:val="bottom"/>
            <w:tcBorders>
              <w:bottom w:val="single" w:sz="8" w:color="0B2E44"/>
            </w:tcBorders>
            <w:shd w:val="clear" w:color="auto" w:fill="DDE9F2"/>
          </w:tcPr>
          <w:p>
            <w:pPr>
              <w:spacing w:after="0"/>
              <w:rPr>
                <w:sz w:val="11"/>
                <w:szCs w:val="11"/>
                <w:color w:val="auto"/>
              </w:rPr>
            </w:pPr>
          </w:p>
        </w:tc>
        <w:tc>
          <w:tcPr>
            <w:tcW w:w="5000" w:type="dxa"/>
            <w:vAlign w:val="bottom"/>
            <w:tcBorders>
              <w:bottom w:val="single" w:sz="8" w:color="0B2E44"/>
            </w:tcBorders>
            <w:shd w:val="clear" w:color="auto" w:fill="DDE9F2"/>
          </w:tcPr>
          <w:p>
            <w:pPr>
              <w:spacing w:after="0"/>
              <w:rPr>
                <w:sz w:val="11"/>
                <w:szCs w:val="1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0B2E44"/>
        </w:rPr>
        <w:t>In addition, every non-employee director received an equity retainer at a target value of $215,000 granted on August 24, 2022 in the form of 3,695 restricted stock units (“RSUs”) awarded that will vest on the earlier of one year or the next annual meeting, if the director is still serving on our Board at the time.</w:t>
      </w:r>
    </w:p>
    <w:p>
      <w:pPr>
        <w:spacing w:after="0" w:line="22"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0B2E44"/>
        </w:rPr>
        <w:t>RSUs granted to the non-employee directors are issued under our 2016 Incentive Plan. See “Long-Term Equity Incentive Awards” in the Compensation Discussion and Analysis section below for more information about this plan. We also reimburse our non-employee directors for their reasonable expenses incurred in attending meetings of our Board or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24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DIRECTOR COMPENSATION</w:t>
      </w:r>
    </w:p>
    <w:p>
      <w:pPr>
        <w:spacing w:after="0" w:line="230"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0B2E44"/>
        </w:rPr>
        <w:t>The following table shows the specific compensation received for services rendered to us by our non-employee directors in fiscal 2023. Mr. Mirchandani does not receive any additional compensation for his service on the Board.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900" w:type="dxa"/>
            <w:vAlign w:val="bottom"/>
          </w:tcPr>
          <w:p>
            <w:pPr>
              <w:jc w:val="center"/>
              <w:ind w:left="2261"/>
              <w:spacing w:after="0"/>
              <w:rPr>
                <w:sz w:val="20"/>
                <w:szCs w:val="20"/>
                <w:color w:val="auto"/>
              </w:rPr>
            </w:pPr>
            <w:r>
              <w:rPr>
                <w:rFonts w:ascii="Arial" w:cs="Arial" w:eastAsia="Arial" w:hAnsi="Arial"/>
                <w:sz w:val="14"/>
                <w:szCs w:val="14"/>
                <w:color w:val="0B2E44"/>
              </w:rPr>
              <w:t>Fees Earned or</w:t>
            </w:r>
          </w:p>
        </w:tc>
        <w:tc>
          <w:tcPr>
            <w:tcW w:w="16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03"/>
        </w:trPr>
        <w:tc>
          <w:tcPr>
            <w:tcW w:w="4220" w:type="dxa"/>
            <w:vAlign w:val="bottom"/>
            <w:tcBorders>
              <w:bottom w:val="single" w:sz="8" w:color="E14A6A"/>
            </w:tcBorders>
          </w:tcPr>
          <w:p>
            <w:pPr>
              <w:ind w:left="140"/>
              <w:spacing w:after="0"/>
              <w:rPr>
                <w:sz w:val="20"/>
                <w:szCs w:val="20"/>
                <w:color w:val="auto"/>
              </w:rPr>
            </w:pPr>
            <w:r>
              <w:rPr>
                <w:rFonts w:ascii="Arial" w:cs="Arial" w:eastAsia="Arial" w:hAnsi="Arial"/>
                <w:sz w:val="14"/>
                <w:szCs w:val="14"/>
                <w:color w:val="0B2E44"/>
              </w:rPr>
              <w:t>Name</w:t>
            </w:r>
          </w:p>
        </w:tc>
        <w:tc>
          <w:tcPr>
            <w:tcW w:w="3900" w:type="dxa"/>
            <w:vAlign w:val="bottom"/>
            <w:tcBorders>
              <w:bottom w:val="single" w:sz="8" w:color="E14A6A"/>
            </w:tcBorders>
          </w:tcPr>
          <w:p>
            <w:pPr>
              <w:jc w:val="center"/>
              <w:ind w:left="2261"/>
              <w:spacing w:after="0"/>
              <w:rPr>
                <w:sz w:val="20"/>
                <w:szCs w:val="20"/>
                <w:color w:val="auto"/>
              </w:rPr>
            </w:pPr>
            <w:r>
              <w:rPr>
                <w:rFonts w:ascii="Arial" w:cs="Arial" w:eastAsia="Arial" w:hAnsi="Arial"/>
                <w:sz w:val="14"/>
                <w:szCs w:val="14"/>
                <w:color w:val="0B2E44"/>
              </w:rPr>
              <w:t>Paid in Cash</w:t>
            </w:r>
          </w:p>
        </w:tc>
        <w:tc>
          <w:tcPr>
            <w:tcW w:w="1680" w:type="dxa"/>
            <w:vAlign w:val="bottom"/>
            <w:tcBorders>
              <w:bottom w:val="single" w:sz="8" w:color="E14A6A"/>
            </w:tcBorders>
          </w:tcPr>
          <w:p>
            <w:pPr>
              <w:jc w:val="center"/>
              <w:spacing w:after="0"/>
              <w:rPr>
                <w:sz w:val="20"/>
                <w:szCs w:val="20"/>
                <w:color w:val="auto"/>
              </w:rPr>
            </w:pPr>
            <w:r>
              <w:rPr>
                <w:rFonts w:ascii="Arial" w:cs="Arial" w:eastAsia="Arial" w:hAnsi="Arial"/>
                <w:sz w:val="14"/>
                <w:szCs w:val="14"/>
                <w:color w:val="0B2E44"/>
              </w:rPr>
              <w:t>Stock Awards(1)</w:t>
            </w:r>
          </w:p>
        </w:tc>
        <w:tc>
          <w:tcPr>
            <w:tcW w:w="1440" w:type="dxa"/>
            <w:vAlign w:val="bottom"/>
            <w:tcBorders>
              <w:bottom w:val="single" w:sz="8" w:color="E14A6A"/>
            </w:tcBorders>
          </w:tcPr>
          <w:p>
            <w:pPr>
              <w:jc w:val="center"/>
              <w:spacing w:after="0"/>
              <w:rPr>
                <w:sz w:val="20"/>
                <w:szCs w:val="20"/>
                <w:color w:val="auto"/>
              </w:rPr>
            </w:pPr>
            <w:r>
              <w:rPr>
                <w:rFonts w:ascii="Arial" w:cs="Arial" w:eastAsia="Arial" w:hAnsi="Arial"/>
                <w:sz w:val="14"/>
                <w:szCs w:val="14"/>
                <w:color w:val="0B2E44"/>
                <w:w w:val="96"/>
              </w:rPr>
              <w:t>Total</w:t>
            </w:r>
          </w:p>
        </w:tc>
      </w:tr>
      <w:tr>
        <w:trPr>
          <w:trHeight w:val="207"/>
        </w:trPr>
        <w:tc>
          <w:tcPr>
            <w:tcW w:w="4220" w:type="dxa"/>
            <w:vAlign w:val="bottom"/>
          </w:tcPr>
          <w:p>
            <w:pPr>
              <w:ind w:left="120"/>
              <w:spacing w:after="0"/>
              <w:rPr>
                <w:sz w:val="20"/>
                <w:szCs w:val="20"/>
                <w:color w:val="auto"/>
              </w:rPr>
            </w:pPr>
            <w:r>
              <w:rPr>
                <w:rFonts w:ascii="Arial" w:cs="Arial" w:eastAsia="Arial" w:hAnsi="Arial"/>
                <w:sz w:val="16"/>
                <w:szCs w:val="16"/>
                <w:color w:val="0B2E44"/>
              </w:rPr>
              <w:t>Nicholas Adamo(2)</w:t>
            </w:r>
          </w:p>
        </w:tc>
        <w:tc>
          <w:tcPr>
            <w:tcW w:w="3900" w:type="dxa"/>
            <w:vAlign w:val="bottom"/>
          </w:tcPr>
          <w:p>
            <w:pPr>
              <w:jc w:val="center"/>
              <w:ind w:left="2261"/>
              <w:spacing w:after="0"/>
              <w:rPr>
                <w:sz w:val="20"/>
                <w:szCs w:val="20"/>
                <w:color w:val="auto"/>
              </w:rPr>
            </w:pPr>
            <w:r>
              <w:rPr>
                <w:rFonts w:ascii="Arial" w:cs="Arial" w:eastAsia="Arial" w:hAnsi="Arial"/>
                <w:sz w:val="16"/>
                <w:szCs w:val="16"/>
                <w:color w:val="0B2E44"/>
              </w:rPr>
              <w:t>$155,750</w:t>
            </w:r>
          </w:p>
        </w:tc>
        <w:tc>
          <w:tcPr>
            <w:tcW w:w="1680" w:type="dxa"/>
            <w:vAlign w:val="bottom"/>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tcPr>
          <w:p>
            <w:pPr>
              <w:jc w:val="center"/>
              <w:spacing w:after="0"/>
              <w:rPr>
                <w:sz w:val="20"/>
                <w:szCs w:val="20"/>
                <w:color w:val="auto"/>
              </w:rPr>
            </w:pPr>
            <w:r>
              <w:rPr>
                <w:rFonts w:ascii="Arial" w:cs="Arial" w:eastAsia="Arial" w:hAnsi="Arial"/>
                <w:sz w:val="16"/>
                <w:szCs w:val="16"/>
                <w:color w:val="0B2E44"/>
              </w:rPr>
              <w:t>$370,688</w:t>
            </w:r>
          </w:p>
        </w:tc>
      </w:tr>
      <w:tr>
        <w:trPr>
          <w:trHeight w:val="219"/>
        </w:trPr>
        <w:tc>
          <w:tcPr>
            <w:tcW w:w="422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Martha H. Bejar(3)</w:t>
            </w:r>
          </w:p>
        </w:tc>
        <w:tc>
          <w:tcPr>
            <w:tcW w:w="3900" w:type="dxa"/>
            <w:vAlign w:val="bottom"/>
            <w:shd w:val="clear" w:color="auto" w:fill="DDE9F2"/>
          </w:tcPr>
          <w:p>
            <w:pPr>
              <w:jc w:val="center"/>
              <w:ind w:left="2261"/>
              <w:spacing w:after="0"/>
              <w:rPr>
                <w:sz w:val="20"/>
                <w:szCs w:val="20"/>
                <w:color w:val="auto"/>
              </w:rPr>
            </w:pPr>
            <w:r>
              <w:rPr>
                <w:rFonts w:ascii="Arial" w:cs="Arial" w:eastAsia="Arial" w:hAnsi="Arial"/>
                <w:sz w:val="16"/>
                <w:szCs w:val="16"/>
                <w:color w:val="0B2E44"/>
              </w:rPr>
              <w:t>$54,000</w:t>
            </w:r>
          </w:p>
        </w:tc>
        <w:tc>
          <w:tcPr>
            <w:tcW w:w="168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$268,938</w:t>
            </w:r>
          </w:p>
        </w:tc>
      </w:tr>
      <w:tr>
        <w:trPr>
          <w:trHeight w:val="213"/>
        </w:trPr>
        <w:tc>
          <w:tcPr>
            <w:tcW w:w="4220" w:type="dxa"/>
            <w:vAlign w:val="bottom"/>
          </w:tcPr>
          <w:p>
            <w:pPr>
              <w:ind w:left="120"/>
              <w:spacing w:after="0"/>
              <w:rPr>
                <w:sz w:val="20"/>
                <w:szCs w:val="20"/>
                <w:color w:val="auto"/>
              </w:rPr>
            </w:pPr>
            <w:r>
              <w:rPr>
                <w:rFonts w:ascii="Arial" w:cs="Arial" w:eastAsia="Arial" w:hAnsi="Arial"/>
                <w:sz w:val="16"/>
                <w:szCs w:val="16"/>
                <w:color w:val="0B2E44"/>
              </w:rPr>
              <w:t>R. Todd Bradley(4)</w:t>
            </w:r>
          </w:p>
        </w:tc>
        <w:tc>
          <w:tcPr>
            <w:tcW w:w="3900" w:type="dxa"/>
            <w:vAlign w:val="bottom"/>
          </w:tcPr>
          <w:p>
            <w:pPr>
              <w:jc w:val="center"/>
              <w:ind w:left="2261"/>
              <w:spacing w:after="0"/>
              <w:rPr>
                <w:sz w:val="20"/>
                <w:szCs w:val="20"/>
                <w:color w:val="auto"/>
              </w:rPr>
            </w:pPr>
            <w:r>
              <w:rPr>
                <w:rFonts w:ascii="Arial" w:cs="Arial" w:eastAsia="Arial" w:hAnsi="Arial"/>
                <w:sz w:val="16"/>
                <w:szCs w:val="16"/>
                <w:color w:val="0B2E44"/>
              </w:rPr>
              <w:t>$57,000</w:t>
            </w:r>
          </w:p>
        </w:tc>
        <w:tc>
          <w:tcPr>
            <w:tcW w:w="1680" w:type="dxa"/>
            <w:vAlign w:val="bottom"/>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tcPr>
          <w:p>
            <w:pPr>
              <w:jc w:val="center"/>
              <w:spacing w:after="0"/>
              <w:rPr>
                <w:sz w:val="20"/>
                <w:szCs w:val="20"/>
                <w:color w:val="auto"/>
              </w:rPr>
            </w:pPr>
            <w:r>
              <w:rPr>
                <w:rFonts w:ascii="Arial" w:cs="Arial" w:eastAsia="Arial" w:hAnsi="Arial"/>
                <w:sz w:val="16"/>
                <w:szCs w:val="16"/>
                <w:color w:val="0B2E44"/>
              </w:rPr>
              <w:t>$271,938</w:t>
            </w:r>
          </w:p>
        </w:tc>
      </w:tr>
      <w:tr>
        <w:trPr>
          <w:trHeight w:val="219"/>
        </w:trPr>
        <w:tc>
          <w:tcPr>
            <w:tcW w:w="422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Keith Geeslin(5)</w:t>
            </w:r>
          </w:p>
        </w:tc>
        <w:tc>
          <w:tcPr>
            <w:tcW w:w="3900" w:type="dxa"/>
            <w:vAlign w:val="bottom"/>
            <w:shd w:val="clear" w:color="auto" w:fill="DDE9F2"/>
          </w:tcPr>
          <w:p>
            <w:pPr>
              <w:jc w:val="center"/>
              <w:ind w:left="2261"/>
              <w:spacing w:after="0"/>
              <w:rPr>
                <w:sz w:val="20"/>
                <w:szCs w:val="20"/>
                <w:color w:val="auto"/>
              </w:rPr>
            </w:pPr>
            <w:r>
              <w:rPr>
                <w:rFonts w:ascii="Arial" w:cs="Arial" w:eastAsia="Arial" w:hAnsi="Arial"/>
                <w:sz w:val="16"/>
                <w:szCs w:val="16"/>
                <w:color w:val="0B2E44"/>
              </w:rPr>
              <w:t>$62,000</w:t>
            </w:r>
          </w:p>
        </w:tc>
        <w:tc>
          <w:tcPr>
            <w:tcW w:w="168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$276,938</w:t>
            </w:r>
          </w:p>
        </w:tc>
      </w:tr>
      <w:tr>
        <w:trPr>
          <w:trHeight w:val="213"/>
        </w:trPr>
        <w:tc>
          <w:tcPr>
            <w:tcW w:w="4220" w:type="dxa"/>
            <w:vAlign w:val="bottom"/>
          </w:tcPr>
          <w:p>
            <w:pPr>
              <w:ind w:left="120"/>
              <w:spacing w:after="0"/>
              <w:rPr>
                <w:sz w:val="20"/>
                <w:szCs w:val="20"/>
                <w:color w:val="auto"/>
              </w:rPr>
            </w:pPr>
            <w:r>
              <w:rPr>
                <w:rFonts w:ascii="Arial" w:cs="Arial" w:eastAsia="Arial" w:hAnsi="Arial"/>
                <w:sz w:val="16"/>
                <w:szCs w:val="16"/>
                <w:color w:val="0B2E44"/>
              </w:rPr>
              <w:t>Vivie “YY” Lee(6)</w:t>
            </w:r>
          </w:p>
        </w:tc>
        <w:tc>
          <w:tcPr>
            <w:tcW w:w="3900" w:type="dxa"/>
            <w:vAlign w:val="bottom"/>
          </w:tcPr>
          <w:p>
            <w:pPr>
              <w:jc w:val="center"/>
              <w:ind w:left="2261"/>
              <w:spacing w:after="0"/>
              <w:rPr>
                <w:sz w:val="20"/>
                <w:szCs w:val="20"/>
                <w:color w:val="auto"/>
              </w:rPr>
            </w:pPr>
            <w:r>
              <w:rPr>
                <w:rFonts w:ascii="Arial" w:cs="Arial" w:eastAsia="Arial" w:hAnsi="Arial"/>
                <w:sz w:val="16"/>
                <w:szCs w:val="16"/>
                <w:color w:val="0B2E44"/>
              </w:rPr>
              <w:t>$57,000</w:t>
            </w:r>
          </w:p>
        </w:tc>
        <w:tc>
          <w:tcPr>
            <w:tcW w:w="1680" w:type="dxa"/>
            <w:vAlign w:val="bottom"/>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tcPr>
          <w:p>
            <w:pPr>
              <w:jc w:val="center"/>
              <w:spacing w:after="0"/>
              <w:rPr>
                <w:sz w:val="20"/>
                <w:szCs w:val="20"/>
                <w:color w:val="auto"/>
              </w:rPr>
            </w:pPr>
            <w:r>
              <w:rPr>
                <w:rFonts w:ascii="Arial" w:cs="Arial" w:eastAsia="Arial" w:hAnsi="Arial"/>
                <w:sz w:val="16"/>
                <w:szCs w:val="16"/>
                <w:color w:val="0B2E44"/>
              </w:rPr>
              <w:t>$271,938</w:t>
            </w:r>
          </w:p>
        </w:tc>
      </w:tr>
      <w:tr>
        <w:trPr>
          <w:trHeight w:val="219"/>
        </w:trPr>
        <w:tc>
          <w:tcPr>
            <w:tcW w:w="422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Charles E. Moran(7)</w:t>
            </w:r>
          </w:p>
        </w:tc>
        <w:tc>
          <w:tcPr>
            <w:tcW w:w="3900" w:type="dxa"/>
            <w:vAlign w:val="bottom"/>
            <w:shd w:val="clear" w:color="auto" w:fill="DDE9F2"/>
          </w:tcPr>
          <w:p>
            <w:pPr>
              <w:jc w:val="center"/>
              <w:ind w:left="2261"/>
              <w:spacing w:after="0"/>
              <w:rPr>
                <w:sz w:val="20"/>
                <w:szCs w:val="20"/>
                <w:color w:val="auto"/>
              </w:rPr>
            </w:pPr>
            <w:r>
              <w:rPr>
                <w:rFonts w:ascii="Arial" w:cs="Arial" w:eastAsia="Arial" w:hAnsi="Arial"/>
                <w:sz w:val="16"/>
                <w:szCs w:val="16"/>
                <w:color w:val="0B2E44"/>
              </w:rPr>
              <w:t>$62,000</w:t>
            </w:r>
          </w:p>
        </w:tc>
        <w:tc>
          <w:tcPr>
            <w:tcW w:w="168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$276,938</w:t>
            </w:r>
          </w:p>
        </w:tc>
      </w:tr>
      <w:tr>
        <w:trPr>
          <w:trHeight w:val="213"/>
        </w:trPr>
        <w:tc>
          <w:tcPr>
            <w:tcW w:w="4220" w:type="dxa"/>
            <w:vAlign w:val="bottom"/>
          </w:tcPr>
          <w:p>
            <w:pPr>
              <w:ind w:left="120"/>
              <w:spacing w:after="0"/>
              <w:rPr>
                <w:sz w:val="20"/>
                <w:szCs w:val="20"/>
                <w:color w:val="auto"/>
              </w:rPr>
            </w:pPr>
            <w:r>
              <w:rPr>
                <w:rFonts w:ascii="Arial" w:cs="Arial" w:eastAsia="Arial" w:hAnsi="Arial"/>
                <w:sz w:val="16"/>
                <w:szCs w:val="16"/>
                <w:color w:val="0B2E44"/>
              </w:rPr>
              <w:t>Allison Pickens(8)</w:t>
            </w:r>
          </w:p>
        </w:tc>
        <w:tc>
          <w:tcPr>
            <w:tcW w:w="3900" w:type="dxa"/>
            <w:vAlign w:val="bottom"/>
          </w:tcPr>
          <w:p>
            <w:pPr>
              <w:jc w:val="center"/>
              <w:ind w:left="2261"/>
              <w:spacing w:after="0"/>
              <w:rPr>
                <w:sz w:val="20"/>
                <w:szCs w:val="20"/>
                <w:color w:val="auto"/>
              </w:rPr>
            </w:pPr>
            <w:r>
              <w:rPr>
                <w:rFonts w:ascii="Arial" w:cs="Arial" w:eastAsia="Arial" w:hAnsi="Arial"/>
                <w:sz w:val="16"/>
                <w:szCs w:val="16"/>
                <w:color w:val="0B2E44"/>
              </w:rPr>
              <w:t>$47,000</w:t>
            </w:r>
          </w:p>
        </w:tc>
        <w:tc>
          <w:tcPr>
            <w:tcW w:w="1680" w:type="dxa"/>
            <w:vAlign w:val="bottom"/>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tcPr>
          <w:p>
            <w:pPr>
              <w:jc w:val="center"/>
              <w:spacing w:after="0"/>
              <w:rPr>
                <w:sz w:val="20"/>
                <w:szCs w:val="20"/>
                <w:color w:val="auto"/>
              </w:rPr>
            </w:pPr>
            <w:r>
              <w:rPr>
                <w:rFonts w:ascii="Arial" w:cs="Arial" w:eastAsia="Arial" w:hAnsi="Arial"/>
                <w:sz w:val="16"/>
                <w:szCs w:val="16"/>
                <w:color w:val="0B2E44"/>
              </w:rPr>
              <w:t>$261,938</w:t>
            </w:r>
          </w:p>
        </w:tc>
      </w:tr>
      <w:tr>
        <w:trPr>
          <w:trHeight w:val="219"/>
        </w:trPr>
        <w:tc>
          <w:tcPr>
            <w:tcW w:w="422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Shane Sanders(9)</w:t>
            </w:r>
          </w:p>
        </w:tc>
        <w:tc>
          <w:tcPr>
            <w:tcW w:w="3900" w:type="dxa"/>
            <w:vAlign w:val="bottom"/>
            <w:shd w:val="clear" w:color="auto" w:fill="DDE9F2"/>
          </w:tcPr>
          <w:p>
            <w:pPr>
              <w:jc w:val="center"/>
              <w:ind w:left="2261"/>
              <w:spacing w:after="0"/>
              <w:rPr>
                <w:sz w:val="20"/>
                <w:szCs w:val="20"/>
                <w:color w:val="auto"/>
              </w:rPr>
            </w:pPr>
            <w:r>
              <w:rPr>
                <w:rFonts w:ascii="Arial" w:cs="Arial" w:eastAsia="Arial" w:hAnsi="Arial"/>
                <w:sz w:val="16"/>
                <w:szCs w:val="16"/>
                <w:color w:val="0B2E44"/>
              </w:rPr>
              <w:t>$18,321</w:t>
            </w:r>
          </w:p>
        </w:tc>
        <w:tc>
          <w:tcPr>
            <w:tcW w:w="168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$143,282</w:t>
            </w:r>
          </w:p>
        </w:tc>
        <w:tc>
          <w:tcPr>
            <w:tcW w:w="144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$161,603</w:t>
            </w:r>
          </w:p>
        </w:tc>
      </w:tr>
      <w:tr>
        <w:trPr>
          <w:trHeight w:val="213"/>
        </w:trPr>
        <w:tc>
          <w:tcPr>
            <w:tcW w:w="4220" w:type="dxa"/>
            <w:vAlign w:val="bottom"/>
          </w:tcPr>
          <w:p>
            <w:pPr>
              <w:ind w:left="120"/>
              <w:spacing w:after="0"/>
              <w:rPr>
                <w:sz w:val="20"/>
                <w:szCs w:val="20"/>
                <w:color w:val="auto"/>
              </w:rPr>
            </w:pPr>
            <w:r>
              <w:rPr>
                <w:rFonts w:ascii="Arial" w:cs="Arial" w:eastAsia="Arial" w:hAnsi="Arial"/>
                <w:sz w:val="16"/>
                <w:szCs w:val="16"/>
                <w:color w:val="0B2E44"/>
              </w:rPr>
              <w:t>Arlen Shenkman(10)</w:t>
            </w:r>
          </w:p>
        </w:tc>
        <w:tc>
          <w:tcPr>
            <w:tcW w:w="3900" w:type="dxa"/>
            <w:vAlign w:val="bottom"/>
          </w:tcPr>
          <w:p>
            <w:pPr>
              <w:jc w:val="center"/>
              <w:ind w:left="2261"/>
              <w:spacing w:after="0"/>
              <w:rPr>
                <w:sz w:val="20"/>
                <w:szCs w:val="20"/>
                <w:color w:val="auto"/>
              </w:rPr>
            </w:pPr>
            <w:r>
              <w:rPr>
                <w:rFonts w:ascii="Arial" w:cs="Arial" w:eastAsia="Arial" w:hAnsi="Arial"/>
                <w:sz w:val="16"/>
                <w:szCs w:val="16"/>
                <w:color w:val="0B2E44"/>
              </w:rPr>
              <w:t>$69,000</w:t>
            </w:r>
          </w:p>
        </w:tc>
        <w:tc>
          <w:tcPr>
            <w:tcW w:w="1680" w:type="dxa"/>
            <w:vAlign w:val="bottom"/>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tcPr>
          <w:p>
            <w:pPr>
              <w:jc w:val="center"/>
              <w:spacing w:after="0"/>
              <w:rPr>
                <w:sz w:val="20"/>
                <w:szCs w:val="20"/>
                <w:color w:val="auto"/>
              </w:rPr>
            </w:pPr>
            <w:r>
              <w:rPr>
                <w:rFonts w:ascii="Arial" w:cs="Arial" w:eastAsia="Arial" w:hAnsi="Arial"/>
                <w:sz w:val="16"/>
                <w:szCs w:val="16"/>
                <w:color w:val="0B2E44"/>
              </w:rPr>
              <w:t>$283,938</w:t>
            </w:r>
          </w:p>
        </w:tc>
      </w:tr>
      <w:tr>
        <w:trPr>
          <w:trHeight w:val="216"/>
        </w:trPr>
        <w:tc>
          <w:tcPr>
            <w:tcW w:w="4220" w:type="dxa"/>
            <w:vAlign w:val="bottom"/>
            <w:tcBorders>
              <w:bottom w:val="single" w:sz="8" w:color="0B2E44"/>
            </w:tcBorders>
            <w:shd w:val="clear" w:color="auto" w:fill="DDE9F2"/>
          </w:tcPr>
          <w:p>
            <w:pPr>
              <w:ind w:left="120"/>
              <w:spacing w:after="0"/>
              <w:rPr>
                <w:sz w:val="20"/>
                <w:szCs w:val="20"/>
                <w:color w:val="auto"/>
              </w:rPr>
            </w:pPr>
            <w:r>
              <w:rPr>
                <w:rFonts w:ascii="Arial" w:cs="Arial" w:eastAsia="Arial" w:hAnsi="Arial"/>
                <w:sz w:val="16"/>
                <w:szCs w:val="16"/>
                <w:color w:val="0B2E44"/>
              </w:rPr>
              <w:t>David F. Walker(11)</w:t>
            </w:r>
          </w:p>
        </w:tc>
        <w:tc>
          <w:tcPr>
            <w:tcW w:w="3900" w:type="dxa"/>
            <w:vAlign w:val="bottom"/>
            <w:tcBorders>
              <w:bottom w:val="single" w:sz="8" w:color="0B2E44"/>
            </w:tcBorders>
            <w:shd w:val="clear" w:color="auto" w:fill="DDE9F2"/>
          </w:tcPr>
          <w:p>
            <w:pPr>
              <w:jc w:val="center"/>
              <w:ind w:left="2261"/>
              <w:spacing w:after="0"/>
              <w:rPr>
                <w:sz w:val="20"/>
                <w:szCs w:val="20"/>
                <w:color w:val="auto"/>
              </w:rPr>
            </w:pPr>
            <w:r>
              <w:rPr>
                <w:rFonts w:ascii="Arial" w:cs="Arial" w:eastAsia="Arial" w:hAnsi="Arial"/>
                <w:sz w:val="16"/>
                <w:szCs w:val="16"/>
                <w:color w:val="0B2E44"/>
              </w:rPr>
              <w:t>$72,000</w:t>
            </w:r>
          </w:p>
        </w:tc>
        <w:tc>
          <w:tcPr>
            <w:tcW w:w="1680" w:type="dxa"/>
            <w:vAlign w:val="bottom"/>
            <w:tcBorders>
              <w:bottom w:val="single" w:sz="8" w:color="0B2E44"/>
            </w:tcBorders>
            <w:shd w:val="clear" w:color="auto" w:fill="DDE9F2"/>
          </w:tcPr>
          <w:p>
            <w:pPr>
              <w:jc w:val="center"/>
              <w:spacing w:after="0"/>
              <w:rPr>
                <w:sz w:val="20"/>
                <w:szCs w:val="20"/>
                <w:color w:val="auto"/>
              </w:rPr>
            </w:pPr>
            <w:r>
              <w:rPr>
                <w:rFonts w:ascii="Arial" w:cs="Arial" w:eastAsia="Arial" w:hAnsi="Arial"/>
                <w:sz w:val="16"/>
                <w:szCs w:val="16"/>
                <w:color w:val="0B2E44"/>
              </w:rPr>
              <w:t>$214,938</w:t>
            </w:r>
          </w:p>
        </w:tc>
        <w:tc>
          <w:tcPr>
            <w:tcW w:w="1440" w:type="dxa"/>
            <w:vAlign w:val="bottom"/>
            <w:tcBorders>
              <w:bottom w:val="single" w:sz="8" w:color="0B2E44"/>
            </w:tcBorders>
            <w:shd w:val="clear" w:color="auto" w:fill="DDE9F2"/>
          </w:tcPr>
          <w:p>
            <w:pPr>
              <w:jc w:val="center"/>
              <w:spacing w:after="0"/>
              <w:rPr>
                <w:sz w:val="20"/>
                <w:szCs w:val="20"/>
                <w:color w:val="auto"/>
              </w:rPr>
            </w:pPr>
            <w:r>
              <w:rPr>
                <w:rFonts w:ascii="Arial" w:cs="Arial" w:eastAsia="Arial" w:hAnsi="Arial"/>
                <w:sz w:val="16"/>
                <w:szCs w:val="16"/>
                <w:color w:val="0B2E44"/>
              </w:rPr>
              <w:t>$286,938</w:t>
            </w:r>
          </w:p>
        </w:tc>
      </w:tr>
    </w:tbl>
    <w:p>
      <w:pPr>
        <w:spacing w:after="0" w:line="135" w:lineRule="exact"/>
        <w:rPr>
          <w:sz w:val="20"/>
          <w:szCs w:val="20"/>
          <w:color w:val="auto"/>
        </w:rPr>
      </w:pPr>
    </w:p>
    <w:p>
      <w:pPr>
        <w:ind w:left="340" w:right="100" w:hanging="332"/>
        <w:spacing w:after="0" w:line="245" w:lineRule="auto"/>
        <w:tabs>
          <w:tab w:leader="none" w:pos="255"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The amounts in this column represent the grant date fair value of restricted stock unit awards granted during the fiscal year indicated as computed in accordance with FASB ASC Topic 718. The amounts reported disregard estimated forfeitures related to service-based vesting conditions. See the notes to our consolidated financial statements contained in our Annual Report on Form 10-K for the fiscal year ended March 31, 2023, for a discussion of all assumptions made by us in determining the grant date fair value of such awards.</w:t>
      </w:r>
    </w:p>
    <w:p>
      <w:pPr>
        <w:spacing w:after="0" w:line="1" w:lineRule="exact"/>
        <w:rPr>
          <w:rFonts w:ascii="Arial" w:cs="Arial" w:eastAsia="Arial" w:hAnsi="Arial"/>
          <w:sz w:val="13"/>
          <w:szCs w:val="13"/>
          <w:color w:val="0B2E44"/>
        </w:rPr>
      </w:pPr>
    </w:p>
    <w:p>
      <w:pPr>
        <w:ind w:left="260" w:hanging="252"/>
        <w:spacing w:after="0"/>
        <w:tabs>
          <w:tab w:leader="none" w:pos="26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Mr. Adamo has 3,695 restricted stock units outstanding as of March 31, 2023.</w:t>
      </w:r>
    </w:p>
    <w:p>
      <w:pPr>
        <w:spacing w:after="0" w:line="7" w:lineRule="exact"/>
        <w:rPr>
          <w:rFonts w:ascii="Arial" w:cs="Arial" w:eastAsia="Arial" w:hAnsi="Arial"/>
          <w:sz w:val="13"/>
          <w:szCs w:val="13"/>
          <w:color w:val="0B2E44"/>
        </w:rPr>
      </w:pPr>
    </w:p>
    <w:p>
      <w:pPr>
        <w:ind w:left="260" w:hanging="252"/>
        <w:spacing w:after="0"/>
        <w:tabs>
          <w:tab w:leader="none" w:pos="26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Ms. Bejar has 3,695 restricted stock units outstanding as of March 31, 2023.</w:t>
      </w:r>
    </w:p>
    <w:p>
      <w:pPr>
        <w:ind w:left="260" w:hanging="252"/>
        <w:spacing w:after="0"/>
        <w:tabs>
          <w:tab w:leader="none" w:pos="26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Mr. Bradley has 3,695 restricted stock units outstanding as of March 31, 2023.</w:t>
      </w:r>
    </w:p>
    <w:p>
      <w:pPr>
        <w:ind w:left="260" w:hanging="252"/>
        <w:spacing w:after="0"/>
        <w:tabs>
          <w:tab w:leader="none" w:pos="26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Mr. Geeslin has 11,000 stock options, each of which is vested and exercisable, and 3,695 restricted stock units, in either case, outstanding as of March 31, 2023.</w:t>
      </w:r>
    </w:p>
    <w:p>
      <w:pPr>
        <w:ind w:left="260" w:hanging="252"/>
        <w:spacing w:after="0"/>
        <w:tabs>
          <w:tab w:leader="none" w:pos="26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Ms. Lee has 3,695 restricted stock units outstanding as of March 31, 2023.</w:t>
      </w:r>
    </w:p>
    <w:p>
      <w:pPr>
        <w:spacing w:after="0" w:line="4" w:lineRule="exact"/>
        <w:rPr>
          <w:rFonts w:ascii="Arial" w:cs="Arial" w:eastAsia="Arial" w:hAnsi="Arial"/>
          <w:sz w:val="13"/>
          <w:szCs w:val="13"/>
          <w:color w:val="0B2E44"/>
        </w:rPr>
      </w:pPr>
    </w:p>
    <w:p>
      <w:pPr>
        <w:ind w:left="260" w:hanging="252"/>
        <w:spacing w:after="0"/>
        <w:tabs>
          <w:tab w:leader="none" w:pos="26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Mr. Moran has 3,695 restricted stock units outstanding as of March 31, 2023.</w:t>
      </w:r>
    </w:p>
    <w:p>
      <w:pPr>
        <w:spacing w:after="0" w:line="7" w:lineRule="exact"/>
        <w:rPr>
          <w:rFonts w:ascii="Arial" w:cs="Arial" w:eastAsia="Arial" w:hAnsi="Arial"/>
          <w:sz w:val="13"/>
          <w:szCs w:val="13"/>
          <w:color w:val="0B2E44"/>
        </w:rPr>
      </w:pPr>
    </w:p>
    <w:p>
      <w:pPr>
        <w:ind w:left="260" w:hanging="252"/>
        <w:spacing w:after="0"/>
        <w:tabs>
          <w:tab w:leader="none" w:pos="26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Ms. Pickens has 3,695 restricted stock units outstanding as of March 31, 2023.</w:t>
      </w:r>
    </w:p>
    <w:p>
      <w:pPr>
        <w:ind w:left="340" w:right="600" w:hanging="332"/>
        <w:spacing w:after="0" w:line="227" w:lineRule="auto"/>
        <w:tabs>
          <w:tab w:leader="none" w:pos="255"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Mr. Sanders was elected to the Board of Directors effective December 5, 2022 and received pro rata compensation in addition to equity in the form of 2,167 restricted stock units which are outstanding as of March 31, 2023.</w:t>
      </w:r>
    </w:p>
    <w:p>
      <w:pPr>
        <w:ind w:left="320" w:hanging="312"/>
        <w:spacing w:after="0"/>
        <w:tabs>
          <w:tab w:leader="none" w:pos="32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Mr. Shenkman has 3,695 restricted stock units outstanding as of March 31, 2023.</w:t>
      </w:r>
    </w:p>
    <w:p>
      <w:pPr>
        <w:ind w:left="320" w:hanging="312"/>
        <w:spacing w:after="0"/>
        <w:tabs>
          <w:tab w:leader="none" w:pos="320" w:val="left"/>
        </w:tabs>
        <w:numPr>
          <w:ilvl w:val="0"/>
          <w:numId w:val="29"/>
        </w:numPr>
        <w:rPr>
          <w:rFonts w:ascii="Arial" w:cs="Arial" w:eastAsia="Arial" w:hAnsi="Arial"/>
          <w:sz w:val="13"/>
          <w:szCs w:val="13"/>
          <w:color w:val="0B2E44"/>
        </w:rPr>
      </w:pPr>
      <w:r>
        <w:rPr>
          <w:rFonts w:ascii="Arial" w:cs="Arial" w:eastAsia="Arial" w:hAnsi="Arial"/>
          <w:sz w:val="13"/>
          <w:szCs w:val="13"/>
          <w:color w:val="0B2E44"/>
        </w:rPr>
        <w:t>Mr. Walker has 11,000 stock options, each of which is vested and exercisable, and 3,695 restricted stock units, in either case, outstanding as of March 31, 2023.</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Stock Ownership Guidelines for Independent Directors</w:t>
      </w:r>
    </w:p>
    <w:p>
      <w:pPr>
        <w:spacing w:after="0" w:line="9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0B2E44"/>
        </w:rPr>
        <w:t>We currently require our independent directors to acquire an equity ownership interest in Commvault common stock that is equal to five times their base annual cash retainer by the fifth anniversary of the date they first became a director. The TMCC is satisfied that this level of equity ownership among our independent directors is sufficient to provide motivation and to align the directors’ interests with those of our stockholders. Each independent director who is required to be in compliance with these guidelines owns the requisite amount of stock.</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25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SECURITY OWNERSHIP OF CERTAIN BENEFICIAL OWNERS AND MANAGEMENT</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Security Ownership of Certain Beneficial Owners and Management</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Management</w:t>
      </w:r>
    </w:p>
    <w:p>
      <w:pPr>
        <w:spacing w:after="0" w:line="80"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0B2E44"/>
        </w:rPr>
        <w:t>The following table shows, as of May 31, 2023, the number of shares of our common stock (the only class of voting securities outstanding) beneficially owned by: (1) each current director and nominee for director; (2) each named executive officer (defined below); and (3) all directors and current executive officers as a group. The number of shares of our common stock beneficially owned by a person includes shares of common stock issuable with respect to options, restricted stock units (including performance-based stock units), and convertible securities held by the person that are exercisable, convertible, or will vest within 60 days. The percentage of our common stock beneficially owned by a person assumes the person has exercised all options, vested in all restricted stock units, and converted all convertible securities, that are exercisable, convertible, or will vest within 60 days, and that no other person exercised any of their options, vested in any of their restricted stock units, or converted any of their convertible securities. Except as otherwise noted, each individual exercises sole voting power and investment power over the shares of voting securities shown.</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0B2E44"/>
              </w:rPr>
              <w:t>Percent of</w:t>
            </w:r>
          </w:p>
        </w:tc>
      </w:tr>
      <w:tr>
        <w:trPr>
          <w:trHeight w:val="148"/>
        </w:trPr>
        <w:tc>
          <w:tcPr>
            <w:tcW w:w="6040" w:type="dxa"/>
            <w:vAlign w:val="bottom"/>
          </w:tcPr>
          <w:p>
            <w:pPr>
              <w:spacing w:after="0"/>
              <w:rPr>
                <w:sz w:val="12"/>
                <w:szCs w:val="12"/>
                <w:color w:val="auto"/>
              </w:rPr>
            </w:pPr>
          </w:p>
        </w:tc>
        <w:tc>
          <w:tcPr>
            <w:tcW w:w="3480" w:type="dxa"/>
            <w:vAlign w:val="bottom"/>
          </w:tcPr>
          <w:p>
            <w:pPr>
              <w:jc w:val="right"/>
              <w:ind w:right="620"/>
              <w:spacing w:after="0" w:line="149" w:lineRule="exact"/>
              <w:rPr>
                <w:sz w:val="20"/>
                <w:szCs w:val="20"/>
                <w:color w:val="auto"/>
              </w:rPr>
            </w:pPr>
            <w:r>
              <w:rPr>
                <w:rFonts w:ascii="Arial" w:cs="Arial" w:eastAsia="Arial" w:hAnsi="Arial"/>
                <w:sz w:val="14"/>
                <w:szCs w:val="14"/>
                <w:color w:val="0B2E44"/>
              </w:rPr>
              <w:t>Shares of Common</w:t>
            </w:r>
          </w:p>
        </w:tc>
        <w:tc>
          <w:tcPr>
            <w:tcW w:w="1720" w:type="dxa"/>
            <w:vAlign w:val="bottom"/>
          </w:tcPr>
          <w:p>
            <w:pPr>
              <w:jc w:val="right"/>
              <w:spacing w:after="0" w:line="149" w:lineRule="exact"/>
              <w:rPr>
                <w:sz w:val="20"/>
                <w:szCs w:val="20"/>
                <w:color w:val="auto"/>
              </w:rPr>
            </w:pPr>
            <w:r>
              <w:rPr>
                <w:rFonts w:ascii="Arial" w:cs="Arial" w:eastAsia="Arial" w:hAnsi="Arial"/>
                <w:sz w:val="14"/>
                <w:szCs w:val="14"/>
                <w:color w:val="0B2E44"/>
              </w:rPr>
              <w:t>Common Stock</w:t>
            </w:r>
          </w:p>
        </w:tc>
      </w:tr>
      <w:tr>
        <w:trPr>
          <w:trHeight w:val="181"/>
        </w:trPr>
        <w:tc>
          <w:tcPr>
            <w:tcW w:w="6040" w:type="dxa"/>
            <w:vAlign w:val="bottom"/>
            <w:tcBorders>
              <w:bottom w:val="single" w:sz="8" w:color="E14A6A"/>
            </w:tcBorders>
          </w:tcPr>
          <w:p>
            <w:pPr>
              <w:spacing w:after="0"/>
              <w:rPr>
                <w:sz w:val="15"/>
                <w:szCs w:val="15"/>
                <w:color w:val="auto"/>
              </w:rPr>
            </w:pPr>
          </w:p>
        </w:tc>
        <w:tc>
          <w:tcPr>
            <w:tcW w:w="3480" w:type="dxa"/>
            <w:vAlign w:val="bottom"/>
            <w:tcBorders>
              <w:bottom w:val="single" w:sz="8" w:color="E14A6A"/>
            </w:tcBorders>
          </w:tcPr>
          <w:p>
            <w:pPr>
              <w:jc w:val="right"/>
              <w:ind w:right="620"/>
              <w:spacing w:after="0"/>
              <w:rPr>
                <w:sz w:val="20"/>
                <w:szCs w:val="20"/>
                <w:color w:val="auto"/>
              </w:rPr>
            </w:pPr>
            <w:r>
              <w:rPr>
                <w:rFonts w:ascii="Arial" w:cs="Arial" w:eastAsia="Arial" w:hAnsi="Arial"/>
                <w:sz w:val="14"/>
                <w:szCs w:val="14"/>
                <w:color w:val="0B2E44"/>
              </w:rPr>
              <w:t>Stock Owned</w:t>
            </w:r>
          </w:p>
        </w:tc>
        <w:tc>
          <w:tcPr>
            <w:tcW w:w="172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Outstanding</w:t>
            </w:r>
          </w:p>
        </w:tc>
      </w:tr>
      <w:tr>
        <w:trPr>
          <w:trHeight w:val="210"/>
        </w:trPr>
        <w:tc>
          <w:tcPr>
            <w:tcW w:w="6040" w:type="dxa"/>
            <w:vAlign w:val="bottom"/>
          </w:tcPr>
          <w:p>
            <w:pPr>
              <w:ind w:left="120"/>
              <w:spacing w:after="0"/>
              <w:rPr>
                <w:sz w:val="20"/>
                <w:szCs w:val="20"/>
                <w:color w:val="auto"/>
              </w:rPr>
            </w:pPr>
            <w:r>
              <w:rPr>
                <w:rFonts w:ascii="Arial" w:cs="Arial" w:eastAsia="Arial" w:hAnsi="Arial"/>
                <w:sz w:val="16"/>
                <w:szCs w:val="16"/>
                <w:b w:val="1"/>
                <w:bCs w:val="1"/>
                <w:color w:val="0B2E44"/>
              </w:rPr>
              <w:t>Directors</w:t>
            </w:r>
          </w:p>
        </w:tc>
        <w:tc>
          <w:tcPr>
            <w:tcW w:w="34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3"/>
        </w:trPr>
        <w:tc>
          <w:tcPr>
            <w:tcW w:w="60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Nicholas Adamo</w:t>
            </w:r>
          </w:p>
        </w:tc>
        <w:tc>
          <w:tcPr>
            <w:tcW w:w="3480" w:type="dxa"/>
            <w:vAlign w:val="bottom"/>
            <w:shd w:val="clear" w:color="auto" w:fill="DDE9F2"/>
          </w:tcPr>
          <w:p>
            <w:pPr>
              <w:jc w:val="right"/>
              <w:ind w:right="700"/>
              <w:spacing w:after="0"/>
              <w:rPr>
                <w:sz w:val="20"/>
                <w:szCs w:val="20"/>
                <w:color w:val="auto"/>
              </w:rPr>
            </w:pPr>
            <w:r>
              <w:rPr>
                <w:rFonts w:ascii="Arial" w:cs="Arial" w:eastAsia="Arial" w:hAnsi="Arial"/>
                <w:sz w:val="16"/>
                <w:szCs w:val="16"/>
                <w:color w:val="0B2E44"/>
              </w:rPr>
              <w:t>12,385</w:t>
            </w:r>
          </w:p>
        </w:tc>
        <w:tc>
          <w:tcPr>
            <w:tcW w:w="172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r>
      <w:tr>
        <w:trPr>
          <w:trHeight w:val="220"/>
        </w:trPr>
        <w:tc>
          <w:tcPr>
            <w:tcW w:w="6040" w:type="dxa"/>
            <w:vAlign w:val="bottom"/>
          </w:tcPr>
          <w:p>
            <w:pPr>
              <w:ind w:left="120"/>
              <w:spacing w:after="0"/>
              <w:rPr>
                <w:sz w:val="20"/>
                <w:szCs w:val="20"/>
                <w:color w:val="auto"/>
              </w:rPr>
            </w:pPr>
            <w:r>
              <w:rPr>
                <w:rFonts w:ascii="Arial" w:cs="Arial" w:eastAsia="Arial" w:hAnsi="Arial"/>
                <w:sz w:val="16"/>
                <w:szCs w:val="16"/>
                <w:color w:val="0B2E44"/>
              </w:rPr>
              <w:t>Martha H. Bejar</w:t>
            </w:r>
          </w:p>
        </w:tc>
        <w:tc>
          <w:tcPr>
            <w:tcW w:w="3480" w:type="dxa"/>
            <w:vAlign w:val="bottom"/>
          </w:tcPr>
          <w:p>
            <w:pPr>
              <w:jc w:val="right"/>
              <w:ind w:right="700"/>
              <w:spacing w:after="0"/>
              <w:rPr>
                <w:sz w:val="20"/>
                <w:szCs w:val="20"/>
                <w:color w:val="auto"/>
              </w:rPr>
            </w:pPr>
            <w:r>
              <w:rPr>
                <w:rFonts w:ascii="Arial" w:cs="Arial" w:eastAsia="Arial" w:hAnsi="Arial"/>
                <w:sz w:val="16"/>
                <w:szCs w:val="16"/>
                <w:color w:val="0B2E44"/>
              </w:rPr>
              <w:t>6,135</w:t>
            </w:r>
          </w:p>
        </w:tc>
        <w:tc>
          <w:tcPr>
            <w:tcW w:w="1720" w:type="dxa"/>
            <w:vAlign w:val="bottom"/>
          </w:tcPr>
          <w:p>
            <w:pPr>
              <w:jc w:val="right"/>
              <w:spacing w:after="0"/>
              <w:rPr>
                <w:sz w:val="20"/>
                <w:szCs w:val="20"/>
                <w:color w:val="auto"/>
              </w:rPr>
            </w:pPr>
            <w:r>
              <w:rPr>
                <w:rFonts w:ascii="Arial" w:cs="Arial" w:eastAsia="Arial" w:hAnsi="Arial"/>
                <w:sz w:val="16"/>
                <w:szCs w:val="16"/>
                <w:color w:val="0B2E44"/>
              </w:rPr>
              <w:t>*</w:t>
            </w:r>
          </w:p>
        </w:tc>
      </w:tr>
      <w:tr>
        <w:trPr>
          <w:trHeight w:val="239"/>
        </w:trPr>
        <w:tc>
          <w:tcPr>
            <w:tcW w:w="60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R. Todd Bradley</w:t>
            </w:r>
          </w:p>
        </w:tc>
        <w:tc>
          <w:tcPr>
            <w:tcW w:w="3480" w:type="dxa"/>
            <w:vAlign w:val="bottom"/>
            <w:shd w:val="clear" w:color="auto" w:fill="DDE9F2"/>
          </w:tcPr>
          <w:p>
            <w:pPr>
              <w:jc w:val="right"/>
              <w:ind w:right="700"/>
              <w:spacing w:after="0"/>
              <w:rPr>
                <w:sz w:val="20"/>
                <w:szCs w:val="20"/>
                <w:color w:val="auto"/>
              </w:rPr>
            </w:pPr>
            <w:r>
              <w:rPr>
                <w:rFonts w:ascii="Arial" w:cs="Arial" w:eastAsia="Arial" w:hAnsi="Arial"/>
                <w:sz w:val="16"/>
                <w:szCs w:val="16"/>
                <w:color w:val="0B2E44"/>
              </w:rPr>
              <w:t>7,258</w:t>
            </w:r>
          </w:p>
        </w:tc>
        <w:tc>
          <w:tcPr>
            <w:tcW w:w="172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r>
      <w:tr>
        <w:trPr>
          <w:trHeight w:val="233"/>
        </w:trPr>
        <w:tc>
          <w:tcPr>
            <w:tcW w:w="6040" w:type="dxa"/>
            <w:vAlign w:val="bottom"/>
          </w:tcPr>
          <w:p>
            <w:pPr>
              <w:ind w:left="120"/>
              <w:spacing w:after="0"/>
              <w:rPr>
                <w:sz w:val="20"/>
                <w:szCs w:val="20"/>
                <w:color w:val="auto"/>
              </w:rPr>
            </w:pPr>
            <w:r>
              <w:rPr>
                <w:rFonts w:ascii="Arial" w:cs="Arial" w:eastAsia="Arial" w:hAnsi="Arial"/>
                <w:sz w:val="16"/>
                <w:szCs w:val="16"/>
                <w:color w:val="0B2E44"/>
              </w:rPr>
              <w:t>Keith Geeslin(1)</w:t>
            </w:r>
          </w:p>
        </w:tc>
        <w:tc>
          <w:tcPr>
            <w:tcW w:w="3480" w:type="dxa"/>
            <w:vAlign w:val="bottom"/>
          </w:tcPr>
          <w:p>
            <w:pPr>
              <w:jc w:val="right"/>
              <w:ind w:right="700"/>
              <w:spacing w:after="0"/>
              <w:rPr>
                <w:sz w:val="20"/>
                <w:szCs w:val="20"/>
                <w:color w:val="auto"/>
              </w:rPr>
            </w:pPr>
            <w:r>
              <w:rPr>
                <w:rFonts w:ascii="Arial" w:cs="Arial" w:eastAsia="Arial" w:hAnsi="Arial"/>
                <w:sz w:val="16"/>
                <w:szCs w:val="16"/>
                <w:color w:val="0B2E44"/>
              </w:rPr>
              <w:t>59,949</w:t>
            </w:r>
          </w:p>
        </w:tc>
        <w:tc>
          <w:tcPr>
            <w:tcW w:w="1720" w:type="dxa"/>
            <w:vAlign w:val="bottom"/>
          </w:tcPr>
          <w:p>
            <w:pPr>
              <w:jc w:val="right"/>
              <w:spacing w:after="0"/>
              <w:rPr>
                <w:sz w:val="20"/>
                <w:szCs w:val="20"/>
                <w:color w:val="auto"/>
              </w:rPr>
            </w:pPr>
            <w:r>
              <w:rPr>
                <w:rFonts w:ascii="Arial" w:cs="Arial" w:eastAsia="Arial" w:hAnsi="Arial"/>
                <w:sz w:val="16"/>
                <w:szCs w:val="16"/>
                <w:color w:val="0B2E44"/>
              </w:rPr>
              <w:t>*</w:t>
            </w:r>
          </w:p>
        </w:tc>
      </w:tr>
      <w:tr>
        <w:trPr>
          <w:trHeight w:val="239"/>
        </w:trPr>
        <w:tc>
          <w:tcPr>
            <w:tcW w:w="60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Vivie “YY” Lee</w:t>
            </w:r>
          </w:p>
        </w:tc>
        <w:tc>
          <w:tcPr>
            <w:tcW w:w="3480" w:type="dxa"/>
            <w:vAlign w:val="bottom"/>
            <w:shd w:val="clear" w:color="auto" w:fill="DDE9F2"/>
          </w:tcPr>
          <w:p>
            <w:pPr>
              <w:jc w:val="right"/>
              <w:ind w:right="700"/>
              <w:spacing w:after="0"/>
              <w:rPr>
                <w:sz w:val="20"/>
                <w:szCs w:val="20"/>
                <w:color w:val="auto"/>
              </w:rPr>
            </w:pPr>
            <w:r>
              <w:rPr>
                <w:rFonts w:ascii="Arial" w:cs="Arial" w:eastAsia="Arial" w:hAnsi="Arial"/>
                <w:sz w:val="16"/>
                <w:szCs w:val="16"/>
                <w:color w:val="0B2E44"/>
              </w:rPr>
              <w:t>11,105</w:t>
            </w:r>
          </w:p>
        </w:tc>
        <w:tc>
          <w:tcPr>
            <w:tcW w:w="172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r>
      <w:tr>
        <w:trPr>
          <w:trHeight w:val="227"/>
        </w:trPr>
        <w:tc>
          <w:tcPr>
            <w:tcW w:w="6040" w:type="dxa"/>
            <w:vAlign w:val="bottom"/>
          </w:tcPr>
          <w:p>
            <w:pPr>
              <w:ind w:left="120"/>
              <w:spacing w:after="0"/>
              <w:rPr>
                <w:sz w:val="20"/>
                <w:szCs w:val="20"/>
                <w:color w:val="auto"/>
              </w:rPr>
            </w:pPr>
            <w:r>
              <w:rPr>
                <w:rFonts w:ascii="Arial" w:cs="Arial" w:eastAsia="Arial" w:hAnsi="Arial"/>
                <w:sz w:val="16"/>
                <w:szCs w:val="16"/>
                <w:color w:val="0B2E44"/>
              </w:rPr>
              <w:t>Sanjay Mirchandani</w:t>
            </w:r>
          </w:p>
        </w:tc>
        <w:tc>
          <w:tcPr>
            <w:tcW w:w="3480" w:type="dxa"/>
            <w:vAlign w:val="bottom"/>
          </w:tcPr>
          <w:p>
            <w:pPr>
              <w:jc w:val="right"/>
              <w:ind w:right="700"/>
              <w:spacing w:after="0"/>
              <w:rPr>
                <w:sz w:val="20"/>
                <w:szCs w:val="20"/>
                <w:color w:val="auto"/>
              </w:rPr>
            </w:pPr>
            <w:r>
              <w:rPr>
                <w:rFonts w:ascii="Arial" w:cs="Arial" w:eastAsia="Arial" w:hAnsi="Arial"/>
                <w:sz w:val="16"/>
                <w:szCs w:val="16"/>
                <w:color w:val="0B2E44"/>
              </w:rPr>
              <w:t>190,658</w:t>
            </w:r>
          </w:p>
        </w:tc>
        <w:tc>
          <w:tcPr>
            <w:tcW w:w="1720" w:type="dxa"/>
            <w:vAlign w:val="bottom"/>
          </w:tcPr>
          <w:p>
            <w:pPr>
              <w:jc w:val="right"/>
              <w:spacing w:after="0"/>
              <w:rPr>
                <w:sz w:val="20"/>
                <w:szCs w:val="20"/>
                <w:color w:val="auto"/>
              </w:rPr>
            </w:pPr>
            <w:r>
              <w:rPr>
                <w:rFonts w:ascii="Arial" w:cs="Arial" w:eastAsia="Arial" w:hAnsi="Arial"/>
                <w:sz w:val="16"/>
                <w:szCs w:val="16"/>
                <w:color w:val="0B2E44"/>
              </w:rPr>
              <w:t>*</w:t>
            </w:r>
          </w:p>
        </w:tc>
      </w:tr>
      <w:tr>
        <w:trPr>
          <w:trHeight w:val="246"/>
        </w:trPr>
        <w:tc>
          <w:tcPr>
            <w:tcW w:w="60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Charles E. Moran</w:t>
            </w:r>
          </w:p>
        </w:tc>
        <w:tc>
          <w:tcPr>
            <w:tcW w:w="3480" w:type="dxa"/>
            <w:vAlign w:val="bottom"/>
            <w:shd w:val="clear" w:color="auto" w:fill="DDE9F2"/>
          </w:tcPr>
          <w:p>
            <w:pPr>
              <w:jc w:val="right"/>
              <w:ind w:right="700"/>
              <w:spacing w:after="0"/>
              <w:rPr>
                <w:sz w:val="20"/>
                <w:szCs w:val="20"/>
                <w:color w:val="auto"/>
              </w:rPr>
            </w:pPr>
            <w:r>
              <w:rPr>
                <w:rFonts w:ascii="Arial" w:cs="Arial" w:eastAsia="Arial" w:hAnsi="Arial"/>
                <w:sz w:val="16"/>
                <w:szCs w:val="16"/>
                <w:color w:val="0B2E44"/>
              </w:rPr>
              <w:t>15,135</w:t>
            </w:r>
          </w:p>
        </w:tc>
        <w:tc>
          <w:tcPr>
            <w:tcW w:w="172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r>
      <w:tr>
        <w:trPr>
          <w:trHeight w:val="220"/>
        </w:trPr>
        <w:tc>
          <w:tcPr>
            <w:tcW w:w="6040" w:type="dxa"/>
            <w:vAlign w:val="bottom"/>
          </w:tcPr>
          <w:p>
            <w:pPr>
              <w:ind w:left="120"/>
              <w:spacing w:after="0"/>
              <w:rPr>
                <w:sz w:val="20"/>
                <w:szCs w:val="20"/>
                <w:color w:val="auto"/>
              </w:rPr>
            </w:pPr>
            <w:r>
              <w:rPr>
                <w:rFonts w:ascii="Arial" w:cs="Arial" w:eastAsia="Arial" w:hAnsi="Arial"/>
                <w:sz w:val="16"/>
                <w:szCs w:val="16"/>
                <w:color w:val="0B2E44"/>
              </w:rPr>
              <w:t>Allison Pickens</w:t>
            </w:r>
          </w:p>
        </w:tc>
        <w:tc>
          <w:tcPr>
            <w:tcW w:w="3480" w:type="dxa"/>
            <w:vAlign w:val="bottom"/>
          </w:tcPr>
          <w:p>
            <w:pPr>
              <w:jc w:val="right"/>
              <w:ind w:right="700"/>
              <w:spacing w:after="0"/>
              <w:rPr>
                <w:sz w:val="20"/>
                <w:szCs w:val="20"/>
                <w:color w:val="auto"/>
              </w:rPr>
            </w:pPr>
            <w:r>
              <w:rPr>
                <w:rFonts w:ascii="Arial" w:cs="Arial" w:eastAsia="Arial" w:hAnsi="Arial"/>
                <w:sz w:val="16"/>
                <w:szCs w:val="16"/>
                <w:color w:val="0B2E44"/>
              </w:rPr>
              <w:t>3,344</w:t>
            </w:r>
          </w:p>
        </w:tc>
        <w:tc>
          <w:tcPr>
            <w:tcW w:w="1720" w:type="dxa"/>
            <w:vAlign w:val="bottom"/>
          </w:tcPr>
          <w:p>
            <w:pPr>
              <w:jc w:val="right"/>
              <w:spacing w:after="0"/>
              <w:rPr>
                <w:sz w:val="20"/>
                <w:szCs w:val="20"/>
                <w:color w:val="auto"/>
              </w:rPr>
            </w:pPr>
            <w:r>
              <w:rPr>
                <w:rFonts w:ascii="Arial" w:cs="Arial" w:eastAsia="Arial" w:hAnsi="Arial"/>
                <w:sz w:val="16"/>
                <w:szCs w:val="16"/>
                <w:color w:val="0B2E44"/>
              </w:rPr>
              <w:t>*</w:t>
            </w:r>
          </w:p>
        </w:tc>
      </w:tr>
      <w:tr>
        <w:trPr>
          <w:trHeight w:val="239"/>
        </w:trPr>
        <w:tc>
          <w:tcPr>
            <w:tcW w:w="60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Shane Sanders</w:t>
            </w:r>
          </w:p>
        </w:tc>
        <w:tc>
          <w:tcPr>
            <w:tcW w:w="3480" w:type="dxa"/>
            <w:vAlign w:val="bottom"/>
            <w:shd w:val="clear" w:color="auto" w:fill="DDE9F2"/>
          </w:tcPr>
          <w:p>
            <w:pPr>
              <w:jc w:val="right"/>
              <w:ind w:right="700"/>
              <w:spacing w:after="0"/>
              <w:rPr>
                <w:sz w:val="20"/>
                <w:szCs w:val="20"/>
                <w:color w:val="auto"/>
              </w:rPr>
            </w:pPr>
            <w:r>
              <w:rPr>
                <w:rFonts w:ascii="Arial" w:cs="Arial" w:eastAsia="Arial" w:hAnsi="Arial"/>
                <w:sz w:val="16"/>
                <w:szCs w:val="16"/>
                <w:color w:val="0B2E44"/>
              </w:rPr>
              <w:t>—</w:t>
            </w:r>
          </w:p>
        </w:tc>
        <w:tc>
          <w:tcPr>
            <w:tcW w:w="172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r>
      <w:tr>
        <w:trPr>
          <w:trHeight w:val="233"/>
        </w:trPr>
        <w:tc>
          <w:tcPr>
            <w:tcW w:w="6040" w:type="dxa"/>
            <w:vAlign w:val="bottom"/>
          </w:tcPr>
          <w:p>
            <w:pPr>
              <w:ind w:left="120"/>
              <w:spacing w:after="0"/>
              <w:rPr>
                <w:sz w:val="20"/>
                <w:szCs w:val="20"/>
                <w:color w:val="auto"/>
              </w:rPr>
            </w:pPr>
            <w:r>
              <w:rPr>
                <w:rFonts w:ascii="Arial" w:cs="Arial" w:eastAsia="Arial" w:hAnsi="Arial"/>
                <w:sz w:val="16"/>
                <w:szCs w:val="16"/>
                <w:color w:val="0B2E44"/>
              </w:rPr>
              <w:t>Arlen Shenkman</w:t>
            </w:r>
          </w:p>
        </w:tc>
        <w:tc>
          <w:tcPr>
            <w:tcW w:w="3480" w:type="dxa"/>
            <w:vAlign w:val="bottom"/>
          </w:tcPr>
          <w:p>
            <w:pPr>
              <w:jc w:val="right"/>
              <w:ind w:right="700"/>
              <w:spacing w:after="0"/>
              <w:rPr>
                <w:sz w:val="20"/>
                <w:szCs w:val="20"/>
                <w:color w:val="auto"/>
              </w:rPr>
            </w:pPr>
            <w:r>
              <w:rPr>
                <w:rFonts w:ascii="Arial" w:cs="Arial" w:eastAsia="Arial" w:hAnsi="Arial"/>
                <w:sz w:val="16"/>
                <w:szCs w:val="16"/>
                <w:color w:val="0B2E44"/>
              </w:rPr>
              <w:t>7,258</w:t>
            </w:r>
          </w:p>
        </w:tc>
        <w:tc>
          <w:tcPr>
            <w:tcW w:w="1720" w:type="dxa"/>
            <w:vAlign w:val="bottom"/>
          </w:tcPr>
          <w:p>
            <w:pPr>
              <w:jc w:val="right"/>
              <w:spacing w:after="0"/>
              <w:rPr>
                <w:sz w:val="20"/>
                <w:szCs w:val="20"/>
                <w:color w:val="auto"/>
              </w:rPr>
            </w:pPr>
            <w:r>
              <w:rPr>
                <w:rFonts w:ascii="Arial" w:cs="Arial" w:eastAsia="Arial" w:hAnsi="Arial"/>
                <w:sz w:val="16"/>
                <w:szCs w:val="16"/>
                <w:color w:val="0B2E44"/>
              </w:rPr>
              <w:t>*</w:t>
            </w:r>
          </w:p>
        </w:tc>
      </w:tr>
      <w:tr>
        <w:trPr>
          <w:trHeight w:val="239"/>
        </w:trPr>
        <w:tc>
          <w:tcPr>
            <w:tcW w:w="60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David F. Walker(2)</w:t>
            </w:r>
          </w:p>
        </w:tc>
        <w:tc>
          <w:tcPr>
            <w:tcW w:w="3480" w:type="dxa"/>
            <w:vAlign w:val="bottom"/>
            <w:shd w:val="clear" w:color="auto" w:fill="DDE9F2"/>
          </w:tcPr>
          <w:p>
            <w:pPr>
              <w:jc w:val="right"/>
              <w:ind w:right="700"/>
              <w:spacing w:after="0"/>
              <w:rPr>
                <w:sz w:val="20"/>
                <w:szCs w:val="20"/>
                <w:color w:val="auto"/>
              </w:rPr>
            </w:pPr>
            <w:r>
              <w:rPr>
                <w:rFonts w:ascii="Arial" w:cs="Arial" w:eastAsia="Arial" w:hAnsi="Arial"/>
                <w:sz w:val="16"/>
                <w:szCs w:val="16"/>
                <w:color w:val="0B2E44"/>
              </w:rPr>
              <w:t>57,072</w:t>
            </w:r>
          </w:p>
        </w:tc>
        <w:tc>
          <w:tcPr>
            <w:tcW w:w="172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r>
      <w:tr>
        <w:trPr>
          <w:trHeight w:val="216"/>
        </w:trPr>
        <w:tc>
          <w:tcPr>
            <w:tcW w:w="6040" w:type="dxa"/>
            <w:vAlign w:val="bottom"/>
          </w:tcPr>
          <w:p>
            <w:pPr>
              <w:ind w:left="120"/>
              <w:spacing w:after="0"/>
              <w:rPr>
                <w:sz w:val="20"/>
                <w:szCs w:val="20"/>
                <w:color w:val="auto"/>
              </w:rPr>
            </w:pPr>
            <w:r>
              <w:rPr>
                <w:rFonts w:ascii="Arial" w:cs="Arial" w:eastAsia="Arial" w:hAnsi="Arial"/>
                <w:sz w:val="16"/>
                <w:szCs w:val="16"/>
                <w:b w:val="1"/>
                <w:bCs w:val="1"/>
                <w:color w:val="0B2E44"/>
              </w:rPr>
              <w:t>Named Executive Officers that are not Directors</w:t>
            </w:r>
          </w:p>
        </w:tc>
        <w:tc>
          <w:tcPr>
            <w:tcW w:w="34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04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Gary Merrill(3)</w:t>
            </w:r>
          </w:p>
        </w:tc>
        <w:tc>
          <w:tcPr>
            <w:tcW w:w="3480" w:type="dxa"/>
            <w:vAlign w:val="bottom"/>
            <w:shd w:val="clear" w:color="auto" w:fill="DDE9F2"/>
          </w:tcPr>
          <w:p>
            <w:pPr>
              <w:jc w:val="right"/>
              <w:ind w:right="700"/>
              <w:spacing w:after="0"/>
              <w:rPr>
                <w:sz w:val="20"/>
                <w:szCs w:val="20"/>
                <w:color w:val="auto"/>
              </w:rPr>
            </w:pPr>
            <w:r>
              <w:rPr>
                <w:rFonts w:ascii="Arial" w:cs="Arial" w:eastAsia="Arial" w:hAnsi="Arial"/>
                <w:sz w:val="16"/>
                <w:szCs w:val="16"/>
                <w:color w:val="0B2E44"/>
              </w:rPr>
              <w:t>38,496</w:t>
            </w:r>
          </w:p>
        </w:tc>
        <w:tc>
          <w:tcPr>
            <w:tcW w:w="172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0B2E44"/>
              </w:rPr>
              <w:t>Riccardo Di Blasio</w:t>
            </w:r>
          </w:p>
        </w:tc>
        <w:tc>
          <w:tcPr>
            <w:tcW w:w="348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0B2E44"/>
              </w:rPr>
              <w:t>21,437</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B2E44"/>
              </w:rPr>
              <w:t>*</w:t>
            </w:r>
          </w:p>
        </w:tc>
      </w:tr>
      <w:tr>
        <w:trPr>
          <w:trHeight w:val="223"/>
        </w:trPr>
        <w:tc>
          <w:tcPr>
            <w:tcW w:w="6040" w:type="dxa"/>
            <w:vAlign w:val="bottom"/>
            <w:tcBorders>
              <w:bottom w:val="single" w:sz="8" w:color="auto"/>
            </w:tcBorders>
            <w:shd w:val="clear" w:color="auto" w:fill="DDE9F2"/>
          </w:tcPr>
          <w:p>
            <w:pPr>
              <w:ind w:left="120"/>
              <w:spacing w:after="0"/>
              <w:rPr>
                <w:sz w:val="20"/>
                <w:szCs w:val="20"/>
                <w:color w:val="auto"/>
              </w:rPr>
            </w:pPr>
            <w:r>
              <w:rPr>
                <w:rFonts w:ascii="Arial" w:cs="Arial" w:eastAsia="Arial" w:hAnsi="Arial"/>
                <w:sz w:val="16"/>
                <w:szCs w:val="16"/>
                <w:color w:val="0B2E44"/>
              </w:rPr>
              <w:t>All directors and executive officers as a group (13 individuals)</w:t>
            </w:r>
          </w:p>
        </w:tc>
        <w:tc>
          <w:tcPr>
            <w:tcW w:w="3480" w:type="dxa"/>
            <w:vAlign w:val="bottom"/>
            <w:tcBorders>
              <w:bottom w:val="single" w:sz="8" w:color="auto"/>
            </w:tcBorders>
            <w:shd w:val="clear" w:color="auto" w:fill="DDE9F2"/>
          </w:tcPr>
          <w:p>
            <w:pPr>
              <w:jc w:val="right"/>
              <w:ind w:right="700"/>
              <w:spacing w:after="0"/>
              <w:rPr>
                <w:sz w:val="20"/>
                <w:szCs w:val="20"/>
                <w:color w:val="auto"/>
              </w:rPr>
            </w:pPr>
            <w:r>
              <w:rPr>
                <w:rFonts w:ascii="Arial" w:cs="Arial" w:eastAsia="Arial" w:hAnsi="Arial"/>
                <w:sz w:val="16"/>
                <w:szCs w:val="16"/>
                <w:color w:val="0B2E44"/>
              </w:rPr>
              <w:t>430,232</w:t>
            </w:r>
          </w:p>
        </w:tc>
        <w:tc>
          <w:tcPr>
            <w:tcW w:w="1720" w:type="dxa"/>
            <w:vAlign w:val="bottom"/>
            <w:tcBorders>
              <w:bottom w:val="single" w:sz="8" w:color="auto"/>
            </w:tcBorders>
            <w:shd w:val="clear" w:color="auto" w:fill="DDE9F2"/>
          </w:tcPr>
          <w:p>
            <w:pPr>
              <w:jc w:val="right"/>
              <w:spacing w:after="0"/>
              <w:rPr>
                <w:sz w:val="20"/>
                <w:szCs w:val="20"/>
                <w:color w:val="auto"/>
              </w:rPr>
            </w:pPr>
            <w:r>
              <w:rPr>
                <w:rFonts w:ascii="Arial" w:cs="Arial" w:eastAsia="Arial" w:hAnsi="Arial"/>
                <w:sz w:val="16"/>
                <w:szCs w:val="16"/>
                <w:color w:val="0B2E44"/>
              </w:rPr>
              <w:t>1%</w:t>
            </w:r>
          </w:p>
        </w:tc>
      </w:tr>
    </w:tbl>
    <w:p>
      <w:pPr>
        <w:spacing w:after="0" w:line="135"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3"/>
          <w:szCs w:val="13"/>
          <w:color w:val="0B2E44"/>
        </w:rPr>
      </w:pPr>
      <w:r>
        <w:rPr>
          <w:rFonts w:ascii="Arial" w:cs="Arial" w:eastAsia="Arial" w:hAnsi="Arial"/>
          <w:sz w:val="13"/>
          <w:szCs w:val="13"/>
          <w:color w:val="0B2E44"/>
        </w:rPr>
        <w:t>Less than 1%</w:t>
      </w:r>
    </w:p>
    <w:p>
      <w:pPr>
        <w:spacing w:after="0" w:line="6"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3"/>
          <w:szCs w:val="13"/>
          <w:color w:val="0B2E44"/>
        </w:rPr>
      </w:pPr>
      <w:r>
        <w:rPr>
          <w:rFonts w:ascii="Arial" w:cs="Arial" w:eastAsia="Arial" w:hAnsi="Arial"/>
          <w:sz w:val="13"/>
          <w:szCs w:val="13"/>
          <w:color w:val="0B2E44"/>
        </w:rPr>
        <w:t>Includes options to acquire 11,000 shares of common stock that are exercisable within 60 days of May 31, 2023.</w:t>
      </w:r>
    </w:p>
    <w:p>
      <w:pPr>
        <w:ind w:left="260" w:hanging="252"/>
        <w:spacing w:after="0"/>
        <w:tabs>
          <w:tab w:leader="none" w:pos="260" w:val="left"/>
        </w:tabs>
        <w:numPr>
          <w:ilvl w:val="0"/>
          <w:numId w:val="31"/>
        </w:numPr>
        <w:rPr>
          <w:rFonts w:ascii="Arial" w:cs="Arial" w:eastAsia="Arial" w:hAnsi="Arial"/>
          <w:sz w:val="13"/>
          <w:szCs w:val="13"/>
          <w:color w:val="0B2E44"/>
        </w:rPr>
      </w:pPr>
      <w:r>
        <w:rPr>
          <w:rFonts w:ascii="Arial" w:cs="Arial" w:eastAsia="Arial" w:hAnsi="Arial"/>
          <w:sz w:val="13"/>
          <w:szCs w:val="13"/>
          <w:color w:val="0B2E44"/>
        </w:rPr>
        <w:t>Includes options to acquire 6,000 shares of common stock that are exercisable within 60 days of May 31, 2023.</w:t>
      </w:r>
    </w:p>
    <w:p>
      <w:pPr>
        <w:ind w:left="260" w:hanging="252"/>
        <w:spacing w:after="0"/>
        <w:tabs>
          <w:tab w:leader="none" w:pos="260" w:val="left"/>
        </w:tabs>
        <w:numPr>
          <w:ilvl w:val="0"/>
          <w:numId w:val="31"/>
        </w:numPr>
        <w:rPr>
          <w:rFonts w:ascii="Arial" w:cs="Arial" w:eastAsia="Arial" w:hAnsi="Arial"/>
          <w:sz w:val="13"/>
          <w:szCs w:val="13"/>
          <w:color w:val="0B2E44"/>
        </w:rPr>
      </w:pPr>
      <w:r>
        <w:rPr>
          <w:rFonts w:ascii="Arial" w:cs="Arial" w:eastAsia="Arial" w:hAnsi="Arial"/>
          <w:sz w:val="13"/>
          <w:szCs w:val="13"/>
          <w:color w:val="0B2E44"/>
        </w:rPr>
        <w:t>Includes options to acquire 22,566 shares of common stock that are exercisable within 60 days of May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26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SECURITY OWNERSHIP OF CERTAIN BENEFICIAL OWNERS AND MANAGEMENT</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Certain Other Stockholders</w:t>
      </w:r>
    </w:p>
    <w:p>
      <w:pPr>
        <w:spacing w:after="0" w:line="8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0B2E44"/>
        </w:rPr>
        <w:t>The following table sets forth, as of May 31, 2023 (except to the extent otherwise indicated), certain information regarding the persons known by us to be the beneficial owner of more than 5% of our outstanding common stock. Except as otherwise noted, each entity exercises sole voting power and investment power over the shares of voting securities shown.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260" w:type="dxa"/>
            <w:vAlign w:val="bottom"/>
          </w:tcPr>
          <w:p>
            <w:pPr>
              <w:ind w:left="2540"/>
              <w:spacing w:after="0"/>
              <w:rPr>
                <w:sz w:val="20"/>
                <w:szCs w:val="20"/>
                <w:color w:val="auto"/>
              </w:rPr>
            </w:pPr>
            <w:r>
              <w:rPr>
                <w:rFonts w:ascii="Arial" w:cs="Arial" w:eastAsia="Arial" w:hAnsi="Arial"/>
                <w:sz w:val="14"/>
                <w:szCs w:val="14"/>
                <w:color w:val="0B2E44"/>
              </w:rPr>
              <w:t>Shares of Common</w:t>
            </w:r>
          </w:p>
        </w:tc>
        <w:tc>
          <w:tcPr>
            <w:tcW w:w="1780" w:type="dxa"/>
            <w:vAlign w:val="bottom"/>
          </w:tcPr>
          <w:p>
            <w:pPr>
              <w:jc w:val="right"/>
              <w:spacing w:after="0"/>
              <w:rPr>
                <w:sz w:val="20"/>
                <w:szCs w:val="20"/>
                <w:color w:val="auto"/>
              </w:rPr>
            </w:pPr>
            <w:r>
              <w:rPr>
                <w:rFonts w:ascii="Arial" w:cs="Arial" w:eastAsia="Arial" w:hAnsi="Arial"/>
                <w:sz w:val="14"/>
                <w:szCs w:val="14"/>
                <w:color w:val="0B2E44"/>
              </w:rPr>
              <w:t>Percent of Common</w:t>
            </w:r>
          </w:p>
        </w:tc>
        <w:tc>
          <w:tcPr>
            <w:tcW w:w="0" w:type="dxa"/>
            <w:vAlign w:val="bottom"/>
          </w:tcPr>
          <w:p>
            <w:pPr>
              <w:spacing w:after="0"/>
              <w:rPr>
                <w:sz w:val="1"/>
                <w:szCs w:val="1"/>
                <w:color w:val="auto"/>
              </w:rPr>
            </w:pPr>
          </w:p>
        </w:tc>
      </w:tr>
      <w:tr>
        <w:trPr>
          <w:trHeight w:val="197"/>
        </w:trPr>
        <w:tc>
          <w:tcPr>
            <w:tcW w:w="5200" w:type="dxa"/>
            <w:vAlign w:val="bottom"/>
            <w:tcBorders>
              <w:bottom w:val="single" w:sz="8" w:color="E14A6A"/>
            </w:tcBorders>
          </w:tcPr>
          <w:p>
            <w:pPr>
              <w:ind w:left="140"/>
              <w:spacing w:after="0"/>
              <w:rPr>
                <w:sz w:val="20"/>
                <w:szCs w:val="20"/>
                <w:color w:val="auto"/>
              </w:rPr>
            </w:pPr>
            <w:r>
              <w:rPr>
                <w:rFonts w:ascii="Arial" w:cs="Arial" w:eastAsia="Arial" w:hAnsi="Arial"/>
                <w:sz w:val="14"/>
                <w:szCs w:val="14"/>
                <w:color w:val="0B2E44"/>
              </w:rPr>
              <w:t>Name and Address of Beneficial Owner</w:t>
            </w:r>
          </w:p>
        </w:tc>
        <w:tc>
          <w:tcPr>
            <w:tcW w:w="4260" w:type="dxa"/>
            <w:vAlign w:val="bottom"/>
            <w:tcBorders>
              <w:bottom w:val="single" w:sz="8" w:color="E14A6A"/>
            </w:tcBorders>
          </w:tcPr>
          <w:p>
            <w:pPr>
              <w:jc w:val="center"/>
              <w:ind w:left="2362"/>
              <w:spacing w:after="0"/>
              <w:rPr>
                <w:sz w:val="20"/>
                <w:szCs w:val="20"/>
                <w:color w:val="auto"/>
              </w:rPr>
            </w:pPr>
            <w:r>
              <w:rPr>
                <w:rFonts w:ascii="Arial" w:cs="Arial" w:eastAsia="Arial" w:hAnsi="Arial"/>
                <w:sz w:val="14"/>
                <w:szCs w:val="14"/>
                <w:color w:val="0B2E44"/>
              </w:rPr>
              <w:t>Stock Owned</w:t>
            </w:r>
          </w:p>
        </w:tc>
        <w:tc>
          <w:tcPr>
            <w:tcW w:w="178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Stock Outstanding</w:t>
            </w:r>
          </w:p>
        </w:tc>
        <w:tc>
          <w:tcPr>
            <w:tcW w:w="0" w:type="dxa"/>
            <w:vAlign w:val="bottom"/>
          </w:tcPr>
          <w:p>
            <w:pPr>
              <w:spacing w:after="0"/>
              <w:rPr>
                <w:sz w:val="1"/>
                <w:szCs w:val="1"/>
                <w:color w:val="auto"/>
              </w:rPr>
            </w:pPr>
          </w:p>
        </w:tc>
      </w:tr>
      <w:tr>
        <w:trPr>
          <w:trHeight w:val="165"/>
        </w:trPr>
        <w:tc>
          <w:tcPr>
            <w:tcW w:w="5200" w:type="dxa"/>
            <w:vAlign w:val="bottom"/>
          </w:tcPr>
          <w:p>
            <w:pPr>
              <w:ind w:left="120"/>
              <w:spacing w:after="0" w:line="165" w:lineRule="exact"/>
              <w:rPr>
                <w:sz w:val="20"/>
                <w:szCs w:val="20"/>
                <w:color w:val="auto"/>
              </w:rPr>
            </w:pPr>
            <w:r>
              <w:rPr>
                <w:rFonts w:ascii="Arial" w:cs="Arial" w:eastAsia="Arial" w:hAnsi="Arial"/>
                <w:sz w:val="16"/>
                <w:szCs w:val="16"/>
                <w:color w:val="0B2E44"/>
              </w:rPr>
              <w:t>BlackRock, Inc.(1)</w:t>
            </w:r>
          </w:p>
        </w:tc>
        <w:tc>
          <w:tcPr>
            <w:tcW w:w="4260" w:type="dxa"/>
            <w:vAlign w:val="bottom"/>
            <w:vMerge w:val="restart"/>
          </w:tcPr>
          <w:p>
            <w:pPr>
              <w:jc w:val="center"/>
              <w:ind w:left="2342"/>
              <w:spacing w:after="0"/>
              <w:rPr>
                <w:sz w:val="20"/>
                <w:szCs w:val="20"/>
                <w:color w:val="auto"/>
              </w:rPr>
            </w:pPr>
            <w:r>
              <w:rPr>
                <w:rFonts w:ascii="Arial" w:cs="Arial" w:eastAsia="Arial" w:hAnsi="Arial"/>
                <w:sz w:val="16"/>
                <w:szCs w:val="16"/>
                <w:color w:val="0B2E44"/>
              </w:rPr>
              <w:t>5,593,355</w:t>
            </w:r>
          </w:p>
        </w:tc>
        <w:tc>
          <w:tcPr>
            <w:tcW w:w="1780" w:type="dxa"/>
            <w:vAlign w:val="bottom"/>
            <w:vMerge w:val="restart"/>
          </w:tcPr>
          <w:p>
            <w:pPr>
              <w:jc w:val="right"/>
              <w:ind w:right="22"/>
              <w:spacing w:after="0"/>
              <w:rPr>
                <w:sz w:val="20"/>
                <w:szCs w:val="20"/>
                <w:color w:val="auto"/>
              </w:rPr>
            </w:pPr>
            <w:r>
              <w:rPr>
                <w:rFonts w:ascii="Arial" w:cs="Arial" w:eastAsia="Arial" w:hAnsi="Arial"/>
                <w:sz w:val="16"/>
                <w:szCs w:val="16"/>
                <w:color w:val="0B2E44"/>
              </w:rPr>
              <w:t>12.7%</w:t>
            </w:r>
          </w:p>
        </w:tc>
        <w:tc>
          <w:tcPr>
            <w:tcW w:w="0" w:type="dxa"/>
            <w:vAlign w:val="bottom"/>
          </w:tcPr>
          <w:p>
            <w:pPr>
              <w:spacing w:after="0"/>
              <w:rPr>
                <w:sz w:val="1"/>
                <w:szCs w:val="1"/>
                <w:color w:val="auto"/>
              </w:rPr>
            </w:pPr>
          </w:p>
        </w:tc>
      </w:tr>
      <w:tr>
        <w:trPr>
          <w:trHeight w:val="162"/>
        </w:trPr>
        <w:tc>
          <w:tcPr>
            <w:tcW w:w="5200" w:type="dxa"/>
            <w:vAlign w:val="bottom"/>
          </w:tcPr>
          <w:p>
            <w:pPr>
              <w:ind w:left="120"/>
              <w:spacing w:after="0" w:line="162" w:lineRule="exact"/>
              <w:rPr>
                <w:sz w:val="20"/>
                <w:szCs w:val="20"/>
                <w:color w:val="auto"/>
              </w:rPr>
            </w:pPr>
            <w:r>
              <w:rPr>
                <w:rFonts w:ascii="Arial" w:cs="Arial" w:eastAsia="Arial" w:hAnsi="Arial"/>
                <w:sz w:val="16"/>
                <w:szCs w:val="16"/>
                <w:color w:val="0B2E44"/>
              </w:rPr>
              <w:t>55 East 52nd Street</w:t>
            </w:r>
          </w:p>
        </w:tc>
        <w:tc>
          <w:tcPr>
            <w:tcW w:w="42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6"/>
                <w:szCs w:val="16"/>
                <w:color w:val="0B2E44"/>
              </w:rPr>
              <w:t>New York, NY 10055</w:t>
            </w:r>
          </w:p>
        </w:tc>
        <w:tc>
          <w:tcPr>
            <w:tcW w:w="4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DDE9F2"/>
          </w:tcPr>
          <w:p>
            <w:pPr>
              <w:ind w:left="120"/>
              <w:spacing w:after="0" w:line="175" w:lineRule="exact"/>
              <w:rPr>
                <w:sz w:val="20"/>
                <w:szCs w:val="20"/>
                <w:color w:val="auto"/>
              </w:rPr>
            </w:pPr>
            <w:r>
              <w:rPr>
                <w:rFonts w:ascii="Arial" w:cs="Arial" w:eastAsia="Arial" w:hAnsi="Arial"/>
                <w:sz w:val="16"/>
                <w:szCs w:val="16"/>
                <w:color w:val="0B2E44"/>
              </w:rPr>
              <w:t>Vanguard Group, Inc.(2)</w:t>
            </w:r>
          </w:p>
        </w:tc>
        <w:tc>
          <w:tcPr>
            <w:tcW w:w="4260" w:type="dxa"/>
            <w:vAlign w:val="bottom"/>
            <w:vMerge w:val="restart"/>
            <w:shd w:val="clear" w:color="auto" w:fill="DDE9F2"/>
          </w:tcPr>
          <w:p>
            <w:pPr>
              <w:jc w:val="center"/>
              <w:ind w:left="2342"/>
              <w:spacing w:after="0"/>
              <w:rPr>
                <w:sz w:val="20"/>
                <w:szCs w:val="20"/>
                <w:color w:val="auto"/>
              </w:rPr>
            </w:pPr>
            <w:r>
              <w:rPr>
                <w:rFonts w:ascii="Arial" w:cs="Arial" w:eastAsia="Arial" w:hAnsi="Arial"/>
                <w:sz w:val="16"/>
                <w:szCs w:val="16"/>
                <w:color w:val="0B2E44"/>
              </w:rPr>
              <w:t>5,036,704</w:t>
            </w:r>
          </w:p>
        </w:tc>
        <w:tc>
          <w:tcPr>
            <w:tcW w:w="1780" w:type="dxa"/>
            <w:vAlign w:val="bottom"/>
            <w:vMerge w:val="restart"/>
            <w:shd w:val="clear" w:color="auto" w:fill="DDE9F2"/>
          </w:tcPr>
          <w:p>
            <w:pPr>
              <w:jc w:val="right"/>
              <w:ind w:right="22"/>
              <w:spacing w:after="0"/>
              <w:rPr>
                <w:sz w:val="20"/>
                <w:szCs w:val="20"/>
                <w:color w:val="auto"/>
              </w:rPr>
            </w:pPr>
            <w:r>
              <w:rPr>
                <w:rFonts w:ascii="Arial" w:cs="Arial" w:eastAsia="Arial" w:hAnsi="Arial"/>
                <w:sz w:val="16"/>
                <w:szCs w:val="16"/>
                <w:color w:val="0B2E44"/>
              </w:rPr>
              <w:t>11.4%</w:t>
            </w:r>
          </w:p>
        </w:tc>
        <w:tc>
          <w:tcPr>
            <w:tcW w:w="0" w:type="dxa"/>
            <w:vAlign w:val="bottom"/>
          </w:tcPr>
          <w:p>
            <w:pPr>
              <w:spacing w:after="0"/>
              <w:rPr>
                <w:sz w:val="1"/>
                <w:szCs w:val="1"/>
                <w:color w:val="auto"/>
              </w:rPr>
            </w:pPr>
          </w:p>
        </w:tc>
      </w:tr>
      <w:tr>
        <w:trPr>
          <w:trHeight w:val="162"/>
        </w:trPr>
        <w:tc>
          <w:tcPr>
            <w:tcW w:w="5200" w:type="dxa"/>
            <w:vAlign w:val="bottom"/>
            <w:shd w:val="clear" w:color="auto" w:fill="DDE9F2"/>
          </w:tcPr>
          <w:p>
            <w:pPr>
              <w:ind w:left="120"/>
              <w:spacing w:after="0" w:line="162" w:lineRule="exact"/>
              <w:rPr>
                <w:sz w:val="20"/>
                <w:szCs w:val="20"/>
                <w:color w:val="auto"/>
              </w:rPr>
            </w:pPr>
            <w:r>
              <w:rPr>
                <w:rFonts w:ascii="Arial" w:cs="Arial" w:eastAsia="Arial" w:hAnsi="Arial"/>
                <w:sz w:val="16"/>
                <w:szCs w:val="16"/>
                <w:color w:val="0B2E44"/>
              </w:rPr>
              <w:t>100 Vanguard Blvd.</w:t>
            </w:r>
          </w:p>
        </w:tc>
        <w:tc>
          <w:tcPr>
            <w:tcW w:w="4260" w:type="dxa"/>
            <w:vAlign w:val="bottom"/>
            <w:vMerge w:val="continue"/>
            <w:shd w:val="clear" w:color="auto" w:fill="DDE9F2"/>
          </w:tcPr>
          <w:p>
            <w:pPr>
              <w:spacing w:after="0"/>
              <w:rPr>
                <w:sz w:val="14"/>
                <w:szCs w:val="14"/>
                <w:color w:val="auto"/>
              </w:rPr>
            </w:pPr>
          </w:p>
        </w:tc>
        <w:tc>
          <w:tcPr>
            <w:tcW w:w="1780" w:type="dxa"/>
            <w:vAlign w:val="bottom"/>
            <w:vMerge w:val="continue"/>
            <w:shd w:val="clear" w:color="auto" w:fill="DDE9F2"/>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Malvern, PA 19355</w:t>
            </w:r>
          </w:p>
        </w:tc>
        <w:tc>
          <w:tcPr>
            <w:tcW w:w="4260" w:type="dxa"/>
            <w:vAlign w:val="bottom"/>
            <w:shd w:val="clear" w:color="auto" w:fill="DDE9F2"/>
          </w:tcPr>
          <w:p>
            <w:pPr>
              <w:spacing w:after="0"/>
              <w:rPr>
                <w:sz w:val="18"/>
                <w:szCs w:val="18"/>
                <w:color w:val="auto"/>
              </w:rPr>
            </w:pPr>
          </w:p>
        </w:tc>
        <w:tc>
          <w:tcPr>
            <w:tcW w:w="1780" w:type="dxa"/>
            <w:vAlign w:val="bottom"/>
            <w:shd w:val="clear" w:color="auto" w:fill="DDE9F2"/>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200" w:type="dxa"/>
            <w:vAlign w:val="bottom"/>
          </w:tcPr>
          <w:p>
            <w:pPr>
              <w:ind w:left="120"/>
              <w:spacing w:after="0" w:line="165" w:lineRule="exact"/>
              <w:rPr>
                <w:sz w:val="20"/>
                <w:szCs w:val="20"/>
                <w:color w:val="auto"/>
              </w:rPr>
            </w:pPr>
            <w:r>
              <w:rPr>
                <w:rFonts w:ascii="Arial" w:cs="Arial" w:eastAsia="Arial" w:hAnsi="Arial"/>
                <w:sz w:val="16"/>
                <w:szCs w:val="16"/>
                <w:color w:val="0B2E44"/>
              </w:rPr>
              <w:t>AllianceBernstein L.P.(3)</w:t>
            </w:r>
          </w:p>
        </w:tc>
        <w:tc>
          <w:tcPr>
            <w:tcW w:w="4260" w:type="dxa"/>
            <w:vAlign w:val="bottom"/>
            <w:vMerge w:val="restart"/>
          </w:tcPr>
          <w:p>
            <w:pPr>
              <w:jc w:val="center"/>
              <w:ind w:left="2342"/>
              <w:spacing w:after="0"/>
              <w:rPr>
                <w:sz w:val="20"/>
                <w:szCs w:val="20"/>
                <w:color w:val="auto"/>
              </w:rPr>
            </w:pPr>
            <w:r>
              <w:rPr>
                <w:rFonts w:ascii="Arial" w:cs="Arial" w:eastAsia="Arial" w:hAnsi="Arial"/>
                <w:sz w:val="16"/>
                <w:szCs w:val="16"/>
                <w:color w:val="0B2E44"/>
              </w:rPr>
              <w:t>2,782,249</w:t>
            </w:r>
          </w:p>
        </w:tc>
        <w:tc>
          <w:tcPr>
            <w:tcW w:w="1780" w:type="dxa"/>
            <w:vAlign w:val="bottom"/>
            <w:vMerge w:val="restart"/>
          </w:tcPr>
          <w:p>
            <w:pPr>
              <w:jc w:val="right"/>
              <w:ind w:right="22"/>
              <w:spacing w:after="0"/>
              <w:rPr>
                <w:sz w:val="20"/>
                <w:szCs w:val="20"/>
                <w:color w:val="auto"/>
              </w:rPr>
            </w:pPr>
            <w:r>
              <w:rPr>
                <w:rFonts w:ascii="Arial" w:cs="Arial" w:eastAsia="Arial" w:hAnsi="Arial"/>
                <w:sz w:val="16"/>
                <w:szCs w:val="16"/>
                <w:color w:val="0B2E44"/>
              </w:rPr>
              <w:t>6.3%</w:t>
            </w:r>
          </w:p>
        </w:tc>
        <w:tc>
          <w:tcPr>
            <w:tcW w:w="0" w:type="dxa"/>
            <w:vAlign w:val="bottom"/>
          </w:tcPr>
          <w:p>
            <w:pPr>
              <w:spacing w:after="0"/>
              <w:rPr>
                <w:sz w:val="1"/>
                <w:szCs w:val="1"/>
                <w:color w:val="auto"/>
              </w:rPr>
            </w:pPr>
          </w:p>
        </w:tc>
      </w:tr>
      <w:tr>
        <w:trPr>
          <w:trHeight w:val="162"/>
        </w:trPr>
        <w:tc>
          <w:tcPr>
            <w:tcW w:w="5200" w:type="dxa"/>
            <w:vAlign w:val="bottom"/>
          </w:tcPr>
          <w:p>
            <w:pPr>
              <w:ind w:left="120"/>
              <w:spacing w:after="0" w:line="162" w:lineRule="exact"/>
              <w:rPr>
                <w:sz w:val="20"/>
                <w:szCs w:val="20"/>
                <w:color w:val="auto"/>
              </w:rPr>
            </w:pPr>
            <w:r>
              <w:rPr>
                <w:rFonts w:ascii="Arial" w:cs="Arial" w:eastAsia="Arial" w:hAnsi="Arial"/>
                <w:sz w:val="16"/>
                <w:szCs w:val="16"/>
                <w:color w:val="0B2E44"/>
              </w:rPr>
              <w:t>1345 Avenue of the Americas</w:t>
            </w:r>
          </w:p>
        </w:tc>
        <w:tc>
          <w:tcPr>
            <w:tcW w:w="42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20"/>
              <w:spacing w:after="0"/>
              <w:rPr>
                <w:sz w:val="20"/>
                <w:szCs w:val="20"/>
                <w:color w:val="auto"/>
              </w:rPr>
            </w:pPr>
            <w:r>
              <w:rPr>
                <w:rFonts w:ascii="Arial" w:cs="Arial" w:eastAsia="Arial" w:hAnsi="Arial"/>
                <w:sz w:val="16"/>
                <w:szCs w:val="16"/>
                <w:color w:val="0B2E44"/>
              </w:rPr>
              <w:t>New York, NY 10105</w:t>
            </w:r>
          </w:p>
        </w:tc>
        <w:tc>
          <w:tcPr>
            <w:tcW w:w="4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00" w:type="dxa"/>
            <w:vAlign w:val="bottom"/>
            <w:shd w:val="clear" w:color="auto" w:fill="DDE9F2"/>
          </w:tcPr>
          <w:p>
            <w:pPr>
              <w:ind w:left="120"/>
              <w:spacing w:after="0" w:line="168" w:lineRule="exact"/>
              <w:rPr>
                <w:sz w:val="20"/>
                <w:szCs w:val="20"/>
                <w:color w:val="auto"/>
              </w:rPr>
            </w:pPr>
            <w:r>
              <w:rPr>
                <w:rFonts w:ascii="Arial" w:cs="Arial" w:eastAsia="Arial" w:hAnsi="Arial"/>
                <w:sz w:val="16"/>
                <w:szCs w:val="16"/>
                <w:color w:val="0B2E44"/>
              </w:rPr>
              <w:t>Mackenzie Financial Corporation(4)</w:t>
            </w:r>
          </w:p>
        </w:tc>
        <w:tc>
          <w:tcPr>
            <w:tcW w:w="4260" w:type="dxa"/>
            <w:vAlign w:val="bottom"/>
            <w:vMerge w:val="restart"/>
            <w:shd w:val="clear" w:color="auto" w:fill="DDE9F2"/>
          </w:tcPr>
          <w:p>
            <w:pPr>
              <w:jc w:val="center"/>
              <w:ind w:left="2342"/>
              <w:spacing w:after="0"/>
              <w:rPr>
                <w:sz w:val="20"/>
                <w:szCs w:val="20"/>
                <w:color w:val="auto"/>
              </w:rPr>
            </w:pPr>
            <w:r>
              <w:rPr>
                <w:rFonts w:ascii="Arial" w:cs="Arial" w:eastAsia="Arial" w:hAnsi="Arial"/>
                <w:sz w:val="16"/>
                <w:szCs w:val="16"/>
                <w:color w:val="0B2E44"/>
              </w:rPr>
              <w:t>2,274,414</w:t>
            </w:r>
          </w:p>
        </w:tc>
        <w:tc>
          <w:tcPr>
            <w:tcW w:w="1780" w:type="dxa"/>
            <w:vAlign w:val="bottom"/>
            <w:vMerge w:val="restart"/>
            <w:shd w:val="clear" w:color="auto" w:fill="DDE9F2"/>
          </w:tcPr>
          <w:p>
            <w:pPr>
              <w:jc w:val="right"/>
              <w:ind w:right="22"/>
              <w:spacing w:after="0"/>
              <w:rPr>
                <w:sz w:val="20"/>
                <w:szCs w:val="20"/>
                <w:color w:val="auto"/>
              </w:rPr>
            </w:pPr>
            <w:r>
              <w:rPr>
                <w:rFonts w:ascii="Arial" w:cs="Arial" w:eastAsia="Arial" w:hAnsi="Arial"/>
                <w:sz w:val="16"/>
                <w:szCs w:val="16"/>
                <w:color w:val="0B2E44"/>
              </w:rPr>
              <w:t>5.2%</w:t>
            </w:r>
          </w:p>
        </w:tc>
        <w:tc>
          <w:tcPr>
            <w:tcW w:w="0" w:type="dxa"/>
            <w:vAlign w:val="bottom"/>
          </w:tcPr>
          <w:p>
            <w:pPr>
              <w:spacing w:after="0"/>
              <w:rPr>
                <w:sz w:val="1"/>
                <w:szCs w:val="1"/>
                <w:color w:val="auto"/>
              </w:rPr>
            </w:pPr>
          </w:p>
        </w:tc>
      </w:tr>
      <w:tr>
        <w:trPr>
          <w:trHeight w:val="162"/>
        </w:trPr>
        <w:tc>
          <w:tcPr>
            <w:tcW w:w="5200" w:type="dxa"/>
            <w:vAlign w:val="bottom"/>
            <w:shd w:val="clear" w:color="auto" w:fill="DDE9F2"/>
          </w:tcPr>
          <w:p>
            <w:pPr>
              <w:ind w:left="120"/>
              <w:spacing w:after="0" w:line="162" w:lineRule="exact"/>
              <w:rPr>
                <w:sz w:val="20"/>
                <w:szCs w:val="20"/>
                <w:color w:val="auto"/>
              </w:rPr>
            </w:pPr>
            <w:r>
              <w:rPr>
                <w:rFonts w:ascii="Arial" w:cs="Arial" w:eastAsia="Arial" w:hAnsi="Arial"/>
                <w:sz w:val="16"/>
                <w:szCs w:val="16"/>
                <w:color w:val="0B2E44"/>
              </w:rPr>
              <w:t>180 Queen Street West</w:t>
            </w:r>
          </w:p>
        </w:tc>
        <w:tc>
          <w:tcPr>
            <w:tcW w:w="4260" w:type="dxa"/>
            <w:vAlign w:val="bottom"/>
            <w:vMerge w:val="continue"/>
            <w:shd w:val="clear" w:color="auto" w:fill="DDE9F2"/>
          </w:tcPr>
          <w:p>
            <w:pPr>
              <w:spacing w:after="0"/>
              <w:rPr>
                <w:sz w:val="14"/>
                <w:szCs w:val="14"/>
                <w:color w:val="auto"/>
              </w:rPr>
            </w:pPr>
          </w:p>
        </w:tc>
        <w:tc>
          <w:tcPr>
            <w:tcW w:w="1780" w:type="dxa"/>
            <w:vAlign w:val="bottom"/>
            <w:vMerge w:val="continue"/>
            <w:shd w:val="clear" w:color="auto" w:fill="DDE9F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0B2E44"/>
            </w:tcBorders>
            <w:shd w:val="clear" w:color="auto" w:fill="DDE9F2"/>
          </w:tcPr>
          <w:p>
            <w:pPr>
              <w:ind w:left="120"/>
              <w:spacing w:after="0"/>
              <w:rPr>
                <w:sz w:val="20"/>
                <w:szCs w:val="20"/>
                <w:color w:val="auto"/>
              </w:rPr>
            </w:pPr>
            <w:r>
              <w:rPr>
                <w:rFonts w:ascii="Arial" w:cs="Arial" w:eastAsia="Arial" w:hAnsi="Arial"/>
                <w:sz w:val="16"/>
                <w:szCs w:val="16"/>
                <w:color w:val="0B2E44"/>
              </w:rPr>
              <w:t>Toronto, Ontario M5V 3K1</w:t>
            </w:r>
          </w:p>
        </w:tc>
        <w:tc>
          <w:tcPr>
            <w:tcW w:w="4260" w:type="dxa"/>
            <w:vAlign w:val="bottom"/>
            <w:tcBorders>
              <w:bottom w:val="single" w:sz="8" w:color="0B2E44"/>
            </w:tcBorders>
            <w:shd w:val="clear" w:color="auto" w:fill="DDE9F2"/>
          </w:tcPr>
          <w:p>
            <w:pPr>
              <w:spacing w:after="0"/>
              <w:rPr>
                <w:sz w:val="18"/>
                <w:szCs w:val="18"/>
                <w:color w:val="auto"/>
              </w:rPr>
            </w:pPr>
          </w:p>
        </w:tc>
        <w:tc>
          <w:tcPr>
            <w:tcW w:w="1780" w:type="dxa"/>
            <w:vAlign w:val="bottom"/>
            <w:tcBorders>
              <w:bottom w:val="single" w:sz="8" w:color="0B2E44"/>
            </w:tcBorders>
            <w:shd w:val="clear" w:color="auto" w:fill="DDE9F2"/>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3"/>
          <w:szCs w:val="13"/>
          <w:color w:val="0B2E44"/>
        </w:rPr>
      </w:pPr>
      <w:r>
        <w:rPr>
          <w:rFonts w:ascii="Arial" w:cs="Arial" w:eastAsia="Arial" w:hAnsi="Arial"/>
          <w:sz w:val="13"/>
          <w:szCs w:val="13"/>
          <w:color w:val="0B2E44"/>
        </w:rPr>
        <w:t>Based solely on a Schedule 13G filed on January 31, 2023, by BlackRock, Inc., except for Percent of Common Stock Outstanding.</w:t>
      </w:r>
    </w:p>
    <w:p>
      <w:pPr>
        <w:spacing w:after="0" w:line="7" w:lineRule="exact"/>
        <w:rPr>
          <w:rFonts w:ascii="Arial" w:cs="Arial" w:eastAsia="Arial" w:hAnsi="Arial"/>
          <w:sz w:val="13"/>
          <w:szCs w:val="13"/>
          <w:color w:val="0B2E44"/>
        </w:rPr>
      </w:pPr>
    </w:p>
    <w:p>
      <w:pPr>
        <w:ind w:left="340" w:right="180" w:hanging="332"/>
        <w:spacing w:after="0" w:line="238" w:lineRule="auto"/>
        <w:tabs>
          <w:tab w:leader="none" w:pos="255" w:val="left"/>
        </w:tabs>
        <w:numPr>
          <w:ilvl w:val="0"/>
          <w:numId w:val="32"/>
        </w:numPr>
        <w:rPr>
          <w:rFonts w:ascii="Arial" w:cs="Arial" w:eastAsia="Arial" w:hAnsi="Arial"/>
          <w:sz w:val="13"/>
          <w:szCs w:val="13"/>
          <w:color w:val="0B2E44"/>
        </w:rPr>
      </w:pPr>
      <w:r>
        <w:rPr>
          <w:rFonts w:ascii="Arial" w:cs="Arial" w:eastAsia="Arial" w:hAnsi="Arial"/>
          <w:sz w:val="13"/>
          <w:szCs w:val="13"/>
          <w:color w:val="0B2E44"/>
        </w:rPr>
        <w:t>Based solely on a Schedule 13G/A filed on February 9, 2023, by Vanguard Group, Inc., except for Percent of Common Stock Outstanding. The Vanguard Group, Inc. reported it held 0 shares with sole voting power, 75,109 shares with shared voting power, 4,919,465 shares with sole dispositive power and 117,239 shares with shared dispositive power.</w:t>
      </w:r>
    </w:p>
    <w:p>
      <w:pPr>
        <w:ind w:left="340" w:right="100" w:hanging="332"/>
        <w:spacing w:after="0" w:line="242" w:lineRule="auto"/>
        <w:tabs>
          <w:tab w:leader="none" w:pos="255" w:val="left"/>
        </w:tabs>
        <w:numPr>
          <w:ilvl w:val="0"/>
          <w:numId w:val="32"/>
        </w:numPr>
        <w:rPr>
          <w:rFonts w:ascii="Arial" w:cs="Arial" w:eastAsia="Arial" w:hAnsi="Arial"/>
          <w:sz w:val="13"/>
          <w:szCs w:val="13"/>
          <w:color w:val="0B2E44"/>
        </w:rPr>
      </w:pPr>
      <w:r>
        <w:rPr>
          <w:rFonts w:ascii="Arial" w:cs="Arial" w:eastAsia="Arial" w:hAnsi="Arial"/>
          <w:sz w:val="13"/>
          <w:szCs w:val="13"/>
          <w:color w:val="0B2E44"/>
        </w:rPr>
        <w:t>Based solely on a Schedule 13G/A filed on February 14, 2023, by AllianceBernstein L.P., except for Percent of Common Stock Outstanding. AllianceBernstein L.P. reported it held 2,430,300 shares with sole voting power, 0 shares with shared voting power, 2,734,634 shares with sole dispositive power and 47,615 shares with shared dispositive power.</w:t>
      </w:r>
    </w:p>
    <w:p>
      <w:pPr>
        <w:spacing w:after="0" w:line="1" w:lineRule="exact"/>
        <w:rPr>
          <w:rFonts w:ascii="Arial" w:cs="Arial" w:eastAsia="Arial" w:hAnsi="Arial"/>
          <w:sz w:val="13"/>
          <w:szCs w:val="13"/>
          <w:color w:val="0B2E44"/>
        </w:rPr>
      </w:pPr>
    </w:p>
    <w:p>
      <w:pPr>
        <w:ind w:left="260" w:hanging="252"/>
        <w:spacing w:after="0"/>
        <w:tabs>
          <w:tab w:leader="none" w:pos="260" w:val="left"/>
        </w:tabs>
        <w:numPr>
          <w:ilvl w:val="0"/>
          <w:numId w:val="32"/>
        </w:numPr>
        <w:rPr>
          <w:rFonts w:ascii="Arial" w:cs="Arial" w:eastAsia="Arial" w:hAnsi="Arial"/>
          <w:sz w:val="13"/>
          <w:szCs w:val="13"/>
          <w:color w:val="0B2E44"/>
        </w:rPr>
      </w:pPr>
      <w:r>
        <w:rPr>
          <w:rFonts w:ascii="Arial" w:cs="Arial" w:eastAsia="Arial" w:hAnsi="Arial"/>
          <w:sz w:val="13"/>
          <w:szCs w:val="13"/>
          <w:color w:val="0B2E44"/>
        </w:rPr>
        <w:t>Based solely on a Schedule 13G/A filed on January 27, 2023, by Mackenzie Financial Corporation, except for Percent of Common Stock Outstanding.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27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485140</wp:posOffset>
            </wp:positionV>
            <wp:extent cx="7115175" cy="2991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299148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What am I voting on?</w:t>
      </w:r>
    </w:p>
    <w:p>
      <w:pPr>
        <w:spacing w:after="0" w:line="103" w:lineRule="exact"/>
        <w:rPr>
          <w:sz w:val="20"/>
          <w:szCs w:val="20"/>
          <w:color w:val="auto"/>
        </w:rPr>
      </w:pPr>
    </w:p>
    <w:p>
      <w:pPr>
        <w:ind w:left="200" w:right="80"/>
        <w:spacing w:after="0"/>
        <w:rPr>
          <w:sz w:val="20"/>
          <w:szCs w:val="20"/>
          <w:color w:val="auto"/>
        </w:rPr>
      </w:pPr>
      <w:r>
        <w:rPr>
          <w:rFonts w:ascii="Arial" w:cs="Arial" w:eastAsia="Arial" w:hAnsi="Arial"/>
          <w:sz w:val="16"/>
          <w:szCs w:val="16"/>
          <w:color w:val="FFFFFF"/>
        </w:rPr>
        <w:t>We are asking stockholders to approve an amendment to our Amended and Restated Certificate of Incorporation to include officer exculpation, as permitted by recent amendments to Delaware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Vote Recommendation</w:t>
      </w:r>
    </w:p>
    <w:p>
      <w:pPr>
        <w:spacing w:after="0" w:line="44" w:lineRule="exact"/>
        <w:rPr>
          <w:sz w:val="20"/>
          <w:szCs w:val="20"/>
          <w:color w:val="auto"/>
        </w:rPr>
      </w:pPr>
    </w:p>
    <w:p>
      <w:pPr>
        <w:ind w:right="480"/>
        <w:spacing w:after="0" w:line="227" w:lineRule="auto"/>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the proposed amendment to</w:t>
      </w:r>
      <w:r>
        <w:rPr>
          <w:rFonts w:ascii="Arial" w:cs="Arial" w:eastAsia="Arial" w:hAnsi="Arial"/>
          <w:sz w:val="16"/>
          <w:szCs w:val="16"/>
          <w:b w:val="1"/>
          <w:bCs w:val="1"/>
          <w:color w:val="FFFFFF"/>
        </w:rPr>
        <w:t xml:space="preserve"> </w:t>
      </w:r>
      <w:r>
        <w:rPr>
          <w:rFonts w:ascii="Arial" w:cs="Arial" w:eastAsia="Arial" w:hAnsi="Arial"/>
          <w:sz w:val="16"/>
          <w:szCs w:val="16"/>
          <w:color w:val="FFFFFF"/>
        </w:rPr>
        <w:t>Commvault’s Amended and Restated Certificate of Incorporation to include officer exculpation.</w:t>
      </w:r>
    </w:p>
    <w:p>
      <w:pPr>
        <w:spacing w:after="0" w:line="200" w:lineRule="exact"/>
        <w:rPr>
          <w:sz w:val="20"/>
          <w:szCs w:val="20"/>
          <w:color w:val="auto"/>
        </w:rPr>
      </w:pPr>
    </w:p>
    <w:p>
      <w:pPr>
        <w:sectPr>
          <w:pgSz w:w="11900" w:h="16838" w:orient="portrait"/>
          <w:cols w:equalWidth="0" w:num="2">
            <w:col w:w="7360" w:space="720"/>
            <w:col w:w="3160"/>
          </w:cols>
          <w:pgMar w:left="320" w:top="125"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Background</w:t>
      </w:r>
    </w:p>
    <w:p>
      <w:pPr>
        <w:spacing w:after="0" w:line="84" w:lineRule="exact"/>
        <w:rPr>
          <w:sz w:val="20"/>
          <w:szCs w:val="20"/>
          <w:color w:val="auto"/>
        </w:rPr>
      </w:pPr>
    </w:p>
    <w:p>
      <w:pPr>
        <w:jc w:val="both"/>
        <w:ind w:right="380"/>
        <w:spacing w:after="0" w:line="270" w:lineRule="auto"/>
        <w:rPr>
          <w:sz w:val="20"/>
          <w:szCs w:val="20"/>
          <w:color w:val="auto"/>
        </w:rPr>
      </w:pPr>
      <w:r>
        <w:rPr>
          <w:rFonts w:ascii="Arial" w:cs="Arial" w:eastAsia="Arial" w:hAnsi="Arial"/>
          <w:sz w:val="16"/>
          <w:szCs w:val="16"/>
          <w:color w:val="0B2E44"/>
        </w:rPr>
        <w:t>Article IX (a) of our Amended and Restated Certificate of Incorporation (the “Certificate of Incorporation”) presently provides for the Company to limit the monetary liability of directors in certain circumstances pursuant to, and consistent with, Section 102(b)(7) of the Delaware General Corporation Law (the “DGCL”).</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6"/>
          <w:szCs w:val="16"/>
          <w:color w:val="0B2E44"/>
        </w:rPr>
        <w:t>Effective August 1, 2022, Section 102(b)(7) of the DGCL was amended to also permit corporations to limit the liability of certain senior corporate officers, in addition to directors, in certain limited circumstances. The new Delaware law only permits, and, if the proposed amendment to our Certificate of Incorporation (the “Charter Amendment”) is adopted, our Certificate of Incorporation would only permit exculpation of these officers in the case of direct claims brought by stockholders for breach of an officer’s fiduciary duty of care, including class actions, and would not eliminate officers’ monetary liability for breach of fiduciary duty claims brought by the Company itself or for derivative claims brought by stockholders in the name of the Company. Furthermore, the limitation on liability would not apply to breaches of the duty of loyalty, acts or omissions not in good faith or that involve intentional misconduct or a knowing violation of law, or any transaction in which the officer derived an improper personal benefit. As further described below, we believe this strikes a balance between stockholders’ interest in accountability and the Company’s interest in attracting and retaining quality officers.</w:t>
      </w:r>
    </w:p>
    <w:p>
      <w:pPr>
        <w:spacing w:after="0" w:line="43"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0B2E44"/>
        </w:rPr>
        <w:t>The description of the Charter Amendment and the applicable provisions of the DGCL contained herein are summaries and are qualified in their entirety by the text of the Charter Amendment, which is provided below, and the full text of the applicable provisions of the DGCL.</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Text of Proposed Charter Amendment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0B2E44"/>
        </w:rPr>
        <w:t>Our Certificate of Incorporation presently provides for the exculpation of directors, but not officers. We propose to amend Article IX (a) of our Certificate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B2E44"/>
        </w:rPr>
        <w:t>Incorporation so that it would state in its entirety as follows:</w:t>
      </w:r>
    </w:p>
    <w:p>
      <w:pPr>
        <w:spacing w:after="0" w:line="34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B2E44"/>
        </w:rPr>
        <w:t>“No director or Officer (as defined below) shall be personally liable to the Corporation or any of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Any amendment, repeal or elimination of this Article IX shall not affect its application with respect to an act or omission by a director or Officer occurring before such amendment, repeal or elimination. If the DGCL is amended hereafter to authorize the further elimination or limitation of liability of directors or Officers, then the liability of a director or Officer, as applicable, shall be eliminated or limited to the fullest extent authorized by the DGCL, as so amended. All references in this Article IX to an ‘Officer’ shall mean only a person who, at the time of an act or omission as to which liability is asserted, falls within the meaning of the term ‘officer,’ as defined in Section 102(b)(7) of the DGCL.”</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28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PROPOSAL NO. 2: APPROVAL TO AMEND COMMVAULT’S AMENDED AND RESTARTED CERTIFICATE OF INCORPORATION TO INCLUDE OFFICER EXCULPATION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FACTS TO CONSIDER</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Factors to Consider</w:t>
      </w:r>
    </w:p>
    <w:p>
      <w:pPr>
        <w:spacing w:after="0" w:line="6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0B2E44"/>
        </w:rPr>
        <w:t>We believe it is both prudent and appropriate to avail ourselves of most protections available to us under applicable corporate law.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the personal risk to our officers in addition to the existing limitation for directors would empower our officers to best exercise their business judgment in furtherance of stockholder interests. Our peers have adopted similar exculpation clauses limiting the personal liability of officers in their certificates of incorporation, and failing to adopt the proposed Charter Amendment could impact our ability to recruit and retain exceptional officers.</w:t>
      </w:r>
    </w:p>
    <w:p>
      <w:pPr>
        <w:spacing w:after="0" w:line="22" w:lineRule="exact"/>
        <w:rPr>
          <w:sz w:val="20"/>
          <w:szCs w:val="20"/>
          <w:color w:val="auto"/>
        </w:rPr>
      </w:pPr>
    </w:p>
    <w:p>
      <w:pPr>
        <w:spacing w:after="0" w:line="258" w:lineRule="auto"/>
        <w:rPr>
          <w:sz w:val="20"/>
          <w:szCs w:val="20"/>
          <w:color w:val="auto"/>
        </w:rPr>
      </w:pPr>
      <w:r>
        <w:rPr>
          <w:rFonts w:ascii="Arial" w:cs="Arial" w:eastAsia="Arial" w:hAnsi="Arial"/>
          <w:sz w:val="16"/>
          <w:szCs w:val="16"/>
          <w:color w:val="0B2E44"/>
        </w:rPr>
        <w:t>We believe that our directors and officers will best serve the Company if they feel protected in carrying out their duties and exercising judgment without fearing litigation for unintended mistakes, or being second guessed. Furthermore, as noted above, adopting the proposed Charter Amendment would help ensure that the Company remains able to attract and retain the most qualified officers. In the absence of such protection, qualified officers might be deterred from serving due to exposure to personal liability and the risk that substantial expense will be incurred in defending lawsuits, regardless of merit. In particular, in its consideration of the proposed Charter Amendment, the Board of Directors took into account the narrow class and type of claims for which such officers would be exculpated from liability pursuant to amended DGCL Section 102(b)(7), the limited number of Commvault officers that would be impacted and the benefits the Board of Directors believes would accrue to Commvault by providing exculpation in accordance with DGCL Section 102(b)(7), including, without limitation, the ability to attract and retain key officers and the potential to reduce litigation costs associated with frivolous lawsuits.</w:t>
      </w:r>
    </w:p>
    <w:p>
      <w:pPr>
        <w:spacing w:after="0" w:line="24"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0B2E44"/>
        </w:rPr>
        <w:t>The Board of Directors balanced these considerations with the Company’s existing corporate governance practices and unanimously determined that it is advisable and in the best interests of Commvault and its stockholders to amend Article IX (a) of our Certificate of Incorporation to adopt amended DGCL Section 102(b)(7) and extend exculpation protection to our officers in addition to our directors.</w:t>
      </w:r>
    </w:p>
    <w:p>
      <w:pPr>
        <w:spacing w:after="0" w:line="1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0B2E44"/>
        </w:rPr>
        <w:t>For the reasons stated above, on April 19, 2023, the Board of Directors unanimously determined that the proposed Charter Amendment to our Certificate of Incorporation is advisable and in the best interests of Commvault and its stockholders, authorized and approved the proposed Charter Amendment and directed that it be considered at the Annual Meeting. The Board of Directors believes the proposed Charter Amendment to our Certificate of Incorporation would better position our officers to exercise their business judgment in furtherance of the interests of the Company’s stockholders without the potential for distraction posed by the risk of personal liability. Additionally, the proposed Charter Amendment would align the protections for our officers with those protections currently afforded to our directors, to the extent permitted under Delaware law.</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Timing and Effect of the Proposed Charter Amendment</w:t>
      </w:r>
    </w:p>
    <w:p>
      <w:pPr>
        <w:spacing w:after="0" w:line="66"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0B2E44"/>
        </w:rPr>
        <w:t>If the proposed Charter Amendment is approved by our stockholders, it will become effective immediately upon its filing with the Secretary of State of the State of Delaware, which we expect to occur promptly after the Annual Meeting.</w:t>
      </w:r>
    </w:p>
    <w:p>
      <w:pPr>
        <w:spacing w:after="0" w:line="22" w:lineRule="exact"/>
        <w:rPr>
          <w:sz w:val="20"/>
          <w:szCs w:val="20"/>
          <w:color w:val="auto"/>
        </w:rPr>
      </w:pPr>
    </w:p>
    <w:p>
      <w:pPr>
        <w:spacing w:after="0" w:line="258" w:lineRule="auto"/>
        <w:rPr>
          <w:sz w:val="20"/>
          <w:szCs w:val="20"/>
          <w:color w:val="auto"/>
        </w:rPr>
      </w:pPr>
      <w:r>
        <w:rPr>
          <w:rFonts w:ascii="Arial" w:cs="Arial" w:eastAsia="Arial" w:hAnsi="Arial"/>
          <w:sz w:val="16"/>
          <w:szCs w:val="16"/>
          <w:color w:val="0B2E44"/>
        </w:rPr>
        <w:t>Other than the replacement of the existing Article IX (a) by the proposed Article IX (a), the remainder of our Certificate of Incorporation will remain unchanged after effectiveness of the Charter Amendment. If the proposed Charter Amendment is not approved by our stockholders, our Certificate of Incorporation will remain unchanged. In accordance with the DGCL, the Board of Directors may elect to abandon the proposed Charter Amendment to our Certificate of Incorporation without further action by the stockholders at any time prior to the effectiveness of its filing with the Secretary of State of the State of Delaware, notwithstanding stockholder approval.</w:t>
      </w:r>
    </w:p>
    <w:p>
      <w:pPr>
        <w:spacing w:after="0" w:line="300" w:lineRule="exact"/>
        <w:rPr>
          <w:sz w:val="20"/>
          <w:szCs w:val="20"/>
          <w:color w:val="auto"/>
        </w:rPr>
      </w:pPr>
    </w:p>
    <w:p>
      <w:pPr>
        <w:ind w:right="1080"/>
        <w:spacing w:after="0" w:line="314" w:lineRule="auto"/>
        <w:rPr>
          <w:sz w:val="20"/>
          <w:szCs w:val="20"/>
          <w:color w:val="auto"/>
        </w:rPr>
      </w:pPr>
      <w:r>
        <w:rPr>
          <w:rFonts w:ascii="Arial" w:cs="Arial" w:eastAsia="Arial" w:hAnsi="Arial"/>
          <w:sz w:val="25"/>
          <w:szCs w:val="25"/>
          <w:b w:val="1"/>
          <w:bCs w:val="1"/>
          <w:color w:val="E14A6A"/>
        </w:rPr>
        <w:t>The Board of Directors unanimously recommends a vote FOR the proposal to amend Commvault’s Certificate of Incorporation to include officer exculpation.</w:t>
      </w:r>
    </w:p>
    <w:p>
      <w:pPr>
        <w:spacing w:after="0" w:line="397"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29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288925</wp:posOffset>
            </wp:positionV>
            <wp:extent cx="7071995" cy="2786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7199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What am I voting on?</w:t>
      </w:r>
    </w:p>
    <w:p>
      <w:pPr>
        <w:spacing w:after="0" w:line="103" w:lineRule="exact"/>
        <w:rPr>
          <w:sz w:val="20"/>
          <w:szCs w:val="20"/>
          <w:color w:val="auto"/>
        </w:rPr>
      </w:pPr>
    </w:p>
    <w:p>
      <w:pPr>
        <w:ind w:left="200" w:right="1680"/>
        <w:spacing w:after="0"/>
        <w:rPr>
          <w:sz w:val="20"/>
          <w:szCs w:val="20"/>
          <w:color w:val="auto"/>
        </w:rPr>
      </w:pPr>
      <w:r>
        <w:rPr>
          <w:rFonts w:ascii="Arial" w:cs="Arial" w:eastAsia="Arial" w:hAnsi="Arial"/>
          <w:sz w:val="16"/>
          <w:szCs w:val="16"/>
          <w:color w:val="FFFFFF"/>
        </w:rPr>
        <w:t>We are asking stockholders to approve, on a non-binding advisory basis,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Vote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-313690</wp:posOffset>
            </wp:positionV>
            <wp:extent cx="2108835" cy="9601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08835" cy="9601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the resolution approving our</w:t>
      </w:r>
    </w:p>
    <w:p>
      <w:pPr>
        <w:spacing w:after="0"/>
        <w:rPr>
          <w:sz w:val="20"/>
          <w:szCs w:val="20"/>
          <w:color w:val="auto"/>
        </w:rPr>
      </w:pPr>
      <w:r>
        <w:rPr>
          <w:rFonts w:ascii="Arial" w:cs="Arial" w:eastAsia="Arial" w:hAnsi="Arial"/>
          <w:sz w:val="16"/>
          <w:szCs w:val="16"/>
          <w:color w:val="FFFFFF"/>
        </w:rPr>
        <w:t>executive compensation program.</w:t>
      </w:r>
    </w:p>
    <w:p>
      <w:pPr>
        <w:spacing w:after="0" w:line="263" w:lineRule="exact"/>
        <w:rPr>
          <w:sz w:val="20"/>
          <w:szCs w:val="20"/>
          <w:color w:val="auto"/>
        </w:rPr>
      </w:pPr>
    </w:p>
    <w:p>
      <w:pPr>
        <w:sectPr>
          <w:pgSz w:w="11900" w:h="16838" w:orient="portrait"/>
          <w:cols w:equalWidth="0" w:num="2">
            <w:col w:w="7360" w:space="720"/>
            <w:col w:w="310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76" w:lineRule="auto"/>
        <w:rPr>
          <w:sz w:val="20"/>
          <w:szCs w:val="20"/>
          <w:color w:val="auto"/>
        </w:rPr>
      </w:pPr>
      <w:r>
        <w:rPr>
          <w:rFonts w:ascii="Arial" w:cs="Arial" w:eastAsia="Arial" w:hAnsi="Arial"/>
          <w:sz w:val="16"/>
          <w:szCs w:val="16"/>
          <w:color w:val="0B2E44"/>
        </w:rPr>
        <w:t>Every year we give stockholders the opportunity to approve, on a non-binding, advisory basis, the compensation of our named executive officers as set forth in the following “Compensation Discussion and Analysis.”</w:t>
      </w:r>
    </w:p>
    <w:p>
      <w:pPr>
        <w:spacing w:after="0" w:line="22" w:lineRule="exact"/>
        <w:rPr>
          <w:sz w:val="20"/>
          <w:szCs w:val="20"/>
          <w:color w:val="auto"/>
        </w:rPr>
      </w:pPr>
    </w:p>
    <w:p>
      <w:pPr>
        <w:spacing w:after="0" w:line="258" w:lineRule="auto"/>
        <w:rPr>
          <w:sz w:val="20"/>
          <w:szCs w:val="20"/>
          <w:color w:val="auto"/>
        </w:rPr>
      </w:pPr>
      <w:r>
        <w:rPr>
          <w:rFonts w:ascii="Arial" w:cs="Arial" w:eastAsia="Arial" w:hAnsi="Arial"/>
          <w:sz w:val="16"/>
          <w:szCs w:val="16"/>
          <w:color w:val="0B2E44"/>
        </w:rPr>
        <w:t>Our executive compensation program is designed to attract, motivate, and reward talented executives who possess the skills required to formulate and drive our Company’s strategic direction and operational execution to create stockholder value. Our compensation practices, which balance long-term and short-term awards, are structured to competitively pay for performance, to encourage decision-making aligned with the Company’s long-term interests, and to promote and support our business. We encourage you to read the Compensation Discussion and Analysis for complete details about our executive compensation program, including information about the fiscal year 2023 compensation of our named executive officers.</w:t>
      </w:r>
    </w:p>
    <w:p>
      <w:pPr>
        <w:spacing w:after="0" w:line="3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B2E44"/>
        </w:rPr>
        <w:t>We are asking stockholders to indicate their support for our named executive officer compensation as described in this proxy statement. This proposal, commonly known as “say-on-pay,” is not intended to address any specific item of compensation, but rather the overall executive compensation program and the related philosophy, policies, and practices. We encourage you to vote FOR the following resolution:</w:t>
      </w:r>
    </w:p>
    <w:p>
      <w:pPr>
        <w:spacing w:after="0" w:line="34"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0B2E44"/>
        </w:rPr>
        <w:t>“RESOLVED, that the compensation paid to Commvault’s named executive officers, as disclosed pursuant to the compensation disclosure rules of the Securities and Exchange Commission, including the Compensation Discussion and Analysis, compensation tables, and any related material disclosed in Commvault’s proxy statement, is hereby APPROVED.”</w:t>
      </w:r>
    </w:p>
    <w:p>
      <w:pPr>
        <w:spacing w:after="0" w:line="14"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0B2E44"/>
        </w:rPr>
        <w:t>The say-on-pay vote is advisory, and therefore not binding on our Company, the TMCC, or the Board of Directors. However, the Board of Directors and the TMCC value the opinions of our stockholders. If the voting results indicate there is any significant concern about our executive officer compensation program, we will consider those concerns and evaluate whether any actions are necessary to address them.</w:t>
      </w:r>
    </w:p>
    <w:p>
      <w:pPr>
        <w:spacing w:after="0" w:line="14"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0B2E44"/>
        </w:rPr>
        <w:t>Because this is a non-binding, advisory vote, there is no specific approval requirement. However, the Board of Directors will consider that the stockholders have approved executive compensation on an advisory basis if this proposal receives the affirmative vote of a majority of the votes cast (in person or by proxy).</w:t>
      </w:r>
    </w:p>
    <w:p>
      <w:pPr>
        <w:spacing w:after="0" w:line="290" w:lineRule="exact"/>
        <w:rPr>
          <w:sz w:val="20"/>
          <w:szCs w:val="20"/>
          <w:color w:val="auto"/>
        </w:rPr>
      </w:pPr>
    </w:p>
    <w:p>
      <w:pPr>
        <w:ind w:right="1040"/>
        <w:spacing w:after="0" w:line="314" w:lineRule="auto"/>
        <w:rPr>
          <w:sz w:val="20"/>
          <w:szCs w:val="20"/>
          <w:color w:val="auto"/>
        </w:rPr>
      </w:pPr>
      <w:r>
        <w:rPr>
          <w:rFonts w:ascii="Arial" w:cs="Arial" w:eastAsia="Arial" w:hAnsi="Arial"/>
          <w:sz w:val="25"/>
          <w:szCs w:val="25"/>
          <w:b w:val="1"/>
          <w:bCs w:val="1"/>
          <w:color w:val="E14A6A"/>
        </w:rPr>
        <w:t>The Board of Directors recommends that you vote FOR the approval of Commvault’s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30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288925</wp:posOffset>
            </wp:positionV>
            <wp:extent cx="7029450" cy="1748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94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47"/>
          <w:szCs w:val="47"/>
          <w:color w:val="0B2E44"/>
        </w:rPr>
        <w:t>Compensation Discussion and Analysis</w:t>
      </w:r>
    </w:p>
    <w:p>
      <w:pPr>
        <w:spacing w:after="0" w:line="9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0B2E44"/>
        </w:rPr>
        <w:t>This section discusses the compensation of the following individuals, who served as executive officers during the fiscal year ended on March 31, 2023 (the “named executive officers”).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3321"/>
        </w:trPr>
        <w:tc>
          <w:tcPr>
            <w:tcW w:w="3800" w:type="dxa"/>
            <w:vAlign w:val="bottom"/>
            <w:shd w:val="clear" w:color="auto" w:fill="DDE5ED"/>
          </w:tcPr>
          <w:p>
            <w:pPr>
              <w:ind w:left="340"/>
              <w:spacing w:after="0"/>
              <w:rPr>
                <w:sz w:val="20"/>
                <w:szCs w:val="20"/>
                <w:color w:val="auto"/>
              </w:rPr>
            </w:pPr>
            <w:r>
              <w:rPr>
                <w:rFonts w:ascii="Arial" w:cs="Arial" w:eastAsia="Arial" w:hAnsi="Arial"/>
                <w:sz w:val="16"/>
                <w:szCs w:val="16"/>
                <w:b w:val="1"/>
                <w:bCs w:val="1"/>
                <w:color w:val="FF4A6A"/>
              </w:rPr>
              <w:t>Sanjay Mirchandani</w:t>
            </w:r>
          </w:p>
        </w:tc>
        <w:tc>
          <w:tcPr>
            <w:tcW w:w="3620" w:type="dxa"/>
            <w:vAlign w:val="bottom"/>
            <w:shd w:val="clear" w:color="auto" w:fill="DDE5ED"/>
          </w:tcPr>
          <w:p>
            <w:pPr>
              <w:ind w:left="140"/>
              <w:spacing w:after="0"/>
              <w:rPr>
                <w:sz w:val="20"/>
                <w:szCs w:val="20"/>
                <w:color w:val="auto"/>
              </w:rPr>
            </w:pPr>
            <w:r>
              <w:rPr>
                <w:rFonts w:ascii="Arial" w:cs="Arial" w:eastAsia="Arial" w:hAnsi="Arial"/>
                <w:sz w:val="16"/>
                <w:szCs w:val="16"/>
                <w:b w:val="1"/>
                <w:bCs w:val="1"/>
                <w:color w:val="FF4A6A"/>
              </w:rPr>
              <w:t>Gary Merrill</w:t>
            </w:r>
          </w:p>
        </w:tc>
        <w:tc>
          <w:tcPr>
            <w:tcW w:w="3820" w:type="dxa"/>
            <w:vAlign w:val="bottom"/>
            <w:shd w:val="clear" w:color="auto" w:fill="DDE5ED"/>
          </w:tcPr>
          <w:p>
            <w:pPr>
              <w:ind w:left="140"/>
              <w:spacing w:after="0"/>
              <w:rPr>
                <w:sz w:val="20"/>
                <w:szCs w:val="20"/>
                <w:color w:val="auto"/>
              </w:rPr>
            </w:pPr>
            <w:r>
              <w:rPr>
                <w:rFonts w:ascii="Arial" w:cs="Arial" w:eastAsia="Arial" w:hAnsi="Arial"/>
                <w:sz w:val="16"/>
                <w:szCs w:val="16"/>
                <w:b w:val="1"/>
                <w:bCs w:val="1"/>
                <w:color w:val="FF4A6A"/>
              </w:rPr>
              <w:t>Riccardo Di Blasio</w:t>
            </w:r>
          </w:p>
        </w:tc>
      </w:tr>
      <w:tr>
        <w:trPr>
          <w:trHeight w:val="210"/>
        </w:trPr>
        <w:tc>
          <w:tcPr>
            <w:tcW w:w="3800" w:type="dxa"/>
            <w:vAlign w:val="bottom"/>
            <w:shd w:val="clear" w:color="auto" w:fill="DDE5ED"/>
          </w:tcPr>
          <w:p>
            <w:pPr>
              <w:ind w:left="340"/>
              <w:spacing w:after="0"/>
              <w:rPr>
                <w:sz w:val="20"/>
                <w:szCs w:val="20"/>
                <w:color w:val="auto"/>
              </w:rPr>
            </w:pPr>
            <w:r>
              <w:rPr>
                <w:rFonts w:ascii="Arial" w:cs="Arial" w:eastAsia="Arial" w:hAnsi="Arial"/>
                <w:sz w:val="16"/>
                <w:szCs w:val="16"/>
                <w:color w:val="auto"/>
              </w:rPr>
              <w:t>President and Chief Executive Officer</w:t>
            </w:r>
          </w:p>
        </w:tc>
        <w:tc>
          <w:tcPr>
            <w:tcW w:w="3620" w:type="dxa"/>
            <w:vAlign w:val="bottom"/>
            <w:shd w:val="clear" w:color="auto" w:fill="DDE5ED"/>
          </w:tcPr>
          <w:p>
            <w:pPr>
              <w:ind w:left="140"/>
              <w:spacing w:after="0"/>
              <w:rPr>
                <w:sz w:val="20"/>
                <w:szCs w:val="20"/>
                <w:color w:val="auto"/>
              </w:rPr>
            </w:pPr>
            <w:r>
              <w:rPr>
                <w:rFonts w:ascii="Arial" w:cs="Arial" w:eastAsia="Arial" w:hAnsi="Arial"/>
                <w:sz w:val="16"/>
                <w:szCs w:val="16"/>
                <w:color w:val="auto"/>
              </w:rPr>
              <w:t>Chief Financial Officer</w:t>
            </w:r>
          </w:p>
        </w:tc>
        <w:tc>
          <w:tcPr>
            <w:tcW w:w="3820" w:type="dxa"/>
            <w:vAlign w:val="bottom"/>
            <w:shd w:val="clear" w:color="auto" w:fill="DDE5ED"/>
          </w:tcPr>
          <w:p>
            <w:pPr>
              <w:ind w:left="140"/>
              <w:spacing w:after="0"/>
              <w:rPr>
                <w:sz w:val="20"/>
                <w:szCs w:val="20"/>
                <w:color w:val="auto"/>
              </w:rPr>
            </w:pPr>
            <w:r>
              <w:rPr>
                <w:rFonts w:ascii="Arial" w:cs="Arial" w:eastAsia="Arial" w:hAnsi="Arial"/>
                <w:sz w:val="16"/>
                <w:szCs w:val="16"/>
                <w:color w:val="auto"/>
              </w:rPr>
              <w:t>Chief Revenue Officer</w:t>
            </w:r>
          </w:p>
        </w:tc>
      </w:tr>
      <w:tr>
        <w:trPr>
          <w:trHeight w:val="168"/>
        </w:trPr>
        <w:tc>
          <w:tcPr>
            <w:tcW w:w="3800" w:type="dxa"/>
            <w:vAlign w:val="bottom"/>
            <w:shd w:val="clear" w:color="auto" w:fill="DDE5ED"/>
          </w:tcPr>
          <w:p>
            <w:pPr>
              <w:spacing w:after="0"/>
              <w:rPr>
                <w:sz w:val="14"/>
                <w:szCs w:val="14"/>
                <w:color w:val="auto"/>
              </w:rPr>
            </w:pPr>
          </w:p>
        </w:tc>
        <w:tc>
          <w:tcPr>
            <w:tcW w:w="3620" w:type="dxa"/>
            <w:vAlign w:val="bottom"/>
            <w:shd w:val="clear" w:color="auto" w:fill="DDE5ED"/>
          </w:tcPr>
          <w:p>
            <w:pPr>
              <w:spacing w:after="0"/>
              <w:rPr>
                <w:sz w:val="14"/>
                <w:szCs w:val="14"/>
                <w:color w:val="auto"/>
              </w:rPr>
            </w:pPr>
          </w:p>
        </w:tc>
        <w:tc>
          <w:tcPr>
            <w:tcW w:w="3820" w:type="dxa"/>
            <w:vAlign w:val="bottom"/>
            <w:shd w:val="clear" w:color="auto" w:fill="DDE5ED"/>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-2219960</wp:posOffset>
            </wp:positionV>
            <wp:extent cx="6369050" cy="1783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69050" cy="178308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0B2E44"/>
        </w:rPr>
        <w:t>On July 1, 2022, Mr. Gary Merrill was appointed our Chief Financial Officer, succeeding Mr. Brian Carolan, former Chief Financial Officer.</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E14A6A"/>
        </w:rPr>
        <w:t>Table of Contents</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8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Compensation Discussion and Analysis</w:t>
            </w:r>
          </w:p>
        </w:tc>
        <w:tc>
          <w:tcPr>
            <w:tcW w:w="2420" w:type="dxa"/>
            <w:vAlign w:val="bottom"/>
            <w:gridSpan w:val="5"/>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92E44"/>
              </w:rPr>
              <w:t>31</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Executive Summary</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92E44"/>
              </w:rPr>
              <w:t>32</w:t>
            </w:r>
          </w:p>
        </w:tc>
        <w:tc>
          <w:tcPr>
            <w:tcW w:w="0" w:type="dxa"/>
            <w:vAlign w:val="bottom"/>
          </w:tcPr>
          <w:p>
            <w:pPr>
              <w:spacing w:after="0"/>
              <w:rPr>
                <w:sz w:val="1"/>
                <w:szCs w:val="1"/>
                <w:color w:val="auto"/>
              </w:rPr>
            </w:pPr>
          </w:p>
        </w:tc>
      </w:tr>
      <w:tr>
        <w:trPr>
          <w:trHeight w:val="236"/>
        </w:trPr>
        <w:tc>
          <w:tcPr>
            <w:tcW w:w="15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8"/>
              </w:rPr>
              <w:t>Compensation Tables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92E44"/>
              </w:rPr>
              <w:t>42</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0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9"/>
              </w:rPr>
              <w:t>Fiscal 2023 Summary Compensation Table</w:t>
            </w:r>
          </w:p>
        </w:tc>
        <w:tc>
          <w:tcPr>
            <w:tcW w:w="1880" w:type="dxa"/>
            <w:vAlign w:val="bottom"/>
            <w:gridSpan w:val="3"/>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92E44"/>
              </w:rPr>
              <w:t>42</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Fiscal 2023</w:t>
            </w:r>
          </w:p>
        </w:tc>
        <w:tc>
          <w:tcPr>
            <w:tcW w:w="2580" w:type="dxa"/>
            <w:vAlign w:val="bottom"/>
            <w:tcBorders>
              <w:bottom w:val="single" w:sz="8" w:color="0000FF"/>
            </w:tcBorders>
            <w:gridSpan w:val="10"/>
          </w:tcPr>
          <w:p>
            <w:pPr>
              <w:ind w:left="20"/>
              <w:spacing w:after="0"/>
              <w:rPr>
                <w:sz w:val="20"/>
                <w:szCs w:val="20"/>
                <w:color w:val="auto"/>
              </w:rPr>
            </w:pPr>
            <w:r>
              <w:rPr>
                <w:rFonts w:ascii="Arial" w:cs="Arial" w:eastAsia="Arial" w:hAnsi="Arial"/>
                <w:sz w:val="16"/>
                <w:szCs w:val="16"/>
                <w:color w:val="0000FF"/>
                <w:w w:val="99"/>
              </w:rPr>
              <w:t>Grants of Plan-Based Awards Table</w:t>
            </w:r>
          </w:p>
        </w:tc>
        <w:tc>
          <w:tcPr>
            <w:tcW w:w="1540" w:type="dxa"/>
            <w:vAlign w:val="bottom"/>
            <w:gridSpan w:val="2"/>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92E44"/>
              </w:rPr>
              <w:t>43</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0000FF"/>
              </w:rPr>
              <w:t>Fiscal 2023</w:t>
            </w:r>
          </w:p>
        </w:tc>
        <w:tc>
          <w:tcPr>
            <w:tcW w:w="4120" w:type="dxa"/>
            <w:vAlign w:val="bottom"/>
            <w:gridSpan w:val="12"/>
          </w:tcPr>
          <w:p>
            <w:pPr>
              <w:ind w:left="20"/>
              <w:spacing w:after="0"/>
              <w:rPr>
                <w:sz w:val="20"/>
                <w:szCs w:val="20"/>
                <w:color w:val="auto"/>
              </w:rPr>
            </w:pPr>
            <w:r>
              <w:rPr>
                <w:rFonts w:ascii="Arial" w:cs="Arial" w:eastAsia="Arial" w:hAnsi="Arial"/>
                <w:sz w:val="16"/>
                <w:szCs w:val="16"/>
                <w:color w:val="0000FF"/>
              </w:rPr>
              <w:t>Outstanding Equity Awards at Fiscal Year End Table</w:t>
            </w:r>
          </w:p>
        </w:tc>
        <w:tc>
          <w:tcPr>
            <w:tcW w:w="1360" w:type="dxa"/>
            <w:vAlign w:val="bottom"/>
          </w:tcPr>
          <w:p>
            <w:pPr>
              <w:jc w:val="right"/>
              <w:spacing w:after="0"/>
              <w:rPr>
                <w:sz w:val="20"/>
                <w:szCs w:val="20"/>
                <w:color w:val="auto"/>
              </w:rPr>
            </w:pPr>
            <w:r>
              <w:rPr>
                <w:rFonts w:ascii="Arial" w:cs="Arial" w:eastAsia="Arial" w:hAnsi="Arial"/>
                <w:sz w:val="16"/>
                <w:szCs w:val="16"/>
                <w:color w:val="092E44"/>
              </w:rPr>
              <w:t>44</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Fiscal 2023</w:t>
            </w:r>
          </w:p>
        </w:tc>
        <w:tc>
          <w:tcPr>
            <w:tcW w:w="3740" w:type="dxa"/>
            <w:vAlign w:val="bottom"/>
            <w:tcBorders>
              <w:top w:val="single" w:sz="8" w:color="0000FF"/>
            </w:tcBorders>
            <w:gridSpan w:val="11"/>
          </w:tcPr>
          <w:p>
            <w:pPr>
              <w:ind w:left="20"/>
              <w:spacing w:after="0"/>
              <w:rPr>
                <w:sz w:val="20"/>
                <w:szCs w:val="20"/>
                <w:color w:val="auto"/>
              </w:rPr>
            </w:pPr>
            <w:r>
              <w:rPr>
                <w:rFonts w:ascii="Arial" w:cs="Arial" w:eastAsia="Arial" w:hAnsi="Arial"/>
                <w:sz w:val="16"/>
                <w:szCs w:val="16"/>
                <w:color w:val="0000FF"/>
              </w:rPr>
              <w:t>Stock Vested Table</w:t>
            </w:r>
          </w:p>
        </w:tc>
        <w:tc>
          <w:tcPr>
            <w:tcW w:w="3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92E44"/>
              </w:rPr>
              <w:t>45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15"/>
          </w:tcPr>
          <w:p>
            <w:pPr>
              <w:spacing w:after="0"/>
              <w:rPr>
                <w:sz w:val="20"/>
                <w:szCs w:val="20"/>
                <w:color w:val="auto"/>
              </w:rPr>
            </w:pPr>
            <w:r>
              <w:rPr>
                <w:rFonts w:ascii="Arial" w:cs="Arial" w:eastAsia="Arial" w:hAnsi="Arial"/>
                <w:sz w:val="16"/>
                <w:szCs w:val="16"/>
                <w:color w:val="0000FF"/>
              </w:rPr>
              <w:t>Pension Benefits and Deferred Compensation</w:t>
            </w:r>
          </w:p>
        </w:tc>
        <w:tc>
          <w:tcPr>
            <w:tcW w:w="1360" w:type="dxa"/>
            <w:vAlign w:val="bottom"/>
          </w:tcPr>
          <w:p>
            <w:pPr>
              <w:jc w:val="right"/>
              <w:spacing w:after="0"/>
              <w:rPr>
                <w:sz w:val="20"/>
                <w:szCs w:val="20"/>
                <w:color w:val="auto"/>
              </w:rPr>
            </w:pPr>
            <w:r>
              <w:rPr>
                <w:rFonts w:ascii="Arial" w:cs="Arial" w:eastAsia="Arial" w:hAnsi="Arial"/>
                <w:sz w:val="16"/>
                <w:szCs w:val="16"/>
                <w:color w:val="092E44"/>
              </w:rPr>
              <w:t>45</w:t>
            </w:r>
          </w:p>
        </w:tc>
        <w:tc>
          <w:tcPr>
            <w:tcW w:w="0" w:type="dxa"/>
            <w:vAlign w:val="bottom"/>
          </w:tcPr>
          <w:p>
            <w:pPr>
              <w:spacing w:after="0"/>
              <w:rPr>
                <w:sz w:val="1"/>
                <w:szCs w:val="1"/>
                <w:color w:val="auto"/>
              </w:rPr>
            </w:pPr>
          </w:p>
        </w:tc>
      </w:tr>
      <w:tr>
        <w:trPr>
          <w:trHeight w:val="223"/>
        </w:trPr>
        <w:tc>
          <w:tcPr>
            <w:tcW w:w="16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9"/>
              </w:rPr>
              <w:t>Individual Agreements</w:t>
            </w:r>
          </w:p>
        </w:tc>
        <w:tc>
          <w:tcPr>
            <w:tcW w:w="180" w:type="dxa"/>
            <w:vAlign w:val="bottom"/>
            <w:tcBorders>
              <w:top w:val="single" w:sz="8" w:color="0000FF"/>
              <w:bottom w:val="single" w:sz="8" w:color="0000FF"/>
            </w:tcBorders>
          </w:tcPr>
          <w:p>
            <w:pPr>
              <w:spacing w:after="0"/>
              <w:rPr>
                <w:sz w:val="19"/>
                <w:szCs w:val="19"/>
                <w:color w:val="auto"/>
              </w:rPr>
            </w:pPr>
          </w:p>
        </w:tc>
        <w:tc>
          <w:tcPr>
            <w:tcW w:w="440" w:type="dxa"/>
            <w:vAlign w:val="bottom"/>
            <w:tcBorders>
              <w:top w:val="single" w:sz="8" w:color="0000FF"/>
              <w:bottom w:val="single" w:sz="8" w:color="0000FF"/>
            </w:tcBorders>
          </w:tcPr>
          <w:p>
            <w:pPr>
              <w:spacing w:after="0"/>
              <w:rPr>
                <w:sz w:val="19"/>
                <w:szCs w:val="19"/>
                <w:color w:val="auto"/>
              </w:rPr>
            </w:pPr>
          </w:p>
        </w:tc>
        <w:tc>
          <w:tcPr>
            <w:tcW w:w="1080" w:type="dxa"/>
            <w:vAlign w:val="bottom"/>
            <w:tcBorders>
              <w:top w:val="single" w:sz="8" w:color="0000FF"/>
              <w:bottom w:val="single" w:sz="8" w:color="0000FF"/>
            </w:tcBorders>
            <w:gridSpan w:val="3"/>
          </w:tcPr>
          <w:p>
            <w:pPr>
              <w:spacing w:after="0"/>
              <w:rPr>
                <w:sz w:val="19"/>
                <w:szCs w:val="19"/>
                <w:color w:val="auto"/>
              </w:rPr>
            </w:pPr>
          </w:p>
        </w:tc>
        <w:tc>
          <w:tcPr>
            <w:tcW w:w="1960" w:type="dxa"/>
            <w:vAlign w:val="bottom"/>
            <w:gridSpan w:val="4"/>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92E44"/>
              </w:rPr>
              <w:t>45</w:t>
            </w:r>
          </w:p>
        </w:tc>
        <w:tc>
          <w:tcPr>
            <w:tcW w:w="0" w:type="dxa"/>
            <w:vAlign w:val="bottom"/>
          </w:tcPr>
          <w:p>
            <w:pPr>
              <w:spacing w:after="0"/>
              <w:rPr>
                <w:sz w:val="1"/>
                <w:szCs w:val="1"/>
                <w:color w:val="auto"/>
              </w:rPr>
            </w:pPr>
          </w:p>
        </w:tc>
      </w:tr>
      <w:tr>
        <w:trPr>
          <w:trHeight w:val="237"/>
        </w:trPr>
        <w:tc>
          <w:tcPr>
            <w:tcW w:w="5260" w:type="dxa"/>
            <w:vAlign w:val="bottom"/>
            <w:gridSpan w:val="15"/>
          </w:tcPr>
          <w:p>
            <w:pPr>
              <w:spacing w:after="0"/>
              <w:rPr>
                <w:sz w:val="20"/>
                <w:szCs w:val="20"/>
                <w:color w:val="auto"/>
              </w:rPr>
            </w:pPr>
            <w:r>
              <w:rPr>
                <w:rFonts w:ascii="Arial" w:cs="Arial" w:eastAsia="Arial" w:hAnsi="Arial"/>
                <w:sz w:val="16"/>
                <w:szCs w:val="16"/>
                <w:color w:val="0000FF"/>
              </w:rPr>
              <w:t>Change in Control Agreements</w:t>
            </w:r>
          </w:p>
        </w:tc>
        <w:tc>
          <w:tcPr>
            <w:tcW w:w="1360" w:type="dxa"/>
            <w:vAlign w:val="bottom"/>
          </w:tcPr>
          <w:p>
            <w:pPr>
              <w:jc w:val="right"/>
              <w:spacing w:after="0"/>
              <w:rPr>
                <w:sz w:val="20"/>
                <w:szCs w:val="20"/>
                <w:color w:val="auto"/>
              </w:rPr>
            </w:pPr>
            <w:r>
              <w:rPr>
                <w:rFonts w:ascii="Arial" w:cs="Arial" w:eastAsia="Arial" w:hAnsi="Arial"/>
                <w:sz w:val="16"/>
                <w:szCs w:val="16"/>
                <w:color w:val="092E44"/>
              </w:rPr>
              <w:t>46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Estimated Payments and Benefits upon Termination or Change in Control</w:t>
            </w:r>
          </w:p>
        </w:tc>
        <w:tc>
          <w:tcPr>
            <w:tcW w:w="1360" w:type="dxa"/>
            <w:vAlign w:val="bottom"/>
          </w:tcPr>
          <w:p>
            <w:pPr>
              <w:jc w:val="right"/>
              <w:spacing w:after="0"/>
              <w:rPr>
                <w:sz w:val="20"/>
                <w:szCs w:val="20"/>
                <w:color w:val="auto"/>
              </w:rPr>
            </w:pPr>
            <w:r>
              <w:rPr>
                <w:rFonts w:ascii="Arial" w:cs="Arial" w:eastAsia="Arial" w:hAnsi="Arial"/>
                <w:sz w:val="16"/>
                <w:szCs w:val="16"/>
                <w:color w:val="092E44"/>
              </w:rPr>
              <w:t>47</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CEO Pay Ratio</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092E44"/>
              </w:rPr>
              <w:t>48</w:t>
            </w:r>
          </w:p>
        </w:tc>
        <w:tc>
          <w:tcPr>
            <w:tcW w:w="0" w:type="dxa"/>
            <w:vAlign w:val="bottom"/>
          </w:tcPr>
          <w:p>
            <w:pPr>
              <w:spacing w:after="0"/>
              <w:rPr>
                <w:sz w:val="1"/>
                <w:szCs w:val="1"/>
                <w:color w:val="auto"/>
              </w:rPr>
            </w:pPr>
          </w:p>
        </w:tc>
      </w:tr>
      <w:tr>
        <w:trPr>
          <w:trHeight w:val="41"/>
        </w:trPr>
        <w:tc>
          <w:tcPr>
            <w:tcW w:w="1780" w:type="dxa"/>
            <w:vAlign w:val="bottom"/>
            <w:gridSpan w:val="7"/>
            <w:vMerge w:val="restart"/>
          </w:tcPr>
          <w:p>
            <w:pPr>
              <w:spacing w:after="0"/>
              <w:rPr>
                <w:sz w:val="20"/>
                <w:szCs w:val="20"/>
                <w:color w:val="auto"/>
              </w:rPr>
            </w:pPr>
            <w:r>
              <w:rPr>
                <w:rFonts w:ascii="Arial" w:cs="Arial" w:eastAsia="Arial" w:hAnsi="Arial"/>
                <w:sz w:val="16"/>
                <w:szCs w:val="16"/>
                <w:color w:val="0000FF"/>
              </w:rPr>
              <w:t>Pay versus Performance</w:t>
            </w:r>
          </w:p>
        </w:tc>
        <w:tc>
          <w:tcPr>
            <w:tcW w:w="3480" w:type="dxa"/>
            <w:vAlign w:val="bottom"/>
            <w:gridSpan w:val="8"/>
            <w:vMerge w:val="restart"/>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780" w:type="dxa"/>
            <w:vAlign w:val="bottom"/>
            <w:tcBorders>
              <w:bottom w:val="single" w:sz="8" w:color="0000FF"/>
            </w:tcBorders>
            <w:gridSpan w:val="7"/>
            <w:vMerge w:val="continue"/>
          </w:tcPr>
          <w:p>
            <w:pPr>
              <w:spacing w:after="0"/>
              <w:rPr>
                <w:sz w:val="16"/>
                <w:szCs w:val="16"/>
                <w:color w:val="auto"/>
              </w:rPr>
            </w:pPr>
          </w:p>
        </w:tc>
        <w:tc>
          <w:tcPr>
            <w:tcW w:w="3480" w:type="dxa"/>
            <w:vAlign w:val="bottom"/>
            <w:gridSpan w:val="8"/>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92E44"/>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31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0B2E44"/>
        </w:rPr>
        <w:t xml:space="preserve">CD&amp;A </w:t>
      </w:r>
      <w:r>
        <w:rPr>
          <w:rFonts w:ascii="Arial" w:cs="Arial" w:eastAsia="Arial" w:hAnsi="Arial"/>
          <w:sz w:val="11"/>
          <w:szCs w:val="11"/>
          <w:color w:val="FF4A6A"/>
        </w:rPr>
        <w:t>|</w:t>
      </w:r>
      <w:r>
        <w:rPr>
          <w:sz w:val="20"/>
          <w:szCs w:val="20"/>
          <w:color w:val="auto"/>
        </w:rPr>
        <w:tab/>
      </w:r>
      <w:r>
        <w:rPr>
          <w:rFonts w:ascii="Arial" w:cs="Arial" w:eastAsia="Arial" w:hAnsi="Arial"/>
          <w:sz w:val="10"/>
          <w:szCs w:val="10"/>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Executive Summary</w:t>
      </w:r>
    </w:p>
    <w:p>
      <w:pPr>
        <w:spacing w:after="0" w:line="97" w:lineRule="exact"/>
        <w:rPr>
          <w:sz w:val="20"/>
          <w:szCs w:val="20"/>
          <w:color w:val="auto"/>
        </w:rPr>
      </w:pPr>
    </w:p>
    <w:p>
      <w:pPr>
        <w:spacing w:after="0" w:line="258" w:lineRule="auto"/>
        <w:rPr>
          <w:sz w:val="20"/>
          <w:szCs w:val="20"/>
          <w:color w:val="auto"/>
        </w:rPr>
      </w:pPr>
      <w:r>
        <w:rPr>
          <w:rFonts w:ascii="Arial" w:cs="Arial" w:eastAsia="Arial" w:hAnsi="Arial"/>
          <w:sz w:val="16"/>
          <w:szCs w:val="16"/>
          <w:color w:val="0B2E44"/>
        </w:rPr>
        <w:t>We believe the skill, talent, judgment, and dedication of our executive officers are critical to Commvault’s long-term value. Therefore, our objective in setting compensation policies for our named executive officers is to align pay with performance, while at the same time providing fair, reasonable, and competitive compensation that will allow us to attract, retain, and reward superior executive talent. The TMCC strongly believes that executive compensation should align our executive officers’ interests with those of our stockholders by rewarding achievement of specific annual, long-term, and strategic company goals, with the ultimate objective of enhancing long-term stockholder value.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E14A6A"/>
        </w:rPr>
        <w:t>2023 Compensation Highlights</w:t>
      </w:r>
    </w:p>
    <w:p>
      <w:pPr>
        <w:spacing w:after="0" w:line="66"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0B2E44"/>
        </w:rPr>
        <w:t>Our 2023 compensation plans and payouts for our named executive officers reflects our overarching philosophy of pay-for-performance. Highlights of our executive compensation program include:</w:t>
      </w:r>
    </w:p>
    <w:p>
      <w:pPr>
        <w:spacing w:after="0" w:line="1" w:lineRule="exact"/>
        <w:rPr>
          <w:sz w:val="20"/>
          <w:szCs w:val="20"/>
          <w:color w:val="auto"/>
        </w:rPr>
      </w:pPr>
    </w:p>
    <w:p>
      <w:pPr>
        <w:ind w:left="660" w:right="680" w:hanging="328"/>
        <w:spacing w:after="0" w:line="290" w:lineRule="auto"/>
        <w:tabs>
          <w:tab w:leader="none" w:pos="660" w:val="left"/>
        </w:tabs>
        <w:numPr>
          <w:ilvl w:val="0"/>
          <w:numId w:val="33"/>
        </w:numPr>
        <w:rPr>
          <w:rFonts w:ascii="Arial" w:cs="Arial" w:eastAsia="Arial" w:hAnsi="Arial"/>
          <w:sz w:val="16"/>
          <w:szCs w:val="16"/>
          <w:color w:val="FF4A6A"/>
        </w:rPr>
      </w:pPr>
      <w:r>
        <w:rPr>
          <w:rFonts w:ascii="Arial" w:cs="Arial" w:eastAsia="Arial" w:hAnsi="Arial"/>
          <w:sz w:val="16"/>
          <w:szCs w:val="16"/>
          <w:b w:val="1"/>
          <w:bCs w:val="1"/>
          <w:color w:val="0B2E44"/>
        </w:rPr>
        <w:t>Competitive Base Salary</w:t>
      </w:r>
      <w:r>
        <w:rPr>
          <w:rFonts w:ascii="Arial" w:cs="Arial" w:eastAsia="Arial" w:hAnsi="Arial"/>
          <w:sz w:val="16"/>
          <w:szCs w:val="16"/>
          <w:color w:val="0B2E44"/>
        </w:rPr>
        <w:t>: Base salaries are set to be competitive within our industry and are important in attracting and retaining talented</w:t>
      </w:r>
      <w:r>
        <w:rPr>
          <w:rFonts w:ascii="Arial" w:cs="Arial" w:eastAsia="Arial" w:hAnsi="Arial"/>
          <w:sz w:val="16"/>
          <w:szCs w:val="16"/>
          <w:b w:val="1"/>
          <w:bCs w:val="1"/>
          <w:color w:val="0B2E44"/>
        </w:rPr>
        <w:t xml:space="preserve"> </w:t>
      </w:r>
      <w:r>
        <w:rPr>
          <w:rFonts w:ascii="Arial" w:cs="Arial" w:eastAsia="Arial" w:hAnsi="Arial"/>
          <w:sz w:val="16"/>
          <w:szCs w:val="16"/>
          <w:color w:val="0B2E44"/>
        </w:rPr>
        <w:t>executives.</w:t>
      </w:r>
    </w:p>
    <w:p>
      <w:pPr>
        <w:ind w:left="660" w:right="140" w:hanging="328"/>
        <w:spacing w:after="0" w:line="265" w:lineRule="auto"/>
        <w:tabs>
          <w:tab w:leader="none" w:pos="660" w:val="left"/>
        </w:tabs>
        <w:numPr>
          <w:ilvl w:val="0"/>
          <w:numId w:val="33"/>
        </w:numPr>
        <w:rPr>
          <w:rFonts w:ascii="Arial" w:cs="Arial" w:eastAsia="Arial" w:hAnsi="Arial"/>
          <w:sz w:val="16"/>
          <w:szCs w:val="16"/>
          <w:color w:val="FF4A6A"/>
        </w:rPr>
      </w:pPr>
      <w:r>
        <w:rPr>
          <w:rFonts w:ascii="Arial" w:cs="Arial" w:eastAsia="Arial" w:hAnsi="Arial"/>
          <w:sz w:val="16"/>
          <w:szCs w:val="16"/>
          <w:b w:val="1"/>
          <w:bCs w:val="1"/>
          <w:color w:val="0B2E44"/>
        </w:rPr>
        <w:t>Challenging Annual Incentive</w:t>
      </w:r>
      <w:r>
        <w:rPr>
          <w:rFonts w:ascii="Arial" w:cs="Arial" w:eastAsia="Arial" w:hAnsi="Arial"/>
          <w:sz w:val="16"/>
          <w:szCs w:val="16"/>
          <w:color w:val="0B2E44"/>
        </w:rPr>
        <w:t>: In 2022, our Compensation Committee approved target annual incentives based on achievement of annual</w:t>
      </w:r>
      <w:r>
        <w:rPr>
          <w:rFonts w:ascii="Arial" w:cs="Arial" w:eastAsia="Arial" w:hAnsi="Arial"/>
          <w:sz w:val="16"/>
          <w:szCs w:val="16"/>
          <w:b w:val="1"/>
          <w:bCs w:val="1"/>
          <w:color w:val="0B2E44"/>
        </w:rPr>
        <w:t xml:space="preserve"> </w:t>
      </w:r>
      <w:r>
        <w:rPr>
          <w:rFonts w:ascii="Arial" w:cs="Arial" w:eastAsia="Arial" w:hAnsi="Arial"/>
          <w:sz w:val="16"/>
          <w:szCs w:val="16"/>
          <w:color w:val="0B2E44"/>
        </w:rPr>
        <w:t>revenue and non-GAAP EBIT goals for Messrs. Mirchandani and Merrill. Based on our performance during the year, our named executive officers other than Mr. Di Blasio, earned annual incentives equal to 71.7% of their target for the year. Mr. Di Blasio’s bonus was paid quarterly, based upon quarterly revenue results and he received 75.0% of his target award for the year.</w:t>
      </w:r>
    </w:p>
    <w:p>
      <w:pPr>
        <w:spacing w:after="0" w:line="24" w:lineRule="exact"/>
        <w:rPr>
          <w:rFonts w:ascii="Arial" w:cs="Arial" w:eastAsia="Arial" w:hAnsi="Arial"/>
          <w:sz w:val="16"/>
          <w:szCs w:val="16"/>
          <w:color w:val="FF4A6A"/>
        </w:rPr>
      </w:pPr>
    </w:p>
    <w:p>
      <w:pPr>
        <w:ind w:left="660" w:right="300" w:hanging="328"/>
        <w:spacing w:after="0" w:line="265" w:lineRule="auto"/>
        <w:tabs>
          <w:tab w:leader="none" w:pos="660" w:val="left"/>
        </w:tabs>
        <w:numPr>
          <w:ilvl w:val="0"/>
          <w:numId w:val="33"/>
        </w:numPr>
        <w:rPr>
          <w:rFonts w:ascii="Arial" w:cs="Arial" w:eastAsia="Arial" w:hAnsi="Arial"/>
          <w:sz w:val="16"/>
          <w:szCs w:val="16"/>
          <w:color w:val="FF4A6A"/>
        </w:rPr>
      </w:pPr>
      <w:r>
        <w:rPr>
          <w:rFonts w:ascii="Arial" w:cs="Arial" w:eastAsia="Arial" w:hAnsi="Arial"/>
          <w:sz w:val="16"/>
          <w:szCs w:val="16"/>
          <w:b w:val="1"/>
          <w:bCs w:val="1"/>
          <w:color w:val="0B2E44"/>
        </w:rPr>
        <w:t>Long-term Incentive Awards</w:t>
      </w:r>
      <w:r>
        <w:rPr>
          <w:rFonts w:ascii="Arial" w:cs="Arial" w:eastAsia="Arial" w:hAnsi="Arial"/>
          <w:sz w:val="16"/>
          <w:szCs w:val="16"/>
          <w:color w:val="0B2E44"/>
        </w:rPr>
        <w:t>: We believe that stock awards with multi-year vesting are an effective tool for motivating our named executive</w:t>
      </w:r>
      <w:r>
        <w:rPr>
          <w:rFonts w:ascii="Arial" w:cs="Arial" w:eastAsia="Arial" w:hAnsi="Arial"/>
          <w:sz w:val="16"/>
          <w:szCs w:val="16"/>
          <w:b w:val="1"/>
          <w:bCs w:val="1"/>
          <w:color w:val="0B2E44"/>
        </w:rPr>
        <w:t xml:space="preserve"> </w:t>
      </w:r>
      <w:r>
        <w:rPr>
          <w:rFonts w:ascii="Arial" w:cs="Arial" w:eastAsia="Arial" w:hAnsi="Arial"/>
          <w:sz w:val="16"/>
          <w:szCs w:val="16"/>
          <w:color w:val="0B2E44"/>
        </w:rPr>
        <w:t>officers to drive long-term stockholder value. During fiscal 2023, 50% of the target value of equity granted to our named executive officers was awarded in the form of performance-based equity. These grants included a mix of PSUs tied to one, two and three-year goals as well as relative and absolute performance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Compensation Philosophy and Objectives</w:t>
      </w:r>
    </w:p>
    <w:p>
      <w:pPr>
        <w:spacing w:after="0" w:line="9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0B2E44"/>
        </w:rPr>
        <w:t>As a technology company, we operate in an extremely competitive and rapidly changing industry. When setting compensation policies for our executive officers, the TMCC strives to align pay with performance; to provide fair, reasonable, and competitive compensation that will allow us to attract, retain, and reward superior executive talent; and to align our executive officers’ interests with those of our stockholders by rewarding achievement of specific annual, long-term, and strategic goals. To that end, the compensation opportunities provided to our executive officers include a mix of both cash and equity elements that reward performance as measured against pre-established goals and objectives. The specific goals that our current executive compensation program rewards are focused primarily on revenue growth and profitability, as the TMCC believes those measures are the most direct drivers of long-term stockholder value creation.</w:t>
      </w:r>
    </w:p>
    <w:p>
      <w:pPr>
        <w:spacing w:after="0" w:line="2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Decisions with respect to the total compensation for our executive officers are based primarily upon an assessment of each individual’s performance and potential to enhance long-term stockholder value. Often, the TMCC relies on judgment rather than rigid guidelines or formulas in determining the amount and mix of compensation for each executive officer. Factors affecting such judgment include performance compared to strategic goals established at the beginning of the year, the nature and scope of each executive’s responsibilities, and whether the executive conducts all activities in a manner consistent with our core Company values.</w:t>
      </w:r>
    </w:p>
    <w:p>
      <w:pPr>
        <w:spacing w:after="0" w:line="22"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color w:val="0B2E44"/>
        </w:rPr>
        <w:t>In addition, the TMCC seeks to ensure that we maintain sound governance and compensation policies and practices. In designing and overseeing our executive compensation program, we strive to employ best practices and regularly assess our policies and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E14A6A"/>
        </w:rPr>
        <w:t>What we do</w:t>
      </w:r>
    </w:p>
    <w:p>
      <w:pPr>
        <w:spacing w:after="0" w:line="72" w:lineRule="exact"/>
        <w:rPr>
          <w:sz w:val="20"/>
          <w:szCs w:val="20"/>
          <w:color w:val="auto"/>
        </w:rPr>
      </w:pPr>
    </w:p>
    <w:p>
      <w:pPr>
        <w:ind w:left="660" w:right="580" w:hanging="328"/>
        <w:spacing w:after="0" w:line="290" w:lineRule="auto"/>
        <w:tabs>
          <w:tab w:leader="none" w:pos="660" w:val="left"/>
        </w:tabs>
        <w:numPr>
          <w:ilvl w:val="0"/>
          <w:numId w:val="34"/>
        </w:numPr>
        <w:rPr>
          <w:rFonts w:ascii="Arial" w:cs="Arial" w:eastAsia="Arial" w:hAnsi="Arial"/>
          <w:sz w:val="16"/>
          <w:szCs w:val="16"/>
          <w:color w:val="FF4A6A"/>
        </w:rPr>
      </w:pPr>
      <w:r>
        <w:rPr>
          <w:rFonts w:ascii="Arial" w:cs="Arial" w:eastAsia="Arial" w:hAnsi="Arial"/>
          <w:sz w:val="16"/>
          <w:szCs w:val="16"/>
          <w:color w:val="0B2E44"/>
        </w:rPr>
        <w:t>We link pay to performance by delivering a substantial portion of total compensation for our executive officers in the form of long-term equity awards.</w:t>
      </w:r>
    </w:p>
    <w:p>
      <w:pPr>
        <w:ind w:left="660" w:right="420" w:hanging="328"/>
        <w:spacing w:after="0" w:line="276" w:lineRule="auto"/>
        <w:tabs>
          <w:tab w:leader="none" w:pos="660" w:val="left"/>
        </w:tabs>
        <w:numPr>
          <w:ilvl w:val="0"/>
          <w:numId w:val="34"/>
        </w:numPr>
        <w:rPr>
          <w:rFonts w:ascii="Arial" w:cs="Arial" w:eastAsia="Arial" w:hAnsi="Arial"/>
          <w:sz w:val="16"/>
          <w:szCs w:val="16"/>
          <w:color w:val="FF4A6A"/>
        </w:rPr>
      </w:pPr>
      <w:r>
        <w:rPr>
          <w:rFonts w:ascii="Arial" w:cs="Arial" w:eastAsia="Arial" w:hAnsi="Arial"/>
          <w:sz w:val="16"/>
          <w:szCs w:val="16"/>
          <w:color w:val="0B2E44"/>
        </w:rPr>
        <w:t>Our TMCC directly engages an independent compensation consultant, Compensia, to provide analysis for the annual executive compensation review and guidance on other executive compensation matters independent of management.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E14A6A"/>
        </w:rPr>
        <w:t>What we do not do</w:t>
      </w:r>
    </w:p>
    <w:p>
      <w:pPr>
        <w:spacing w:after="0" w:line="7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FF4A6A"/>
        </w:rPr>
      </w:pPr>
      <w:r>
        <w:rPr>
          <w:rFonts w:ascii="Arial" w:cs="Arial" w:eastAsia="Arial" w:hAnsi="Arial"/>
          <w:sz w:val="16"/>
          <w:szCs w:val="16"/>
          <w:color w:val="0B2E44"/>
        </w:rPr>
        <w:t>We do not provide guaranteed bonuses to our executive officers.</w:t>
      </w:r>
    </w:p>
    <w:p>
      <w:pPr>
        <w:spacing w:after="0" w:line="59" w:lineRule="exact"/>
        <w:rPr>
          <w:rFonts w:ascii="Arial" w:cs="Arial" w:eastAsia="Arial" w:hAnsi="Arial"/>
          <w:sz w:val="16"/>
          <w:szCs w:val="16"/>
          <w:color w:val="FF4A6A"/>
        </w:rPr>
      </w:pPr>
    </w:p>
    <w:p>
      <w:pPr>
        <w:ind w:left="660" w:right="120" w:hanging="328"/>
        <w:spacing w:after="0" w:line="290" w:lineRule="auto"/>
        <w:tabs>
          <w:tab w:leader="none" w:pos="660" w:val="left"/>
        </w:tabs>
        <w:numPr>
          <w:ilvl w:val="0"/>
          <w:numId w:val="35"/>
        </w:numPr>
        <w:rPr>
          <w:rFonts w:ascii="Arial" w:cs="Arial" w:eastAsia="Arial" w:hAnsi="Arial"/>
          <w:sz w:val="16"/>
          <w:szCs w:val="16"/>
          <w:color w:val="FF4A6A"/>
        </w:rPr>
      </w:pPr>
      <w:r>
        <w:rPr>
          <w:rFonts w:ascii="Arial" w:cs="Arial" w:eastAsia="Arial" w:hAnsi="Arial"/>
          <w:sz w:val="16"/>
          <w:szCs w:val="16"/>
          <w:color w:val="0B2E44"/>
        </w:rPr>
        <w:t>We do not provide any excise tax reimbursement payments (including “gross-ups”) with respect to payments or benefits contingent upon a change in control of our Company.</w:t>
      </w:r>
    </w:p>
    <w:p>
      <w:pPr>
        <w:ind w:left="660" w:right="400" w:hanging="328"/>
        <w:spacing w:after="0" w:line="276" w:lineRule="auto"/>
        <w:tabs>
          <w:tab w:leader="none" w:pos="660" w:val="left"/>
        </w:tabs>
        <w:numPr>
          <w:ilvl w:val="0"/>
          <w:numId w:val="35"/>
        </w:numPr>
        <w:rPr>
          <w:rFonts w:ascii="Arial" w:cs="Arial" w:eastAsia="Arial" w:hAnsi="Arial"/>
          <w:sz w:val="16"/>
          <w:szCs w:val="16"/>
          <w:color w:val="FF4A6A"/>
        </w:rPr>
      </w:pPr>
      <w:r>
        <w:rPr>
          <w:rFonts w:ascii="Arial" w:cs="Arial" w:eastAsia="Arial" w:hAnsi="Arial"/>
          <w:sz w:val="16"/>
          <w:szCs w:val="16"/>
          <w:color w:val="0B2E44"/>
        </w:rPr>
        <w:t>We do not offer pension arrangements, or non-qualified deferred compensation plans or arrangements to our executive officers, other than our 401(k) plan, which is open to all United States salaried employees.</w:t>
      </w:r>
    </w:p>
    <w:p>
      <w:pPr>
        <w:spacing w:after="0" w:line="22" w:lineRule="exact"/>
        <w:rPr>
          <w:rFonts w:ascii="Arial" w:cs="Arial" w:eastAsia="Arial" w:hAnsi="Arial"/>
          <w:sz w:val="16"/>
          <w:szCs w:val="16"/>
          <w:color w:val="FF4A6A"/>
        </w:rPr>
      </w:pPr>
    </w:p>
    <w:p>
      <w:pPr>
        <w:ind w:left="660" w:right="60" w:hanging="328"/>
        <w:spacing w:after="0" w:line="276" w:lineRule="auto"/>
        <w:tabs>
          <w:tab w:leader="none" w:pos="660" w:val="left"/>
        </w:tabs>
        <w:numPr>
          <w:ilvl w:val="0"/>
          <w:numId w:val="35"/>
        </w:numPr>
        <w:rPr>
          <w:rFonts w:ascii="Arial" w:cs="Arial" w:eastAsia="Arial" w:hAnsi="Arial"/>
          <w:sz w:val="16"/>
          <w:szCs w:val="16"/>
          <w:color w:val="FF4A6A"/>
        </w:rPr>
      </w:pPr>
      <w:r>
        <w:rPr>
          <w:rFonts w:ascii="Arial" w:cs="Arial" w:eastAsia="Arial" w:hAnsi="Arial"/>
          <w:sz w:val="16"/>
          <w:szCs w:val="16"/>
          <w:color w:val="0B2E44"/>
        </w:rPr>
        <w:t>Our named executive officers participate in broad-based company-sponsored health and welfare benefits programs on the same basis as our other full-time, salaried employees.</w:t>
      </w:r>
    </w:p>
    <w:p>
      <w:pPr>
        <w:spacing w:after="0" w:line="22" w:lineRule="exact"/>
        <w:rPr>
          <w:rFonts w:ascii="Arial" w:cs="Arial" w:eastAsia="Arial" w:hAnsi="Arial"/>
          <w:sz w:val="16"/>
          <w:szCs w:val="16"/>
          <w:color w:val="FF4A6A"/>
        </w:rPr>
      </w:pPr>
    </w:p>
    <w:p>
      <w:pPr>
        <w:ind w:left="660" w:right="40" w:hanging="328"/>
        <w:spacing w:after="0" w:line="276" w:lineRule="auto"/>
        <w:tabs>
          <w:tab w:leader="none" w:pos="660" w:val="left"/>
        </w:tabs>
        <w:numPr>
          <w:ilvl w:val="0"/>
          <w:numId w:val="35"/>
        </w:numPr>
        <w:rPr>
          <w:rFonts w:ascii="Arial" w:cs="Arial" w:eastAsia="Arial" w:hAnsi="Arial"/>
          <w:sz w:val="16"/>
          <w:szCs w:val="16"/>
          <w:color w:val="FF4A6A"/>
        </w:rPr>
      </w:pPr>
      <w:r>
        <w:rPr>
          <w:rFonts w:ascii="Arial" w:cs="Arial" w:eastAsia="Arial" w:hAnsi="Arial"/>
          <w:sz w:val="16"/>
          <w:szCs w:val="16"/>
          <w:color w:val="0B2E44"/>
        </w:rPr>
        <w:t>We prohibit our employees, including our named executive officers, and the members of our Board of Directors from hedging or similar transactions designed to decrease risks associated with holding our equity securities.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32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0B2E44"/>
        </w:rPr>
        <w:t xml:space="preserve">CD&amp;A </w:t>
      </w:r>
      <w:r>
        <w:rPr>
          <w:rFonts w:ascii="Arial" w:cs="Arial" w:eastAsia="Arial" w:hAnsi="Arial"/>
          <w:sz w:val="11"/>
          <w:szCs w:val="11"/>
          <w:color w:val="FF4A6A"/>
        </w:rPr>
        <w:t>|</w:t>
      </w:r>
      <w:r>
        <w:rPr>
          <w:sz w:val="20"/>
          <w:szCs w:val="20"/>
          <w:color w:val="auto"/>
        </w:rPr>
        <w:tab/>
      </w:r>
      <w:r>
        <w:rPr>
          <w:rFonts w:ascii="Arial" w:cs="Arial" w:eastAsia="Arial" w:hAnsi="Arial"/>
          <w:sz w:val="10"/>
          <w:szCs w:val="10"/>
          <w:b w:val="1"/>
          <w:bCs w:val="1"/>
          <w:color w:val="auto"/>
        </w:rPr>
        <w:t>COMPENSATION PHILOSOPHY AND OBJECTIVES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Mix of Compensation Elements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0B2E44"/>
        </w:rPr>
        <w:t>Our fiscal 2023 executive compensation program consists of three principal elements: base salary, annual cash incentive bonuses, and long-term equity</w:t>
      </w:r>
    </w:p>
    <w:p>
      <w:pPr>
        <w:spacing w:after="0" w:line="59" w:lineRule="exact"/>
        <w:rPr>
          <w:sz w:val="20"/>
          <w:szCs w:val="20"/>
          <w:color w:val="auto"/>
        </w:rPr>
      </w:pPr>
    </w:p>
    <w:p>
      <w:pPr>
        <w:spacing w:after="0" w:line="278" w:lineRule="auto"/>
        <w:rPr>
          <w:sz w:val="20"/>
          <w:szCs w:val="20"/>
          <w:color w:val="auto"/>
        </w:rPr>
      </w:pPr>
      <w:r>
        <w:rPr>
          <w:rFonts w:ascii="Arial" w:cs="Arial" w:eastAsia="Arial" w:hAnsi="Arial"/>
          <w:sz w:val="16"/>
          <w:szCs w:val="16"/>
          <w:color w:val="0B2E44"/>
        </w:rPr>
        <w:t>incentive awards. Consistent with our pay for performance philosophy, the majority of target total direct compensation for the named executive officers in fiscal 2023 consisted of incentive awards, particularly long-term equity incentive awards. The TMCC believes that emphasizing equity-based compensation creates a strong incentive for our executives to build sustainable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-347345</wp:posOffset>
            </wp:positionV>
            <wp:extent cx="381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157480</wp:posOffset>
            </wp:positionV>
            <wp:extent cx="6035040" cy="5143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5040"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0" w:right="6380"/>
        <w:spacing w:after="0" w:line="292" w:lineRule="auto"/>
        <w:rPr>
          <w:sz w:val="20"/>
          <w:szCs w:val="20"/>
          <w:color w:val="auto"/>
        </w:rPr>
      </w:pPr>
      <w:r>
        <w:rPr>
          <w:rFonts w:ascii="Arial" w:cs="Arial" w:eastAsia="Arial" w:hAnsi="Arial"/>
          <w:sz w:val="21"/>
          <w:szCs w:val="21"/>
          <w:b w:val="1"/>
          <w:bCs w:val="1"/>
          <w:color w:val="0B2E44"/>
        </w:rPr>
        <w:t>Prior Stockholder Advisory Vote on Named Executive Officer Compensation</w:t>
      </w:r>
    </w:p>
    <w:p>
      <w:pPr>
        <w:spacing w:after="0" w:line="2" w:lineRule="exact"/>
        <w:rPr>
          <w:sz w:val="20"/>
          <w:szCs w:val="20"/>
          <w:color w:val="auto"/>
        </w:rPr>
      </w:pPr>
    </w:p>
    <w:p>
      <w:pPr>
        <w:ind w:left="600" w:right="3860"/>
        <w:spacing w:after="0" w:line="259" w:lineRule="auto"/>
        <w:rPr>
          <w:sz w:val="20"/>
          <w:szCs w:val="20"/>
          <w:color w:val="auto"/>
        </w:rPr>
      </w:pPr>
      <w:r>
        <w:rPr>
          <w:rFonts w:ascii="Arial" w:cs="Arial" w:eastAsia="Arial" w:hAnsi="Arial"/>
          <w:sz w:val="16"/>
          <w:szCs w:val="16"/>
          <w:color w:val="0B2E44"/>
        </w:rPr>
        <w:t>In light of the 2022 say-on-pay vote, in which 94% of the votes cast were in favor of our executive compensation program, the TMCC maintained a consistent approach for fiscal year 2023. In particular, the TMCC continued to emphasize pay-for-performance through the use of performance share awards that reward our executive officers only if they deliver value for our stockholders. The TMCC will continue to consider input from our stockholders when making compensation decisions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33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0B2E44"/>
        </w:rPr>
        <w:t xml:space="preserve">CD&amp;A </w:t>
      </w:r>
      <w:r>
        <w:rPr>
          <w:rFonts w:ascii="Arial" w:cs="Arial" w:eastAsia="Arial" w:hAnsi="Arial"/>
          <w:sz w:val="11"/>
          <w:szCs w:val="11"/>
          <w:color w:val="FF4A6A"/>
        </w:rPr>
        <w:t>|</w:t>
      </w:r>
      <w:r>
        <w:rPr>
          <w:sz w:val="20"/>
          <w:szCs w:val="20"/>
          <w:color w:val="auto"/>
        </w:rPr>
        <w:tab/>
      </w:r>
      <w:r>
        <w:rPr>
          <w:rFonts w:ascii="Arial" w:cs="Arial" w:eastAsia="Arial" w:hAnsi="Arial"/>
          <w:sz w:val="10"/>
          <w:szCs w:val="10"/>
          <w:b w:val="1"/>
          <w:bCs w:val="1"/>
          <w:color w:val="auto"/>
        </w:rPr>
        <w:t>HOW COMPENSATION DECISIONS ARE MADE</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How Compensation Decisions are Made</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0B2E44"/>
        </w:rPr>
        <w:t>The TMCC’s goal is generally to target elements of compensation within a competitive range, using a balanced approach that does not use rigid percentiles to determine target pay levels for each compensation element. For fiscal 2023, the TMCC reviewed each element of compensation described below and set the target total direct compensation opportunities of our executive officers after taking into consideration the following factors:</w:t>
      </w:r>
    </w:p>
    <w:p>
      <w:pPr>
        <w:spacing w:after="0" w:line="1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FF4A6A"/>
        </w:rPr>
      </w:pPr>
      <w:r>
        <w:rPr>
          <w:rFonts w:ascii="Arial" w:cs="Arial" w:eastAsia="Arial" w:hAnsi="Arial"/>
          <w:sz w:val="16"/>
          <w:szCs w:val="16"/>
          <w:color w:val="0B2E44"/>
        </w:rPr>
        <w:t>market data, including practices among companies in our compensation peer group;</w:t>
      </w:r>
    </w:p>
    <w:p>
      <w:pPr>
        <w:spacing w:after="0" w:line="72" w:lineRule="exact"/>
        <w:rPr>
          <w:rFonts w:ascii="Arial" w:cs="Arial" w:eastAsia="Arial" w:hAnsi="Arial"/>
          <w:sz w:val="16"/>
          <w:szCs w:val="16"/>
          <w:color w:val="FF4A6A"/>
        </w:rPr>
      </w:pPr>
    </w:p>
    <w:p>
      <w:pPr>
        <w:ind w:left="660" w:hanging="328"/>
        <w:spacing w:after="0"/>
        <w:tabs>
          <w:tab w:leader="none" w:pos="660" w:val="left"/>
        </w:tabs>
        <w:numPr>
          <w:ilvl w:val="0"/>
          <w:numId w:val="36"/>
        </w:numPr>
        <w:rPr>
          <w:rFonts w:ascii="Arial" w:cs="Arial" w:eastAsia="Arial" w:hAnsi="Arial"/>
          <w:sz w:val="16"/>
          <w:szCs w:val="16"/>
          <w:color w:val="FF4A6A"/>
        </w:rPr>
      </w:pPr>
      <w:r>
        <w:rPr>
          <w:rFonts w:ascii="Arial" w:cs="Arial" w:eastAsia="Arial" w:hAnsi="Arial"/>
          <w:sz w:val="16"/>
          <w:szCs w:val="16"/>
          <w:color w:val="0B2E44"/>
        </w:rPr>
        <w:t>each executive officer’s scope of responsibilities;</w:t>
      </w:r>
    </w:p>
    <w:p>
      <w:pPr>
        <w:spacing w:after="0" w:line="59" w:lineRule="exact"/>
        <w:rPr>
          <w:rFonts w:ascii="Arial" w:cs="Arial" w:eastAsia="Arial" w:hAnsi="Arial"/>
          <w:sz w:val="16"/>
          <w:szCs w:val="16"/>
          <w:color w:val="FF4A6A"/>
        </w:rPr>
      </w:pPr>
    </w:p>
    <w:p>
      <w:pPr>
        <w:ind w:left="660" w:hanging="328"/>
        <w:spacing w:after="0"/>
        <w:tabs>
          <w:tab w:leader="none" w:pos="660" w:val="left"/>
        </w:tabs>
        <w:numPr>
          <w:ilvl w:val="0"/>
          <w:numId w:val="36"/>
        </w:numPr>
        <w:rPr>
          <w:rFonts w:ascii="Arial" w:cs="Arial" w:eastAsia="Arial" w:hAnsi="Arial"/>
          <w:sz w:val="16"/>
          <w:szCs w:val="16"/>
          <w:color w:val="FF4A6A"/>
        </w:rPr>
      </w:pPr>
      <w:r>
        <w:rPr>
          <w:rFonts w:ascii="Arial" w:cs="Arial" w:eastAsia="Arial" w:hAnsi="Arial"/>
          <w:sz w:val="16"/>
          <w:szCs w:val="16"/>
          <w:color w:val="0B2E44"/>
        </w:rPr>
        <w:t>each executive officer’s tenure, skills, and experience;</w:t>
      </w:r>
    </w:p>
    <w:p>
      <w:pPr>
        <w:spacing w:after="0" w:line="59" w:lineRule="exact"/>
        <w:rPr>
          <w:rFonts w:ascii="Arial" w:cs="Arial" w:eastAsia="Arial" w:hAnsi="Arial"/>
          <w:sz w:val="16"/>
          <w:szCs w:val="16"/>
          <w:color w:val="FF4A6A"/>
        </w:rPr>
      </w:pPr>
    </w:p>
    <w:p>
      <w:pPr>
        <w:ind w:left="660" w:hanging="328"/>
        <w:spacing w:after="0"/>
        <w:tabs>
          <w:tab w:leader="none" w:pos="660" w:val="left"/>
        </w:tabs>
        <w:numPr>
          <w:ilvl w:val="0"/>
          <w:numId w:val="36"/>
        </w:numPr>
        <w:rPr>
          <w:rFonts w:ascii="Arial" w:cs="Arial" w:eastAsia="Arial" w:hAnsi="Arial"/>
          <w:sz w:val="16"/>
          <w:szCs w:val="16"/>
          <w:color w:val="FF4A6A"/>
        </w:rPr>
      </w:pPr>
      <w:r>
        <w:rPr>
          <w:rFonts w:ascii="Arial" w:cs="Arial" w:eastAsia="Arial" w:hAnsi="Arial"/>
          <w:sz w:val="16"/>
          <w:szCs w:val="16"/>
          <w:color w:val="0B2E44"/>
        </w:rPr>
        <w:t>internal pay equity across the executive management team;</w:t>
      </w:r>
    </w:p>
    <w:p>
      <w:pPr>
        <w:spacing w:after="0" w:line="72" w:lineRule="exact"/>
        <w:rPr>
          <w:rFonts w:ascii="Arial" w:cs="Arial" w:eastAsia="Arial" w:hAnsi="Arial"/>
          <w:sz w:val="16"/>
          <w:szCs w:val="16"/>
          <w:color w:val="FF4A6A"/>
        </w:rPr>
      </w:pPr>
    </w:p>
    <w:p>
      <w:pPr>
        <w:ind w:left="660" w:hanging="328"/>
        <w:spacing w:after="0"/>
        <w:tabs>
          <w:tab w:leader="none" w:pos="660" w:val="left"/>
        </w:tabs>
        <w:numPr>
          <w:ilvl w:val="0"/>
          <w:numId w:val="36"/>
        </w:numPr>
        <w:rPr>
          <w:rFonts w:ascii="Arial" w:cs="Arial" w:eastAsia="Arial" w:hAnsi="Arial"/>
          <w:sz w:val="16"/>
          <w:szCs w:val="16"/>
          <w:color w:val="FF4A6A"/>
        </w:rPr>
      </w:pPr>
      <w:r>
        <w:rPr>
          <w:rFonts w:ascii="Arial" w:cs="Arial" w:eastAsia="Arial" w:hAnsi="Arial"/>
          <w:sz w:val="16"/>
          <w:szCs w:val="16"/>
          <w:color w:val="0B2E44"/>
        </w:rPr>
        <w:t>our overall performance, taking into consideration performance versus internal plans and industry peers;</w:t>
      </w:r>
    </w:p>
    <w:p>
      <w:pPr>
        <w:spacing w:after="0" w:line="59" w:lineRule="exact"/>
        <w:rPr>
          <w:rFonts w:ascii="Arial" w:cs="Arial" w:eastAsia="Arial" w:hAnsi="Arial"/>
          <w:sz w:val="16"/>
          <w:szCs w:val="16"/>
          <w:color w:val="FF4A6A"/>
        </w:rPr>
      </w:pPr>
    </w:p>
    <w:p>
      <w:pPr>
        <w:ind w:left="660" w:hanging="328"/>
        <w:spacing w:after="0"/>
        <w:tabs>
          <w:tab w:leader="none" w:pos="660" w:val="left"/>
        </w:tabs>
        <w:numPr>
          <w:ilvl w:val="0"/>
          <w:numId w:val="36"/>
        </w:numPr>
        <w:rPr>
          <w:rFonts w:ascii="Arial" w:cs="Arial" w:eastAsia="Arial" w:hAnsi="Arial"/>
          <w:sz w:val="16"/>
          <w:szCs w:val="16"/>
          <w:color w:val="FF4A6A"/>
        </w:rPr>
      </w:pPr>
      <w:r>
        <w:rPr>
          <w:rFonts w:ascii="Arial" w:cs="Arial" w:eastAsia="Arial" w:hAnsi="Arial"/>
          <w:sz w:val="16"/>
          <w:szCs w:val="16"/>
          <w:color w:val="0B2E44"/>
        </w:rPr>
        <w:t>the recommendations of our CEO; and</w:t>
      </w:r>
    </w:p>
    <w:p>
      <w:pPr>
        <w:spacing w:after="0" w:line="72" w:lineRule="exact"/>
        <w:rPr>
          <w:rFonts w:ascii="Arial" w:cs="Arial" w:eastAsia="Arial" w:hAnsi="Arial"/>
          <w:sz w:val="16"/>
          <w:szCs w:val="16"/>
          <w:color w:val="FF4A6A"/>
        </w:rPr>
      </w:pPr>
    </w:p>
    <w:p>
      <w:pPr>
        <w:ind w:left="660" w:hanging="328"/>
        <w:spacing w:after="0"/>
        <w:tabs>
          <w:tab w:leader="none" w:pos="660" w:val="left"/>
        </w:tabs>
        <w:numPr>
          <w:ilvl w:val="0"/>
          <w:numId w:val="36"/>
        </w:numPr>
        <w:rPr>
          <w:rFonts w:ascii="Arial" w:cs="Arial" w:eastAsia="Arial" w:hAnsi="Arial"/>
          <w:sz w:val="16"/>
          <w:szCs w:val="16"/>
          <w:color w:val="FF4A6A"/>
        </w:rPr>
      </w:pPr>
      <w:r>
        <w:rPr>
          <w:rFonts w:ascii="Arial" w:cs="Arial" w:eastAsia="Arial" w:hAnsi="Arial"/>
          <w:sz w:val="16"/>
          <w:szCs w:val="16"/>
          <w:color w:val="0B2E44"/>
        </w:rPr>
        <w:t>general market conditions.</w:t>
      </w:r>
    </w:p>
    <w:p>
      <w:pPr>
        <w:spacing w:after="0" w:line="113" w:lineRule="exact"/>
        <w:rPr>
          <w:sz w:val="20"/>
          <w:szCs w:val="20"/>
          <w:color w:val="auto"/>
        </w:rPr>
      </w:pPr>
    </w:p>
    <w:p>
      <w:pPr>
        <w:spacing w:after="0" w:line="276" w:lineRule="auto"/>
        <w:rPr>
          <w:sz w:val="20"/>
          <w:szCs w:val="20"/>
          <w:color w:val="auto"/>
        </w:rPr>
      </w:pPr>
      <w:r>
        <w:rPr>
          <w:rFonts w:ascii="Arial" w:cs="Arial" w:eastAsia="Arial" w:hAnsi="Arial"/>
          <w:sz w:val="16"/>
          <w:szCs w:val="16"/>
          <w:color w:val="0B2E44"/>
        </w:rPr>
        <w:t>The TMCC does not assign relative weights or rankings to any of these factors and does not solely use any quantitative formula, target percentile or multiple for establishing compensation among the executive officers or in relation to the competitive market data.</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Role of the Talent Management and Compensation Committee</w:t>
      </w:r>
    </w:p>
    <w:p>
      <w:pPr>
        <w:spacing w:after="0" w:line="66" w:lineRule="exact"/>
        <w:rPr>
          <w:sz w:val="20"/>
          <w:szCs w:val="20"/>
          <w:color w:val="auto"/>
        </w:rPr>
      </w:pPr>
    </w:p>
    <w:p>
      <w:pPr>
        <w:ind w:right="1000"/>
        <w:spacing w:after="0" w:line="276" w:lineRule="auto"/>
        <w:rPr>
          <w:sz w:val="20"/>
          <w:szCs w:val="20"/>
          <w:color w:val="auto"/>
        </w:rPr>
      </w:pPr>
      <w:r>
        <w:rPr>
          <w:rFonts w:ascii="Arial" w:cs="Arial" w:eastAsia="Arial" w:hAnsi="Arial"/>
          <w:sz w:val="16"/>
          <w:szCs w:val="16"/>
          <w:color w:val="0B2E44"/>
        </w:rPr>
        <w:t>The TMCC is responsible for setting the compensation of our CEO and for reviewing and approving our CEO’s recommendations regarding the compensation of our other executive officers.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Role of Executive Officers</w:t>
      </w:r>
    </w:p>
    <w:p>
      <w:pPr>
        <w:spacing w:after="0" w:line="66"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0B2E44"/>
        </w:rPr>
        <w:t>Each year, the CEO reviews the performance and compensation of each of the executive officers and makes recommendations to the TMCC with respect to their compensation for the coming year. In addition, our CEO, CFO, and CPO support the TMCC in its work by providing information relating to our financial plans and personnel-related data.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34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HOW COMPENSATION DECISIONS ARE MADE</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Role of the Compensation Consultant</w:t>
      </w:r>
    </w:p>
    <w:p>
      <w:pPr>
        <w:spacing w:after="0" w:line="66" w:lineRule="exact"/>
        <w:rPr>
          <w:sz w:val="20"/>
          <w:szCs w:val="20"/>
          <w:color w:val="auto"/>
        </w:rPr>
      </w:pPr>
    </w:p>
    <w:p>
      <w:pPr>
        <w:spacing w:after="0" w:line="258" w:lineRule="auto"/>
        <w:rPr>
          <w:sz w:val="20"/>
          <w:szCs w:val="20"/>
          <w:color w:val="auto"/>
        </w:rPr>
      </w:pPr>
      <w:r>
        <w:rPr>
          <w:rFonts w:ascii="Arial" w:cs="Arial" w:eastAsia="Arial" w:hAnsi="Arial"/>
          <w:sz w:val="16"/>
          <w:szCs w:val="16"/>
          <w:color w:val="0B2E44"/>
        </w:rPr>
        <w:t>The TMCC has authority under its charter to engage outside advisors and experts for advice as appropriate. During fiscal year 2023, the TMCC engaged the services of Compensia, Inc., a national compensation consulting firm, as the TMCC’s consultant to provide advice on matters relating to the compensation of our executive officers and non-employee directors. Compensia provided the TMCC with an analysis of industry sector competitive market data regarding executive compensation, information on compensation trends, and peer group and general market data, as well as assistance with the parameters used to determine the peer group, base salaries, incentive plan design, and the overall structure of our executive compensation program.</w:t>
      </w:r>
    </w:p>
    <w:p>
      <w:pPr>
        <w:spacing w:after="0" w:line="3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0B2E44"/>
        </w:rPr>
        <w:t>The TMCC regularly reviews the objectivity and independence of the advice provided by its compensation consultant. The TMCC has evaluated Compensia’s engagement and, based on the six factors for assessing independence and identifying potential conflicts of interest that are set forth in SEC rules and Nasdaq rules (and such other factors as were deemed relevant under the circumstances), the TMCC has determined that its relationship with Compensia and the work of Compensia on behalf of the TMCC did not raise any conflict of interest.</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Role of the Peer Group</w:t>
      </w:r>
    </w:p>
    <w:p>
      <w:pPr>
        <w:spacing w:after="0" w:line="80"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0B2E44"/>
        </w:rPr>
        <w:t>During fiscal 2023, the TMCC engaged Compensia to conduct a competitive market analysis for purposes of evaluating our base salaries, annual cash bonus opportunities, and long-term equity incentive plan. The data from this analysis was used to ensure that our executive compensation program was optimally structured to attract, motivate, retain, and reward our highly experienced management team, to keep management focused during our expected period of growth, and to align our compensation practices with comparable technology industry companies.</w:t>
      </w:r>
    </w:p>
    <w:p>
      <w:pPr>
        <w:spacing w:after="0" w:line="2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0B2E44"/>
        </w:rPr>
        <w:t>In developing the peer group, the TMCC targeted U.S.-headquartered companies within similar industries and of a similar size as the Company. In particular, the TMCC targeted direct competitors and other business application software companies. The peer companies were also evaluated based on two financial criteria:</w:t>
      </w:r>
    </w:p>
    <w:p>
      <w:pPr>
        <w:spacing w:after="0" w:line="6"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6"/>
          <w:szCs w:val="16"/>
          <w:color w:val="E14A6A"/>
        </w:rPr>
      </w:pPr>
      <w:r>
        <w:rPr>
          <w:rFonts w:ascii="Arial" w:cs="Arial" w:eastAsia="Arial" w:hAnsi="Arial"/>
          <w:sz w:val="16"/>
          <w:szCs w:val="16"/>
          <w:b w:val="1"/>
          <w:bCs w:val="1"/>
          <w:color w:val="E14A6A"/>
        </w:rPr>
        <w:t xml:space="preserve">Revenue: </w:t>
      </w:r>
      <w:r>
        <w:rPr>
          <w:rFonts w:ascii="Arial" w:cs="Arial" w:eastAsia="Arial" w:hAnsi="Arial"/>
          <w:sz w:val="16"/>
          <w:szCs w:val="16"/>
          <w:color w:val="092E44"/>
        </w:rPr>
        <w:t>Target between approximately $400 million and $1.6 billion (0.5x to 2.0x the Company’s trailing 12-month revenue); and</w:t>
      </w:r>
    </w:p>
    <w:p>
      <w:pPr>
        <w:spacing w:after="0" w:line="72" w:lineRule="exact"/>
        <w:rPr>
          <w:rFonts w:ascii="Arial" w:cs="Arial" w:eastAsia="Arial" w:hAnsi="Arial"/>
          <w:sz w:val="16"/>
          <w:szCs w:val="16"/>
          <w:color w:val="E14A6A"/>
        </w:rPr>
      </w:pPr>
    </w:p>
    <w:p>
      <w:pPr>
        <w:ind w:left="240" w:hanging="232"/>
        <w:spacing w:after="0"/>
        <w:tabs>
          <w:tab w:leader="none" w:pos="240" w:val="left"/>
        </w:tabs>
        <w:numPr>
          <w:ilvl w:val="0"/>
          <w:numId w:val="37"/>
        </w:numPr>
        <w:rPr>
          <w:rFonts w:ascii="Arial" w:cs="Arial" w:eastAsia="Arial" w:hAnsi="Arial"/>
          <w:sz w:val="16"/>
          <w:szCs w:val="16"/>
          <w:color w:val="E14A6A"/>
        </w:rPr>
      </w:pPr>
      <w:r>
        <w:rPr>
          <w:rFonts w:ascii="Arial" w:cs="Arial" w:eastAsia="Arial" w:hAnsi="Arial"/>
          <w:sz w:val="16"/>
          <w:szCs w:val="16"/>
          <w:b w:val="1"/>
          <w:bCs w:val="1"/>
          <w:color w:val="E14A6A"/>
        </w:rPr>
        <w:t xml:space="preserve">Market Capitalization: </w:t>
      </w:r>
      <w:r>
        <w:rPr>
          <w:rFonts w:ascii="Arial" w:cs="Arial" w:eastAsia="Arial" w:hAnsi="Arial"/>
          <w:sz w:val="16"/>
          <w:szCs w:val="16"/>
          <w:color w:val="092E44"/>
        </w:rPr>
        <w:t>Target between $1.0 billion and $9.0 billion (0.3x to 3.0x the Company’s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2090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09040"/>
                    </a:xfrm>
                    <a:prstGeom prst="rect">
                      <a:avLst/>
                    </a:prstGeom>
                    <a:noFill/>
                  </pic:spPr>
                </pic:pic>
              </a:graphicData>
            </a:graphic>
          </wp:anchor>
        </w:drawing>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color w:val="E14A6A"/>
        </w:rPr>
        <w:t>The companies included in the peer group for fiscal year 2023 were</w:t>
      </w:r>
    </w:p>
    <w:p>
      <w:pPr>
        <w:spacing w:after="0" w:line="52"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640" w:type="dxa"/>
            <w:vAlign w:val="bottom"/>
          </w:tcPr>
          <w:p>
            <w:pPr>
              <w:spacing w:after="0"/>
              <w:rPr>
                <w:sz w:val="20"/>
                <w:szCs w:val="20"/>
                <w:color w:val="auto"/>
              </w:rPr>
            </w:pPr>
            <w:r>
              <w:rPr>
                <w:rFonts w:ascii="Arial" w:cs="Arial" w:eastAsia="Arial" w:hAnsi="Arial"/>
                <w:sz w:val="16"/>
                <w:szCs w:val="16"/>
                <w:color w:val="092E44"/>
              </w:rPr>
              <w:t>ACI Worldwide</w:t>
            </w:r>
          </w:p>
        </w:tc>
        <w:tc>
          <w:tcPr>
            <w:tcW w:w="3540" w:type="dxa"/>
            <w:vAlign w:val="bottom"/>
          </w:tcPr>
          <w:p>
            <w:pPr>
              <w:ind w:left="1040"/>
              <w:spacing w:after="0"/>
              <w:rPr>
                <w:sz w:val="20"/>
                <w:szCs w:val="20"/>
                <w:color w:val="auto"/>
              </w:rPr>
            </w:pPr>
            <w:r>
              <w:rPr>
                <w:rFonts w:ascii="Arial" w:cs="Arial" w:eastAsia="Arial" w:hAnsi="Arial"/>
                <w:sz w:val="16"/>
                <w:szCs w:val="16"/>
                <w:color w:val="092E44"/>
              </w:rPr>
              <w:t>MicroStrategy</w:t>
            </w:r>
          </w:p>
        </w:tc>
        <w:tc>
          <w:tcPr>
            <w:tcW w:w="2440" w:type="dxa"/>
            <w:vAlign w:val="bottom"/>
          </w:tcPr>
          <w:p>
            <w:pPr>
              <w:ind w:left="1180"/>
              <w:spacing w:after="0"/>
              <w:rPr>
                <w:sz w:val="20"/>
                <w:szCs w:val="20"/>
                <w:color w:val="auto"/>
              </w:rPr>
            </w:pPr>
            <w:r>
              <w:rPr>
                <w:rFonts w:ascii="Arial" w:cs="Arial" w:eastAsia="Arial" w:hAnsi="Arial"/>
                <w:sz w:val="16"/>
                <w:szCs w:val="16"/>
                <w:color w:val="092E44"/>
              </w:rPr>
              <w:t>Pure Storage</w:t>
            </w: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092E44"/>
              </w:rPr>
              <w:t>Alteryx</w:t>
            </w:r>
          </w:p>
        </w:tc>
        <w:tc>
          <w:tcPr>
            <w:tcW w:w="3540" w:type="dxa"/>
            <w:vAlign w:val="bottom"/>
          </w:tcPr>
          <w:p>
            <w:pPr>
              <w:ind w:left="1040"/>
              <w:spacing w:after="0"/>
              <w:rPr>
                <w:sz w:val="20"/>
                <w:szCs w:val="20"/>
                <w:color w:val="auto"/>
              </w:rPr>
            </w:pPr>
            <w:r>
              <w:rPr>
                <w:rFonts w:ascii="Arial" w:cs="Arial" w:eastAsia="Arial" w:hAnsi="Arial"/>
                <w:sz w:val="16"/>
                <w:szCs w:val="16"/>
                <w:color w:val="092E44"/>
              </w:rPr>
              <w:t>N-Able</w:t>
            </w:r>
          </w:p>
        </w:tc>
        <w:tc>
          <w:tcPr>
            <w:tcW w:w="2440" w:type="dxa"/>
            <w:vAlign w:val="bottom"/>
          </w:tcPr>
          <w:p>
            <w:pPr>
              <w:ind w:left="1180"/>
              <w:spacing w:after="0"/>
              <w:rPr>
                <w:sz w:val="20"/>
                <w:szCs w:val="20"/>
                <w:color w:val="auto"/>
              </w:rPr>
            </w:pPr>
            <w:r>
              <w:rPr>
                <w:rFonts w:ascii="Arial" w:cs="Arial" w:eastAsia="Arial" w:hAnsi="Arial"/>
                <w:sz w:val="16"/>
                <w:szCs w:val="16"/>
                <w:color w:val="092E44"/>
              </w:rPr>
              <w:t>Qualys</w:t>
            </w:r>
          </w:p>
        </w:tc>
      </w:tr>
      <w:tr>
        <w:trPr>
          <w:trHeight w:val="283"/>
        </w:trPr>
        <w:tc>
          <w:tcPr>
            <w:tcW w:w="2640" w:type="dxa"/>
            <w:vAlign w:val="bottom"/>
          </w:tcPr>
          <w:p>
            <w:pPr>
              <w:spacing w:after="0"/>
              <w:rPr>
                <w:sz w:val="20"/>
                <w:szCs w:val="20"/>
                <w:color w:val="auto"/>
              </w:rPr>
            </w:pPr>
            <w:r>
              <w:rPr>
                <w:rFonts w:ascii="Arial" w:cs="Arial" w:eastAsia="Arial" w:hAnsi="Arial"/>
                <w:sz w:val="16"/>
                <w:szCs w:val="16"/>
                <w:color w:val="092E44"/>
              </w:rPr>
              <w:t>Blackbaud</w:t>
            </w:r>
          </w:p>
        </w:tc>
        <w:tc>
          <w:tcPr>
            <w:tcW w:w="3540" w:type="dxa"/>
            <w:vAlign w:val="bottom"/>
          </w:tcPr>
          <w:p>
            <w:pPr>
              <w:ind w:left="1040"/>
              <w:spacing w:after="0"/>
              <w:rPr>
                <w:sz w:val="20"/>
                <w:szCs w:val="20"/>
                <w:color w:val="auto"/>
              </w:rPr>
            </w:pPr>
            <w:r>
              <w:rPr>
                <w:rFonts w:ascii="Arial" w:cs="Arial" w:eastAsia="Arial" w:hAnsi="Arial"/>
                <w:sz w:val="16"/>
                <w:szCs w:val="16"/>
                <w:color w:val="092E44"/>
              </w:rPr>
              <w:t>NetScout Systems</w:t>
            </w:r>
          </w:p>
        </w:tc>
        <w:tc>
          <w:tcPr>
            <w:tcW w:w="2440" w:type="dxa"/>
            <w:vAlign w:val="bottom"/>
          </w:tcPr>
          <w:p>
            <w:pPr>
              <w:ind w:left="1180"/>
              <w:spacing w:after="0"/>
              <w:rPr>
                <w:sz w:val="20"/>
                <w:szCs w:val="20"/>
                <w:color w:val="auto"/>
              </w:rPr>
            </w:pPr>
            <w:r>
              <w:rPr>
                <w:rFonts w:ascii="Arial" w:cs="Arial" w:eastAsia="Arial" w:hAnsi="Arial"/>
                <w:sz w:val="16"/>
                <w:szCs w:val="16"/>
                <w:color w:val="092E44"/>
              </w:rPr>
              <w:t>Rapid7</w:t>
            </w:r>
          </w:p>
        </w:tc>
      </w:tr>
      <w:tr>
        <w:trPr>
          <w:trHeight w:val="283"/>
        </w:trPr>
        <w:tc>
          <w:tcPr>
            <w:tcW w:w="2640" w:type="dxa"/>
            <w:vAlign w:val="bottom"/>
          </w:tcPr>
          <w:p>
            <w:pPr>
              <w:spacing w:after="0"/>
              <w:rPr>
                <w:sz w:val="20"/>
                <w:szCs w:val="20"/>
                <w:color w:val="auto"/>
              </w:rPr>
            </w:pPr>
            <w:r>
              <w:rPr>
                <w:rFonts w:ascii="Arial" w:cs="Arial" w:eastAsia="Arial" w:hAnsi="Arial"/>
                <w:sz w:val="16"/>
                <w:szCs w:val="16"/>
                <w:color w:val="092E44"/>
              </w:rPr>
              <w:t>Box</w:t>
            </w:r>
          </w:p>
        </w:tc>
        <w:tc>
          <w:tcPr>
            <w:tcW w:w="3540" w:type="dxa"/>
            <w:vAlign w:val="bottom"/>
          </w:tcPr>
          <w:p>
            <w:pPr>
              <w:ind w:left="1040"/>
              <w:spacing w:after="0"/>
              <w:rPr>
                <w:sz w:val="20"/>
                <w:szCs w:val="20"/>
                <w:color w:val="auto"/>
              </w:rPr>
            </w:pPr>
            <w:r>
              <w:rPr>
                <w:rFonts w:ascii="Arial" w:cs="Arial" w:eastAsia="Arial" w:hAnsi="Arial"/>
                <w:sz w:val="16"/>
                <w:szCs w:val="16"/>
                <w:color w:val="092E44"/>
              </w:rPr>
              <w:t>New Relic</w:t>
            </w:r>
          </w:p>
        </w:tc>
        <w:tc>
          <w:tcPr>
            <w:tcW w:w="2440" w:type="dxa"/>
            <w:vAlign w:val="bottom"/>
          </w:tcPr>
          <w:p>
            <w:pPr>
              <w:ind w:left="1180"/>
              <w:spacing w:after="0"/>
              <w:rPr>
                <w:sz w:val="20"/>
                <w:szCs w:val="20"/>
                <w:color w:val="auto"/>
              </w:rPr>
            </w:pPr>
            <w:r>
              <w:rPr>
                <w:rFonts w:ascii="Arial" w:cs="Arial" w:eastAsia="Arial" w:hAnsi="Arial"/>
                <w:sz w:val="16"/>
                <w:szCs w:val="16"/>
                <w:color w:val="092E44"/>
                <w:w w:val="99"/>
              </w:rPr>
              <w:t>Tenable Holdings</w:t>
            </w:r>
          </w:p>
        </w:tc>
      </w:tr>
      <w:tr>
        <w:trPr>
          <w:trHeight w:val="284"/>
        </w:trPr>
        <w:tc>
          <w:tcPr>
            <w:tcW w:w="2640" w:type="dxa"/>
            <w:vAlign w:val="bottom"/>
          </w:tcPr>
          <w:p>
            <w:pPr>
              <w:spacing w:after="0"/>
              <w:rPr>
                <w:sz w:val="20"/>
                <w:szCs w:val="20"/>
                <w:color w:val="auto"/>
              </w:rPr>
            </w:pPr>
            <w:r>
              <w:rPr>
                <w:rFonts w:ascii="Arial" w:cs="Arial" w:eastAsia="Arial" w:hAnsi="Arial"/>
                <w:sz w:val="16"/>
                <w:szCs w:val="16"/>
                <w:color w:val="092E44"/>
              </w:rPr>
              <w:t>DigitalOcean Holdings</w:t>
            </w:r>
          </w:p>
        </w:tc>
        <w:tc>
          <w:tcPr>
            <w:tcW w:w="3540" w:type="dxa"/>
            <w:vAlign w:val="bottom"/>
          </w:tcPr>
          <w:p>
            <w:pPr>
              <w:ind w:left="1040"/>
              <w:spacing w:after="0"/>
              <w:rPr>
                <w:sz w:val="20"/>
                <w:szCs w:val="20"/>
                <w:color w:val="auto"/>
              </w:rPr>
            </w:pPr>
            <w:r>
              <w:rPr>
                <w:rFonts w:ascii="Arial" w:cs="Arial" w:eastAsia="Arial" w:hAnsi="Arial"/>
                <w:sz w:val="16"/>
                <w:szCs w:val="16"/>
                <w:color w:val="092E44"/>
              </w:rPr>
              <w:t>Nutanix</w:t>
            </w:r>
          </w:p>
        </w:tc>
        <w:tc>
          <w:tcPr>
            <w:tcW w:w="2440" w:type="dxa"/>
            <w:vAlign w:val="bottom"/>
          </w:tcPr>
          <w:p>
            <w:pPr>
              <w:ind w:left="1180"/>
              <w:spacing w:after="0"/>
              <w:rPr>
                <w:sz w:val="20"/>
                <w:szCs w:val="20"/>
                <w:color w:val="auto"/>
              </w:rPr>
            </w:pPr>
            <w:r>
              <w:rPr>
                <w:rFonts w:ascii="Arial" w:cs="Arial" w:eastAsia="Arial" w:hAnsi="Arial"/>
                <w:sz w:val="16"/>
                <w:szCs w:val="16"/>
                <w:color w:val="092E44"/>
              </w:rPr>
              <w:t>Varonis Systems</w:t>
            </w:r>
          </w:p>
        </w:tc>
      </w:tr>
      <w:tr>
        <w:trPr>
          <w:trHeight w:val="297"/>
        </w:trPr>
        <w:tc>
          <w:tcPr>
            <w:tcW w:w="2640" w:type="dxa"/>
            <w:vAlign w:val="bottom"/>
          </w:tcPr>
          <w:p>
            <w:pPr>
              <w:spacing w:after="0"/>
              <w:rPr>
                <w:sz w:val="20"/>
                <w:szCs w:val="20"/>
                <w:color w:val="auto"/>
              </w:rPr>
            </w:pPr>
            <w:r>
              <w:rPr>
                <w:rFonts w:ascii="Arial" w:cs="Arial" w:eastAsia="Arial" w:hAnsi="Arial"/>
                <w:sz w:val="16"/>
                <w:szCs w:val="16"/>
                <w:color w:val="092E44"/>
              </w:rPr>
              <w:t>Informatica</w:t>
            </w:r>
          </w:p>
        </w:tc>
        <w:tc>
          <w:tcPr>
            <w:tcW w:w="3540" w:type="dxa"/>
            <w:vAlign w:val="bottom"/>
          </w:tcPr>
          <w:p>
            <w:pPr>
              <w:ind w:left="1040"/>
              <w:spacing w:after="0"/>
              <w:rPr>
                <w:sz w:val="20"/>
                <w:szCs w:val="20"/>
                <w:color w:val="auto"/>
              </w:rPr>
            </w:pPr>
            <w:r>
              <w:rPr>
                <w:rFonts w:ascii="Arial" w:cs="Arial" w:eastAsia="Arial" w:hAnsi="Arial"/>
                <w:sz w:val="16"/>
                <w:szCs w:val="16"/>
                <w:color w:val="092E44"/>
              </w:rPr>
              <w:t>Progress Software</w:t>
            </w:r>
          </w:p>
        </w:tc>
        <w:tc>
          <w:tcPr>
            <w:tcW w:w="2440" w:type="dxa"/>
            <w:vAlign w:val="bottom"/>
          </w:tcPr>
          <w:p>
            <w:pPr>
              <w:spacing w:after="0"/>
              <w:rPr>
                <w:sz w:val="24"/>
                <w:szCs w:val="24"/>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0B2E44"/>
        </w:rPr>
        <w:t>COMMVAULT VS.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171450</wp:posOffset>
            </wp:positionV>
            <wp:extent cx="6172200" cy="13373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35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2023 COMPENSATION DECISIONS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Fiscal Year 2023 Compensation Decisions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Base Salary</w:t>
      </w:r>
    </w:p>
    <w:p>
      <w:pPr>
        <w:spacing w:after="0" w:line="8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0B2E44"/>
        </w:rPr>
        <w:t>The TMCC generally compares our executive officer base salaries to the 25th—75th percentile of the competitive market data in the analysis prepared by its compensation consultant.</w:t>
      </w:r>
    </w:p>
    <w:p>
      <w:pPr>
        <w:spacing w:after="0" w:line="9"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0B2E44"/>
        </w:rPr>
        <w:t>Typically, base salary levels are reviewed annually as part of our performance review process, as well as upon a promotion or other change in job responsibility. In addition to considering the competitive market analysis when setting base salaries for fiscal 2023, the TMCC also evaluated the scope of, and accountability associated with, each executive officer’s position and the overall experience of each executive officer. The table below shows the fiscal 2023 and 2022 base salary rates for each named executive officer.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Borders>
              <w:bottom w:val="single" w:sz="8" w:color="E14A6A"/>
            </w:tcBorders>
          </w:tcPr>
          <w:p>
            <w:pPr>
              <w:ind w:left="140"/>
              <w:spacing w:after="0"/>
              <w:rPr>
                <w:sz w:val="20"/>
                <w:szCs w:val="20"/>
                <w:color w:val="auto"/>
              </w:rPr>
            </w:pPr>
            <w:r>
              <w:rPr>
                <w:rFonts w:ascii="Arial" w:cs="Arial" w:eastAsia="Arial" w:hAnsi="Arial"/>
                <w:sz w:val="14"/>
                <w:szCs w:val="14"/>
                <w:color w:val="0B2E44"/>
              </w:rPr>
              <w:t>Name and Principal Position Held</w:t>
            </w:r>
          </w:p>
        </w:tc>
        <w:tc>
          <w:tcPr>
            <w:tcW w:w="3180" w:type="dxa"/>
            <w:vAlign w:val="bottom"/>
            <w:tcBorders>
              <w:bottom w:val="single" w:sz="8" w:color="E14A6A"/>
            </w:tcBorders>
          </w:tcPr>
          <w:p>
            <w:pPr>
              <w:jc w:val="right"/>
              <w:ind w:right="221"/>
              <w:spacing w:after="0"/>
              <w:rPr>
                <w:sz w:val="20"/>
                <w:szCs w:val="20"/>
                <w:color w:val="auto"/>
              </w:rPr>
            </w:pPr>
            <w:r>
              <w:rPr>
                <w:rFonts w:ascii="Arial" w:cs="Arial" w:eastAsia="Arial" w:hAnsi="Arial"/>
                <w:sz w:val="14"/>
                <w:szCs w:val="14"/>
                <w:color w:val="0B2E44"/>
              </w:rPr>
              <w:t>Fiscal 2023 Salary</w:t>
            </w:r>
          </w:p>
        </w:tc>
        <w:tc>
          <w:tcPr>
            <w:tcW w:w="1860" w:type="dxa"/>
            <w:vAlign w:val="bottom"/>
            <w:tcBorders>
              <w:bottom w:val="single" w:sz="8" w:color="E14A6A"/>
            </w:tcBorders>
          </w:tcPr>
          <w:p>
            <w:pPr>
              <w:jc w:val="right"/>
              <w:ind w:right="306"/>
              <w:spacing w:after="0"/>
              <w:rPr>
                <w:sz w:val="20"/>
                <w:szCs w:val="20"/>
                <w:color w:val="auto"/>
              </w:rPr>
            </w:pPr>
            <w:r>
              <w:rPr>
                <w:rFonts w:ascii="Arial" w:cs="Arial" w:eastAsia="Arial" w:hAnsi="Arial"/>
                <w:sz w:val="14"/>
                <w:szCs w:val="14"/>
                <w:color w:val="0B2E44"/>
              </w:rPr>
              <w:t>Fiscal 2022 Salary</w:t>
            </w:r>
          </w:p>
        </w:tc>
        <w:tc>
          <w:tcPr>
            <w:tcW w:w="170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Percentage Increase</w:t>
            </w:r>
          </w:p>
        </w:tc>
        <w:tc>
          <w:tcPr>
            <w:tcW w:w="0" w:type="dxa"/>
            <w:vAlign w:val="bottom"/>
          </w:tcPr>
          <w:p>
            <w:pPr>
              <w:spacing w:after="0"/>
              <w:rPr>
                <w:sz w:val="1"/>
                <w:szCs w:val="1"/>
                <w:color w:val="auto"/>
              </w:rPr>
            </w:pPr>
          </w:p>
        </w:tc>
      </w:tr>
      <w:tr>
        <w:trPr>
          <w:trHeight w:val="159"/>
        </w:trPr>
        <w:tc>
          <w:tcPr>
            <w:tcW w:w="4500" w:type="dxa"/>
            <w:vAlign w:val="bottom"/>
          </w:tcPr>
          <w:p>
            <w:pPr>
              <w:ind w:left="120"/>
              <w:spacing w:after="0" w:line="159" w:lineRule="exact"/>
              <w:rPr>
                <w:sz w:val="20"/>
                <w:szCs w:val="20"/>
                <w:color w:val="auto"/>
              </w:rPr>
            </w:pPr>
            <w:r>
              <w:rPr>
                <w:rFonts w:ascii="Arial" w:cs="Arial" w:eastAsia="Arial" w:hAnsi="Arial"/>
                <w:sz w:val="16"/>
                <w:szCs w:val="16"/>
                <w:b w:val="1"/>
                <w:bCs w:val="1"/>
                <w:color w:val="0B2E44"/>
              </w:rPr>
              <w:t>Sanjay Mirchandani</w:t>
            </w:r>
          </w:p>
        </w:tc>
        <w:tc>
          <w:tcPr>
            <w:tcW w:w="3180" w:type="dxa"/>
            <w:vAlign w:val="bottom"/>
            <w:vMerge w:val="restart"/>
          </w:tcPr>
          <w:p>
            <w:pPr>
              <w:jc w:val="right"/>
              <w:ind w:right="301"/>
              <w:spacing w:after="0"/>
              <w:rPr>
                <w:sz w:val="20"/>
                <w:szCs w:val="20"/>
                <w:color w:val="auto"/>
              </w:rPr>
            </w:pPr>
            <w:r>
              <w:rPr>
                <w:rFonts w:ascii="Arial" w:cs="Arial" w:eastAsia="Arial" w:hAnsi="Arial"/>
                <w:sz w:val="16"/>
                <w:szCs w:val="16"/>
                <w:color w:val="0B2E44"/>
              </w:rPr>
              <w:t>$645,000</w:t>
            </w:r>
          </w:p>
        </w:tc>
        <w:tc>
          <w:tcPr>
            <w:tcW w:w="1860" w:type="dxa"/>
            <w:vAlign w:val="bottom"/>
            <w:vMerge w:val="restart"/>
          </w:tcPr>
          <w:p>
            <w:pPr>
              <w:jc w:val="right"/>
              <w:ind w:right="386"/>
              <w:spacing w:after="0"/>
              <w:rPr>
                <w:sz w:val="20"/>
                <w:szCs w:val="20"/>
                <w:color w:val="auto"/>
              </w:rPr>
            </w:pPr>
            <w:r>
              <w:rPr>
                <w:rFonts w:ascii="Arial" w:cs="Arial" w:eastAsia="Arial" w:hAnsi="Arial"/>
                <w:sz w:val="16"/>
                <w:szCs w:val="16"/>
                <w:color w:val="0B2E44"/>
              </w:rPr>
              <w:t>$645,000</w:t>
            </w:r>
          </w:p>
        </w:tc>
        <w:tc>
          <w:tcPr>
            <w:tcW w:w="1700" w:type="dxa"/>
            <w:vAlign w:val="bottom"/>
            <w:vMerge w:val="restart"/>
          </w:tcPr>
          <w:p>
            <w:pPr>
              <w:jc w:val="right"/>
              <w:ind w:right="26"/>
              <w:spacing w:after="0"/>
              <w:rPr>
                <w:sz w:val="20"/>
                <w:szCs w:val="20"/>
                <w:color w:val="auto"/>
              </w:rPr>
            </w:pPr>
            <w:r>
              <w:rPr>
                <w:rFonts w:ascii="Arial" w:cs="Arial" w:eastAsia="Arial" w:hAnsi="Arial"/>
                <w:sz w:val="16"/>
                <w:szCs w:val="16"/>
                <w:color w:val="0B2E44"/>
              </w:rPr>
              <w:t>—%</w:t>
            </w:r>
          </w:p>
        </w:tc>
        <w:tc>
          <w:tcPr>
            <w:tcW w:w="0" w:type="dxa"/>
            <w:vAlign w:val="bottom"/>
          </w:tcPr>
          <w:p>
            <w:pPr>
              <w:spacing w:after="0"/>
              <w:rPr>
                <w:sz w:val="1"/>
                <w:szCs w:val="1"/>
                <w:color w:val="auto"/>
              </w:rPr>
            </w:pPr>
          </w:p>
        </w:tc>
      </w:tr>
      <w:tr>
        <w:trPr>
          <w:trHeight w:val="139"/>
        </w:trPr>
        <w:tc>
          <w:tcPr>
            <w:tcW w:w="4500" w:type="dxa"/>
            <w:vAlign w:val="bottom"/>
            <w:vMerge w:val="restart"/>
          </w:tcPr>
          <w:p>
            <w:pPr>
              <w:ind w:left="120"/>
              <w:spacing w:after="0"/>
              <w:rPr>
                <w:sz w:val="20"/>
                <w:szCs w:val="20"/>
                <w:color w:val="auto"/>
              </w:rPr>
            </w:pPr>
            <w:r>
              <w:rPr>
                <w:rFonts w:ascii="Arial" w:cs="Arial" w:eastAsia="Arial" w:hAnsi="Arial"/>
                <w:sz w:val="16"/>
                <w:szCs w:val="16"/>
                <w:color w:val="0B2E44"/>
              </w:rPr>
              <w:t>President and Chief Executive Officer</w:t>
            </w:r>
          </w:p>
        </w:tc>
        <w:tc>
          <w:tcPr>
            <w:tcW w:w="3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500" w:type="dxa"/>
            <w:vAlign w:val="bottom"/>
            <w:vMerge w:val="continue"/>
          </w:tcPr>
          <w:p>
            <w:pPr>
              <w:spacing w:after="0"/>
              <w:rPr>
                <w:sz w:val="5"/>
                <w:szCs w:val="5"/>
                <w:color w:val="auto"/>
              </w:rPr>
            </w:pPr>
          </w:p>
        </w:tc>
        <w:tc>
          <w:tcPr>
            <w:tcW w:w="31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500" w:type="dxa"/>
            <w:vAlign w:val="bottom"/>
            <w:shd w:val="clear" w:color="auto" w:fill="DDE9F2"/>
          </w:tcPr>
          <w:p>
            <w:pPr>
              <w:ind w:left="120"/>
              <w:spacing w:after="0" w:line="165" w:lineRule="exact"/>
              <w:rPr>
                <w:sz w:val="20"/>
                <w:szCs w:val="20"/>
                <w:color w:val="auto"/>
              </w:rPr>
            </w:pPr>
            <w:r>
              <w:rPr>
                <w:rFonts w:ascii="Arial" w:cs="Arial" w:eastAsia="Arial" w:hAnsi="Arial"/>
                <w:sz w:val="16"/>
                <w:szCs w:val="16"/>
                <w:b w:val="1"/>
                <w:bCs w:val="1"/>
                <w:color w:val="0B2E44"/>
              </w:rPr>
              <w:t>Gary Merrill</w:t>
            </w:r>
          </w:p>
        </w:tc>
        <w:tc>
          <w:tcPr>
            <w:tcW w:w="3180" w:type="dxa"/>
            <w:vAlign w:val="bottom"/>
            <w:vMerge w:val="restart"/>
            <w:shd w:val="clear" w:color="auto" w:fill="DDE9F2"/>
          </w:tcPr>
          <w:p>
            <w:pPr>
              <w:jc w:val="right"/>
              <w:ind w:right="301"/>
              <w:spacing w:after="0"/>
              <w:rPr>
                <w:sz w:val="20"/>
                <w:szCs w:val="20"/>
                <w:color w:val="auto"/>
              </w:rPr>
            </w:pPr>
            <w:r>
              <w:rPr>
                <w:rFonts w:ascii="Arial" w:cs="Arial" w:eastAsia="Arial" w:hAnsi="Arial"/>
                <w:sz w:val="16"/>
                <w:szCs w:val="16"/>
                <w:color w:val="0B2E44"/>
              </w:rPr>
              <w:t>$410,000</w:t>
            </w:r>
          </w:p>
        </w:tc>
        <w:tc>
          <w:tcPr>
            <w:tcW w:w="1860" w:type="dxa"/>
            <w:vAlign w:val="bottom"/>
            <w:vMerge w:val="restart"/>
            <w:shd w:val="clear" w:color="auto" w:fill="DDE9F2"/>
          </w:tcPr>
          <w:p>
            <w:pPr>
              <w:jc w:val="right"/>
              <w:ind w:right="386"/>
              <w:spacing w:after="0"/>
              <w:rPr>
                <w:sz w:val="20"/>
                <w:szCs w:val="20"/>
                <w:color w:val="auto"/>
              </w:rPr>
            </w:pPr>
            <w:r>
              <w:rPr>
                <w:rFonts w:ascii="Arial" w:cs="Arial" w:eastAsia="Arial" w:hAnsi="Arial"/>
                <w:sz w:val="11"/>
                <w:szCs w:val="11"/>
                <w:color w:val="0B2E44"/>
              </w:rPr>
              <w:t>(1)</w:t>
            </w:r>
          </w:p>
        </w:tc>
        <w:tc>
          <w:tcPr>
            <w:tcW w:w="1700" w:type="dxa"/>
            <w:vAlign w:val="bottom"/>
            <w:vMerge w:val="restart"/>
            <w:shd w:val="clear" w:color="auto" w:fill="DDE9F2"/>
          </w:tcPr>
          <w:p>
            <w:pPr>
              <w:jc w:val="right"/>
              <w:ind w:right="26"/>
              <w:spacing w:after="0"/>
              <w:rPr>
                <w:sz w:val="20"/>
                <w:szCs w:val="20"/>
                <w:color w:val="auto"/>
              </w:rPr>
            </w:pPr>
            <w:r>
              <w:rPr>
                <w:rFonts w:ascii="Arial" w:cs="Arial" w:eastAsia="Arial" w:hAnsi="Arial"/>
                <w:sz w:val="11"/>
                <w:szCs w:val="11"/>
                <w:color w:val="0B2E44"/>
              </w:rPr>
              <w:t>(1)</w:t>
            </w:r>
          </w:p>
        </w:tc>
        <w:tc>
          <w:tcPr>
            <w:tcW w:w="0" w:type="dxa"/>
            <w:vAlign w:val="bottom"/>
          </w:tcPr>
          <w:p>
            <w:pPr>
              <w:spacing w:after="0"/>
              <w:rPr>
                <w:sz w:val="1"/>
                <w:szCs w:val="1"/>
                <w:color w:val="auto"/>
              </w:rPr>
            </w:pPr>
          </w:p>
        </w:tc>
      </w:tr>
      <w:tr>
        <w:trPr>
          <w:trHeight w:val="126"/>
        </w:trPr>
        <w:tc>
          <w:tcPr>
            <w:tcW w:w="45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Chief Financial Officer</w:t>
            </w:r>
          </w:p>
        </w:tc>
        <w:tc>
          <w:tcPr>
            <w:tcW w:w="3180" w:type="dxa"/>
            <w:vAlign w:val="bottom"/>
            <w:vMerge w:val="continue"/>
            <w:shd w:val="clear" w:color="auto" w:fill="DDE9F2"/>
          </w:tcPr>
          <w:p>
            <w:pPr>
              <w:spacing w:after="0"/>
              <w:rPr>
                <w:sz w:val="10"/>
                <w:szCs w:val="10"/>
                <w:color w:val="auto"/>
              </w:rPr>
            </w:pPr>
          </w:p>
        </w:tc>
        <w:tc>
          <w:tcPr>
            <w:tcW w:w="1860" w:type="dxa"/>
            <w:vAlign w:val="bottom"/>
            <w:vMerge w:val="continue"/>
            <w:shd w:val="clear" w:color="auto" w:fill="DDE9F2"/>
          </w:tcPr>
          <w:p>
            <w:pPr>
              <w:spacing w:after="0"/>
              <w:rPr>
                <w:sz w:val="10"/>
                <w:szCs w:val="10"/>
                <w:color w:val="auto"/>
              </w:rPr>
            </w:pPr>
          </w:p>
        </w:tc>
        <w:tc>
          <w:tcPr>
            <w:tcW w:w="1700" w:type="dxa"/>
            <w:vAlign w:val="bottom"/>
            <w:vMerge w:val="continue"/>
            <w:shd w:val="clear" w:color="auto" w:fill="DDE9F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500" w:type="dxa"/>
            <w:vAlign w:val="bottom"/>
            <w:vMerge w:val="continue"/>
            <w:shd w:val="clear" w:color="auto" w:fill="DDE9F2"/>
          </w:tcPr>
          <w:p>
            <w:pPr>
              <w:spacing w:after="0"/>
              <w:rPr>
                <w:sz w:val="8"/>
                <w:szCs w:val="8"/>
                <w:color w:val="auto"/>
              </w:rPr>
            </w:pPr>
          </w:p>
        </w:tc>
        <w:tc>
          <w:tcPr>
            <w:tcW w:w="3180" w:type="dxa"/>
            <w:vAlign w:val="bottom"/>
            <w:shd w:val="clear" w:color="auto" w:fill="DDE9F2"/>
          </w:tcPr>
          <w:p>
            <w:pPr>
              <w:spacing w:after="0"/>
              <w:rPr>
                <w:sz w:val="8"/>
                <w:szCs w:val="8"/>
                <w:color w:val="auto"/>
              </w:rPr>
            </w:pPr>
          </w:p>
        </w:tc>
        <w:tc>
          <w:tcPr>
            <w:tcW w:w="1860" w:type="dxa"/>
            <w:vAlign w:val="bottom"/>
            <w:shd w:val="clear" w:color="auto" w:fill="DDE9F2"/>
          </w:tcPr>
          <w:p>
            <w:pPr>
              <w:spacing w:after="0"/>
              <w:rPr>
                <w:sz w:val="8"/>
                <w:szCs w:val="8"/>
                <w:color w:val="auto"/>
              </w:rPr>
            </w:pPr>
          </w:p>
        </w:tc>
        <w:tc>
          <w:tcPr>
            <w:tcW w:w="1700" w:type="dxa"/>
            <w:vAlign w:val="bottom"/>
            <w:shd w:val="clear" w:color="auto" w:fill="DDE9F2"/>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500" w:type="dxa"/>
            <w:vAlign w:val="bottom"/>
          </w:tcPr>
          <w:p>
            <w:pPr>
              <w:ind w:left="120"/>
              <w:spacing w:after="0" w:line="165" w:lineRule="exact"/>
              <w:rPr>
                <w:sz w:val="20"/>
                <w:szCs w:val="20"/>
                <w:color w:val="auto"/>
              </w:rPr>
            </w:pPr>
            <w:r>
              <w:rPr>
                <w:rFonts w:ascii="Arial" w:cs="Arial" w:eastAsia="Arial" w:hAnsi="Arial"/>
                <w:sz w:val="16"/>
                <w:szCs w:val="16"/>
                <w:b w:val="1"/>
                <w:bCs w:val="1"/>
                <w:color w:val="0B2E44"/>
              </w:rPr>
              <w:t>Riccardo Di Blasio</w:t>
            </w:r>
          </w:p>
        </w:tc>
        <w:tc>
          <w:tcPr>
            <w:tcW w:w="3180" w:type="dxa"/>
            <w:vAlign w:val="bottom"/>
            <w:vMerge w:val="restart"/>
          </w:tcPr>
          <w:p>
            <w:pPr>
              <w:jc w:val="right"/>
              <w:ind w:right="301"/>
              <w:spacing w:after="0"/>
              <w:rPr>
                <w:sz w:val="20"/>
                <w:szCs w:val="20"/>
                <w:color w:val="auto"/>
              </w:rPr>
            </w:pPr>
            <w:r>
              <w:rPr>
                <w:rFonts w:ascii="Arial" w:cs="Arial" w:eastAsia="Arial" w:hAnsi="Arial"/>
                <w:sz w:val="16"/>
                <w:szCs w:val="16"/>
                <w:color w:val="0B2E44"/>
              </w:rPr>
              <w:t>$475,000</w:t>
            </w:r>
          </w:p>
        </w:tc>
        <w:tc>
          <w:tcPr>
            <w:tcW w:w="1860" w:type="dxa"/>
            <w:vAlign w:val="bottom"/>
            <w:vMerge w:val="restart"/>
          </w:tcPr>
          <w:p>
            <w:pPr>
              <w:jc w:val="right"/>
              <w:ind w:right="386"/>
              <w:spacing w:after="0"/>
              <w:rPr>
                <w:sz w:val="20"/>
                <w:szCs w:val="20"/>
                <w:color w:val="auto"/>
              </w:rPr>
            </w:pPr>
            <w:r>
              <w:rPr>
                <w:rFonts w:ascii="Arial" w:cs="Arial" w:eastAsia="Arial" w:hAnsi="Arial"/>
                <w:sz w:val="16"/>
                <w:szCs w:val="16"/>
                <w:color w:val="0B2E44"/>
              </w:rPr>
              <w:t>$450,000</w:t>
            </w:r>
          </w:p>
        </w:tc>
        <w:tc>
          <w:tcPr>
            <w:tcW w:w="1700" w:type="dxa"/>
            <w:vAlign w:val="bottom"/>
            <w:vMerge w:val="restart"/>
          </w:tcPr>
          <w:p>
            <w:pPr>
              <w:jc w:val="right"/>
              <w:ind w:right="26"/>
              <w:spacing w:after="0"/>
              <w:rPr>
                <w:sz w:val="20"/>
                <w:szCs w:val="20"/>
                <w:color w:val="auto"/>
              </w:rPr>
            </w:pPr>
            <w:r>
              <w:rPr>
                <w:rFonts w:ascii="Arial" w:cs="Arial" w:eastAsia="Arial" w:hAnsi="Arial"/>
                <w:sz w:val="16"/>
                <w:szCs w:val="16"/>
                <w:color w:val="0B2E44"/>
              </w:rPr>
              <w:t>5.6%</w:t>
            </w:r>
          </w:p>
        </w:tc>
        <w:tc>
          <w:tcPr>
            <w:tcW w:w="0" w:type="dxa"/>
            <w:vAlign w:val="bottom"/>
          </w:tcPr>
          <w:p>
            <w:pPr>
              <w:spacing w:after="0"/>
              <w:rPr>
                <w:sz w:val="1"/>
                <w:szCs w:val="1"/>
                <w:color w:val="auto"/>
              </w:rPr>
            </w:pPr>
          </w:p>
        </w:tc>
      </w:tr>
      <w:tr>
        <w:trPr>
          <w:trHeight w:val="139"/>
        </w:trPr>
        <w:tc>
          <w:tcPr>
            <w:tcW w:w="4500" w:type="dxa"/>
            <w:vAlign w:val="bottom"/>
            <w:vMerge w:val="restart"/>
          </w:tcPr>
          <w:p>
            <w:pPr>
              <w:ind w:left="120"/>
              <w:spacing w:after="0"/>
              <w:rPr>
                <w:sz w:val="20"/>
                <w:szCs w:val="20"/>
                <w:color w:val="auto"/>
              </w:rPr>
            </w:pPr>
            <w:r>
              <w:rPr>
                <w:rFonts w:ascii="Arial" w:cs="Arial" w:eastAsia="Arial" w:hAnsi="Arial"/>
                <w:sz w:val="16"/>
                <w:szCs w:val="16"/>
                <w:color w:val="0B2E44"/>
              </w:rPr>
              <w:t>Chief Revenue Officer</w:t>
            </w:r>
          </w:p>
        </w:tc>
        <w:tc>
          <w:tcPr>
            <w:tcW w:w="3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450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DDE9F2"/>
          </w:tcPr>
          <w:p>
            <w:pPr>
              <w:ind w:left="120"/>
              <w:spacing w:after="0" w:line="175" w:lineRule="exact"/>
              <w:rPr>
                <w:sz w:val="20"/>
                <w:szCs w:val="20"/>
                <w:color w:val="auto"/>
              </w:rPr>
            </w:pPr>
            <w:r>
              <w:rPr>
                <w:rFonts w:ascii="Arial" w:cs="Arial" w:eastAsia="Arial" w:hAnsi="Arial"/>
                <w:sz w:val="16"/>
                <w:szCs w:val="16"/>
                <w:b w:val="1"/>
                <w:bCs w:val="1"/>
                <w:color w:val="0B2E44"/>
              </w:rPr>
              <w:t>Brian Carolan</w:t>
            </w:r>
          </w:p>
        </w:tc>
        <w:tc>
          <w:tcPr>
            <w:tcW w:w="3180" w:type="dxa"/>
            <w:vAlign w:val="bottom"/>
            <w:vMerge w:val="restart"/>
            <w:shd w:val="clear" w:color="auto" w:fill="DDE9F2"/>
          </w:tcPr>
          <w:p>
            <w:pPr>
              <w:jc w:val="right"/>
              <w:ind w:right="301"/>
              <w:spacing w:after="0"/>
              <w:rPr>
                <w:sz w:val="20"/>
                <w:szCs w:val="20"/>
                <w:color w:val="auto"/>
              </w:rPr>
            </w:pPr>
            <w:r>
              <w:rPr>
                <w:rFonts w:ascii="Arial" w:cs="Arial" w:eastAsia="Arial" w:hAnsi="Arial"/>
                <w:sz w:val="16"/>
                <w:szCs w:val="16"/>
                <w:color w:val="0B2E44"/>
              </w:rPr>
              <w:t>$410,000</w:t>
            </w:r>
          </w:p>
        </w:tc>
        <w:tc>
          <w:tcPr>
            <w:tcW w:w="1860" w:type="dxa"/>
            <w:vAlign w:val="bottom"/>
            <w:vMerge w:val="restart"/>
            <w:shd w:val="clear" w:color="auto" w:fill="DDE9F2"/>
          </w:tcPr>
          <w:p>
            <w:pPr>
              <w:jc w:val="right"/>
              <w:ind w:right="386"/>
              <w:spacing w:after="0"/>
              <w:rPr>
                <w:sz w:val="20"/>
                <w:szCs w:val="20"/>
                <w:color w:val="auto"/>
              </w:rPr>
            </w:pPr>
            <w:r>
              <w:rPr>
                <w:rFonts w:ascii="Arial" w:cs="Arial" w:eastAsia="Arial" w:hAnsi="Arial"/>
                <w:sz w:val="16"/>
                <w:szCs w:val="16"/>
                <w:color w:val="0B2E44"/>
              </w:rPr>
              <w:t>$410,000</w:t>
            </w:r>
          </w:p>
        </w:tc>
        <w:tc>
          <w:tcPr>
            <w:tcW w:w="1700" w:type="dxa"/>
            <w:vAlign w:val="bottom"/>
            <w:vMerge w:val="restart"/>
            <w:shd w:val="clear" w:color="auto" w:fill="DDE9F2"/>
          </w:tcPr>
          <w:p>
            <w:pPr>
              <w:jc w:val="right"/>
              <w:ind w:right="26"/>
              <w:spacing w:after="0"/>
              <w:rPr>
                <w:sz w:val="20"/>
                <w:szCs w:val="20"/>
                <w:color w:val="auto"/>
              </w:rPr>
            </w:pPr>
            <w:r>
              <w:rPr>
                <w:rFonts w:ascii="Arial" w:cs="Arial" w:eastAsia="Arial" w:hAnsi="Arial"/>
                <w:sz w:val="16"/>
                <w:szCs w:val="16"/>
                <w:color w:val="0B2E44"/>
              </w:rPr>
              <w:t>—%</w:t>
            </w:r>
          </w:p>
        </w:tc>
        <w:tc>
          <w:tcPr>
            <w:tcW w:w="0" w:type="dxa"/>
            <w:vAlign w:val="bottom"/>
          </w:tcPr>
          <w:p>
            <w:pPr>
              <w:spacing w:after="0"/>
              <w:rPr>
                <w:sz w:val="1"/>
                <w:szCs w:val="1"/>
                <w:color w:val="auto"/>
              </w:rPr>
            </w:pPr>
          </w:p>
        </w:tc>
      </w:tr>
      <w:tr>
        <w:trPr>
          <w:trHeight w:val="139"/>
        </w:trPr>
        <w:tc>
          <w:tcPr>
            <w:tcW w:w="45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Former Chief Financial Officer</w:t>
            </w:r>
          </w:p>
        </w:tc>
        <w:tc>
          <w:tcPr>
            <w:tcW w:w="3180" w:type="dxa"/>
            <w:vAlign w:val="bottom"/>
            <w:vMerge w:val="continue"/>
            <w:shd w:val="clear" w:color="auto" w:fill="DDE9F2"/>
          </w:tcPr>
          <w:p>
            <w:pPr>
              <w:spacing w:after="0"/>
              <w:rPr>
                <w:sz w:val="12"/>
                <w:szCs w:val="12"/>
                <w:color w:val="auto"/>
              </w:rPr>
            </w:pPr>
          </w:p>
        </w:tc>
        <w:tc>
          <w:tcPr>
            <w:tcW w:w="1860" w:type="dxa"/>
            <w:vAlign w:val="bottom"/>
            <w:vMerge w:val="continue"/>
            <w:shd w:val="clear" w:color="auto" w:fill="DDE9F2"/>
          </w:tcPr>
          <w:p>
            <w:pPr>
              <w:spacing w:after="0"/>
              <w:rPr>
                <w:sz w:val="12"/>
                <w:szCs w:val="12"/>
                <w:color w:val="auto"/>
              </w:rPr>
            </w:pPr>
          </w:p>
        </w:tc>
        <w:tc>
          <w:tcPr>
            <w:tcW w:w="1700" w:type="dxa"/>
            <w:vAlign w:val="bottom"/>
            <w:vMerge w:val="continue"/>
            <w:shd w:val="clear" w:color="auto" w:fill="DDE9F2"/>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500" w:type="dxa"/>
            <w:vAlign w:val="bottom"/>
            <w:tcBorders>
              <w:bottom w:val="single" w:sz="8" w:color="DDE9F2"/>
            </w:tcBorders>
            <w:vMerge w:val="continue"/>
            <w:shd w:val="clear" w:color="auto" w:fill="DDE9F2"/>
          </w:tcPr>
          <w:p>
            <w:pPr>
              <w:spacing w:after="0"/>
              <w:rPr>
                <w:sz w:val="7"/>
                <w:szCs w:val="7"/>
                <w:color w:val="auto"/>
              </w:rPr>
            </w:pPr>
          </w:p>
        </w:tc>
        <w:tc>
          <w:tcPr>
            <w:tcW w:w="3180" w:type="dxa"/>
            <w:vAlign w:val="bottom"/>
            <w:tcBorders>
              <w:bottom w:val="single" w:sz="8" w:color="DDE9F2"/>
            </w:tcBorders>
            <w:shd w:val="clear" w:color="auto" w:fill="DDE9F2"/>
          </w:tcPr>
          <w:p>
            <w:pPr>
              <w:spacing w:after="0"/>
              <w:rPr>
                <w:sz w:val="7"/>
                <w:szCs w:val="7"/>
                <w:color w:val="auto"/>
              </w:rPr>
            </w:pPr>
          </w:p>
        </w:tc>
        <w:tc>
          <w:tcPr>
            <w:tcW w:w="1860" w:type="dxa"/>
            <w:vAlign w:val="bottom"/>
            <w:tcBorders>
              <w:bottom w:val="single" w:sz="8" w:color="DDE9F2"/>
            </w:tcBorders>
            <w:shd w:val="clear" w:color="auto" w:fill="DDE9F2"/>
          </w:tcPr>
          <w:p>
            <w:pPr>
              <w:spacing w:after="0"/>
              <w:rPr>
                <w:sz w:val="7"/>
                <w:szCs w:val="7"/>
                <w:color w:val="auto"/>
              </w:rPr>
            </w:pPr>
          </w:p>
        </w:tc>
        <w:tc>
          <w:tcPr>
            <w:tcW w:w="1700" w:type="dxa"/>
            <w:vAlign w:val="bottom"/>
            <w:tcBorders>
              <w:bottom w:val="single" w:sz="8" w:color="DDE9F2"/>
            </w:tcBorders>
            <w:shd w:val="clear" w:color="auto" w:fill="DDE9F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0B2E44"/>
          </w:tcPr>
          <w:p>
            <w:pPr>
              <w:spacing w:after="0" w:line="20" w:lineRule="exact"/>
              <w:rPr>
                <w:sz w:val="1"/>
                <w:szCs w:val="1"/>
                <w:color w:val="auto"/>
              </w:rPr>
            </w:pPr>
          </w:p>
        </w:tc>
        <w:tc>
          <w:tcPr>
            <w:tcW w:w="3180" w:type="dxa"/>
            <w:vAlign w:val="bottom"/>
            <w:shd w:val="clear" w:color="auto" w:fill="0B2E44"/>
          </w:tcPr>
          <w:p>
            <w:pPr>
              <w:spacing w:after="0" w:line="20" w:lineRule="exact"/>
              <w:rPr>
                <w:sz w:val="1"/>
                <w:szCs w:val="1"/>
                <w:color w:val="auto"/>
              </w:rPr>
            </w:pPr>
          </w:p>
        </w:tc>
        <w:tc>
          <w:tcPr>
            <w:tcW w:w="1860" w:type="dxa"/>
            <w:vAlign w:val="bottom"/>
            <w:shd w:val="clear" w:color="auto" w:fill="0B2E44"/>
          </w:tcPr>
          <w:p>
            <w:pPr>
              <w:spacing w:after="0" w:line="20" w:lineRule="exact"/>
              <w:rPr>
                <w:sz w:val="1"/>
                <w:szCs w:val="1"/>
                <w:color w:val="auto"/>
              </w:rPr>
            </w:pPr>
          </w:p>
        </w:tc>
        <w:tc>
          <w:tcPr>
            <w:tcW w:w="1700" w:type="dxa"/>
            <w:vAlign w:val="bottom"/>
            <w:shd w:val="clear" w:color="auto" w:fill="0B2E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3"/>
          <w:szCs w:val="13"/>
          <w:color w:val="0B2E44"/>
        </w:rPr>
      </w:pPr>
      <w:r>
        <w:rPr>
          <w:rFonts w:ascii="Arial" w:cs="Arial" w:eastAsia="Arial" w:hAnsi="Arial"/>
          <w:sz w:val="13"/>
          <w:szCs w:val="13"/>
          <w:color w:val="0B2E44"/>
        </w:rPr>
        <w:t>Mr. Merrill became a named executive officer effective July 1, 2022 and compensation information for fiscal 2022 has not been provided in accordance with SEC rules.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092E44"/>
        </w:rPr>
        <w:t>Annual Incentive Plan</w:t>
      </w:r>
    </w:p>
    <w:p>
      <w:pPr>
        <w:spacing w:after="0" w:line="66"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092E44"/>
        </w:rPr>
        <w:t>During fiscal 2023, Messrs. Mirchandani, Merrill, Carolan and Di Blasio each participated in the Commvault Annual Incentive Plan (the “Fiscal 2023 AIP”), which made them eligible to earn a cash bonus based on achievement of pre-established corporate financial goals.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E14A6A"/>
        </w:rPr>
        <w:t>Target Annual Cash Incentive Opportunities</w:t>
      </w:r>
    </w:p>
    <w:p>
      <w:pPr>
        <w:spacing w:after="0" w:line="66" w:lineRule="exact"/>
        <w:rPr>
          <w:sz w:val="20"/>
          <w:szCs w:val="20"/>
          <w:color w:val="auto"/>
        </w:rPr>
      </w:pPr>
    </w:p>
    <w:p>
      <w:pPr>
        <w:jc w:val="both"/>
        <w:ind w:right="160"/>
        <w:spacing w:after="0" w:line="262" w:lineRule="auto"/>
        <w:rPr>
          <w:sz w:val="20"/>
          <w:szCs w:val="20"/>
          <w:color w:val="auto"/>
        </w:rPr>
      </w:pPr>
      <w:r>
        <w:rPr>
          <w:rFonts w:ascii="Arial" w:cs="Arial" w:eastAsia="Arial" w:hAnsi="Arial"/>
          <w:sz w:val="16"/>
          <w:szCs w:val="16"/>
          <w:color w:val="0B2E44"/>
        </w:rPr>
        <w:t>The TMCC approved target cash incentive opportunities for the named executive officers in May 2022 after considering a competitive market analysis, the scope of, and accountability associated with, each executive officer’s position, the performance of each executive officer since the last annual performance review and the overall experience of each executive officer. Mr. Di Blasio was evaluated against certain quarterly (rather than annual) goals and had more upside potential for one metric (revenue), as discussed below.</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0B2E44"/>
        </w:rPr>
        <w:t>The target cash incentive opportunities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3080" w:type="dxa"/>
            <w:vAlign w:val="bottom"/>
          </w:tcPr>
          <w:p>
            <w:pPr>
              <w:jc w:val="right"/>
              <w:ind w:right="301"/>
              <w:spacing w:after="0"/>
              <w:rPr>
                <w:sz w:val="20"/>
                <w:szCs w:val="20"/>
                <w:color w:val="auto"/>
              </w:rPr>
            </w:pPr>
            <w:r>
              <w:rPr>
                <w:rFonts w:ascii="Arial" w:cs="Arial" w:eastAsia="Arial" w:hAnsi="Arial"/>
                <w:sz w:val="14"/>
                <w:szCs w:val="14"/>
                <w:color w:val="0B2E44"/>
              </w:rPr>
              <w:t>Fiscal 2023 Salary</w:t>
            </w:r>
          </w:p>
        </w:tc>
        <w:tc>
          <w:tcPr>
            <w:tcW w:w="2700" w:type="dxa"/>
            <w:vAlign w:val="bottom"/>
          </w:tcPr>
          <w:p>
            <w:pPr>
              <w:jc w:val="right"/>
              <w:ind w:right="361"/>
              <w:spacing w:after="0"/>
              <w:rPr>
                <w:sz w:val="20"/>
                <w:szCs w:val="20"/>
                <w:color w:val="auto"/>
              </w:rPr>
            </w:pPr>
            <w:r>
              <w:rPr>
                <w:rFonts w:ascii="Arial" w:cs="Arial" w:eastAsia="Arial" w:hAnsi="Arial"/>
                <w:sz w:val="14"/>
                <w:szCs w:val="14"/>
                <w:color w:val="0B2E44"/>
              </w:rPr>
              <w:t>Target Annual Cash Incentive</w:t>
            </w:r>
          </w:p>
        </w:tc>
        <w:tc>
          <w:tcPr>
            <w:tcW w:w="2320" w:type="dxa"/>
            <w:vAlign w:val="bottom"/>
            <w:vMerge w:val="restart"/>
          </w:tcPr>
          <w:p>
            <w:pPr>
              <w:jc w:val="right"/>
              <w:spacing w:after="0"/>
              <w:rPr>
                <w:sz w:val="20"/>
                <w:szCs w:val="20"/>
                <w:color w:val="auto"/>
              </w:rPr>
            </w:pPr>
            <w:r>
              <w:rPr>
                <w:rFonts w:ascii="Arial" w:cs="Arial" w:eastAsia="Arial" w:hAnsi="Arial"/>
                <w:sz w:val="14"/>
                <w:szCs w:val="14"/>
                <w:color w:val="0B2E44"/>
              </w:rPr>
              <w:t>Target Annual Cash Incentive</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140" w:type="dxa"/>
            <w:vAlign w:val="bottom"/>
          </w:tcPr>
          <w:p>
            <w:pPr>
              <w:ind w:left="140"/>
              <w:spacing w:after="0"/>
              <w:rPr>
                <w:sz w:val="20"/>
                <w:szCs w:val="20"/>
                <w:color w:val="auto"/>
              </w:rPr>
            </w:pPr>
            <w:r>
              <w:rPr>
                <w:rFonts w:ascii="Arial" w:cs="Arial" w:eastAsia="Arial" w:hAnsi="Arial"/>
                <w:sz w:val="14"/>
                <w:szCs w:val="14"/>
                <w:color w:val="0B2E44"/>
              </w:rPr>
              <w:t>Executive</w:t>
            </w:r>
          </w:p>
        </w:tc>
        <w:tc>
          <w:tcPr>
            <w:tcW w:w="30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Arial" w:cs="Arial" w:eastAsia="Arial" w:hAnsi="Arial"/>
                <w:sz w:val="14"/>
                <w:szCs w:val="14"/>
                <w:color w:val="0B2E44"/>
              </w:rPr>
              <w:t>(1)</w:t>
            </w:r>
          </w:p>
        </w:tc>
        <w:tc>
          <w:tcPr>
            <w:tcW w:w="0" w:type="dxa"/>
            <w:vAlign w:val="bottom"/>
          </w:tcPr>
          <w:p>
            <w:pPr>
              <w:spacing w:after="0"/>
              <w:rPr>
                <w:sz w:val="1"/>
                <w:szCs w:val="1"/>
                <w:color w:val="auto"/>
              </w:rPr>
            </w:pPr>
          </w:p>
        </w:tc>
      </w:tr>
      <w:tr>
        <w:trPr>
          <w:trHeight w:val="25"/>
        </w:trPr>
        <w:tc>
          <w:tcPr>
            <w:tcW w:w="3140" w:type="dxa"/>
            <w:vAlign w:val="bottom"/>
            <w:tcBorders>
              <w:bottom w:val="single" w:sz="8" w:color="E14A6A"/>
            </w:tcBorders>
          </w:tcPr>
          <w:p>
            <w:pPr>
              <w:spacing w:after="0"/>
              <w:rPr>
                <w:sz w:val="2"/>
                <w:szCs w:val="2"/>
                <w:color w:val="auto"/>
              </w:rPr>
            </w:pPr>
          </w:p>
        </w:tc>
        <w:tc>
          <w:tcPr>
            <w:tcW w:w="3080" w:type="dxa"/>
            <w:vAlign w:val="bottom"/>
            <w:tcBorders>
              <w:bottom w:val="single" w:sz="8" w:color="E14A6A"/>
            </w:tcBorders>
          </w:tcPr>
          <w:p>
            <w:pPr>
              <w:spacing w:after="0"/>
              <w:rPr>
                <w:sz w:val="2"/>
                <w:szCs w:val="2"/>
                <w:color w:val="auto"/>
              </w:rPr>
            </w:pPr>
          </w:p>
        </w:tc>
        <w:tc>
          <w:tcPr>
            <w:tcW w:w="2700" w:type="dxa"/>
            <w:vAlign w:val="bottom"/>
            <w:tcBorders>
              <w:bottom w:val="single" w:sz="8" w:color="E14A6A"/>
            </w:tcBorders>
          </w:tcPr>
          <w:p>
            <w:pPr>
              <w:spacing w:after="0"/>
              <w:rPr>
                <w:sz w:val="2"/>
                <w:szCs w:val="2"/>
                <w:color w:val="auto"/>
              </w:rPr>
            </w:pPr>
          </w:p>
        </w:tc>
        <w:tc>
          <w:tcPr>
            <w:tcW w:w="2320" w:type="dxa"/>
            <w:vAlign w:val="bottom"/>
            <w:tcBorders>
              <w:bottom w:val="single" w:sz="8" w:color="E14A6A"/>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120"/>
              <w:spacing w:after="0"/>
              <w:rPr>
                <w:sz w:val="20"/>
                <w:szCs w:val="20"/>
                <w:color w:val="auto"/>
              </w:rPr>
            </w:pPr>
            <w:r>
              <w:rPr>
                <w:rFonts w:ascii="Arial" w:cs="Arial" w:eastAsia="Arial" w:hAnsi="Arial"/>
                <w:sz w:val="16"/>
                <w:szCs w:val="16"/>
                <w:b w:val="1"/>
                <w:bCs w:val="1"/>
                <w:color w:val="0B2E44"/>
              </w:rPr>
              <w:t>Sanjay Mirchandani</w:t>
            </w:r>
          </w:p>
        </w:tc>
        <w:tc>
          <w:tcPr>
            <w:tcW w:w="3080" w:type="dxa"/>
            <w:vAlign w:val="bottom"/>
          </w:tcPr>
          <w:p>
            <w:pPr>
              <w:jc w:val="right"/>
              <w:ind w:right="381"/>
              <w:spacing w:after="0"/>
              <w:rPr>
                <w:sz w:val="20"/>
                <w:szCs w:val="20"/>
                <w:color w:val="auto"/>
              </w:rPr>
            </w:pPr>
            <w:r>
              <w:rPr>
                <w:rFonts w:ascii="Arial" w:cs="Arial" w:eastAsia="Arial" w:hAnsi="Arial"/>
                <w:sz w:val="16"/>
                <w:szCs w:val="16"/>
                <w:color w:val="0B2E44"/>
              </w:rPr>
              <w:t>$645,000</w:t>
            </w:r>
          </w:p>
        </w:tc>
        <w:tc>
          <w:tcPr>
            <w:tcW w:w="2700" w:type="dxa"/>
            <w:vAlign w:val="bottom"/>
          </w:tcPr>
          <w:p>
            <w:pPr>
              <w:jc w:val="right"/>
              <w:ind w:right="441"/>
              <w:spacing w:after="0"/>
              <w:rPr>
                <w:sz w:val="20"/>
                <w:szCs w:val="20"/>
                <w:color w:val="auto"/>
              </w:rPr>
            </w:pPr>
            <w:r>
              <w:rPr>
                <w:rFonts w:ascii="Arial" w:cs="Arial" w:eastAsia="Arial" w:hAnsi="Arial"/>
                <w:sz w:val="16"/>
                <w:szCs w:val="16"/>
                <w:color w:val="0B2E44"/>
              </w:rPr>
              <w:t>100%</w:t>
            </w:r>
          </w:p>
        </w:tc>
        <w:tc>
          <w:tcPr>
            <w:tcW w:w="2320" w:type="dxa"/>
            <w:vAlign w:val="bottom"/>
          </w:tcPr>
          <w:p>
            <w:pPr>
              <w:jc w:val="right"/>
              <w:ind w:right="22"/>
              <w:spacing w:after="0"/>
              <w:rPr>
                <w:sz w:val="20"/>
                <w:szCs w:val="20"/>
                <w:color w:val="auto"/>
              </w:rPr>
            </w:pPr>
            <w:r>
              <w:rPr>
                <w:rFonts w:ascii="Arial" w:cs="Arial" w:eastAsia="Arial" w:hAnsi="Arial"/>
                <w:sz w:val="16"/>
                <w:szCs w:val="16"/>
                <w:color w:val="0B2E44"/>
              </w:rPr>
              <w:t>$645,000</w:t>
            </w:r>
          </w:p>
        </w:tc>
        <w:tc>
          <w:tcPr>
            <w:tcW w:w="0" w:type="dxa"/>
            <w:vAlign w:val="bottom"/>
          </w:tcPr>
          <w:p>
            <w:pPr>
              <w:spacing w:after="0"/>
              <w:rPr>
                <w:sz w:val="1"/>
                <w:szCs w:val="1"/>
                <w:color w:val="auto"/>
              </w:rPr>
            </w:pPr>
          </w:p>
        </w:tc>
      </w:tr>
      <w:tr>
        <w:trPr>
          <w:trHeight w:val="216"/>
        </w:trPr>
        <w:tc>
          <w:tcPr>
            <w:tcW w:w="3140" w:type="dxa"/>
            <w:vAlign w:val="bottom"/>
            <w:shd w:val="clear" w:color="auto" w:fill="DDE9F2"/>
          </w:tcPr>
          <w:p>
            <w:pPr>
              <w:ind w:left="120"/>
              <w:spacing w:after="0"/>
              <w:rPr>
                <w:sz w:val="20"/>
                <w:szCs w:val="20"/>
                <w:color w:val="auto"/>
              </w:rPr>
            </w:pPr>
            <w:r>
              <w:rPr>
                <w:rFonts w:ascii="Arial" w:cs="Arial" w:eastAsia="Arial" w:hAnsi="Arial"/>
                <w:sz w:val="16"/>
                <w:szCs w:val="16"/>
                <w:b w:val="1"/>
                <w:bCs w:val="1"/>
                <w:color w:val="0B2E44"/>
              </w:rPr>
              <w:t>Gary Merrill</w:t>
            </w:r>
          </w:p>
        </w:tc>
        <w:tc>
          <w:tcPr>
            <w:tcW w:w="3080" w:type="dxa"/>
            <w:vAlign w:val="bottom"/>
            <w:shd w:val="clear" w:color="auto" w:fill="DDE9F2"/>
          </w:tcPr>
          <w:p>
            <w:pPr>
              <w:jc w:val="right"/>
              <w:ind w:right="381"/>
              <w:spacing w:after="0"/>
              <w:rPr>
                <w:sz w:val="20"/>
                <w:szCs w:val="20"/>
                <w:color w:val="auto"/>
              </w:rPr>
            </w:pPr>
            <w:r>
              <w:rPr>
                <w:rFonts w:ascii="Arial" w:cs="Arial" w:eastAsia="Arial" w:hAnsi="Arial"/>
                <w:sz w:val="16"/>
                <w:szCs w:val="16"/>
                <w:color w:val="0B2E44"/>
              </w:rPr>
              <w:t>$410,000</w:t>
            </w:r>
          </w:p>
        </w:tc>
        <w:tc>
          <w:tcPr>
            <w:tcW w:w="2700" w:type="dxa"/>
            <w:vAlign w:val="bottom"/>
            <w:shd w:val="clear" w:color="auto" w:fill="DDE9F2"/>
          </w:tcPr>
          <w:p>
            <w:pPr>
              <w:jc w:val="right"/>
              <w:ind w:right="441"/>
              <w:spacing w:after="0"/>
              <w:rPr>
                <w:sz w:val="20"/>
                <w:szCs w:val="20"/>
                <w:color w:val="auto"/>
              </w:rPr>
            </w:pPr>
            <w:r>
              <w:rPr>
                <w:rFonts w:ascii="Arial" w:cs="Arial" w:eastAsia="Arial" w:hAnsi="Arial"/>
                <w:sz w:val="16"/>
                <w:szCs w:val="16"/>
                <w:color w:val="0B2E44"/>
              </w:rPr>
              <w:t>60%</w:t>
            </w:r>
          </w:p>
        </w:tc>
        <w:tc>
          <w:tcPr>
            <w:tcW w:w="2320" w:type="dxa"/>
            <w:vAlign w:val="bottom"/>
            <w:shd w:val="clear" w:color="auto" w:fill="DDE9F2"/>
          </w:tcPr>
          <w:p>
            <w:pPr>
              <w:jc w:val="right"/>
              <w:ind w:right="22"/>
              <w:spacing w:after="0"/>
              <w:rPr>
                <w:sz w:val="20"/>
                <w:szCs w:val="20"/>
                <w:color w:val="auto"/>
              </w:rPr>
            </w:pPr>
            <w:r>
              <w:rPr>
                <w:rFonts w:ascii="Arial" w:cs="Arial" w:eastAsia="Arial" w:hAnsi="Arial"/>
                <w:sz w:val="16"/>
                <w:szCs w:val="16"/>
                <w:color w:val="0B2E44"/>
              </w:rPr>
              <w:t>$246,000</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6"/>
                <w:szCs w:val="16"/>
                <w:b w:val="1"/>
                <w:bCs w:val="1"/>
                <w:color w:val="0B2E44"/>
              </w:rPr>
              <w:t>Riccardo Di Blasio</w:t>
            </w:r>
          </w:p>
        </w:tc>
        <w:tc>
          <w:tcPr>
            <w:tcW w:w="3080" w:type="dxa"/>
            <w:vAlign w:val="bottom"/>
          </w:tcPr>
          <w:p>
            <w:pPr>
              <w:jc w:val="right"/>
              <w:ind w:right="381"/>
              <w:spacing w:after="0"/>
              <w:rPr>
                <w:sz w:val="20"/>
                <w:szCs w:val="20"/>
                <w:color w:val="auto"/>
              </w:rPr>
            </w:pPr>
            <w:r>
              <w:rPr>
                <w:rFonts w:ascii="Arial" w:cs="Arial" w:eastAsia="Arial" w:hAnsi="Arial"/>
                <w:sz w:val="16"/>
                <w:szCs w:val="16"/>
                <w:color w:val="0B2E44"/>
              </w:rPr>
              <w:t>$475,000</w:t>
            </w:r>
          </w:p>
        </w:tc>
        <w:tc>
          <w:tcPr>
            <w:tcW w:w="2700" w:type="dxa"/>
            <w:vAlign w:val="bottom"/>
          </w:tcPr>
          <w:p>
            <w:pPr>
              <w:jc w:val="right"/>
              <w:ind w:right="441"/>
              <w:spacing w:after="0"/>
              <w:rPr>
                <w:sz w:val="20"/>
                <w:szCs w:val="20"/>
                <w:color w:val="auto"/>
              </w:rPr>
            </w:pPr>
            <w:r>
              <w:rPr>
                <w:rFonts w:ascii="Arial" w:cs="Arial" w:eastAsia="Arial" w:hAnsi="Arial"/>
                <w:sz w:val="16"/>
                <w:szCs w:val="16"/>
                <w:color w:val="0B2E44"/>
              </w:rPr>
              <w:t>100%</w:t>
            </w:r>
          </w:p>
        </w:tc>
        <w:tc>
          <w:tcPr>
            <w:tcW w:w="2320" w:type="dxa"/>
            <w:vAlign w:val="bottom"/>
          </w:tcPr>
          <w:p>
            <w:pPr>
              <w:jc w:val="right"/>
              <w:ind w:right="22"/>
              <w:spacing w:after="0"/>
              <w:rPr>
                <w:sz w:val="20"/>
                <w:szCs w:val="20"/>
                <w:color w:val="auto"/>
              </w:rPr>
            </w:pPr>
            <w:r>
              <w:rPr>
                <w:rFonts w:ascii="Arial" w:cs="Arial" w:eastAsia="Arial" w:hAnsi="Arial"/>
                <w:sz w:val="16"/>
                <w:szCs w:val="16"/>
                <w:color w:val="0B2E44"/>
              </w:rPr>
              <w:t>$475,000</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0B2E44"/>
            </w:tcBorders>
            <w:shd w:val="clear" w:color="auto" w:fill="DDE9F2"/>
          </w:tcPr>
          <w:p>
            <w:pPr>
              <w:ind w:left="120"/>
              <w:spacing w:after="0"/>
              <w:rPr>
                <w:sz w:val="20"/>
                <w:szCs w:val="20"/>
                <w:color w:val="auto"/>
              </w:rPr>
            </w:pPr>
            <w:r>
              <w:rPr>
                <w:rFonts w:ascii="Arial" w:cs="Arial" w:eastAsia="Arial" w:hAnsi="Arial"/>
                <w:sz w:val="16"/>
                <w:szCs w:val="16"/>
                <w:b w:val="1"/>
                <w:bCs w:val="1"/>
                <w:color w:val="0B2E44"/>
              </w:rPr>
              <w:t>Brian Carolan(2)</w:t>
            </w:r>
          </w:p>
        </w:tc>
        <w:tc>
          <w:tcPr>
            <w:tcW w:w="3080" w:type="dxa"/>
            <w:vAlign w:val="bottom"/>
            <w:tcBorders>
              <w:bottom w:val="single" w:sz="8" w:color="0B2E44"/>
            </w:tcBorders>
            <w:shd w:val="clear" w:color="auto" w:fill="DDE9F2"/>
          </w:tcPr>
          <w:p>
            <w:pPr>
              <w:jc w:val="right"/>
              <w:ind w:right="381"/>
              <w:spacing w:after="0"/>
              <w:rPr>
                <w:sz w:val="20"/>
                <w:szCs w:val="20"/>
                <w:color w:val="auto"/>
              </w:rPr>
            </w:pPr>
            <w:r>
              <w:rPr>
                <w:rFonts w:ascii="Arial" w:cs="Arial" w:eastAsia="Arial" w:hAnsi="Arial"/>
                <w:sz w:val="16"/>
                <w:szCs w:val="16"/>
                <w:color w:val="0B2E44"/>
              </w:rPr>
              <w:t>$410,000</w:t>
            </w:r>
          </w:p>
        </w:tc>
        <w:tc>
          <w:tcPr>
            <w:tcW w:w="2700" w:type="dxa"/>
            <w:vAlign w:val="bottom"/>
            <w:tcBorders>
              <w:bottom w:val="single" w:sz="8" w:color="0B2E44"/>
            </w:tcBorders>
            <w:shd w:val="clear" w:color="auto" w:fill="DDE9F2"/>
          </w:tcPr>
          <w:p>
            <w:pPr>
              <w:jc w:val="right"/>
              <w:ind w:right="441"/>
              <w:spacing w:after="0"/>
              <w:rPr>
                <w:sz w:val="20"/>
                <w:szCs w:val="20"/>
                <w:color w:val="auto"/>
              </w:rPr>
            </w:pPr>
            <w:r>
              <w:rPr>
                <w:rFonts w:ascii="Arial" w:cs="Arial" w:eastAsia="Arial" w:hAnsi="Arial"/>
                <w:sz w:val="16"/>
                <w:szCs w:val="16"/>
                <w:color w:val="0B2E44"/>
              </w:rPr>
              <w:t>60%</w:t>
            </w:r>
          </w:p>
        </w:tc>
        <w:tc>
          <w:tcPr>
            <w:tcW w:w="2320" w:type="dxa"/>
            <w:vAlign w:val="bottom"/>
            <w:tcBorders>
              <w:bottom w:val="single" w:sz="8" w:color="0B2E44"/>
            </w:tcBorders>
            <w:shd w:val="clear" w:color="auto" w:fill="DDE9F2"/>
          </w:tcPr>
          <w:p>
            <w:pPr>
              <w:jc w:val="right"/>
              <w:ind w:right="22"/>
              <w:spacing w:after="0"/>
              <w:rPr>
                <w:sz w:val="20"/>
                <w:szCs w:val="20"/>
                <w:color w:val="auto"/>
              </w:rPr>
            </w:pPr>
            <w:r>
              <w:rPr>
                <w:rFonts w:ascii="Arial" w:cs="Arial" w:eastAsia="Arial" w:hAnsi="Arial"/>
                <w:sz w:val="16"/>
                <w:szCs w:val="16"/>
                <w:color w:val="0B2E44"/>
              </w:rPr>
              <w:t>$246,000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3"/>
          <w:szCs w:val="13"/>
          <w:color w:val="092E44"/>
        </w:rPr>
      </w:pPr>
      <w:r>
        <w:rPr>
          <w:rFonts w:ascii="Arial" w:cs="Arial" w:eastAsia="Arial" w:hAnsi="Arial"/>
          <w:sz w:val="13"/>
          <w:szCs w:val="13"/>
          <w:color w:val="092E44"/>
        </w:rPr>
        <w:t>Cash bonus payments under the Fiscal 2023 AIP could range from zero to 200% of target.</w:t>
      </w:r>
    </w:p>
    <w:p>
      <w:pPr>
        <w:spacing w:after="0" w:line="12" w:lineRule="exact"/>
        <w:rPr>
          <w:rFonts w:ascii="Arial" w:cs="Arial" w:eastAsia="Arial" w:hAnsi="Arial"/>
          <w:sz w:val="13"/>
          <w:szCs w:val="13"/>
          <w:color w:val="092E44"/>
        </w:rPr>
      </w:pPr>
    </w:p>
    <w:p>
      <w:pPr>
        <w:ind w:left="260" w:hanging="252"/>
        <w:spacing w:after="0"/>
        <w:tabs>
          <w:tab w:leader="none" w:pos="260" w:val="left"/>
        </w:tabs>
        <w:numPr>
          <w:ilvl w:val="0"/>
          <w:numId w:val="39"/>
        </w:numPr>
        <w:rPr>
          <w:rFonts w:ascii="Arial" w:cs="Arial" w:eastAsia="Arial" w:hAnsi="Arial"/>
          <w:sz w:val="13"/>
          <w:szCs w:val="13"/>
          <w:color w:val="092E44"/>
        </w:rPr>
      </w:pPr>
      <w:r>
        <w:rPr>
          <w:rFonts w:ascii="Arial" w:cs="Arial" w:eastAsia="Arial" w:hAnsi="Arial"/>
          <w:sz w:val="13"/>
          <w:szCs w:val="13"/>
          <w:color w:val="092E44"/>
        </w:rPr>
        <w:t>Mr. Carolan departed the Company on June 30, 2022. The values in the table represent his annualized targets versus actual compensation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36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2023 COMPENSATION DECISIONS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E14A6A"/>
        </w:rPr>
        <w:t>Performance Measures</w:t>
      </w:r>
    </w:p>
    <w:p>
      <w:pPr>
        <w:spacing w:after="0" w:line="66"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0B2E44"/>
        </w:rPr>
        <w:t>In May 2022, the TMCC selected total revenue (weighted 60%) and non-GAAP EBIT (weighted 40%) as the performance metrics for the Fiscal 2023 AIP. These metrics were selected because the TMCC believes that, at this stage of our development, revenue growth and profitability are the most relevant measures of Commvault’s financial performance and the measures most closely correlated to increasing stockholder value. In fact, in the course of our regular stockholder engagements, stockholders often mention their approval of our revenue and non-GAAP EBIT performance measures. Further, in our public communications (including on earnings calls), our disclosures typically reference revenue and non-GAAP EBIT, in addition to GAAP performance metrics, as the primary means we use to evaluate our own performance. In other words, these metrics are closely tied to how we manage the business.</w:t>
      </w:r>
    </w:p>
    <w:p>
      <w:pPr>
        <w:spacing w:after="0" w:line="3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0B2E44"/>
        </w:rPr>
        <w:t>For purposes of the Fiscal 2023 AIP, the TMCC set the various performance levels for these performance metrics and payout amounts for each performance level as shown below</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0B2E44"/>
        </w:rPr>
        <w:t>For Messrs. Mirchandani, Merrill and Carolan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140"/>
              <w:spacing w:after="0"/>
              <w:rPr>
                <w:sz w:val="20"/>
                <w:szCs w:val="20"/>
                <w:color w:val="auto"/>
              </w:rPr>
            </w:pPr>
            <w:r>
              <w:rPr>
                <w:rFonts w:ascii="Arial" w:cs="Arial" w:eastAsia="Arial" w:hAnsi="Arial"/>
                <w:sz w:val="14"/>
                <w:szCs w:val="14"/>
                <w:color w:val="092E44"/>
              </w:rPr>
              <w:t>Metric</w:t>
            </w:r>
          </w:p>
        </w:tc>
        <w:tc>
          <w:tcPr>
            <w:tcW w:w="3040" w:type="dxa"/>
            <w:vAlign w:val="bottom"/>
            <w:vMerge w:val="restart"/>
          </w:tcPr>
          <w:p>
            <w:pPr>
              <w:jc w:val="center"/>
              <w:ind w:left="1622"/>
              <w:spacing w:after="0"/>
              <w:rPr>
                <w:sz w:val="20"/>
                <w:szCs w:val="20"/>
                <w:color w:val="auto"/>
              </w:rPr>
            </w:pPr>
            <w:r>
              <w:rPr>
                <w:rFonts w:ascii="Arial" w:cs="Arial" w:eastAsia="Arial" w:hAnsi="Arial"/>
                <w:sz w:val="14"/>
                <w:szCs w:val="14"/>
                <w:color w:val="092E44"/>
              </w:rPr>
              <w:t>Weight</w:t>
            </w:r>
          </w:p>
        </w:tc>
        <w:tc>
          <w:tcPr>
            <w:tcW w:w="1580" w:type="dxa"/>
            <w:vAlign w:val="bottom"/>
          </w:tcPr>
          <w:p>
            <w:pPr>
              <w:jc w:val="right"/>
              <w:ind w:right="224"/>
              <w:spacing w:after="0"/>
              <w:rPr>
                <w:sz w:val="20"/>
                <w:szCs w:val="20"/>
                <w:color w:val="auto"/>
              </w:rPr>
            </w:pPr>
            <w:r>
              <w:rPr>
                <w:rFonts w:ascii="Arial" w:cs="Arial" w:eastAsia="Arial" w:hAnsi="Arial"/>
                <w:sz w:val="14"/>
                <w:szCs w:val="14"/>
                <w:color w:val="092E44"/>
              </w:rPr>
              <w:t>Threshold</w:t>
            </w:r>
          </w:p>
        </w:tc>
        <w:tc>
          <w:tcPr>
            <w:tcW w:w="1720" w:type="dxa"/>
            <w:vAlign w:val="bottom"/>
          </w:tcPr>
          <w:p>
            <w:pPr>
              <w:jc w:val="right"/>
              <w:ind w:right="444"/>
              <w:spacing w:after="0"/>
              <w:rPr>
                <w:sz w:val="20"/>
                <w:szCs w:val="20"/>
                <w:color w:val="auto"/>
              </w:rPr>
            </w:pPr>
            <w:r>
              <w:rPr>
                <w:rFonts w:ascii="Arial" w:cs="Arial" w:eastAsia="Arial" w:hAnsi="Arial"/>
                <w:sz w:val="14"/>
                <w:szCs w:val="14"/>
                <w:color w:val="092E44"/>
              </w:rPr>
              <w:t>Target</w:t>
            </w:r>
          </w:p>
        </w:tc>
        <w:tc>
          <w:tcPr>
            <w:tcW w:w="1440" w:type="dxa"/>
            <w:vAlign w:val="bottom"/>
          </w:tcPr>
          <w:p>
            <w:pPr>
              <w:jc w:val="right"/>
              <w:spacing w:after="0"/>
              <w:rPr>
                <w:sz w:val="20"/>
                <w:szCs w:val="20"/>
                <w:color w:val="auto"/>
              </w:rPr>
            </w:pPr>
            <w:r>
              <w:rPr>
                <w:rFonts w:ascii="Arial" w:cs="Arial" w:eastAsia="Arial" w:hAnsi="Arial"/>
                <w:sz w:val="14"/>
                <w:szCs w:val="14"/>
                <w:color w:val="092E44"/>
              </w:rPr>
              <w:t>Maximum</w:t>
            </w:r>
          </w:p>
        </w:tc>
        <w:tc>
          <w:tcPr>
            <w:tcW w:w="0" w:type="dxa"/>
            <w:vAlign w:val="bottom"/>
          </w:tcPr>
          <w:p>
            <w:pPr>
              <w:spacing w:after="0"/>
              <w:rPr>
                <w:sz w:val="1"/>
                <w:szCs w:val="1"/>
                <w:color w:val="auto"/>
              </w:rPr>
            </w:pPr>
          </w:p>
        </w:tc>
      </w:tr>
      <w:tr>
        <w:trPr>
          <w:trHeight w:val="186"/>
        </w:trPr>
        <w:tc>
          <w:tcPr>
            <w:tcW w:w="3460" w:type="dxa"/>
            <w:vAlign w:val="bottom"/>
            <w:tcBorders>
              <w:bottom w:val="single" w:sz="8" w:color="E14A6A"/>
            </w:tcBorders>
            <w:vMerge w:val="continue"/>
          </w:tcPr>
          <w:p>
            <w:pPr>
              <w:spacing w:after="0"/>
              <w:rPr>
                <w:sz w:val="16"/>
                <w:szCs w:val="16"/>
                <w:color w:val="auto"/>
              </w:rPr>
            </w:pPr>
          </w:p>
        </w:tc>
        <w:tc>
          <w:tcPr>
            <w:tcW w:w="3040" w:type="dxa"/>
            <w:vAlign w:val="bottom"/>
            <w:tcBorders>
              <w:bottom w:val="single" w:sz="8" w:color="E14A6A"/>
            </w:tcBorders>
            <w:vMerge w:val="continue"/>
          </w:tcPr>
          <w:p>
            <w:pPr>
              <w:spacing w:after="0"/>
              <w:rPr>
                <w:sz w:val="16"/>
                <w:szCs w:val="16"/>
                <w:color w:val="auto"/>
              </w:rPr>
            </w:pPr>
          </w:p>
        </w:tc>
        <w:tc>
          <w:tcPr>
            <w:tcW w:w="1580" w:type="dxa"/>
            <w:vAlign w:val="bottom"/>
            <w:tcBorders>
              <w:bottom w:val="single" w:sz="8" w:color="E14A6A"/>
            </w:tcBorders>
          </w:tcPr>
          <w:p>
            <w:pPr>
              <w:jc w:val="right"/>
              <w:ind w:right="224"/>
              <w:spacing w:after="0"/>
              <w:rPr>
                <w:sz w:val="20"/>
                <w:szCs w:val="20"/>
                <w:color w:val="auto"/>
              </w:rPr>
            </w:pPr>
            <w:r>
              <w:rPr>
                <w:rFonts w:ascii="Arial" w:cs="Arial" w:eastAsia="Arial" w:hAnsi="Arial"/>
                <w:sz w:val="14"/>
                <w:szCs w:val="14"/>
                <w:color w:val="092E44"/>
              </w:rPr>
              <w:t>(50% payout)</w:t>
            </w:r>
          </w:p>
        </w:tc>
        <w:tc>
          <w:tcPr>
            <w:tcW w:w="1720" w:type="dxa"/>
            <w:vAlign w:val="bottom"/>
            <w:tcBorders>
              <w:bottom w:val="single" w:sz="8" w:color="E14A6A"/>
            </w:tcBorders>
          </w:tcPr>
          <w:p>
            <w:pPr>
              <w:jc w:val="right"/>
              <w:ind w:right="404"/>
              <w:spacing w:after="0"/>
              <w:rPr>
                <w:sz w:val="20"/>
                <w:szCs w:val="20"/>
                <w:color w:val="auto"/>
              </w:rPr>
            </w:pPr>
            <w:r>
              <w:rPr>
                <w:rFonts w:ascii="Arial" w:cs="Arial" w:eastAsia="Arial" w:hAnsi="Arial"/>
                <w:sz w:val="14"/>
                <w:szCs w:val="14"/>
                <w:color w:val="092E44"/>
              </w:rPr>
              <w:t>(100% payout)</w:t>
            </w:r>
          </w:p>
        </w:tc>
        <w:tc>
          <w:tcPr>
            <w:tcW w:w="144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92E44"/>
              </w:rPr>
              <w:t>(200% payout)</w:t>
            </w:r>
          </w:p>
        </w:tc>
        <w:tc>
          <w:tcPr>
            <w:tcW w:w="0" w:type="dxa"/>
            <w:vAlign w:val="bottom"/>
          </w:tcPr>
          <w:p>
            <w:pPr>
              <w:spacing w:after="0"/>
              <w:rPr>
                <w:sz w:val="1"/>
                <w:szCs w:val="1"/>
                <w:color w:val="auto"/>
              </w:rPr>
            </w:pPr>
          </w:p>
        </w:tc>
      </w:tr>
      <w:tr>
        <w:trPr>
          <w:trHeight w:val="210"/>
        </w:trPr>
        <w:tc>
          <w:tcPr>
            <w:tcW w:w="3460" w:type="dxa"/>
            <w:vAlign w:val="bottom"/>
          </w:tcPr>
          <w:p>
            <w:pPr>
              <w:ind w:left="120"/>
              <w:spacing w:after="0"/>
              <w:rPr>
                <w:sz w:val="20"/>
                <w:szCs w:val="20"/>
                <w:color w:val="auto"/>
              </w:rPr>
            </w:pPr>
            <w:r>
              <w:rPr>
                <w:rFonts w:ascii="Arial" w:cs="Arial" w:eastAsia="Arial" w:hAnsi="Arial"/>
                <w:sz w:val="16"/>
                <w:szCs w:val="16"/>
                <w:color w:val="092E44"/>
              </w:rPr>
              <w:t>Revenue</w:t>
            </w:r>
          </w:p>
        </w:tc>
        <w:tc>
          <w:tcPr>
            <w:tcW w:w="3040" w:type="dxa"/>
            <w:vAlign w:val="bottom"/>
          </w:tcPr>
          <w:p>
            <w:pPr>
              <w:jc w:val="center"/>
              <w:ind w:left="1582"/>
              <w:spacing w:after="0"/>
              <w:rPr>
                <w:sz w:val="20"/>
                <w:szCs w:val="20"/>
                <w:color w:val="auto"/>
              </w:rPr>
            </w:pPr>
            <w:r>
              <w:rPr>
                <w:rFonts w:ascii="Arial" w:cs="Arial" w:eastAsia="Arial" w:hAnsi="Arial"/>
                <w:sz w:val="16"/>
                <w:szCs w:val="16"/>
                <w:color w:val="092E44"/>
              </w:rPr>
              <w:t>60%</w:t>
            </w:r>
          </w:p>
        </w:tc>
        <w:tc>
          <w:tcPr>
            <w:tcW w:w="1580" w:type="dxa"/>
            <w:vAlign w:val="bottom"/>
          </w:tcPr>
          <w:p>
            <w:pPr>
              <w:jc w:val="right"/>
              <w:ind w:right="304"/>
              <w:spacing w:after="0"/>
              <w:rPr>
                <w:sz w:val="20"/>
                <w:szCs w:val="20"/>
                <w:color w:val="auto"/>
              </w:rPr>
            </w:pPr>
            <w:r>
              <w:rPr>
                <w:rFonts w:ascii="Arial" w:cs="Arial" w:eastAsia="Arial" w:hAnsi="Arial"/>
                <w:sz w:val="16"/>
                <w:szCs w:val="16"/>
                <w:color w:val="092E44"/>
              </w:rPr>
              <w:t>92%</w:t>
            </w:r>
          </w:p>
        </w:tc>
        <w:tc>
          <w:tcPr>
            <w:tcW w:w="1720" w:type="dxa"/>
            <w:vAlign w:val="bottom"/>
          </w:tcPr>
          <w:p>
            <w:pPr>
              <w:jc w:val="right"/>
              <w:ind w:right="484"/>
              <w:spacing w:after="0"/>
              <w:rPr>
                <w:sz w:val="20"/>
                <w:szCs w:val="20"/>
                <w:color w:val="auto"/>
              </w:rPr>
            </w:pPr>
            <w:r>
              <w:rPr>
                <w:rFonts w:ascii="Arial" w:cs="Arial" w:eastAsia="Arial" w:hAnsi="Arial"/>
                <w:sz w:val="16"/>
                <w:szCs w:val="16"/>
                <w:color w:val="092E44"/>
              </w:rPr>
              <w:t>100%</w:t>
            </w:r>
          </w:p>
        </w:tc>
        <w:tc>
          <w:tcPr>
            <w:tcW w:w="1440" w:type="dxa"/>
            <w:vAlign w:val="bottom"/>
          </w:tcPr>
          <w:p>
            <w:pPr>
              <w:jc w:val="right"/>
              <w:ind w:right="24"/>
              <w:spacing w:after="0"/>
              <w:rPr>
                <w:sz w:val="20"/>
                <w:szCs w:val="20"/>
                <w:color w:val="auto"/>
              </w:rPr>
            </w:pPr>
            <w:r>
              <w:rPr>
                <w:rFonts w:ascii="Arial" w:cs="Arial" w:eastAsia="Arial" w:hAnsi="Arial"/>
                <w:sz w:val="16"/>
                <w:szCs w:val="16"/>
                <w:color w:val="092E44"/>
              </w:rPr>
              <w:t>103%</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0B2E44"/>
            </w:tcBorders>
            <w:shd w:val="clear" w:color="auto" w:fill="DDE9F2"/>
          </w:tcPr>
          <w:p>
            <w:pPr>
              <w:ind w:left="120"/>
              <w:spacing w:after="0"/>
              <w:rPr>
                <w:sz w:val="20"/>
                <w:szCs w:val="20"/>
                <w:color w:val="auto"/>
              </w:rPr>
            </w:pPr>
            <w:r>
              <w:rPr>
                <w:rFonts w:ascii="Arial" w:cs="Arial" w:eastAsia="Arial" w:hAnsi="Arial"/>
                <w:sz w:val="16"/>
                <w:szCs w:val="16"/>
                <w:color w:val="092E44"/>
              </w:rPr>
              <w:t>Non-GAAP EBIT</w:t>
            </w:r>
          </w:p>
        </w:tc>
        <w:tc>
          <w:tcPr>
            <w:tcW w:w="3040" w:type="dxa"/>
            <w:vAlign w:val="bottom"/>
            <w:tcBorders>
              <w:bottom w:val="single" w:sz="8" w:color="0B2E44"/>
            </w:tcBorders>
            <w:shd w:val="clear" w:color="auto" w:fill="DDE9F2"/>
          </w:tcPr>
          <w:p>
            <w:pPr>
              <w:jc w:val="center"/>
              <w:ind w:left="1582"/>
              <w:spacing w:after="0"/>
              <w:rPr>
                <w:sz w:val="20"/>
                <w:szCs w:val="20"/>
                <w:color w:val="auto"/>
              </w:rPr>
            </w:pPr>
            <w:r>
              <w:rPr>
                <w:rFonts w:ascii="Arial" w:cs="Arial" w:eastAsia="Arial" w:hAnsi="Arial"/>
                <w:sz w:val="16"/>
                <w:szCs w:val="16"/>
                <w:color w:val="092E44"/>
              </w:rPr>
              <w:t>40%</w:t>
            </w:r>
          </w:p>
        </w:tc>
        <w:tc>
          <w:tcPr>
            <w:tcW w:w="1580" w:type="dxa"/>
            <w:vAlign w:val="bottom"/>
            <w:tcBorders>
              <w:bottom w:val="single" w:sz="8" w:color="0B2E44"/>
            </w:tcBorders>
            <w:shd w:val="clear" w:color="auto" w:fill="DDE9F2"/>
          </w:tcPr>
          <w:p>
            <w:pPr>
              <w:jc w:val="right"/>
              <w:ind w:right="304"/>
              <w:spacing w:after="0"/>
              <w:rPr>
                <w:sz w:val="20"/>
                <w:szCs w:val="20"/>
                <w:color w:val="auto"/>
              </w:rPr>
            </w:pPr>
            <w:r>
              <w:rPr>
                <w:rFonts w:ascii="Arial" w:cs="Arial" w:eastAsia="Arial" w:hAnsi="Arial"/>
                <w:sz w:val="16"/>
                <w:szCs w:val="16"/>
                <w:color w:val="092E44"/>
              </w:rPr>
              <w:t>85%</w:t>
            </w:r>
          </w:p>
        </w:tc>
        <w:tc>
          <w:tcPr>
            <w:tcW w:w="1720" w:type="dxa"/>
            <w:vAlign w:val="bottom"/>
            <w:tcBorders>
              <w:bottom w:val="single" w:sz="8" w:color="0B2E44"/>
            </w:tcBorders>
            <w:shd w:val="clear" w:color="auto" w:fill="DDE9F2"/>
          </w:tcPr>
          <w:p>
            <w:pPr>
              <w:jc w:val="right"/>
              <w:ind w:right="484"/>
              <w:spacing w:after="0"/>
              <w:rPr>
                <w:sz w:val="20"/>
                <w:szCs w:val="20"/>
                <w:color w:val="auto"/>
              </w:rPr>
            </w:pPr>
            <w:r>
              <w:rPr>
                <w:rFonts w:ascii="Arial" w:cs="Arial" w:eastAsia="Arial" w:hAnsi="Arial"/>
                <w:sz w:val="16"/>
                <w:szCs w:val="16"/>
                <w:color w:val="092E44"/>
              </w:rPr>
              <w:t>100%</w:t>
            </w:r>
          </w:p>
        </w:tc>
        <w:tc>
          <w:tcPr>
            <w:tcW w:w="1440" w:type="dxa"/>
            <w:vAlign w:val="bottom"/>
            <w:tcBorders>
              <w:bottom w:val="single" w:sz="8" w:color="0B2E44"/>
            </w:tcBorders>
            <w:shd w:val="clear" w:color="auto" w:fill="DDE9F2"/>
          </w:tcPr>
          <w:p>
            <w:pPr>
              <w:jc w:val="right"/>
              <w:ind w:right="24"/>
              <w:spacing w:after="0"/>
              <w:rPr>
                <w:sz w:val="20"/>
                <w:szCs w:val="20"/>
                <w:color w:val="auto"/>
              </w:rPr>
            </w:pPr>
            <w:r>
              <w:rPr>
                <w:rFonts w:ascii="Arial" w:cs="Arial" w:eastAsia="Arial" w:hAnsi="Arial"/>
                <w:sz w:val="16"/>
                <w:szCs w:val="16"/>
                <w:color w:val="092E44"/>
              </w:rPr>
              <w:t>108%</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0B2E44"/>
        </w:rPr>
        <w:t>If actual performance falls between the specified goals, the payout percentage is calculated on a linear basis.</w:t>
      </w:r>
    </w:p>
    <w:p>
      <w:pPr>
        <w:spacing w:after="0" w:line="235" w:lineRule="exact"/>
        <w:rPr>
          <w:sz w:val="20"/>
          <w:szCs w:val="20"/>
          <w:color w:val="auto"/>
        </w:rPr>
      </w:pPr>
    </w:p>
    <w:p>
      <w:pPr>
        <w:ind w:right="400"/>
        <w:spacing w:after="0" w:line="258" w:lineRule="auto"/>
        <w:rPr>
          <w:sz w:val="20"/>
          <w:szCs w:val="20"/>
          <w:color w:val="auto"/>
        </w:rPr>
      </w:pPr>
      <w:r>
        <w:rPr>
          <w:rFonts w:ascii="Arial" w:cs="Arial" w:eastAsia="Arial" w:hAnsi="Arial"/>
          <w:sz w:val="16"/>
          <w:szCs w:val="16"/>
          <w:color w:val="0B2E44"/>
        </w:rPr>
        <w:t>The actual bonus paid to an individual named executive officer, other than our CEO, is also subject to modification based on individual performance, +/-200% of achievement.</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0B2E44"/>
        </w:rPr>
        <w:t>For Mr. Di Blasio</w:t>
      </w:r>
    </w:p>
    <w:p>
      <w:pPr>
        <w:spacing w:after="0" w:line="67"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0B2E44"/>
        </w:rPr>
        <w:t>Because Mr. Di Blasio is our Chief Revenue Officer, the TMCC believes he should have different targets and multipliers that emphasize the revenue metric. Specifically, Mr. Di Blasio had four independent quarterly revenue goals that, in the aggregate, were the same amount as the annual goal for the other named executive officers. Since Mr. Di Blasio could earn his incentive bonus incrementally—based on results for each individual quarter—and his payout percentage was potentially higher, the TMCC anticipated that the payout percentages for the revenue metric for the named executive officers might vary.</w:t>
      </w:r>
    </w:p>
    <w:p>
      <w:pPr>
        <w:spacing w:after="0" w:line="34"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0B2E44"/>
        </w:rPr>
        <w:t>In keeping with the quarterly schedule for Mr. Di Blasio’s incentive bonus, he also earned incremental amounts for the non-GAAP EBIT metric. His goal for non-GAAP EBIT was the same as the annual goal set for the other named executive officers. However, for each of the first three quarters of the AIP performance period, Mr. Di Blasio received an amount based on an assumed achievement of 80% of target for non-GAAP EBIT. At the end of the fourth quarter the payout associated with the non-GAAP EBIT metric was adjusted to reflect Commvault’s actual performance for the year. Thus, Mr. Di Blasio’s aggregate payout related to non-GAAP EBIT was the same as the payout earned by the other named executive officers.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E14A6A"/>
        </w:rPr>
        <w:t>Fiscal 2023 Annual Cash Incentive Plan Decisions</w:t>
      </w:r>
    </w:p>
    <w:p>
      <w:pPr>
        <w:spacing w:after="0" w:line="66"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0B2E44"/>
        </w:rPr>
        <w:t>In May 2022, the TMCC determined that our achievement for the revenue and non-GAAP EBIT portions of the Fiscal 2023 AIP resulted in a payout equal to 71.7% of target for Messrs. Mirchandani and Merrill.</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400" w:type="dxa"/>
            <w:vAlign w:val="bottom"/>
          </w:tcPr>
          <w:p>
            <w:pPr>
              <w:jc w:val="right"/>
              <w:ind w:right="204"/>
              <w:spacing w:after="0"/>
              <w:rPr>
                <w:sz w:val="20"/>
                <w:szCs w:val="20"/>
                <w:color w:val="auto"/>
              </w:rPr>
            </w:pPr>
            <w:r>
              <w:rPr>
                <w:rFonts w:ascii="Arial" w:cs="Arial" w:eastAsia="Arial" w:hAnsi="Arial"/>
                <w:sz w:val="14"/>
                <w:szCs w:val="14"/>
                <w:color w:val="092E44"/>
              </w:rPr>
              <w:t>Achievement</w:t>
            </w:r>
          </w:p>
        </w:tc>
        <w:tc>
          <w:tcPr>
            <w:tcW w:w="1360" w:type="dxa"/>
            <w:vAlign w:val="bottom"/>
          </w:tcPr>
          <w:p>
            <w:pPr>
              <w:jc w:val="right"/>
              <w:ind w:right="284"/>
              <w:spacing w:after="0"/>
              <w:rPr>
                <w:sz w:val="20"/>
                <w:szCs w:val="20"/>
                <w:color w:val="auto"/>
              </w:rPr>
            </w:pPr>
            <w:r>
              <w:rPr>
                <w:rFonts w:ascii="Arial" w:cs="Arial" w:eastAsia="Arial" w:hAnsi="Arial"/>
                <w:sz w:val="14"/>
                <w:szCs w:val="14"/>
                <w:color w:val="092E44"/>
              </w:rPr>
              <w:t>Target</w:t>
            </w:r>
          </w:p>
        </w:tc>
        <w:tc>
          <w:tcPr>
            <w:tcW w:w="1420" w:type="dxa"/>
            <w:vAlign w:val="bottom"/>
          </w:tcPr>
          <w:p>
            <w:pPr>
              <w:ind w:left="340"/>
              <w:spacing w:after="0"/>
              <w:rPr>
                <w:sz w:val="20"/>
                <w:szCs w:val="20"/>
                <w:color w:val="auto"/>
              </w:rPr>
            </w:pPr>
            <w:r>
              <w:rPr>
                <w:rFonts w:ascii="Arial" w:cs="Arial" w:eastAsia="Arial" w:hAnsi="Arial"/>
                <w:sz w:val="14"/>
                <w:szCs w:val="14"/>
                <w:color w:val="092E44"/>
              </w:rPr>
              <w:t>Achievement</w:t>
            </w:r>
          </w:p>
        </w:tc>
        <w:tc>
          <w:tcPr>
            <w:tcW w:w="1140" w:type="dxa"/>
            <w:vAlign w:val="bottom"/>
          </w:tcPr>
          <w:p>
            <w:pPr>
              <w:jc w:val="right"/>
              <w:ind w:right="264"/>
              <w:spacing w:after="0"/>
              <w:rPr>
                <w:sz w:val="20"/>
                <w:szCs w:val="20"/>
                <w:color w:val="auto"/>
              </w:rPr>
            </w:pPr>
            <w:r>
              <w:rPr>
                <w:rFonts w:ascii="Arial" w:cs="Arial" w:eastAsia="Arial" w:hAnsi="Arial"/>
                <w:sz w:val="14"/>
                <w:szCs w:val="14"/>
                <w:color w:val="092E44"/>
              </w:rPr>
              <w:t>Payout</w:t>
            </w:r>
          </w:p>
        </w:tc>
        <w:tc>
          <w:tcPr>
            <w:tcW w:w="1320" w:type="dxa"/>
            <w:vAlign w:val="bottom"/>
          </w:tcPr>
          <w:p>
            <w:pPr>
              <w:spacing w:after="0"/>
              <w:rPr>
                <w:sz w:val="14"/>
                <w:szCs w:val="14"/>
                <w:color w:val="auto"/>
              </w:rPr>
            </w:pPr>
          </w:p>
        </w:tc>
        <w:tc>
          <w:tcPr>
            <w:tcW w:w="1000" w:type="dxa"/>
            <w:vAlign w:val="bottom"/>
          </w:tcPr>
          <w:p>
            <w:pPr>
              <w:jc w:val="center"/>
              <w:ind w:left="283"/>
              <w:spacing w:after="0"/>
              <w:rPr>
                <w:sz w:val="20"/>
                <w:szCs w:val="20"/>
                <w:color w:val="auto"/>
              </w:rPr>
            </w:pPr>
            <w:r>
              <w:rPr>
                <w:rFonts w:ascii="Arial" w:cs="Arial" w:eastAsia="Arial" w:hAnsi="Arial"/>
                <w:sz w:val="14"/>
                <w:szCs w:val="14"/>
                <w:color w:val="092E44"/>
              </w:rPr>
              <w:t>Weighted</w:t>
            </w:r>
          </w:p>
        </w:tc>
      </w:tr>
      <w:tr>
        <w:trPr>
          <w:trHeight w:val="189"/>
        </w:trPr>
        <w:tc>
          <w:tcPr>
            <w:tcW w:w="2600" w:type="dxa"/>
            <w:vAlign w:val="bottom"/>
            <w:tcBorders>
              <w:bottom w:val="single" w:sz="8" w:color="E14A6A"/>
            </w:tcBorders>
          </w:tcPr>
          <w:p>
            <w:pPr>
              <w:spacing w:after="0"/>
              <w:rPr>
                <w:sz w:val="16"/>
                <w:szCs w:val="16"/>
                <w:color w:val="auto"/>
              </w:rPr>
            </w:pPr>
          </w:p>
        </w:tc>
        <w:tc>
          <w:tcPr>
            <w:tcW w:w="2400" w:type="dxa"/>
            <w:vAlign w:val="bottom"/>
            <w:tcBorders>
              <w:bottom w:val="single" w:sz="8" w:color="E14A6A"/>
            </w:tcBorders>
          </w:tcPr>
          <w:p>
            <w:pPr>
              <w:jc w:val="right"/>
              <w:ind w:right="204"/>
              <w:spacing w:after="0"/>
              <w:rPr>
                <w:sz w:val="20"/>
                <w:szCs w:val="20"/>
                <w:color w:val="auto"/>
              </w:rPr>
            </w:pPr>
            <w:r>
              <w:rPr>
                <w:rFonts w:ascii="Arial" w:cs="Arial" w:eastAsia="Arial" w:hAnsi="Arial"/>
                <w:sz w:val="14"/>
                <w:szCs w:val="14"/>
                <w:color w:val="092E44"/>
              </w:rPr>
              <w:t>(in millions)</w:t>
            </w:r>
          </w:p>
        </w:tc>
        <w:tc>
          <w:tcPr>
            <w:tcW w:w="1360" w:type="dxa"/>
            <w:vAlign w:val="bottom"/>
            <w:tcBorders>
              <w:bottom w:val="single" w:sz="8" w:color="E14A6A"/>
            </w:tcBorders>
          </w:tcPr>
          <w:p>
            <w:pPr>
              <w:jc w:val="right"/>
              <w:ind w:right="284"/>
              <w:spacing w:after="0"/>
              <w:rPr>
                <w:sz w:val="20"/>
                <w:szCs w:val="20"/>
                <w:color w:val="auto"/>
              </w:rPr>
            </w:pPr>
            <w:r>
              <w:rPr>
                <w:rFonts w:ascii="Arial" w:cs="Arial" w:eastAsia="Arial" w:hAnsi="Arial"/>
                <w:sz w:val="14"/>
                <w:szCs w:val="14"/>
                <w:color w:val="092E44"/>
              </w:rPr>
              <w:t>(in millions)</w:t>
            </w:r>
          </w:p>
        </w:tc>
        <w:tc>
          <w:tcPr>
            <w:tcW w:w="1420" w:type="dxa"/>
            <w:vAlign w:val="bottom"/>
            <w:tcBorders>
              <w:bottom w:val="single" w:sz="8" w:color="E14A6A"/>
            </w:tcBorders>
          </w:tcPr>
          <w:p>
            <w:pPr>
              <w:jc w:val="center"/>
              <w:ind w:left="224"/>
              <w:spacing w:after="0"/>
              <w:rPr>
                <w:sz w:val="20"/>
                <w:szCs w:val="20"/>
                <w:color w:val="auto"/>
              </w:rPr>
            </w:pPr>
            <w:r>
              <w:rPr>
                <w:rFonts w:ascii="Arial" w:cs="Arial" w:eastAsia="Arial" w:hAnsi="Arial"/>
                <w:sz w:val="14"/>
                <w:szCs w:val="14"/>
                <w:color w:val="092E44"/>
              </w:rPr>
              <w:t>vs. Target</w:t>
            </w:r>
          </w:p>
        </w:tc>
        <w:tc>
          <w:tcPr>
            <w:tcW w:w="1140" w:type="dxa"/>
            <w:vAlign w:val="bottom"/>
            <w:tcBorders>
              <w:bottom w:val="single" w:sz="8" w:color="E14A6A"/>
            </w:tcBorders>
          </w:tcPr>
          <w:p>
            <w:pPr>
              <w:jc w:val="right"/>
              <w:ind w:right="264"/>
              <w:spacing w:after="0"/>
              <w:rPr>
                <w:sz w:val="20"/>
                <w:szCs w:val="20"/>
                <w:color w:val="auto"/>
              </w:rPr>
            </w:pPr>
            <w:r>
              <w:rPr>
                <w:rFonts w:ascii="Arial" w:cs="Arial" w:eastAsia="Arial" w:hAnsi="Arial"/>
                <w:sz w:val="14"/>
                <w:szCs w:val="14"/>
                <w:color w:val="092E44"/>
              </w:rPr>
              <w:t>Factor</w:t>
            </w:r>
          </w:p>
        </w:tc>
        <w:tc>
          <w:tcPr>
            <w:tcW w:w="1320" w:type="dxa"/>
            <w:vAlign w:val="bottom"/>
            <w:tcBorders>
              <w:bottom w:val="single" w:sz="8" w:color="E14A6A"/>
            </w:tcBorders>
          </w:tcPr>
          <w:p>
            <w:pPr>
              <w:jc w:val="right"/>
              <w:ind w:right="281"/>
              <w:spacing w:after="0"/>
              <w:rPr>
                <w:sz w:val="20"/>
                <w:szCs w:val="20"/>
                <w:color w:val="auto"/>
              </w:rPr>
            </w:pPr>
            <w:r>
              <w:rPr>
                <w:rFonts w:ascii="Arial" w:cs="Arial" w:eastAsia="Arial" w:hAnsi="Arial"/>
                <w:sz w:val="14"/>
                <w:szCs w:val="14"/>
                <w:color w:val="092E44"/>
              </w:rPr>
              <w:t>Weighting</w:t>
            </w:r>
          </w:p>
        </w:tc>
        <w:tc>
          <w:tcPr>
            <w:tcW w:w="1000" w:type="dxa"/>
            <w:vAlign w:val="bottom"/>
            <w:tcBorders>
              <w:bottom w:val="single" w:sz="8" w:color="E14A6A"/>
            </w:tcBorders>
          </w:tcPr>
          <w:p>
            <w:pPr>
              <w:ind w:left="540"/>
              <w:spacing w:after="0"/>
              <w:rPr>
                <w:sz w:val="20"/>
                <w:szCs w:val="20"/>
                <w:color w:val="auto"/>
              </w:rPr>
            </w:pPr>
            <w:r>
              <w:rPr>
                <w:rFonts w:ascii="Arial" w:cs="Arial" w:eastAsia="Arial" w:hAnsi="Arial"/>
                <w:sz w:val="14"/>
                <w:szCs w:val="14"/>
                <w:color w:val="092E44"/>
              </w:rPr>
              <w:t>Payout</w:t>
            </w:r>
          </w:p>
        </w:tc>
      </w:tr>
      <w:tr>
        <w:trPr>
          <w:trHeight w:val="207"/>
        </w:trPr>
        <w:tc>
          <w:tcPr>
            <w:tcW w:w="2600" w:type="dxa"/>
            <w:vAlign w:val="bottom"/>
          </w:tcPr>
          <w:p>
            <w:pPr>
              <w:ind w:left="120"/>
              <w:spacing w:after="0"/>
              <w:rPr>
                <w:sz w:val="20"/>
                <w:szCs w:val="20"/>
                <w:color w:val="auto"/>
              </w:rPr>
            </w:pPr>
            <w:r>
              <w:rPr>
                <w:rFonts w:ascii="Arial" w:cs="Arial" w:eastAsia="Arial" w:hAnsi="Arial"/>
                <w:sz w:val="16"/>
                <w:szCs w:val="16"/>
                <w:color w:val="092E44"/>
              </w:rPr>
              <w:t>Annual Revenue</w:t>
            </w:r>
          </w:p>
        </w:tc>
        <w:tc>
          <w:tcPr>
            <w:tcW w:w="2400" w:type="dxa"/>
            <w:vAlign w:val="bottom"/>
          </w:tcPr>
          <w:p>
            <w:pPr>
              <w:jc w:val="right"/>
              <w:ind w:right="284"/>
              <w:spacing w:after="0"/>
              <w:rPr>
                <w:sz w:val="20"/>
                <w:szCs w:val="20"/>
                <w:color w:val="auto"/>
              </w:rPr>
            </w:pPr>
            <w:r>
              <w:rPr>
                <w:rFonts w:ascii="Arial" w:cs="Arial" w:eastAsia="Arial" w:hAnsi="Arial"/>
                <w:sz w:val="16"/>
                <w:szCs w:val="16"/>
                <w:color w:val="092E44"/>
              </w:rPr>
              <w:t>$785</w:t>
            </w:r>
          </w:p>
        </w:tc>
        <w:tc>
          <w:tcPr>
            <w:tcW w:w="1360" w:type="dxa"/>
            <w:vAlign w:val="bottom"/>
          </w:tcPr>
          <w:p>
            <w:pPr>
              <w:jc w:val="right"/>
              <w:ind w:right="364"/>
              <w:spacing w:after="0"/>
              <w:rPr>
                <w:sz w:val="20"/>
                <w:szCs w:val="20"/>
                <w:color w:val="auto"/>
              </w:rPr>
            </w:pPr>
            <w:r>
              <w:rPr>
                <w:rFonts w:ascii="Arial" w:cs="Arial" w:eastAsia="Arial" w:hAnsi="Arial"/>
                <w:sz w:val="16"/>
                <w:szCs w:val="16"/>
                <w:color w:val="092E44"/>
              </w:rPr>
              <w:t>$836</w:t>
            </w:r>
          </w:p>
        </w:tc>
        <w:tc>
          <w:tcPr>
            <w:tcW w:w="1420" w:type="dxa"/>
            <w:vAlign w:val="bottom"/>
          </w:tcPr>
          <w:p>
            <w:pPr>
              <w:jc w:val="center"/>
              <w:ind w:left="204"/>
              <w:spacing w:after="0"/>
              <w:rPr>
                <w:sz w:val="20"/>
                <w:szCs w:val="20"/>
                <w:color w:val="auto"/>
              </w:rPr>
            </w:pPr>
            <w:r>
              <w:rPr>
                <w:rFonts w:ascii="Arial" w:cs="Arial" w:eastAsia="Arial" w:hAnsi="Arial"/>
                <w:sz w:val="16"/>
                <w:szCs w:val="16"/>
                <w:color w:val="092E44"/>
              </w:rPr>
              <w:t>93.9%</w:t>
            </w:r>
          </w:p>
        </w:tc>
        <w:tc>
          <w:tcPr>
            <w:tcW w:w="1140" w:type="dxa"/>
            <w:vAlign w:val="bottom"/>
          </w:tcPr>
          <w:p>
            <w:pPr>
              <w:jc w:val="right"/>
              <w:ind w:right="344"/>
              <w:spacing w:after="0"/>
              <w:rPr>
                <w:sz w:val="20"/>
                <w:szCs w:val="20"/>
                <w:color w:val="auto"/>
              </w:rPr>
            </w:pPr>
            <w:r>
              <w:rPr>
                <w:rFonts w:ascii="Arial" w:cs="Arial" w:eastAsia="Arial" w:hAnsi="Arial"/>
                <w:sz w:val="16"/>
                <w:szCs w:val="16"/>
                <w:color w:val="092E44"/>
              </w:rPr>
              <w:t>61.9%</w:t>
            </w:r>
          </w:p>
        </w:tc>
        <w:tc>
          <w:tcPr>
            <w:tcW w:w="1320" w:type="dxa"/>
            <w:vAlign w:val="bottom"/>
          </w:tcPr>
          <w:p>
            <w:pPr>
              <w:jc w:val="right"/>
              <w:ind w:right="361"/>
              <w:spacing w:after="0"/>
              <w:rPr>
                <w:sz w:val="20"/>
                <w:szCs w:val="20"/>
                <w:color w:val="auto"/>
              </w:rPr>
            </w:pPr>
            <w:r>
              <w:rPr>
                <w:rFonts w:ascii="Arial" w:cs="Arial" w:eastAsia="Arial" w:hAnsi="Arial"/>
                <w:sz w:val="16"/>
                <w:szCs w:val="16"/>
                <w:color w:val="092E44"/>
              </w:rPr>
              <w:t>60.0%</w:t>
            </w:r>
          </w:p>
        </w:tc>
        <w:tc>
          <w:tcPr>
            <w:tcW w:w="1000" w:type="dxa"/>
            <w:vAlign w:val="bottom"/>
          </w:tcPr>
          <w:p>
            <w:pPr>
              <w:jc w:val="center"/>
              <w:ind w:left="263"/>
              <w:spacing w:after="0"/>
              <w:rPr>
                <w:sz w:val="20"/>
                <w:szCs w:val="20"/>
                <w:color w:val="auto"/>
              </w:rPr>
            </w:pPr>
            <w:r>
              <w:rPr>
                <w:rFonts w:ascii="Arial" w:cs="Arial" w:eastAsia="Arial" w:hAnsi="Arial"/>
                <w:sz w:val="16"/>
                <w:szCs w:val="16"/>
                <w:color w:val="092E44"/>
              </w:rPr>
              <w:t>37.1%</w:t>
            </w:r>
          </w:p>
        </w:tc>
      </w:tr>
      <w:tr>
        <w:trPr>
          <w:trHeight w:val="219"/>
        </w:trPr>
        <w:tc>
          <w:tcPr>
            <w:tcW w:w="2600" w:type="dxa"/>
            <w:vAlign w:val="bottom"/>
            <w:shd w:val="clear" w:color="auto" w:fill="DDE9F2"/>
          </w:tcPr>
          <w:p>
            <w:pPr>
              <w:ind w:left="120"/>
              <w:spacing w:after="0"/>
              <w:rPr>
                <w:sz w:val="20"/>
                <w:szCs w:val="20"/>
                <w:color w:val="auto"/>
              </w:rPr>
            </w:pPr>
            <w:r>
              <w:rPr>
                <w:rFonts w:ascii="Arial" w:cs="Arial" w:eastAsia="Arial" w:hAnsi="Arial"/>
                <w:sz w:val="16"/>
                <w:szCs w:val="16"/>
                <w:color w:val="092E44"/>
              </w:rPr>
              <w:t>Non-GAAP EBIT</w:t>
            </w:r>
          </w:p>
        </w:tc>
        <w:tc>
          <w:tcPr>
            <w:tcW w:w="2400" w:type="dxa"/>
            <w:vAlign w:val="bottom"/>
            <w:shd w:val="clear" w:color="auto" w:fill="DDE9F2"/>
          </w:tcPr>
          <w:p>
            <w:pPr>
              <w:jc w:val="right"/>
              <w:ind w:right="284"/>
              <w:spacing w:after="0"/>
              <w:rPr>
                <w:sz w:val="20"/>
                <w:szCs w:val="20"/>
                <w:color w:val="auto"/>
              </w:rPr>
            </w:pPr>
            <w:r>
              <w:rPr>
                <w:rFonts w:ascii="Arial" w:cs="Arial" w:eastAsia="Arial" w:hAnsi="Arial"/>
                <w:sz w:val="16"/>
                <w:szCs w:val="16"/>
                <w:color w:val="092E44"/>
              </w:rPr>
              <w:t>$160</w:t>
            </w:r>
          </w:p>
        </w:tc>
        <w:tc>
          <w:tcPr>
            <w:tcW w:w="1360" w:type="dxa"/>
            <w:vAlign w:val="bottom"/>
            <w:shd w:val="clear" w:color="auto" w:fill="DDE9F2"/>
          </w:tcPr>
          <w:p>
            <w:pPr>
              <w:jc w:val="right"/>
              <w:ind w:right="364"/>
              <w:spacing w:after="0"/>
              <w:rPr>
                <w:sz w:val="20"/>
                <w:szCs w:val="20"/>
                <w:color w:val="auto"/>
              </w:rPr>
            </w:pPr>
            <w:r>
              <w:rPr>
                <w:rFonts w:ascii="Arial" w:cs="Arial" w:eastAsia="Arial" w:hAnsi="Arial"/>
                <w:sz w:val="16"/>
                <w:szCs w:val="16"/>
                <w:color w:val="092E44"/>
              </w:rPr>
              <w:t>$167</w:t>
            </w:r>
          </w:p>
        </w:tc>
        <w:tc>
          <w:tcPr>
            <w:tcW w:w="1420" w:type="dxa"/>
            <w:vAlign w:val="bottom"/>
            <w:shd w:val="clear" w:color="auto" w:fill="DDE9F2"/>
          </w:tcPr>
          <w:p>
            <w:pPr>
              <w:jc w:val="center"/>
              <w:ind w:left="204"/>
              <w:spacing w:after="0"/>
              <w:rPr>
                <w:sz w:val="20"/>
                <w:szCs w:val="20"/>
                <w:color w:val="auto"/>
              </w:rPr>
            </w:pPr>
            <w:r>
              <w:rPr>
                <w:rFonts w:ascii="Arial" w:cs="Arial" w:eastAsia="Arial" w:hAnsi="Arial"/>
                <w:sz w:val="16"/>
                <w:szCs w:val="16"/>
                <w:color w:val="092E44"/>
              </w:rPr>
              <w:t>95.9%</w:t>
            </w:r>
          </w:p>
        </w:tc>
        <w:tc>
          <w:tcPr>
            <w:tcW w:w="1140" w:type="dxa"/>
            <w:vAlign w:val="bottom"/>
            <w:shd w:val="clear" w:color="auto" w:fill="DDE9F2"/>
          </w:tcPr>
          <w:p>
            <w:pPr>
              <w:jc w:val="right"/>
              <w:ind w:right="344"/>
              <w:spacing w:after="0"/>
              <w:rPr>
                <w:sz w:val="20"/>
                <w:szCs w:val="20"/>
                <w:color w:val="auto"/>
              </w:rPr>
            </w:pPr>
            <w:r>
              <w:rPr>
                <w:rFonts w:ascii="Arial" w:cs="Arial" w:eastAsia="Arial" w:hAnsi="Arial"/>
                <w:sz w:val="16"/>
                <w:szCs w:val="16"/>
                <w:color w:val="092E44"/>
              </w:rPr>
              <w:t>86.4%</w:t>
            </w:r>
          </w:p>
        </w:tc>
        <w:tc>
          <w:tcPr>
            <w:tcW w:w="1320" w:type="dxa"/>
            <w:vAlign w:val="bottom"/>
            <w:shd w:val="clear" w:color="auto" w:fill="DDE9F2"/>
          </w:tcPr>
          <w:p>
            <w:pPr>
              <w:jc w:val="right"/>
              <w:ind w:right="361"/>
              <w:spacing w:after="0"/>
              <w:rPr>
                <w:sz w:val="20"/>
                <w:szCs w:val="20"/>
                <w:color w:val="auto"/>
              </w:rPr>
            </w:pPr>
            <w:r>
              <w:rPr>
                <w:rFonts w:ascii="Arial" w:cs="Arial" w:eastAsia="Arial" w:hAnsi="Arial"/>
                <w:sz w:val="16"/>
                <w:szCs w:val="16"/>
                <w:color w:val="092E44"/>
              </w:rPr>
              <w:t>40.0%</w:t>
            </w:r>
          </w:p>
        </w:tc>
        <w:tc>
          <w:tcPr>
            <w:tcW w:w="1000" w:type="dxa"/>
            <w:vAlign w:val="bottom"/>
            <w:shd w:val="clear" w:color="auto" w:fill="DDE9F2"/>
          </w:tcPr>
          <w:p>
            <w:pPr>
              <w:jc w:val="center"/>
              <w:ind w:left="263"/>
              <w:spacing w:after="0"/>
              <w:rPr>
                <w:sz w:val="20"/>
                <w:szCs w:val="20"/>
                <w:color w:val="auto"/>
              </w:rPr>
            </w:pPr>
            <w:r>
              <w:rPr>
                <w:rFonts w:ascii="Arial" w:cs="Arial" w:eastAsia="Arial" w:hAnsi="Arial"/>
                <w:sz w:val="16"/>
                <w:szCs w:val="16"/>
                <w:color w:val="092E44"/>
              </w:rPr>
              <w:t>34.6%</w:t>
            </w:r>
          </w:p>
        </w:tc>
      </w:tr>
      <w:tr>
        <w:trPr>
          <w:trHeight w:val="213"/>
        </w:trPr>
        <w:tc>
          <w:tcPr>
            <w:tcW w:w="2600" w:type="dxa"/>
            <w:vAlign w:val="bottom"/>
            <w:tcBorders>
              <w:bottom w:val="single" w:sz="8" w:color="0B2E44"/>
            </w:tcBorders>
          </w:tcPr>
          <w:p>
            <w:pPr>
              <w:ind w:left="120"/>
              <w:spacing w:after="0"/>
              <w:rPr>
                <w:sz w:val="20"/>
                <w:szCs w:val="20"/>
                <w:color w:val="auto"/>
              </w:rPr>
            </w:pPr>
            <w:r>
              <w:rPr>
                <w:rFonts w:ascii="Arial" w:cs="Arial" w:eastAsia="Arial" w:hAnsi="Arial"/>
                <w:sz w:val="16"/>
                <w:szCs w:val="16"/>
                <w:color w:val="092E44"/>
              </w:rPr>
              <w:t>Total</w:t>
            </w:r>
          </w:p>
        </w:tc>
        <w:tc>
          <w:tcPr>
            <w:tcW w:w="2400" w:type="dxa"/>
            <w:vAlign w:val="bottom"/>
            <w:tcBorders>
              <w:bottom w:val="single" w:sz="8" w:color="0B2E44"/>
            </w:tcBorders>
          </w:tcPr>
          <w:p>
            <w:pPr>
              <w:spacing w:after="0"/>
              <w:rPr>
                <w:sz w:val="18"/>
                <w:szCs w:val="18"/>
                <w:color w:val="auto"/>
              </w:rPr>
            </w:pPr>
          </w:p>
        </w:tc>
        <w:tc>
          <w:tcPr>
            <w:tcW w:w="1360" w:type="dxa"/>
            <w:vAlign w:val="bottom"/>
            <w:tcBorders>
              <w:bottom w:val="single" w:sz="8" w:color="0B2E44"/>
            </w:tcBorders>
          </w:tcPr>
          <w:p>
            <w:pPr>
              <w:spacing w:after="0"/>
              <w:rPr>
                <w:sz w:val="18"/>
                <w:szCs w:val="18"/>
                <w:color w:val="auto"/>
              </w:rPr>
            </w:pPr>
          </w:p>
        </w:tc>
        <w:tc>
          <w:tcPr>
            <w:tcW w:w="1420" w:type="dxa"/>
            <w:vAlign w:val="bottom"/>
            <w:tcBorders>
              <w:bottom w:val="single" w:sz="8" w:color="0B2E44"/>
            </w:tcBorders>
          </w:tcPr>
          <w:p>
            <w:pPr>
              <w:spacing w:after="0"/>
              <w:rPr>
                <w:sz w:val="18"/>
                <w:szCs w:val="18"/>
                <w:color w:val="auto"/>
              </w:rPr>
            </w:pPr>
          </w:p>
        </w:tc>
        <w:tc>
          <w:tcPr>
            <w:tcW w:w="1140" w:type="dxa"/>
            <w:vAlign w:val="bottom"/>
            <w:tcBorders>
              <w:bottom w:val="single" w:sz="8" w:color="0B2E44"/>
            </w:tcBorders>
          </w:tcPr>
          <w:p>
            <w:pPr>
              <w:spacing w:after="0"/>
              <w:rPr>
                <w:sz w:val="18"/>
                <w:szCs w:val="18"/>
                <w:color w:val="auto"/>
              </w:rPr>
            </w:pPr>
          </w:p>
        </w:tc>
        <w:tc>
          <w:tcPr>
            <w:tcW w:w="1320" w:type="dxa"/>
            <w:vAlign w:val="bottom"/>
            <w:tcBorders>
              <w:bottom w:val="single" w:sz="8" w:color="0B2E44"/>
            </w:tcBorders>
          </w:tcPr>
          <w:p>
            <w:pPr>
              <w:jc w:val="right"/>
              <w:ind w:right="361"/>
              <w:spacing w:after="0"/>
              <w:rPr>
                <w:sz w:val="20"/>
                <w:szCs w:val="20"/>
                <w:color w:val="auto"/>
              </w:rPr>
            </w:pPr>
            <w:r>
              <w:rPr>
                <w:rFonts w:ascii="Arial" w:cs="Arial" w:eastAsia="Arial" w:hAnsi="Arial"/>
                <w:sz w:val="16"/>
                <w:szCs w:val="16"/>
                <w:color w:val="092E44"/>
              </w:rPr>
              <w:t>100.0%</w:t>
            </w:r>
          </w:p>
        </w:tc>
        <w:tc>
          <w:tcPr>
            <w:tcW w:w="1000" w:type="dxa"/>
            <w:vAlign w:val="bottom"/>
            <w:tcBorders>
              <w:bottom w:val="single" w:sz="8" w:color="0B2E44"/>
            </w:tcBorders>
          </w:tcPr>
          <w:p>
            <w:pPr>
              <w:jc w:val="center"/>
              <w:ind w:left="263"/>
              <w:spacing w:after="0"/>
              <w:rPr>
                <w:sz w:val="20"/>
                <w:szCs w:val="20"/>
                <w:color w:val="auto"/>
              </w:rPr>
            </w:pPr>
            <w:r>
              <w:rPr>
                <w:rFonts w:ascii="Arial" w:cs="Arial" w:eastAsia="Arial" w:hAnsi="Arial"/>
                <w:sz w:val="16"/>
                <w:szCs w:val="16"/>
                <w:color w:val="092E44"/>
              </w:rPr>
              <w:t>71.7%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37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2023 COMPENSATION DECISIONS</w:t>
      </w:r>
    </w:p>
    <w:p>
      <w:pPr>
        <w:spacing w:after="0" w:line="149" w:lineRule="exact"/>
        <w:rPr>
          <w:sz w:val="20"/>
          <w:szCs w:val="20"/>
          <w:color w:val="auto"/>
        </w:rPr>
      </w:pPr>
    </w:p>
    <w:p>
      <w:pPr>
        <w:spacing w:after="0" w:line="293" w:lineRule="auto"/>
        <w:rPr>
          <w:sz w:val="20"/>
          <w:szCs w:val="20"/>
          <w:color w:val="auto"/>
        </w:rPr>
      </w:pPr>
      <w:r>
        <w:rPr>
          <w:rFonts w:ascii="Arial" w:cs="Arial" w:eastAsia="Arial" w:hAnsi="Arial"/>
          <w:sz w:val="16"/>
          <w:szCs w:val="16"/>
          <w:color w:val="0B2E44"/>
        </w:rPr>
        <w:t>No individual performance multiplier was applied to the earned bonus for our named executive officers. As a result, the named executive officers received the annual incentive bonuses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840" w:type="dxa"/>
            <w:vAlign w:val="bottom"/>
          </w:tcPr>
          <w:p>
            <w:pPr>
              <w:jc w:val="right"/>
              <w:ind w:right="262"/>
              <w:spacing w:after="0"/>
              <w:rPr>
                <w:sz w:val="20"/>
                <w:szCs w:val="20"/>
                <w:color w:val="auto"/>
              </w:rPr>
            </w:pPr>
            <w:r>
              <w:rPr>
                <w:rFonts w:ascii="Arial" w:cs="Arial" w:eastAsia="Arial" w:hAnsi="Arial"/>
                <w:sz w:val="14"/>
                <w:szCs w:val="14"/>
                <w:color w:val="0B2E44"/>
              </w:rPr>
              <w:t>Target Annual Cash</w:t>
            </w:r>
          </w:p>
        </w:tc>
        <w:tc>
          <w:tcPr>
            <w:tcW w:w="2200" w:type="dxa"/>
            <w:vAlign w:val="bottom"/>
          </w:tcPr>
          <w:p>
            <w:pPr>
              <w:jc w:val="right"/>
              <w:ind w:right="222"/>
              <w:spacing w:after="0"/>
              <w:rPr>
                <w:sz w:val="20"/>
                <w:szCs w:val="20"/>
                <w:color w:val="auto"/>
              </w:rPr>
            </w:pPr>
            <w:r>
              <w:rPr>
                <w:rFonts w:ascii="Arial" w:cs="Arial" w:eastAsia="Arial" w:hAnsi="Arial"/>
                <w:sz w:val="14"/>
                <w:szCs w:val="14"/>
                <w:color w:val="0B2E44"/>
              </w:rPr>
              <w:t>Percentage of Target</w:t>
            </w:r>
          </w:p>
        </w:tc>
        <w:tc>
          <w:tcPr>
            <w:tcW w:w="1400" w:type="dxa"/>
            <w:vAlign w:val="bottom"/>
          </w:tcPr>
          <w:p>
            <w:pPr>
              <w:jc w:val="right"/>
              <w:spacing w:after="0"/>
              <w:rPr>
                <w:sz w:val="20"/>
                <w:szCs w:val="20"/>
                <w:color w:val="auto"/>
              </w:rPr>
            </w:pPr>
            <w:r>
              <w:rPr>
                <w:rFonts w:ascii="Arial" w:cs="Arial" w:eastAsia="Arial" w:hAnsi="Arial"/>
                <w:sz w:val="14"/>
                <w:szCs w:val="14"/>
                <w:color w:val="0B2E44"/>
              </w:rPr>
              <w:t>Actual Annual</w:t>
            </w:r>
          </w:p>
        </w:tc>
      </w:tr>
      <w:tr>
        <w:trPr>
          <w:trHeight w:val="188"/>
        </w:trPr>
        <w:tc>
          <w:tcPr>
            <w:tcW w:w="3800" w:type="dxa"/>
            <w:vAlign w:val="bottom"/>
            <w:tcBorders>
              <w:bottom w:val="single" w:sz="8" w:color="E14A6A"/>
            </w:tcBorders>
          </w:tcPr>
          <w:p>
            <w:pPr>
              <w:spacing w:after="0"/>
              <w:rPr>
                <w:sz w:val="16"/>
                <w:szCs w:val="16"/>
                <w:color w:val="auto"/>
              </w:rPr>
            </w:pPr>
          </w:p>
        </w:tc>
        <w:tc>
          <w:tcPr>
            <w:tcW w:w="3840" w:type="dxa"/>
            <w:vAlign w:val="bottom"/>
            <w:tcBorders>
              <w:bottom w:val="single" w:sz="8" w:color="E14A6A"/>
            </w:tcBorders>
          </w:tcPr>
          <w:p>
            <w:pPr>
              <w:jc w:val="right"/>
              <w:ind w:right="262"/>
              <w:spacing w:after="0"/>
              <w:rPr>
                <w:sz w:val="20"/>
                <w:szCs w:val="20"/>
                <w:color w:val="auto"/>
              </w:rPr>
            </w:pPr>
            <w:r>
              <w:rPr>
                <w:rFonts w:ascii="Arial" w:cs="Arial" w:eastAsia="Arial" w:hAnsi="Arial"/>
                <w:sz w:val="14"/>
                <w:szCs w:val="14"/>
                <w:color w:val="0B2E44"/>
              </w:rPr>
              <w:t>Incentive Opportunity</w:t>
            </w:r>
          </w:p>
        </w:tc>
        <w:tc>
          <w:tcPr>
            <w:tcW w:w="2200" w:type="dxa"/>
            <w:vAlign w:val="bottom"/>
            <w:tcBorders>
              <w:bottom w:val="single" w:sz="8" w:color="E14A6A"/>
            </w:tcBorders>
          </w:tcPr>
          <w:p>
            <w:pPr>
              <w:jc w:val="right"/>
              <w:ind w:right="222"/>
              <w:spacing w:after="0"/>
              <w:rPr>
                <w:sz w:val="20"/>
                <w:szCs w:val="20"/>
                <w:color w:val="auto"/>
              </w:rPr>
            </w:pPr>
            <w:r>
              <w:rPr>
                <w:rFonts w:ascii="Arial" w:cs="Arial" w:eastAsia="Arial" w:hAnsi="Arial"/>
                <w:sz w:val="14"/>
                <w:szCs w:val="14"/>
                <w:color w:val="0B2E44"/>
              </w:rPr>
              <w:t>Annual Incentive Earned</w:t>
            </w:r>
          </w:p>
        </w:tc>
        <w:tc>
          <w:tcPr>
            <w:tcW w:w="140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Incentive Earned</w:t>
            </w:r>
          </w:p>
        </w:tc>
      </w:tr>
      <w:tr>
        <w:trPr>
          <w:trHeight w:val="216"/>
        </w:trPr>
        <w:tc>
          <w:tcPr>
            <w:tcW w:w="3800" w:type="dxa"/>
            <w:vAlign w:val="bottom"/>
          </w:tcPr>
          <w:p>
            <w:pPr>
              <w:ind w:left="120"/>
              <w:spacing w:after="0"/>
              <w:rPr>
                <w:sz w:val="20"/>
                <w:szCs w:val="20"/>
                <w:color w:val="auto"/>
              </w:rPr>
            </w:pPr>
            <w:r>
              <w:rPr>
                <w:rFonts w:ascii="Arial" w:cs="Arial" w:eastAsia="Arial" w:hAnsi="Arial"/>
                <w:sz w:val="16"/>
                <w:szCs w:val="16"/>
                <w:b w:val="1"/>
                <w:bCs w:val="1"/>
                <w:color w:val="0B2E44"/>
              </w:rPr>
              <w:t>Sanjay Mirchandani</w:t>
            </w:r>
          </w:p>
        </w:tc>
        <w:tc>
          <w:tcPr>
            <w:tcW w:w="3840" w:type="dxa"/>
            <w:vAlign w:val="bottom"/>
          </w:tcPr>
          <w:p>
            <w:pPr>
              <w:jc w:val="right"/>
              <w:ind w:right="342"/>
              <w:spacing w:after="0"/>
              <w:rPr>
                <w:sz w:val="20"/>
                <w:szCs w:val="20"/>
                <w:color w:val="auto"/>
              </w:rPr>
            </w:pPr>
            <w:r>
              <w:rPr>
                <w:rFonts w:ascii="Arial" w:cs="Arial" w:eastAsia="Arial" w:hAnsi="Arial"/>
                <w:sz w:val="16"/>
                <w:szCs w:val="16"/>
                <w:color w:val="0B2E44"/>
              </w:rPr>
              <w:t>$645,000</w:t>
            </w:r>
          </w:p>
        </w:tc>
        <w:tc>
          <w:tcPr>
            <w:tcW w:w="2200" w:type="dxa"/>
            <w:vAlign w:val="bottom"/>
          </w:tcPr>
          <w:p>
            <w:pPr>
              <w:jc w:val="right"/>
              <w:ind w:right="302"/>
              <w:spacing w:after="0"/>
              <w:rPr>
                <w:sz w:val="20"/>
                <w:szCs w:val="20"/>
                <w:color w:val="auto"/>
              </w:rPr>
            </w:pPr>
            <w:r>
              <w:rPr>
                <w:rFonts w:ascii="Arial" w:cs="Arial" w:eastAsia="Arial" w:hAnsi="Arial"/>
                <w:sz w:val="16"/>
                <w:szCs w:val="16"/>
                <w:color w:val="0B2E44"/>
              </w:rPr>
              <w:t>71.7%</w:t>
            </w:r>
          </w:p>
        </w:tc>
        <w:tc>
          <w:tcPr>
            <w:tcW w:w="1400" w:type="dxa"/>
            <w:vAlign w:val="bottom"/>
          </w:tcPr>
          <w:p>
            <w:pPr>
              <w:jc w:val="right"/>
              <w:ind w:right="22"/>
              <w:spacing w:after="0"/>
              <w:rPr>
                <w:sz w:val="20"/>
                <w:szCs w:val="20"/>
                <w:color w:val="auto"/>
              </w:rPr>
            </w:pPr>
            <w:r>
              <w:rPr>
                <w:rFonts w:ascii="Arial" w:cs="Arial" w:eastAsia="Arial" w:hAnsi="Arial"/>
                <w:sz w:val="16"/>
                <w:szCs w:val="16"/>
                <w:color w:val="0B2E44"/>
              </w:rPr>
              <w:t>$462,465</w:t>
            </w:r>
          </w:p>
        </w:tc>
      </w:tr>
      <w:tr>
        <w:trPr>
          <w:trHeight w:val="216"/>
        </w:trPr>
        <w:tc>
          <w:tcPr>
            <w:tcW w:w="3800" w:type="dxa"/>
            <w:vAlign w:val="bottom"/>
            <w:shd w:val="clear" w:color="auto" w:fill="DDE9F2"/>
          </w:tcPr>
          <w:p>
            <w:pPr>
              <w:ind w:left="120"/>
              <w:spacing w:after="0"/>
              <w:rPr>
                <w:sz w:val="20"/>
                <w:szCs w:val="20"/>
                <w:color w:val="auto"/>
              </w:rPr>
            </w:pPr>
            <w:r>
              <w:rPr>
                <w:rFonts w:ascii="Arial" w:cs="Arial" w:eastAsia="Arial" w:hAnsi="Arial"/>
                <w:sz w:val="16"/>
                <w:szCs w:val="16"/>
                <w:b w:val="1"/>
                <w:bCs w:val="1"/>
                <w:color w:val="0B2E44"/>
              </w:rPr>
              <w:t>Gary Merrill</w:t>
            </w:r>
          </w:p>
        </w:tc>
        <w:tc>
          <w:tcPr>
            <w:tcW w:w="3840" w:type="dxa"/>
            <w:vAlign w:val="bottom"/>
            <w:shd w:val="clear" w:color="auto" w:fill="DDE9F2"/>
          </w:tcPr>
          <w:p>
            <w:pPr>
              <w:jc w:val="right"/>
              <w:ind w:right="342"/>
              <w:spacing w:after="0"/>
              <w:rPr>
                <w:sz w:val="20"/>
                <w:szCs w:val="20"/>
                <w:color w:val="auto"/>
              </w:rPr>
            </w:pPr>
            <w:r>
              <w:rPr>
                <w:rFonts w:ascii="Arial" w:cs="Arial" w:eastAsia="Arial" w:hAnsi="Arial"/>
                <w:sz w:val="16"/>
                <w:szCs w:val="16"/>
                <w:color w:val="0B2E44"/>
              </w:rPr>
              <w:t>$246,000</w:t>
            </w:r>
          </w:p>
        </w:tc>
        <w:tc>
          <w:tcPr>
            <w:tcW w:w="2200" w:type="dxa"/>
            <w:vAlign w:val="bottom"/>
            <w:shd w:val="clear" w:color="auto" w:fill="DDE9F2"/>
          </w:tcPr>
          <w:p>
            <w:pPr>
              <w:jc w:val="right"/>
              <w:ind w:right="302"/>
              <w:spacing w:after="0"/>
              <w:rPr>
                <w:sz w:val="20"/>
                <w:szCs w:val="20"/>
                <w:color w:val="auto"/>
              </w:rPr>
            </w:pPr>
            <w:r>
              <w:rPr>
                <w:rFonts w:ascii="Arial" w:cs="Arial" w:eastAsia="Arial" w:hAnsi="Arial"/>
                <w:sz w:val="16"/>
                <w:szCs w:val="16"/>
                <w:color w:val="0B2E44"/>
              </w:rPr>
              <w:t>71.7%</w:t>
            </w:r>
          </w:p>
        </w:tc>
        <w:tc>
          <w:tcPr>
            <w:tcW w:w="1400" w:type="dxa"/>
            <w:vAlign w:val="bottom"/>
            <w:shd w:val="clear" w:color="auto" w:fill="DDE9F2"/>
          </w:tcPr>
          <w:p>
            <w:pPr>
              <w:jc w:val="right"/>
              <w:ind w:right="22"/>
              <w:spacing w:after="0"/>
              <w:rPr>
                <w:sz w:val="20"/>
                <w:szCs w:val="20"/>
                <w:color w:val="auto"/>
              </w:rPr>
            </w:pPr>
            <w:r>
              <w:rPr>
                <w:rFonts w:ascii="Arial" w:cs="Arial" w:eastAsia="Arial" w:hAnsi="Arial"/>
                <w:sz w:val="16"/>
                <w:szCs w:val="16"/>
                <w:color w:val="0B2E44"/>
              </w:rPr>
              <w:t>$176,382</w:t>
            </w:r>
          </w:p>
        </w:tc>
      </w:tr>
      <w:tr>
        <w:trPr>
          <w:trHeight w:val="216"/>
        </w:trPr>
        <w:tc>
          <w:tcPr>
            <w:tcW w:w="3800" w:type="dxa"/>
            <w:vAlign w:val="bottom"/>
          </w:tcPr>
          <w:p>
            <w:pPr>
              <w:ind w:left="120"/>
              <w:spacing w:after="0"/>
              <w:rPr>
                <w:sz w:val="20"/>
                <w:szCs w:val="20"/>
                <w:color w:val="auto"/>
              </w:rPr>
            </w:pPr>
            <w:r>
              <w:rPr>
                <w:rFonts w:ascii="Arial" w:cs="Arial" w:eastAsia="Arial" w:hAnsi="Arial"/>
                <w:sz w:val="16"/>
                <w:szCs w:val="16"/>
                <w:b w:val="1"/>
                <w:bCs w:val="1"/>
                <w:color w:val="0B2E44"/>
              </w:rPr>
              <w:t>Riccardo Di Blasio</w:t>
            </w:r>
          </w:p>
        </w:tc>
        <w:tc>
          <w:tcPr>
            <w:tcW w:w="3840" w:type="dxa"/>
            <w:vAlign w:val="bottom"/>
          </w:tcPr>
          <w:p>
            <w:pPr>
              <w:jc w:val="right"/>
              <w:ind w:right="342"/>
              <w:spacing w:after="0"/>
              <w:rPr>
                <w:sz w:val="20"/>
                <w:szCs w:val="20"/>
                <w:color w:val="auto"/>
              </w:rPr>
            </w:pPr>
            <w:r>
              <w:rPr>
                <w:rFonts w:ascii="Arial" w:cs="Arial" w:eastAsia="Arial" w:hAnsi="Arial"/>
                <w:sz w:val="16"/>
                <w:szCs w:val="16"/>
                <w:color w:val="0B2E44"/>
              </w:rPr>
              <w:t>$475,000</w:t>
            </w:r>
          </w:p>
        </w:tc>
        <w:tc>
          <w:tcPr>
            <w:tcW w:w="2200" w:type="dxa"/>
            <w:vAlign w:val="bottom"/>
          </w:tcPr>
          <w:p>
            <w:pPr>
              <w:jc w:val="right"/>
              <w:ind w:right="302"/>
              <w:spacing w:after="0"/>
              <w:rPr>
                <w:sz w:val="20"/>
                <w:szCs w:val="20"/>
                <w:color w:val="auto"/>
              </w:rPr>
            </w:pPr>
            <w:r>
              <w:rPr>
                <w:rFonts w:ascii="Arial" w:cs="Arial" w:eastAsia="Arial" w:hAnsi="Arial"/>
                <w:sz w:val="16"/>
                <w:szCs w:val="16"/>
                <w:color w:val="0B2E44"/>
              </w:rPr>
              <w:t>75.0%</w:t>
            </w:r>
          </w:p>
        </w:tc>
        <w:tc>
          <w:tcPr>
            <w:tcW w:w="1400" w:type="dxa"/>
            <w:vAlign w:val="bottom"/>
          </w:tcPr>
          <w:p>
            <w:pPr>
              <w:jc w:val="right"/>
              <w:ind w:right="22"/>
              <w:spacing w:after="0"/>
              <w:rPr>
                <w:sz w:val="20"/>
                <w:szCs w:val="20"/>
                <w:color w:val="auto"/>
              </w:rPr>
            </w:pPr>
            <w:r>
              <w:rPr>
                <w:rFonts w:ascii="Arial" w:cs="Arial" w:eastAsia="Arial" w:hAnsi="Arial"/>
                <w:sz w:val="16"/>
                <w:szCs w:val="16"/>
                <w:color w:val="0B2E44"/>
              </w:rPr>
              <w:t>$356,250</w:t>
            </w:r>
          </w:p>
        </w:tc>
      </w:tr>
      <w:tr>
        <w:trPr>
          <w:trHeight w:val="216"/>
        </w:trPr>
        <w:tc>
          <w:tcPr>
            <w:tcW w:w="3800" w:type="dxa"/>
            <w:vAlign w:val="bottom"/>
            <w:tcBorders>
              <w:bottom w:val="single" w:sz="8" w:color="0B2E44"/>
            </w:tcBorders>
            <w:shd w:val="clear" w:color="auto" w:fill="DDE9F2"/>
          </w:tcPr>
          <w:p>
            <w:pPr>
              <w:ind w:left="120"/>
              <w:spacing w:after="0"/>
              <w:rPr>
                <w:sz w:val="20"/>
                <w:szCs w:val="20"/>
                <w:color w:val="auto"/>
              </w:rPr>
            </w:pPr>
            <w:r>
              <w:rPr>
                <w:rFonts w:ascii="Arial" w:cs="Arial" w:eastAsia="Arial" w:hAnsi="Arial"/>
                <w:sz w:val="16"/>
                <w:szCs w:val="16"/>
                <w:b w:val="1"/>
                <w:bCs w:val="1"/>
                <w:color w:val="0B2E44"/>
              </w:rPr>
              <w:t>Brian Carolan(1)</w:t>
            </w:r>
          </w:p>
        </w:tc>
        <w:tc>
          <w:tcPr>
            <w:tcW w:w="3840" w:type="dxa"/>
            <w:vAlign w:val="bottom"/>
            <w:tcBorders>
              <w:bottom w:val="single" w:sz="8" w:color="0B2E44"/>
            </w:tcBorders>
            <w:shd w:val="clear" w:color="auto" w:fill="DDE9F2"/>
          </w:tcPr>
          <w:p>
            <w:pPr>
              <w:jc w:val="right"/>
              <w:ind w:right="342"/>
              <w:spacing w:after="0"/>
              <w:rPr>
                <w:sz w:val="20"/>
                <w:szCs w:val="20"/>
                <w:color w:val="auto"/>
              </w:rPr>
            </w:pPr>
            <w:r>
              <w:rPr>
                <w:rFonts w:ascii="Arial" w:cs="Arial" w:eastAsia="Arial" w:hAnsi="Arial"/>
                <w:sz w:val="16"/>
                <w:szCs w:val="16"/>
                <w:color w:val="0B2E44"/>
              </w:rPr>
              <w:t>$246,000</w:t>
            </w:r>
          </w:p>
        </w:tc>
        <w:tc>
          <w:tcPr>
            <w:tcW w:w="2200" w:type="dxa"/>
            <w:vAlign w:val="bottom"/>
            <w:tcBorders>
              <w:bottom w:val="single" w:sz="8" w:color="0B2E44"/>
            </w:tcBorders>
            <w:shd w:val="clear" w:color="auto" w:fill="DDE9F2"/>
          </w:tcPr>
          <w:p>
            <w:pPr>
              <w:jc w:val="right"/>
              <w:ind w:right="302"/>
              <w:spacing w:after="0"/>
              <w:rPr>
                <w:sz w:val="20"/>
                <w:szCs w:val="20"/>
                <w:color w:val="auto"/>
              </w:rPr>
            </w:pPr>
            <w:r>
              <w:rPr>
                <w:rFonts w:ascii="Arial" w:cs="Arial" w:eastAsia="Arial" w:hAnsi="Arial"/>
                <w:sz w:val="16"/>
                <w:szCs w:val="16"/>
                <w:color w:val="0B2E44"/>
              </w:rPr>
              <w:t>25.0%</w:t>
            </w:r>
          </w:p>
        </w:tc>
        <w:tc>
          <w:tcPr>
            <w:tcW w:w="1400" w:type="dxa"/>
            <w:vAlign w:val="bottom"/>
            <w:tcBorders>
              <w:bottom w:val="single" w:sz="8" w:color="0B2E44"/>
            </w:tcBorders>
            <w:shd w:val="clear" w:color="auto" w:fill="DDE9F2"/>
          </w:tcPr>
          <w:p>
            <w:pPr>
              <w:jc w:val="right"/>
              <w:ind w:right="22"/>
              <w:spacing w:after="0"/>
              <w:rPr>
                <w:sz w:val="20"/>
                <w:szCs w:val="20"/>
                <w:color w:val="auto"/>
              </w:rPr>
            </w:pPr>
            <w:r>
              <w:rPr>
                <w:rFonts w:ascii="Arial" w:cs="Arial" w:eastAsia="Arial" w:hAnsi="Arial"/>
                <w:sz w:val="16"/>
                <w:szCs w:val="16"/>
                <w:color w:val="0B2E44"/>
              </w:rPr>
              <w:t>$61,500</w:t>
            </w:r>
          </w:p>
        </w:tc>
      </w:tr>
    </w:tbl>
    <w:p>
      <w:pPr>
        <w:spacing w:after="0" w:line="67"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3"/>
          <w:szCs w:val="13"/>
          <w:color w:val="0B2E44"/>
        </w:rPr>
      </w:pPr>
      <w:r>
        <w:rPr>
          <w:rFonts w:ascii="Arial" w:cs="Arial" w:eastAsia="Arial" w:hAnsi="Arial"/>
          <w:sz w:val="13"/>
          <w:szCs w:val="13"/>
          <w:color w:val="0B2E44"/>
        </w:rPr>
        <w:t>Mr. Carolan departed the Company on June 30, 2022 and therefore receive a prorated award of 25% of his target award assuming 100% company performance.</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Long-Term Equity Incentive Awards</w:t>
      </w:r>
    </w:p>
    <w:p>
      <w:pPr>
        <w:spacing w:after="0" w:line="13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0B2E44"/>
        </w:rPr>
        <w:t>We provide long-term equity incentive awards pursuant to our 2016 Incentive Plan, which is designed to provide plan participants with appropriate incentives to achieve long-range goals and to align participants’ interests with those of our stockholders. The 2016 Incentive Plan permits the grant of stock options, stock appreciation rights, restricted stock awards, performance stock awards, and other forms of equity based on, or related to, shares of our common stock, and cash incentive awards that are contingent on performance.</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0B2E44"/>
        </w:rPr>
        <w:t>Generally, new executive officers receive a significant equity award when they commence employment. The size of each equity award is set at a level that we believe is appropriate to create a meaningful opportunity for stock ownership based upon our equity award grant guidelines, the individual’s position with Commvault, and the individual’s potential for future responsibility and promotion. The relative weight given to each of these factors varies from individual to individual. All equity awards granted to our executive officers are approved by the TMCC.</w:t>
      </w:r>
    </w:p>
    <w:p>
      <w:pPr>
        <w:spacing w:after="0" w:line="88"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0B2E44"/>
        </w:rPr>
        <w:t>When annual equity awards are granted, typically in May of each year, the TMCC bases grants on an evaluation of each executive officer’s performance during the prior fiscal year, as well as our overall corporate financial performance. The terms of annual awards and the number and form of awards granted are designed to ensure the recipient has a meaningful incentive to remain a Commvault employee.</w:t>
      </w:r>
    </w:p>
    <w:p>
      <w:pPr>
        <w:spacing w:after="0" w:line="68"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0B2E44"/>
        </w:rPr>
        <w:t>In preparation for granting annual equity awards in May 2022, the TMCC reviewed a competitive market analysis prepared by Compensia to obtain data primarily related to the grant date fair value of the equity awards granted to similarly situated executives at companies in our compensation peer group. The awards granted to our named executive officers in May 2022 were provided in three forms, and subject to the terms and conditions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ind w:left="120"/>
              <w:spacing w:after="0"/>
              <w:rPr>
                <w:sz w:val="20"/>
                <w:szCs w:val="20"/>
                <w:color w:val="auto"/>
              </w:rPr>
            </w:pPr>
            <w:r>
              <w:rPr>
                <w:rFonts w:ascii="Arial" w:cs="Arial" w:eastAsia="Arial" w:hAnsi="Arial"/>
                <w:sz w:val="16"/>
                <w:szCs w:val="16"/>
                <w:color w:val="0B2E44"/>
              </w:rPr>
              <w:t>Time-Based RSU awards</w:t>
            </w:r>
          </w:p>
        </w:tc>
        <w:tc>
          <w:tcPr>
            <w:tcW w:w="8440" w:type="dxa"/>
            <w:vAlign w:val="bottom"/>
          </w:tcPr>
          <w:p>
            <w:pPr>
              <w:ind w:left="800"/>
              <w:spacing w:after="0"/>
              <w:rPr>
                <w:sz w:val="20"/>
                <w:szCs w:val="20"/>
                <w:color w:val="auto"/>
              </w:rPr>
            </w:pPr>
            <w:r>
              <w:rPr>
                <w:rFonts w:ascii="Arial" w:cs="Arial" w:eastAsia="Arial" w:hAnsi="Arial"/>
                <w:sz w:val="16"/>
                <w:szCs w:val="16"/>
                <w:color w:val="0B2E44"/>
              </w:rPr>
              <w:t>These awards vest 33.3% on the first anniversary of the grant date and an additional 8.375% quarterly</w:t>
            </w:r>
          </w:p>
        </w:tc>
      </w:tr>
      <w:tr>
        <w:trPr>
          <w:trHeight w:val="207"/>
        </w:trPr>
        <w:tc>
          <w:tcPr>
            <w:tcW w:w="2800" w:type="dxa"/>
            <w:vAlign w:val="bottom"/>
          </w:tcPr>
          <w:p>
            <w:pPr>
              <w:ind w:left="120"/>
              <w:spacing w:after="0"/>
              <w:rPr>
                <w:sz w:val="20"/>
                <w:szCs w:val="20"/>
                <w:color w:val="auto"/>
              </w:rPr>
            </w:pPr>
            <w:r>
              <w:rPr>
                <w:rFonts w:ascii="Arial" w:cs="Arial" w:eastAsia="Arial" w:hAnsi="Arial"/>
                <w:sz w:val="16"/>
                <w:szCs w:val="16"/>
                <w:color w:val="0B2E44"/>
              </w:rPr>
              <w:t>50%</w:t>
            </w:r>
          </w:p>
        </w:tc>
        <w:tc>
          <w:tcPr>
            <w:tcW w:w="8440" w:type="dxa"/>
            <w:vAlign w:val="bottom"/>
          </w:tcPr>
          <w:p>
            <w:pPr>
              <w:ind w:left="800"/>
              <w:spacing w:after="0"/>
              <w:rPr>
                <w:sz w:val="20"/>
                <w:szCs w:val="20"/>
                <w:color w:val="auto"/>
              </w:rPr>
            </w:pPr>
            <w:r>
              <w:rPr>
                <w:rFonts w:ascii="Arial" w:cs="Arial" w:eastAsia="Arial" w:hAnsi="Arial"/>
                <w:sz w:val="16"/>
                <w:szCs w:val="16"/>
                <w:color w:val="0B2E44"/>
              </w:rPr>
              <w:t>thereafter until fully vested, generally subject to continued employment on the vesting date.</w:t>
            </w:r>
          </w:p>
        </w:tc>
      </w:tr>
      <w:tr>
        <w:trPr>
          <w:trHeight w:val="33"/>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19"/>
        </w:trPr>
        <w:tc>
          <w:tcPr>
            <w:tcW w:w="280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Relative TSR PSU awards</w:t>
            </w:r>
          </w:p>
        </w:tc>
        <w:tc>
          <w:tcPr>
            <w:tcW w:w="8440" w:type="dxa"/>
            <w:vAlign w:val="bottom"/>
            <w:shd w:val="clear" w:color="auto" w:fill="DDE9F2"/>
          </w:tcPr>
          <w:p>
            <w:pPr>
              <w:ind w:left="800"/>
              <w:spacing w:after="0"/>
              <w:rPr>
                <w:sz w:val="20"/>
                <w:szCs w:val="20"/>
                <w:color w:val="auto"/>
              </w:rPr>
            </w:pPr>
            <w:r>
              <w:rPr>
                <w:rFonts w:ascii="Arial" w:cs="Arial" w:eastAsia="Arial" w:hAnsi="Arial"/>
                <w:sz w:val="16"/>
                <w:szCs w:val="16"/>
                <w:color w:val="0B2E44"/>
              </w:rPr>
              <w:t>Recipients may earn up to 200% of their target award based on Commvault’s TSR performance relative to</w:t>
            </w:r>
          </w:p>
        </w:tc>
      </w:tr>
      <w:tr>
        <w:trPr>
          <w:trHeight w:val="189"/>
        </w:trPr>
        <w:tc>
          <w:tcPr>
            <w:tcW w:w="280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25%</w:t>
            </w:r>
          </w:p>
        </w:tc>
        <w:tc>
          <w:tcPr>
            <w:tcW w:w="8440" w:type="dxa"/>
            <w:vAlign w:val="bottom"/>
            <w:shd w:val="clear" w:color="auto" w:fill="DDE9F2"/>
          </w:tcPr>
          <w:p>
            <w:pPr>
              <w:ind w:left="800"/>
              <w:spacing w:after="0"/>
              <w:rPr>
                <w:sz w:val="20"/>
                <w:szCs w:val="20"/>
                <w:color w:val="auto"/>
              </w:rPr>
            </w:pPr>
            <w:r>
              <w:rPr>
                <w:rFonts w:ascii="Arial" w:cs="Arial" w:eastAsia="Arial" w:hAnsi="Arial"/>
                <w:sz w:val="16"/>
                <w:szCs w:val="16"/>
                <w:color w:val="0B2E44"/>
              </w:rPr>
              <w:t>the components of the Russell 3000 Index over equally weighted one, two, and three-year performance</w:t>
            </w:r>
          </w:p>
        </w:tc>
      </w:tr>
      <w:tr>
        <w:trPr>
          <w:trHeight w:val="220"/>
        </w:trPr>
        <w:tc>
          <w:tcPr>
            <w:tcW w:w="2800" w:type="dxa"/>
            <w:vAlign w:val="bottom"/>
            <w:tcBorders>
              <w:bottom w:val="single" w:sz="8" w:color="DDE9F2"/>
            </w:tcBorders>
            <w:shd w:val="clear" w:color="auto" w:fill="DDE9F2"/>
          </w:tcPr>
          <w:p>
            <w:pPr>
              <w:spacing w:after="0"/>
              <w:rPr>
                <w:sz w:val="19"/>
                <w:szCs w:val="19"/>
                <w:color w:val="auto"/>
              </w:rPr>
            </w:pPr>
          </w:p>
        </w:tc>
        <w:tc>
          <w:tcPr>
            <w:tcW w:w="8440" w:type="dxa"/>
            <w:vAlign w:val="bottom"/>
            <w:tcBorders>
              <w:bottom w:val="single" w:sz="8" w:color="DDE9F2"/>
            </w:tcBorders>
            <w:shd w:val="clear" w:color="auto" w:fill="DDE9F2"/>
          </w:tcPr>
          <w:p>
            <w:pPr>
              <w:ind w:left="800"/>
              <w:spacing w:after="0"/>
              <w:rPr>
                <w:sz w:val="20"/>
                <w:szCs w:val="20"/>
                <w:color w:val="auto"/>
              </w:rPr>
            </w:pPr>
            <w:r>
              <w:rPr>
                <w:rFonts w:ascii="Arial" w:cs="Arial" w:eastAsia="Arial" w:hAnsi="Arial"/>
                <w:sz w:val="16"/>
                <w:szCs w:val="16"/>
                <w:color w:val="0B2E44"/>
              </w:rPr>
              <w:t>periods. Earned shares, if any, vest at the end of each applicable annual performance period.</w:t>
            </w:r>
          </w:p>
        </w:tc>
      </w:tr>
      <w:tr>
        <w:trPr>
          <w:trHeight w:val="206"/>
        </w:trPr>
        <w:tc>
          <w:tcPr>
            <w:tcW w:w="2800" w:type="dxa"/>
            <w:vAlign w:val="bottom"/>
          </w:tcPr>
          <w:p>
            <w:pPr>
              <w:ind w:left="120"/>
              <w:spacing w:after="0"/>
              <w:rPr>
                <w:sz w:val="20"/>
                <w:szCs w:val="20"/>
                <w:color w:val="auto"/>
              </w:rPr>
            </w:pPr>
            <w:r>
              <w:rPr>
                <w:rFonts w:ascii="Arial" w:cs="Arial" w:eastAsia="Arial" w:hAnsi="Arial"/>
                <w:sz w:val="16"/>
                <w:szCs w:val="16"/>
                <w:color w:val="0B2E44"/>
              </w:rPr>
              <w:t>Financial PSU awards</w:t>
            </w:r>
          </w:p>
        </w:tc>
        <w:tc>
          <w:tcPr>
            <w:tcW w:w="8440" w:type="dxa"/>
            <w:vAlign w:val="bottom"/>
          </w:tcPr>
          <w:p>
            <w:pPr>
              <w:ind w:left="800"/>
              <w:spacing w:after="0"/>
              <w:rPr>
                <w:sz w:val="20"/>
                <w:szCs w:val="20"/>
                <w:color w:val="auto"/>
              </w:rPr>
            </w:pPr>
            <w:r>
              <w:rPr>
                <w:rFonts w:ascii="Arial" w:cs="Arial" w:eastAsia="Arial" w:hAnsi="Arial"/>
                <w:sz w:val="16"/>
                <w:szCs w:val="16"/>
                <w:color w:val="0B2E44"/>
              </w:rPr>
              <w:t>Recipients may earn up to 200% of their target award based 100% on Commvault’s total annualized</w:t>
            </w:r>
          </w:p>
        </w:tc>
      </w:tr>
      <w:tr>
        <w:trPr>
          <w:trHeight w:val="189"/>
        </w:trPr>
        <w:tc>
          <w:tcPr>
            <w:tcW w:w="2800" w:type="dxa"/>
            <w:vAlign w:val="bottom"/>
          </w:tcPr>
          <w:p>
            <w:pPr>
              <w:ind w:left="120"/>
              <w:spacing w:after="0"/>
              <w:rPr>
                <w:sz w:val="20"/>
                <w:szCs w:val="20"/>
                <w:color w:val="auto"/>
              </w:rPr>
            </w:pPr>
            <w:r>
              <w:rPr>
                <w:rFonts w:ascii="Arial" w:cs="Arial" w:eastAsia="Arial" w:hAnsi="Arial"/>
                <w:sz w:val="16"/>
                <w:szCs w:val="16"/>
                <w:color w:val="0B2E44"/>
              </w:rPr>
              <w:t>25%</w:t>
            </w:r>
          </w:p>
        </w:tc>
        <w:tc>
          <w:tcPr>
            <w:tcW w:w="8440" w:type="dxa"/>
            <w:vAlign w:val="bottom"/>
          </w:tcPr>
          <w:p>
            <w:pPr>
              <w:ind w:left="800"/>
              <w:spacing w:after="0"/>
              <w:rPr>
                <w:sz w:val="20"/>
                <w:szCs w:val="20"/>
                <w:color w:val="auto"/>
              </w:rPr>
            </w:pPr>
            <w:r>
              <w:rPr>
                <w:rFonts w:ascii="Arial" w:cs="Arial" w:eastAsia="Arial" w:hAnsi="Arial"/>
                <w:sz w:val="16"/>
                <w:szCs w:val="16"/>
                <w:color w:val="0B2E44"/>
              </w:rPr>
              <w:t>recurring revenue (“ARR”) for fiscal 2023. Earned shares, if any, vest 33.3% on the first anniversary of the</w:t>
            </w:r>
          </w:p>
        </w:tc>
      </w:tr>
      <w:tr>
        <w:trPr>
          <w:trHeight w:val="203"/>
        </w:trPr>
        <w:tc>
          <w:tcPr>
            <w:tcW w:w="2800" w:type="dxa"/>
            <w:vAlign w:val="bottom"/>
          </w:tcPr>
          <w:p>
            <w:pPr>
              <w:spacing w:after="0"/>
              <w:rPr>
                <w:sz w:val="17"/>
                <w:szCs w:val="17"/>
                <w:color w:val="auto"/>
              </w:rPr>
            </w:pPr>
          </w:p>
        </w:tc>
        <w:tc>
          <w:tcPr>
            <w:tcW w:w="8440" w:type="dxa"/>
            <w:vAlign w:val="bottom"/>
          </w:tcPr>
          <w:p>
            <w:pPr>
              <w:ind w:left="800"/>
              <w:spacing w:after="0"/>
              <w:rPr>
                <w:sz w:val="20"/>
                <w:szCs w:val="20"/>
                <w:color w:val="auto"/>
              </w:rPr>
            </w:pPr>
            <w:r>
              <w:rPr>
                <w:rFonts w:ascii="Arial" w:cs="Arial" w:eastAsia="Arial" w:hAnsi="Arial"/>
                <w:sz w:val="16"/>
                <w:szCs w:val="16"/>
                <w:color w:val="0B2E44"/>
              </w:rPr>
              <w:t>grant date and an additional 8.375% quarterly thereafter until fully vested, generally subject to continued</w:t>
            </w:r>
          </w:p>
        </w:tc>
      </w:tr>
      <w:tr>
        <w:trPr>
          <w:trHeight w:val="220"/>
        </w:trPr>
        <w:tc>
          <w:tcPr>
            <w:tcW w:w="2800" w:type="dxa"/>
            <w:vAlign w:val="bottom"/>
            <w:tcBorders>
              <w:bottom w:val="single" w:sz="8" w:color="0B2E44"/>
            </w:tcBorders>
          </w:tcPr>
          <w:p>
            <w:pPr>
              <w:spacing w:after="0"/>
              <w:rPr>
                <w:sz w:val="19"/>
                <w:szCs w:val="19"/>
                <w:color w:val="auto"/>
              </w:rPr>
            </w:pPr>
          </w:p>
        </w:tc>
        <w:tc>
          <w:tcPr>
            <w:tcW w:w="8440" w:type="dxa"/>
            <w:vAlign w:val="bottom"/>
            <w:tcBorders>
              <w:bottom w:val="single" w:sz="8" w:color="0B2E44"/>
            </w:tcBorders>
          </w:tcPr>
          <w:p>
            <w:pPr>
              <w:ind w:left="800"/>
              <w:spacing w:after="0"/>
              <w:rPr>
                <w:sz w:val="20"/>
                <w:szCs w:val="20"/>
                <w:color w:val="auto"/>
              </w:rPr>
            </w:pPr>
            <w:r>
              <w:rPr>
                <w:rFonts w:ascii="Arial" w:cs="Arial" w:eastAsia="Arial" w:hAnsi="Arial"/>
                <w:sz w:val="16"/>
                <w:szCs w:val="16"/>
                <w:color w:val="0B2E44"/>
              </w:rPr>
              <w:t>employment on the vesting date.</w:t>
            </w:r>
          </w:p>
        </w:tc>
      </w:tr>
    </w:tbl>
    <w:p>
      <w:pPr>
        <w:spacing w:after="0" w:line="71"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0B2E44"/>
        </w:rPr>
        <w:t>Based on the competitive market analysis prepared by Compensia, Commvault’s long-term equity grants are more heavily weighted toward performance-based awards than is the norm within our compensation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38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B2E44"/>
        </w:rPr>
        <w:t xml:space="preserve">CD&amp;A | </w:t>
      </w:r>
      <w:r>
        <w:rPr>
          <w:rFonts w:ascii="Arial" w:cs="Arial" w:eastAsia="Arial" w:hAnsi="Arial"/>
          <w:sz w:val="11"/>
          <w:szCs w:val="11"/>
          <w:b w:val="1"/>
          <w:bCs w:val="1"/>
          <w:color w:val="0B2E44"/>
        </w:rPr>
        <w:t>FISCAL YEAR 2023 COMPENSATION DECISIONS</w:t>
      </w:r>
    </w:p>
    <w:p>
      <w:pPr>
        <w:spacing w:after="0" w:line="176"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0B2E44"/>
        </w:rPr>
        <w:t>Taking into consideration market data and the performance of individual executive officers, the TMCC approved the following equity award grants for our named executive officers: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vMerge w:val="restart"/>
          </w:tcPr>
          <w:p>
            <w:pPr>
              <w:ind w:left="140"/>
              <w:spacing w:after="0"/>
              <w:rPr>
                <w:sz w:val="20"/>
                <w:szCs w:val="20"/>
                <w:color w:val="auto"/>
              </w:rPr>
            </w:pPr>
            <w:r>
              <w:rPr>
                <w:rFonts w:ascii="Arial" w:cs="Arial" w:eastAsia="Arial" w:hAnsi="Arial"/>
                <w:sz w:val="14"/>
                <w:szCs w:val="14"/>
                <w:color w:val="0B2E44"/>
              </w:rPr>
              <w:t>Executive</w:t>
            </w:r>
          </w:p>
        </w:tc>
        <w:tc>
          <w:tcPr>
            <w:tcW w:w="2960" w:type="dxa"/>
            <w:vAlign w:val="bottom"/>
          </w:tcPr>
          <w:p>
            <w:pPr>
              <w:jc w:val="right"/>
              <w:ind w:right="103"/>
              <w:spacing w:after="0"/>
              <w:rPr>
                <w:sz w:val="20"/>
                <w:szCs w:val="20"/>
                <w:color w:val="auto"/>
              </w:rPr>
            </w:pPr>
            <w:r>
              <w:rPr>
                <w:rFonts w:ascii="Arial" w:cs="Arial" w:eastAsia="Arial" w:hAnsi="Arial"/>
                <w:sz w:val="14"/>
                <w:szCs w:val="14"/>
                <w:color w:val="0B2E44"/>
              </w:rPr>
              <w:t>Aggregate</w:t>
            </w:r>
          </w:p>
        </w:tc>
        <w:tc>
          <w:tcPr>
            <w:tcW w:w="1860" w:type="dxa"/>
            <w:vAlign w:val="bottom"/>
          </w:tcPr>
          <w:p>
            <w:pPr>
              <w:jc w:val="right"/>
              <w:ind w:right="223"/>
              <w:spacing w:after="0"/>
              <w:rPr>
                <w:sz w:val="20"/>
                <w:szCs w:val="20"/>
                <w:color w:val="auto"/>
              </w:rPr>
            </w:pPr>
            <w:r>
              <w:rPr>
                <w:rFonts w:ascii="Arial" w:cs="Arial" w:eastAsia="Arial" w:hAnsi="Arial"/>
                <w:sz w:val="14"/>
                <w:szCs w:val="14"/>
                <w:color w:val="0B2E44"/>
              </w:rPr>
              <w:t>Time-based restricted</w:t>
            </w:r>
          </w:p>
        </w:tc>
        <w:tc>
          <w:tcPr>
            <w:tcW w:w="1600" w:type="dxa"/>
            <w:vAlign w:val="bottom"/>
          </w:tcPr>
          <w:p>
            <w:pPr>
              <w:jc w:val="right"/>
              <w:ind w:right="223"/>
              <w:spacing w:after="0"/>
              <w:rPr>
                <w:sz w:val="20"/>
                <w:szCs w:val="20"/>
                <w:color w:val="auto"/>
              </w:rPr>
            </w:pPr>
            <w:r>
              <w:rPr>
                <w:rFonts w:ascii="Arial" w:cs="Arial" w:eastAsia="Arial" w:hAnsi="Arial"/>
                <w:sz w:val="14"/>
                <w:szCs w:val="14"/>
                <w:color w:val="0B2E44"/>
              </w:rPr>
              <w:t>Relative TSR</w:t>
            </w:r>
          </w:p>
        </w:tc>
        <w:tc>
          <w:tcPr>
            <w:tcW w:w="1220" w:type="dxa"/>
            <w:vAlign w:val="bottom"/>
          </w:tcPr>
          <w:p>
            <w:pPr>
              <w:jc w:val="right"/>
              <w:spacing w:after="0"/>
              <w:rPr>
                <w:sz w:val="20"/>
                <w:szCs w:val="20"/>
                <w:color w:val="auto"/>
              </w:rPr>
            </w:pPr>
            <w:r>
              <w:rPr>
                <w:rFonts w:ascii="Arial" w:cs="Arial" w:eastAsia="Arial" w:hAnsi="Arial"/>
                <w:sz w:val="14"/>
                <w:szCs w:val="14"/>
                <w:color w:val="0B2E44"/>
              </w:rPr>
              <w:t>Financial PSU</w:t>
            </w:r>
          </w:p>
        </w:tc>
        <w:tc>
          <w:tcPr>
            <w:tcW w:w="0" w:type="dxa"/>
            <w:vAlign w:val="bottom"/>
          </w:tcPr>
          <w:p>
            <w:pPr>
              <w:spacing w:after="0"/>
              <w:rPr>
                <w:sz w:val="1"/>
                <w:szCs w:val="1"/>
                <w:color w:val="auto"/>
              </w:rPr>
            </w:pPr>
          </w:p>
        </w:tc>
      </w:tr>
      <w:tr>
        <w:trPr>
          <w:trHeight w:val="188"/>
        </w:trPr>
        <w:tc>
          <w:tcPr>
            <w:tcW w:w="3520" w:type="dxa"/>
            <w:vAlign w:val="bottom"/>
            <w:tcBorders>
              <w:bottom w:val="single" w:sz="8" w:color="E14A6A"/>
            </w:tcBorders>
            <w:vMerge w:val="continue"/>
          </w:tcPr>
          <w:p>
            <w:pPr>
              <w:spacing w:after="0"/>
              <w:rPr>
                <w:sz w:val="16"/>
                <w:szCs w:val="16"/>
                <w:color w:val="auto"/>
              </w:rPr>
            </w:pPr>
          </w:p>
        </w:tc>
        <w:tc>
          <w:tcPr>
            <w:tcW w:w="2960" w:type="dxa"/>
            <w:vAlign w:val="bottom"/>
            <w:tcBorders>
              <w:bottom w:val="single" w:sz="8" w:color="E14A6A"/>
            </w:tcBorders>
          </w:tcPr>
          <w:p>
            <w:pPr>
              <w:jc w:val="right"/>
              <w:ind w:right="103"/>
              <w:spacing w:after="0"/>
              <w:rPr>
                <w:sz w:val="20"/>
                <w:szCs w:val="20"/>
                <w:color w:val="auto"/>
              </w:rPr>
            </w:pPr>
            <w:r>
              <w:rPr>
                <w:rFonts w:ascii="Arial" w:cs="Arial" w:eastAsia="Arial" w:hAnsi="Arial"/>
                <w:sz w:val="14"/>
                <w:szCs w:val="14"/>
                <w:color w:val="0B2E44"/>
              </w:rPr>
              <w:t>target value</w:t>
            </w:r>
          </w:p>
        </w:tc>
        <w:tc>
          <w:tcPr>
            <w:tcW w:w="1860" w:type="dxa"/>
            <w:vAlign w:val="bottom"/>
            <w:tcBorders>
              <w:bottom w:val="single" w:sz="8" w:color="E14A6A"/>
            </w:tcBorders>
          </w:tcPr>
          <w:p>
            <w:pPr>
              <w:jc w:val="right"/>
              <w:ind w:right="223"/>
              <w:spacing w:after="0"/>
              <w:rPr>
                <w:sz w:val="20"/>
                <w:szCs w:val="20"/>
                <w:color w:val="auto"/>
              </w:rPr>
            </w:pPr>
            <w:r>
              <w:rPr>
                <w:rFonts w:ascii="Arial" w:cs="Arial" w:eastAsia="Arial" w:hAnsi="Arial"/>
                <w:sz w:val="14"/>
                <w:szCs w:val="14"/>
                <w:color w:val="0B2E44"/>
              </w:rPr>
              <w:t>stock unit awards (#)</w:t>
            </w:r>
          </w:p>
        </w:tc>
        <w:tc>
          <w:tcPr>
            <w:tcW w:w="1600" w:type="dxa"/>
            <w:vAlign w:val="bottom"/>
            <w:tcBorders>
              <w:bottom w:val="single" w:sz="8" w:color="E14A6A"/>
            </w:tcBorders>
          </w:tcPr>
          <w:p>
            <w:pPr>
              <w:jc w:val="right"/>
              <w:ind w:right="223"/>
              <w:spacing w:after="0"/>
              <w:rPr>
                <w:sz w:val="20"/>
                <w:szCs w:val="20"/>
                <w:color w:val="auto"/>
              </w:rPr>
            </w:pPr>
            <w:r>
              <w:rPr>
                <w:rFonts w:ascii="Arial" w:cs="Arial" w:eastAsia="Arial" w:hAnsi="Arial"/>
                <w:sz w:val="14"/>
                <w:szCs w:val="14"/>
                <w:color w:val="0B2E44"/>
              </w:rPr>
              <w:t>PSU awards (#)</w:t>
            </w:r>
          </w:p>
        </w:tc>
        <w:tc>
          <w:tcPr>
            <w:tcW w:w="122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awards (#)</w:t>
            </w: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6"/>
                <w:szCs w:val="16"/>
                <w:b w:val="1"/>
                <w:bCs w:val="1"/>
                <w:color w:val="0B2E44"/>
              </w:rPr>
              <w:t>Sanjay Mirchandani</w:t>
            </w:r>
          </w:p>
        </w:tc>
        <w:tc>
          <w:tcPr>
            <w:tcW w:w="2960" w:type="dxa"/>
            <w:vAlign w:val="bottom"/>
          </w:tcPr>
          <w:p>
            <w:pPr>
              <w:jc w:val="right"/>
              <w:ind w:right="103"/>
              <w:spacing w:after="0"/>
              <w:rPr>
                <w:sz w:val="20"/>
                <w:szCs w:val="20"/>
                <w:color w:val="auto"/>
              </w:rPr>
            </w:pPr>
            <w:r>
              <w:rPr>
                <w:rFonts w:ascii="Arial" w:cs="Arial" w:eastAsia="Arial" w:hAnsi="Arial"/>
                <w:sz w:val="16"/>
                <w:szCs w:val="16"/>
                <w:color w:val="0B2E44"/>
              </w:rPr>
              <w:t>$9.00 million</w:t>
            </w:r>
          </w:p>
        </w:tc>
        <w:tc>
          <w:tcPr>
            <w:tcW w:w="1860" w:type="dxa"/>
            <w:vAlign w:val="bottom"/>
          </w:tcPr>
          <w:p>
            <w:pPr>
              <w:jc w:val="right"/>
              <w:ind w:right="303"/>
              <w:spacing w:after="0"/>
              <w:rPr>
                <w:sz w:val="20"/>
                <w:szCs w:val="20"/>
                <w:color w:val="auto"/>
              </w:rPr>
            </w:pPr>
            <w:r>
              <w:rPr>
                <w:rFonts w:ascii="Arial" w:cs="Arial" w:eastAsia="Arial" w:hAnsi="Arial"/>
                <w:sz w:val="16"/>
                <w:szCs w:val="16"/>
                <w:color w:val="0B2E44"/>
              </w:rPr>
              <w:t>77,733</w:t>
            </w:r>
          </w:p>
        </w:tc>
        <w:tc>
          <w:tcPr>
            <w:tcW w:w="1600" w:type="dxa"/>
            <w:vAlign w:val="bottom"/>
          </w:tcPr>
          <w:p>
            <w:pPr>
              <w:jc w:val="right"/>
              <w:ind w:right="303"/>
              <w:spacing w:after="0"/>
              <w:rPr>
                <w:sz w:val="20"/>
                <w:szCs w:val="20"/>
                <w:color w:val="auto"/>
              </w:rPr>
            </w:pPr>
            <w:r>
              <w:rPr>
                <w:rFonts w:ascii="Arial" w:cs="Arial" w:eastAsia="Arial" w:hAnsi="Arial"/>
                <w:sz w:val="16"/>
                <w:szCs w:val="16"/>
                <w:color w:val="0B2E44"/>
              </w:rPr>
              <w:t>38,866</w:t>
            </w:r>
          </w:p>
        </w:tc>
        <w:tc>
          <w:tcPr>
            <w:tcW w:w="1220" w:type="dxa"/>
            <w:vAlign w:val="bottom"/>
          </w:tcPr>
          <w:p>
            <w:pPr>
              <w:jc w:val="right"/>
              <w:ind w:right="23"/>
              <w:spacing w:after="0"/>
              <w:rPr>
                <w:sz w:val="20"/>
                <w:szCs w:val="20"/>
                <w:color w:val="auto"/>
              </w:rPr>
            </w:pPr>
            <w:r>
              <w:rPr>
                <w:rFonts w:ascii="Arial" w:cs="Arial" w:eastAsia="Arial" w:hAnsi="Arial"/>
                <w:sz w:val="16"/>
                <w:szCs w:val="16"/>
                <w:color w:val="0B2E44"/>
              </w:rPr>
              <w:t>38,866</w:t>
            </w:r>
          </w:p>
        </w:tc>
        <w:tc>
          <w:tcPr>
            <w:tcW w:w="0" w:type="dxa"/>
            <w:vAlign w:val="bottom"/>
          </w:tcPr>
          <w:p>
            <w:pPr>
              <w:spacing w:after="0"/>
              <w:rPr>
                <w:sz w:val="1"/>
                <w:szCs w:val="1"/>
                <w:color w:val="auto"/>
              </w:rPr>
            </w:pPr>
          </w:p>
        </w:tc>
      </w:tr>
      <w:tr>
        <w:trPr>
          <w:trHeight w:val="216"/>
        </w:trPr>
        <w:tc>
          <w:tcPr>
            <w:tcW w:w="3520" w:type="dxa"/>
            <w:vAlign w:val="bottom"/>
            <w:shd w:val="clear" w:color="auto" w:fill="DDE9F2"/>
          </w:tcPr>
          <w:p>
            <w:pPr>
              <w:ind w:left="120"/>
              <w:spacing w:after="0"/>
              <w:rPr>
                <w:sz w:val="20"/>
                <w:szCs w:val="20"/>
                <w:color w:val="auto"/>
              </w:rPr>
            </w:pPr>
            <w:r>
              <w:rPr>
                <w:rFonts w:ascii="Arial" w:cs="Arial" w:eastAsia="Arial" w:hAnsi="Arial"/>
                <w:sz w:val="16"/>
                <w:szCs w:val="16"/>
                <w:b w:val="1"/>
                <w:bCs w:val="1"/>
                <w:color w:val="0B2E44"/>
              </w:rPr>
              <w:t>Gary Merrill</w:t>
            </w:r>
          </w:p>
        </w:tc>
        <w:tc>
          <w:tcPr>
            <w:tcW w:w="2960" w:type="dxa"/>
            <w:vAlign w:val="bottom"/>
            <w:shd w:val="clear" w:color="auto" w:fill="DDE9F2"/>
          </w:tcPr>
          <w:p>
            <w:pPr>
              <w:jc w:val="right"/>
              <w:ind w:right="103"/>
              <w:spacing w:after="0"/>
              <w:rPr>
                <w:sz w:val="20"/>
                <w:szCs w:val="20"/>
                <w:color w:val="auto"/>
              </w:rPr>
            </w:pPr>
            <w:r>
              <w:rPr>
                <w:rFonts w:ascii="Arial" w:cs="Arial" w:eastAsia="Arial" w:hAnsi="Arial"/>
                <w:sz w:val="16"/>
                <w:szCs w:val="16"/>
                <w:color w:val="0B2E44"/>
              </w:rPr>
              <w:t>$1.75 million</w:t>
            </w:r>
          </w:p>
        </w:tc>
        <w:tc>
          <w:tcPr>
            <w:tcW w:w="1860" w:type="dxa"/>
            <w:vAlign w:val="bottom"/>
            <w:shd w:val="clear" w:color="auto" w:fill="DDE9F2"/>
          </w:tcPr>
          <w:p>
            <w:pPr>
              <w:jc w:val="right"/>
              <w:ind w:right="303"/>
              <w:spacing w:after="0"/>
              <w:rPr>
                <w:sz w:val="20"/>
                <w:szCs w:val="20"/>
                <w:color w:val="auto"/>
              </w:rPr>
            </w:pPr>
            <w:r>
              <w:rPr>
                <w:rFonts w:ascii="Arial" w:cs="Arial" w:eastAsia="Arial" w:hAnsi="Arial"/>
                <w:sz w:val="16"/>
                <w:szCs w:val="16"/>
                <w:color w:val="0B2E44"/>
              </w:rPr>
              <w:t>15,114</w:t>
            </w:r>
          </w:p>
        </w:tc>
        <w:tc>
          <w:tcPr>
            <w:tcW w:w="1600" w:type="dxa"/>
            <w:vAlign w:val="bottom"/>
            <w:shd w:val="clear" w:color="auto" w:fill="DDE9F2"/>
          </w:tcPr>
          <w:p>
            <w:pPr>
              <w:jc w:val="right"/>
              <w:ind w:right="303"/>
              <w:spacing w:after="0"/>
              <w:rPr>
                <w:sz w:val="20"/>
                <w:szCs w:val="20"/>
                <w:color w:val="auto"/>
              </w:rPr>
            </w:pPr>
            <w:r>
              <w:rPr>
                <w:rFonts w:ascii="Arial" w:cs="Arial" w:eastAsia="Arial" w:hAnsi="Arial"/>
                <w:sz w:val="16"/>
                <w:szCs w:val="16"/>
                <w:color w:val="0B2E44"/>
              </w:rPr>
              <w:t>7,557</w:t>
            </w:r>
          </w:p>
        </w:tc>
        <w:tc>
          <w:tcPr>
            <w:tcW w:w="1220" w:type="dxa"/>
            <w:vAlign w:val="bottom"/>
            <w:shd w:val="clear" w:color="auto" w:fill="DDE9F2"/>
          </w:tcPr>
          <w:p>
            <w:pPr>
              <w:jc w:val="right"/>
              <w:ind w:right="23"/>
              <w:spacing w:after="0"/>
              <w:rPr>
                <w:sz w:val="20"/>
                <w:szCs w:val="20"/>
                <w:color w:val="auto"/>
              </w:rPr>
            </w:pPr>
            <w:r>
              <w:rPr>
                <w:rFonts w:ascii="Arial" w:cs="Arial" w:eastAsia="Arial" w:hAnsi="Arial"/>
                <w:sz w:val="16"/>
                <w:szCs w:val="16"/>
                <w:color w:val="0B2E44"/>
              </w:rPr>
              <w:t>7,557</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0B2E44"/>
            </w:tcBorders>
          </w:tcPr>
          <w:p>
            <w:pPr>
              <w:ind w:left="120"/>
              <w:spacing w:after="0"/>
              <w:rPr>
                <w:sz w:val="20"/>
                <w:szCs w:val="20"/>
                <w:color w:val="auto"/>
              </w:rPr>
            </w:pPr>
            <w:r>
              <w:rPr>
                <w:rFonts w:ascii="Arial" w:cs="Arial" w:eastAsia="Arial" w:hAnsi="Arial"/>
                <w:sz w:val="16"/>
                <w:szCs w:val="16"/>
                <w:b w:val="1"/>
                <w:bCs w:val="1"/>
                <w:color w:val="0B2E44"/>
              </w:rPr>
              <w:t>Riccardo Di Blasio</w:t>
            </w:r>
          </w:p>
        </w:tc>
        <w:tc>
          <w:tcPr>
            <w:tcW w:w="2960" w:type="dxa"/>
            <w:vAlign w:val="bottom"/>
            <w:tcBorders>
              <w:bottom w:val="single" w:sz="8" w:color="0B2E44"/>
            </w:tcBorders>
          </w:tcPr>
          <w:p>
            <w:pPr>
              <w:jc w:val="right"/>
              <w:ind w:right="103"/>
              <w:spacing w:after="0"/>
              <w:rPr>
                <w:sz w:val="20"/>
                <w:szCs w:val="20"/>
                <w:color w:val="auto"/>
              </w:rPr>
            </w:pPr>
            <w:r>
              <w:rPr>
                <w:rFonts w:ascii="Arial" w:cs="Arial" w:eastAsia="Arial" w:hAnsi="Arial"/>
                <w:sz w:val="16"/>
                <w:szCs w:val="16"/>
                <w:color w:val="0B2E44"/>
              </w:rPr>
              <w:t>$2.80 million</w:t>
            </w:r>
          </w:p>
        </w:tc>
        <w:tc>
          <w:tcPr>
            <w:tcW w:w="1860" w:type="dxa"/>
            <w:vAlign w:val="bottom"/>
            <w:tcBorders>
              <w:bottom w:val="single" w:sz="8" w:color="0B2E44"/>
            </w:tcBorders>
          </w:tcPr>
          <w:p>
            <w:pPr>
              <w:jc w:val="right"/>
              <w:ind w:right="303"/>
              <w:spacing w:after="0"/>
              <w:rPr>
                <w:sz w:val="20"/>
                <w:szCs w:val="20"/>
                <w:color w:val="auto"/>
              </w:rPr>
            </w:pPr>
            <w:r>
              <w:rPr>
                <w:rFonts w:ascii="Arial" w:cs="Arial" w:eastAsia="Arial" w:hAnsi="Arial"/>
                <w:sz w:val="16"/>
                <w:szCs w:val="16"/>
                <w:color w:val="0B2E44"/>
              </w:rPr>
              <w:t>24,183</w:t>
            </w:r>
          </w:p>
        </w:tc>
        <w:tc>
          <w:tcPr>
            <w:tcW w:w="1600" w:type="dxa"/>
            <w:vAlign w:val="bottom"/>
            <w:tcBorders>
              <w:bottom w:val="single" w:sz="8" w:color="0B2E44"/>
            </w:tcBorders>
          </w:tcPr>
          <w:p>
            <w:pPr>
              <w:jc w:val="right"/>
              <w:ind w:right="303"/>
              <w:spacing w:after="0"/>
              <w:rPr>
                <w:sz w:val="20"/>
                <w:szCs w:val="20"/>
                <w:color w:val="auto"/>
              </w:rPr>
            </w:pPr>
            <w:r>
              <w:rPr>
                <w:rFonts w:ascii="Arial" w:cs="Arial" w:eastAsia="Arial" w:hAnsi="Arial"/>
                <w:sz w:val="16"/>
                <w:szCs w:val="16"/>
                <w:color w:val="0B2E44"/>
              </w:rPr>
              <w:t>12,091</w:t>
            </w:r>
          </w:p>
        </w:tc>
        <w:tc>
          <w:tcPr>
            <w:tcW w:w="1220" w:type="dxa"/>
            <w:vAlign w:val="bottom"/>
            <w:tcBorders>
              <w:bottom w:val="single" w:sz="8" w:color="0B2E44"/>
            </w:tcBorders>
          </w:tcPr>
          <w:p>
            <w:pPr>
              <w:jc w:val="right"/>
              <w:ind w:right="23"/>
              <w:spacing w:after="0"/>
              <w:rPr>
                <w:sz w:val="20"/>
                <w:szCs w:val="20"/>
                <w:color w:val="auto"/>
              </w:rPr>
            </w:pPr>
            <w:r>
              <w:rPr>
                <w:rFonts w:ascii="Arial" w:cs="Arial" w:eastAsia="Arial" w:hAnsi="Arial"/>
                <w:sz w:val="16"/>
                <w:szCs w:val="16"/>
                <w:color w:val="0B2E44"/>
              </w:rPr>
              <w:t>12,091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0B2E44"/>
        </w:rPr>
        <w:t>In determining the number of shares granted to each named executive officer, the TMCC converted the target value of each award to a number of units based on the 5-trading day average closing price of our common stock prior to the grant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E14A6A"/>
        </w:rPr>
        <w:t>Relative TSR PSU Awards</w:t>
      </w:r>
    </w:p>
    <w:p>
      <w:pPr>
        <w:spacing w:after="0" w:line="120"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color w:val="0B2E44"/>
        </w:rPr>
        <w:t>The Relative TSR PSU awards granted to our named executive officers in fiscal 2023 will be earned (or not) based on our TSR measured relative to the components of the Russell 3000 Index over three equally weighted overlapping one-year, two-year, and three-year performance periods. The payout opportunities for the Relative TSR PSU awards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20" w:type="dxa"/>
            <w:vAlign w:val="bottom"/>
            <w:tcBorders>
              <w:bottom w:val="single" w:sz="8" w:color="E14A6A"/>
            </w:tcBorders>
          </w:tcPr>
          <w:p>
            <w:pPr>
              <w:ind w:left="2000"/>
              <w:spacing w:after="0"/>
              <w:rPr>
                <w:sz w:val="20"/>
                <w:szCs w:val="20"/>
                <w:color w:val="auto"/>
              </w:rPr>
            </w:pPr>
            <w:r>
              <w:rPr>
                <w:rFonts w:ascii="Arial" w:cs="Arial" w:eastAsia="Arial" w:hAnsi="Arial"/>
                <w:sz w:val="14"/>
                <w:szCs w:val="14"/>
                <w:color w:val="0B2E44"/>
              </w:rPr>
              <w:t>Relative TSR Percentile Rank</w:t>
            </w:r>
          </w:p>
        </w:tc>
        <w:tc>
          <w:tcPr>
            <w:tcW w:w="5420" w:type="dxa"/>
            <w:vAlign w:val="bottom"/>
            <w:tcBorders>
              <w:bottom w:val="single" w:sz="8" w:color="E14A6A"/>
            </w:tcBorders>
          </w:tcPr>
          <w:p>
            <w:pPr>
              <w:jc w:val="center"/>
              <w:spacing w:after="0"/>
              <w:rPr>
                <w:sz w:val="20"/>
                <w:szCs w:val="20"/>
                <w:color w:val="auto"/>
              </w:rPr>
            </w:pPr>
            <w:r>
              <w:rPr>
                <w:rFonts w:ascii="Arial" w:cs="Arial" w:eastAsia="Arial" w:hAnsi="Arial"/>
                <w:sz w:val="14"/>
                <w:szCs w:val="14"/>
                <w:color w:val="0B2E44"/>
              </w:rPr>
              <w:t>% of Target PSU Earned</w:t>
            </w:r>
          </w:p>
        </w:tc>
      </w:tr>
      <w:tr>
        <w:trPr>
          <w:trHeight w:val="213"/>
        </w:trPr>
        <w:tc>
          <w:tcPr>
            <w:tcW w:w="5820" w:type="dxa"/>
            <w:vAlign w:val="bottom"/>
          </w:tcPr>
          <w:p>
            <w:pPr>
              <w:jc w:val="center"/>
              <w:spacing w:after="0"/>
              <w:rPr>
                <w:sz w:val="20"/>
                <w:szCs w:val="20"/>
                <w:color w:val="auto"/>
              </w:rPr>
            </w:pPr>
            <w:r>
              <w:rPr>
                <w:rFonts w:ascii="Arial" w:cs="Arial" w:eastAsia="Arial" w:hAnsi="Arial"/>
                <w:sz w:val="16"/>
                <w:szCs w:val="16"/>
                <w:color w:val="0B2E44"/>
              </w:rPr>
              <w:t>&lt; 25</w:t>
            </w:r>
            <w:r>
              <w:rPr>
                <w:rFonts w:ascii="Arial" w:cs="Arial" w:eastAsia="Arial" w:hAnsi="Arial"/>
                <w:sz w:val="8"/>
                <w:szCs w:val="8"/>
                <w:color w:val="0B2E44"/>
              </w:rPr>
              <w:t>th</w:t>
            </w:r>
          </w:p>
        </w:tc>
        <w:tc>
          <w:tcPr>
            <w:tcW w:w="5420" w:type="dxa"/>
            <w:vAlign w:val="bottom"/>
          </w:tcPr>
          <w:p>
            <w:pPr>
              <w:jc w:val="center"/>
              <w:spacing w:after="0"/>
              <w:rPr>
                <w:sz w:val="20"/>
                <w:szCs w:val="20"/>
                <w:color w:val="auto"/>
              </w:rPr>
            </w:pPr>
            <w:r>
              <w:rPr>
                <w:rFonts w:ascii="Arial" w:cs="Arial" w:eastAsia="Arial" w:hAnsi="Arial"/>
                <w:sz w:val="16"/>
                <w:szCs w:val="16"/>
                <w:color w:val="0B2E44"/>
              </w:rPr>
              <w:t>0%</w:t>
            </w:r>
          </w:p>
        </w:tc>
      </w:tr>
      <w:tr>
        <w:trPr>
          <w:trHeight w:val="219"/>
        </w:trPr>
        <w:tc>
          <w:tcPr>
            <w:tcW w:w="5820" w:type="dxa"/>
            <w:vAlign w:val="bottom"/>
            <w:shd w:val="clear" w:color="auto" w:fill="DDE9F2"/>
          </w:tcPr>
          <w:p>
            <w:pPr>
              <w:jc w:val="center"/>
              <w:spacing w:after="0"/>
              <w:rPr>
                <w:sz w:val="20"/>
                <w:szCs w:val="20"/>
                <w:color w:val="auto"/>
              </w:rPr>
            </w:pPr>
            <w:r>
              <w:rPr>
                <w:rFonts w:ascii="Arial" w:cs="Arial" w:eastAsia="Arial" w:hAnsi="Arial"/>
                <w:sz w:val="16"/>
                <w:szCs w:val="16"/>
                <w:color w:val="0B2E44"/>
                <w:w w:val="97"/>
              </w:rPr>
              <w:t>25</w:t>
            </w:r>
            <w:r>
              <w:rPr>
                <w:rFonts w:ascii="Arial" w:cs="Arial" w:eastAsia="Arial" w:hAnsi="Arial"/>
                <w:sz w:val="8"/>
                <w:szCs w:val="8"/>
                <w:color w:val="0B2E44"/>
                <w:w w:val="97"/>
              </w:rPr>
              <w:t>th</w:t>
            </w:r>
          </w:p>
        </w:tc>
        <w:tc>
          <w:tcPr>
            <w:tcW w:w="5420" w:type="dxa"/>
            <w:vAlign w:val="bottom"/>
            <w:shd w:val="clear" w:color="auto" w:fill="DDE9F2"/>
          </w:tcPr>
          <w:p>
            <w:pPr>
              <w:jc w:val="center"/>
              <w:spacing w:after="0"/>
              <w:rPr>
                <w:sz w:val="20"/>
                <w:szCs w:val="20"/>
                <w:color w:val="auto"/>
              </w:rPr>
            </w:pPr>
            <w:r>
              <w:rPr>
                <w:rFonts w:ascii="Arial" w:cs="Arial" w:eastAsia="Arial" w:hAnsi="Arial"/>
                <w:sz w:val="16"/>
                <w:szCs w:val="16"/>
                <w:color w:val="0B2E44"/>
                <w:w w:val="99"/>
              </w:rPr>
              <w:t>50%</w:t>
            </w:r>
          </w:p>
        </w:tc>
      </w:tr>
      <w:tr>
        <w:trPr>
          <w:trHeight w:val="216"/>
        </w:trPr>
        <w:tc>
          <w:tcPr>
            <w:tcW w:w="5820" w:type="dxa"/>
            <w:vAlign w:val="bottom"/>
          </w:tcPr>
          <w:p>
            <w:pPr>
              <w:jc w:val="center"/>
              <w:spacing w:after="0" w:line="216" w:lineRule="exact"/>
              <w:rPr>
                <w:sz w:val="20"/>
                <w:szCs w:val="20"/>
                <w:color w:val="auto"/>
              </w:rPr>
            </w:pPr>
            <w:r>
              <w:rPr>
                <w:rFonts w:ascii="Arial" w:cs="Arial" w:eastAsia="Arial" w:hAnsi="Arial"/>
                <w:sz w:val="25"/>
                <w:szCs w:val="25"/>
                <w:color w:val="0B2E44"/>
                <w:w w:val="95"/>
                <w:vertAlign w:val="subscript"/>
              </w:rPr>
              <w:t>50</w:t>
            </w:r>
            <w:r>
              <w:rPr>
                <w:rFonts w:ascii="Arial" w:cs="Arial" w:eastAsia="Arial" w:hAnsi="Arial"/>
                <w:sz w:val="8"/>
                <w:szCs w:val="8"/>
                <w:color w:val="0B2E44"/>
                <w:w w:val="95"/>
              </w:rPr>
              <w:t>th</w:t>
            </w:r>
          </w:p>
        </w:tc>
        <w:tc>
          <w:tcPr>
            <w:tcW w:w="5420" w:type="dxa"/>
            <w:vAlign w:val="bottom"/>
          </w:tcPr>
          <w:p>
            <w:pPr>
              <w:jc w:val="center"/>
              <w:spacing w:after="0"/>
              <w:rPr>
                <w:sz w:val="20"/>
                <w:szCs w:val="20"/>
                <w:color w:val="auto"/>
              </w:rPr>
            </w:pPr>
            <w:r>
              <w:rPr>
                <w:rFonts w:ascii="Arial" w:cs="Arial" w:eastAsia="Arial" w:hAnsi="Arial"/>
                <w:sz w:val="16"/>
                <w:szCs w:val="16"/>
                <w:color w:val="0B2E44"/>
              </w:rPr>
              <w:t>100%</w:t>
            </w:r>
          </w:p>
        </w:tc>
      </w:tr>
      <w:tr>
        <w:trPr>
          <w:trHeight w:val="216"/>
        </w:trPr>
        <w:tc>
          <w:tcPr>
            <w:tcW w:w="5820" w:type="dxa"/>
            <w:vAlign w:val="bottom"/>
            <w:shd w:val="clear" w:color="auto" w:fill="DDE9F2"/>
          </w:tcPr>
          <w:p>
            <w:pPr>
              <w:jc w:val="center"/>
              <w:spacing w:after="0"/>
              <w:rPr>
                <w:sz w:val="20"/>
                <w:szCs w:val="20"/>
                <w:color w:val="auto"/>
              </w:rPr>
            </w:pPr>
            <w:r>
              <w:rPr>
                <w:rFonts w:ascii="Arial" w:cs="Arial" w:eastAsia="Arial" w:hAnsi="Arial"/>
                <w:sz w:val="16"/>
                <w:szCs w:val="16"/>
                <w:color w:val="0B2E44"/>
                <w:w w:val="97"/>
              </w:rPr>
              <w:t>75</w:t>
            </w:r>
            <w:r>
              <w:rPr>
                <w:rFonts w:ascii="Arial" w:cs="Arial" w:eastAsia="Arial" w:hAnsi="Arial"/>
                <w:sz w:val="8"/>
                <w:szCs w:val="8"/>
                <w:color w:val="0B2E44"/>
                <w:w w:val="97"/>
              </w:rPr>
              <w:t>th</w:t>
            </w:r>
          </w:p>
        </w:tc>
        <w:tc>
          <w:tcPr>
            <w:tcW w:w="5420" w:type="dxa"/>
            <w:vAlign w:val="bottom"/>
            <w:shd w:val="clear" w:color="auto" w:fill="DDE9F2"/>
          </w:tcPr>
          <w:p>
            <w:pPr>
              <w:jc w:val="center"/>
              <w:spacing w:after="0"/>
              <w:rPr>
                <w:sz w:val="20"/>
                <w:szCs w:val="20"/>
                <w:color w:val="auto"/>
              </w:rPr>
            </w:pPr>
            <w:r>
              <w:rPr>
                <w:rFonts w:ascii="Arial" w:cs="Arial" w:eastAsia="Arial" w:hAnsi="Arial"/>
                <w:sz w:val="16"/>
                <w:szCs w:val="16"/>
                <w:color w:val="0B2E44"/>
              </w:rPr>
              <w:t>150%</w:t>
            </w:r>
          </w:p>
        </w:tc>
      </w:tr>
      <w:tr>
        <w:trPr>
          <w:trHeight w:val="213"/>
        </w:trPr>
        <w:tc>
          <w:tcPr>
            <w:tcW w:w="5820" w:type="dxa"/>
            <w:vAlign w:val="bottom"/>
            <w:tcBorders>
              <w:bottom w:val="single" w:sz="8" w:color="0B2E44"/>
            </w:tcBorders>
          </w:tcPr>
          <w:p>
            <w:pPr>
              <w:jc w:val="center"/>
              <w:spacing w:after="0"/>
              <w:rPr>
                <w:sz w:val="20"/>
                <w:szCs w:val="20"/>
                <w:color w:val="auto"/>
              </w:rPr>
            </w:pPr>
            <w:r>
              <w:rPr>
                <w:rFonts w:ascii="Arial" w:cs="Arial" w:eastAsia="Arial" w:hAnsi="Arial"/>
                <w:sz w:val="16"/>
                <w:szCs w:val="16"/>
                <w:color w:val="0B2E44"/>
                <w:w w:val="97"/>
              </w:rPr>
              <w:t>85</w:t>
            </w:r>
            <w:r>
              <w:rPr>
                <w:rFonts w:ascii="Arial" w:cs="Arial" w:eastAsia="Arial" w:hAnsi="Arial"/>
                <w:sz w:val="8"/>
                <w:szCs w:val="8"/>
                <w:color w:val="0B2E44"/>
                <w:w w:val="97"/>
              </w:rPr>
              <w:t>th</w:t>
            </w:r>
          </w:p>
        </w:tc>
        <w:tc>
          <w:tcPr>
            <w:tcW w:w="5420" w:type="dxa"/>
            <w:vAlign w:val="bottom"/>
            <w:tcBorders>
              <w:bottom w:val="single" w:sz="8" w:color="0B2E44"/>
            </w:tcBorders>
          </w:tcPr>
          <w:p>
            <w:pPr>
              <w:jc w:val="center"/>
              <w:spacing w:after="0"/>
              <w:rPr>
                <w:sz w:val="20"/>
                <w:szCs w:val="20"/>
                <w:color w:val="auto"/>
              </w:rPr>
            </w:pPr>
            <w:r>
              <w:rPr>
                <w:rFonts w:ascii="Arial" w:cs="Arial" w:eastAsia="Arial" w:hAnsi="Arial"/>
                <w:sz w:val="16"/>
                <w:szCs w:val="16"/>
                <w:color w:val="0B2E44"/>
              </w:rPr>
              <w:t>200% (max)</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0B2E44"/>
        </w:rPr>
        <w:t>Scale is linear between shown points.</w:t>
      </w:r>
    </w:p>
    <w:p>
      <w:pPr>
        <w:spacing w:after="0" w:line="127"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0B2E44"/>
        </w:rPr>
        <w:t>Regardless of Commvault’s relative TSR performance, earned shares cannot exceed 100% of target if the Company’s stock price is lower at the end of the performance period than it was at the beginning.</w:t>
      </w:r>
    </w:p>
    <w:p>
      <w:pPr>
        <w:spacing w:after="0" w:line="63"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0B2E44"/>
        </w:rPr>
        <w:t>The TMCC regularly considers the appropriate time horizon for the performance measures used in the compensation plan for our named executive officers. The TMCC believes that using multiple-year vesting for the Relative TSR PSUs appropriately balances the one-year performance period for the annual bonus and the three-year vesting period for the time-based RSUs and Financial PSUs.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E14A6A"/>
        </w:rPr>
        <w:t>Performance Vesting RSUs—Total Shareholder Return (TSR)</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020" w:type="dxa"/>
            <w:vAlign w:val="bottom"/>
            <w:vMerge w:val="restart"/>
          </w:tcPr>
          <w:p>
            <w:pPr>
              <w:ind w:left="140"/>
              <w:spacing w:after="0"/>
              <w:rPr>
                <w:sz w:val="20"/>
                <w:szCs w:val="20"/>
                <w:color w:val="auto"/>
              </w:rPr>
            </w:pPr>
            <w:r>
              <w:rPr>
                <w:rFonts w:ascii="Arial" w:cs="Arial" w:eastAsia="Arial" w:hAnsi="Arial"/>
                <w:sz w:val="14"/>
                <w:szCs w:val="14"/>
                <w:color w:val="092E44"/>
              </w:rPr>
              <w:t>Grant</w:t>
            </w:r>
          </w:p>
        </w:tc>
        <w:tc>
          <w:tcPr>
            <w:tcW w:w="3580" w:type="dxa"/>
            <w:vAlign w:val="bottom"/>
          </w:tcPr>
          <w:p>
            <w:pPr>
              <w:jc w:val="right"/>
              <w:ind w:right="163"/>
              <w:spacing w:after="0"/>
              <w:rPr>
                <w:sz w:val="20"/>
                <w:szCs w:val="20"/>
                <w:color w:val="auto"/>
              </w:rPr>
            </w:pPr>
            <w:r>
              <w:rPr>
                <w:rFonts w:ascii="Arial" w:cs="Arial" w:eastAsia="Arial" w:hAnsi="Arial"/>
                <w:sz w:val="14"/>
                <w:szCs w:val="14"/>
                <w:color w:val="092E44"/>
              </w:rPr>
              <w:t>February 2019(1)</w:t>
            </w:r>
          </w:p>
        </w:tc>
        <w:tc>
          <w:tcPr>
            <w:tcW w:w="860" w:type="dxa"/>
            <w:vAlign w:val="bottom"/>
          </w:tcPr>
          <w:p>
            <w:pPr>
              <w:jc w:val="right"/>
              <w:ind w:right="123"/>
              <w:spacing w:after="0"/>
              <w:rPr>
                <w:sz w:val="20"/>
                <w:szCs w:val="20"/>
                <w:color w:val="auto"/>
              </w:rPr>
            </w:pPr>
            <w:r>
              <w:rPr>
                <w:rFonts w:ascii="Arial" w:cs="Arial" w:eastAsia="Arial" w:hAnsi="Arial"/>
                <w:sz w:val="14"/>
                <w:szCs w:val="14"/>
                <w:color w:val="092E44"/>
              </w:rPr>
              <w:t>May</w:t>
            </w:r>
          </w:p>
        </w:tc>
        <w:tc>
          <w:tcPr>
            <w:tcW w:w="920" w:type="dxa"/>
            <w:vAlign w:val="bottom"/>
          </w:tcPr>
          <w:p>
            <w:pPr>
              <w:jc w:val="right"/>
              <w:ind w:right="143"/>
              <w:spacing w:after="0"/>
              <w:rPr>
                <w:sz w:val="20"/>
                <w:szCs w:val="20"/>
                <w:color w:val="auto"/>
              </w:rPr>
            </w:pPr>
            <w:r>
              <w:rPr>
                <w:rFonts w:ascii="Arial" w:cs="Arial" w:eastAsia="Arial" w:hAnsi="Arial"/>
                <w:sz w:val="14"/>
                <w:szCs w:val="14"/>
                <w:color w:val="092E44"/>
              </w:rPr>
              <w:t>May</w:t>
            </w:r>
          </w:p>
        </w:tc>
        <w:tc>
          <w:tcPr>
            <w:tcW w:w="900" w:type="dxa"/>
            <w:vAlign w:val="bottom"/>
          </w:tcPr>
          <w:p>
            <w:pPr>
              <w:jc w:val="right"/>
              <w:ind w:right="123"/>
              <w:spacing w:after="0"/>
              <w:rPr>
                <w:sz w:val="20"/>
                <w:szCs w:val="20"/>
                <w:color w:val="auto"/>
              </w:rPr>
            </w:pPr>
            <w:r>
              <w:rPr>
                <w:rFonts w:ascii="Arial" w:cs="Arial" w:eastAsia="Arial" w:hAnsi="Arial"/>
                <w:sz w:val="14"/>
                <w:szCs w:val="14"/>
                <w:color w:val="092E44"/>
              </w:rPr>
              <w:t>May</w:t>
            </w:r>
          </w:p>
        </w:tc>
        <w:tc>
          <w:tcPr>
            <w:tcW w:w="720" w:type="dxa"/>
            <w:vAlign w:val="bottom"/>
          </w:tcPr>
          <w:p>
            <w:pPr>
              <w:jc w:val="right"/>
              <w:spacing w:after="0"/>
              <w:rPr>
                <w:sz w:val="20"/>
                <w:szCs w:val="20"/>
                <w:color w:val="auto"/>
              </w:rPr>
            </w:pPr>
            <w:r>
              <w:rPr>
                <w:rFonts w:ascii="Arial" w:cs="Arial" w:eastAsia="Arial" w:hAnsi="Arial"/>
                <w:sz w:val="14"/>
                <w:szCs w:val="14"/>
                <w:color w:val="092E44"/>
              </w:rPr>
              <w:t>May</w:t>
            </w:r>
          </w:p>
        </w:tc>
        <w:tc>
          <w:tcPr>
            <w:tcW w:w="0" w:type="dxa"/>
            <w:vAlign w:val="bottom"/>
          </w:tcPr>
          <w:p>
            <w:pPr>
              <w:spacing w:after="0"/>
              <w:rPr>
                <w:sz w:val="1"/>
                <w:szCs w:val="1"/>
                <w:color w:val="auto"/>
              </w:rPr>
            </w:pPr>
          </w:p>
        </w:tc>
      </w:tr>
      <w:tr>
        <w:trPr>
          <w:trHeight w:val="186"/>
        </w:trPr>
        <w:tc>
          <w:tcPr>
            <w:tcW w:w="4020" w:type="dxa"/>
            <w:vAlign w:val="bottom"/>
            <w:tcBorders>
              <w:bottom w:val="single" w:sz="8" w:color="E14A6A"/>
            </w:tcBorders>
            <w:vMerge w:val="continue"/>
          </w:tcPr>
          <w:p>
            <w:pPr>
              <w:spacing w:after="0"/>
              <w:rPr>
                <w:sz w:val="16"/>
                <w:szCs w:val="16"/>
                <w:color w:val="auto"/>
              </w:rPr>
            </w:pPr>
          </w:p>
        </w:tc>
        <w:tc>
          <w:tcPr>
            <w:tcW w:w="3580" w:type="dxa"/>
            <w:vAlign w:val="bottom"/>
            <w:tcBorders>
              <w:bottom w:val="single" w:sz="8" w:color="E14A6A"/>
            </w:tcBorders>
          </w:tcPr>
          <w:p>
            <w:pPr>
              <w:jc w:val="right"/>
              <w:ind w:right="163"/>
              <w:spacing w:after="0"/>
              <w:rPr>
                <w:sz w:val="20"/>
                <w:szCs w:val="20"/>
                <w:color w:val="auto"/>
              </w:rPr>
            </w:pPr>
            <w:r>
              <w:rPr>
                <w:rFonts w:ascii="Arial" w:cs="Arial" w:eastAsia="Arial" w:hAnsi="Arial"/>
                <w:sz w:val="14"/>
                <w:szCs w:val="14"/>
                <w:color w:val="092E44"/>
              </w:rPr>
              <w:t>—New CEO</w:t>
            </w:r>
          </w:p>
        </w:tc>
        <w:tc>
          <w:tcPr>
            <w:tcW w:w="860" w:type="dxa"/>
            <w:vAlign w:val="bottom"/>
            <w:tcBorders>
              <w:bottom w:val="single" w:sz="8" w:color="E14A6A"/>
            </w:tcBorders>
          </w:tcPr>
          <w:p>
            <w:pPr>
              <w:jc w:val="right"/>
              <w:ind w:right="123"/>
              <w:spacing w:after="0"/>
              <w:rPr>
                <w:sz w:val="20"/>
                <w:szCs w:val="20"/>
                <w:color w:val="auto"/>
              </w:rPr>
            </w:pPr>
            <w:r>
              <w:rPr>
                <w:rFonts w:ascii="Arial" w:cs="Arial" w:eastAsia="Arial" w:hAnsi="Arial"/>
                <w:sz w:val="14"/>
                <w:szCs w:val="14"/>
                <w:color w:val="092E44"/>
              </w:rPr>
              <w:t>2019</w:t>
            </w:r>
          </w:p>
        </w:tc>
        <w:tc>
          <w:tcPr>
            <w:tcW w:w="920" w:type="dxa"/>
            <w:vAlign w:val="bottom"/>
            <w:tcBorders>
              <w:bottom w:val="single" w:sz="8" w:color="E14A6A"/>
            </w:tcBorders>
          </w:tcPr>
          <w:p>
            <w:pPr>
              <w:jc w:val="right"/>
              <w:ind w:right="143"/>
              <w:spacing w:after="0"/>
              <w:rPr>
                <w:sz w:val="20"/>
                <w:szCs w:val="20"/>
                <w:color w:val="auto"/>
              </w:rPr>
            </w:pPr>
            <w:r>
              <w:rPr>
                <w:rFonts w:ascii="Arial" w:cs="Arial" w:eastAsia="Arial" w:hAnsi="Arial"/>
                <w:sz w:val="14"/>
                <w:szCs w:val="14"/>
                <w:color w:val="092E44"/>
              </w:rPr>
              <w:t>2020</w:t>
            </w:r>
          </w:p>
        </w:tc>
        <w:tc>
          <w:tcPr>
            <w:tcW w:w="900" w:type="dxa"/>
            <w:vAlign w:val="bottom"/>
            <w:tcBorders>
              <w:bottom w:val="single" w:sz="8" w:color="E14A6A"/>
            </w:tcBorders>
          </w:tcPr>
          <w:p>
            <w:pPr>
              <w:jc w:val="right"/>
              <w:ind w:right="123"/>
              <w:spacing w:after="0"/>
              <w:rPr>
                <w:sz w:val="20"/>
                <w:szCs w:val="20"/>
                <w:color w:val="auto"/>
              </w:rPr>
            </w:pPr>
            <w:r>
              <w:rPr>
                <w:rFonts w:ascii="Arial" w:cs="Arial" w:eastAsia="Arial" w:hAnsi="Arial"/>
                <w:sz w:val="14"/>
                <w:szCs w:val="14"/>
                <w:color w:val="092E44"/>
              </w:rPr>
              <w:t>2021</w:t>
            </w:r>
          </w:p>
        </w:tc>
        <w:tc>
          <w:tcPr>
            <w:tcW w:w="72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92E44"/>
              </w:rPr>
              <w:t>2022</w:t>
            </w:r>
          </w:p>
        </w:tc>
        <w:tc>
          <w:tcPr>
            <w:tcW w:w="0" w:type="dxa"/>
            <w:vAlign w:val="bottom"/>
          </w:tcPr>
          <w:p>
            <w:pPr>
              <w:spacing w:after="0"/>
              <w:rPr>
                <w:sz w:val="1"/>
                <w:szCs w:val="1"/>
                <w:color w:val="auto"/>
              </w:rPr>
            </w:pPr>
          </w:p>
        </w:tc>
      </w:tr>
      <w:tr>
        <w:trPr>
          <w:trHeight w:val="210"/>
        </w:trPr>
        <w:tc>
          <w:tcPr>
            <w:tcW w:w="4020" w:type="dxa"/>
            <w:vAlign w:val="bottom"/>
          </w:tcPr>
          <w:p>
            <w:pPr>
              <w:ind w:left="120"/>
              <w:spacing w:after="0"/>
              <w:rPr>
                <w:sz w:val="20"/>
                <w:szCs w:val="20"/>
                <w:color w:val="auto"/>
              </w:rPr>
            </w:pPr>
            <w:r>
              <w:rPr>
                <w:rFonts w:ascii="Arial" w:cs="Arial" w:eastAsia="Arial" w:hAnsi="Arial"/>
                <w:sz w:val="16"/>
                <w:szCs w:val="16"/>
                <w:color w:val="092E44"/>
              </w:rPr>
              <w:t>Actual Vest %:</w:t>
            </w:r>
          </w:p>
        </w:tc>
        <w:tc>
          <w:tcPr>
            <w:tcW w:w="3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20" w:type="dxa"/>
            <w:vAlign w:val="bottom"/>
            <w:tcBorders>
              <w:bottom w:val="single" w:sz="8" w:color="DDE9F2"/>
            </w:tcBorders>
            <w:shd w:val="clear" w:color="auto" w:fill="DDE9F2"/>
          </w:tcPr>
          <w:p>
            <w:pPr>
              <w:ind w:left="120"/>
              <w:spacing w:after="0"/>
              <w:rPr>
                <w:sz w:val="20"/>
                <w:szCs w:val="20"/>
                <w:color w:val="auto"/>
              </w:rPr>
            </w:pPr>
            <w:r>
              <w:rPr>
                <w:rFonts w:ascii="Arial" w:cs="Arial" w:eastAsia="Arial" w:hAnsi="Arial"/>
                <w:sz w:val="16"/>
                <w:szCs w:val="16"/>
                <w:color w:val="092E44"/>
              </w:rPr>
              <w:t>First annual tranche</w:t>
            </w:r>
          </w:p>
        </w:tc>
        <w:tc>
          <w:tcPr>
            <w:tcW w:w="3580" w:type="dxa"/>
            <w:vAlign w:val="bottom"/>
            <w:tcBorders>
              <w:bottom w:val="single" w:sz="8" w:color="DDE9F2"/>
            </w:tcBorders>
            <w:shd w:val="clear" w:color="auto" w:fill="DDE9F2"/>
          </w:tcPr>
          <w:p>
            <w:pPr>
              <w:jc w:val="right"/>
              <w:ind w:right="163"/>
              <w:spacing w:after="0"/>
              <w:rPr>
                <w:sz w:val="20"/>
                <w:szCs w:val="20"/>
                <w:color w:val="auto"/>
              </w:rPr>
            </w:pPr>
            <w:r>
              <w:rPr>
                <w:rFonts w:ascii="Arial" w:cs="Arial" w:eastAsia="Arial" w:hAnsi="Arial"/>
                <w:sz w:val="16"/>
                <w:szCs w:val="16"/>
                <w:color w:val="092E44"/>
              </w:rPr>
              <w:t>N/A(2)</w:t>
            </w:r>
          </w:p>
        </w:tc>
        <w:tc>
          <w:tcPr>
            <w:tcW w:w="860" w:type="dxa"/>
            <w:vAlign w:val="bottom"/>
            <w:tcBorders>
              <w:bottom w:val="single" w:sz="8" w:color="DDE9F2"/>
            </w:tcBorders>
            <w:shd w:val="clear" w:color="auto" w:fill="DDE9F2"/>
          </w:tcPr>
          <w:p>
            <w:pPr>
              <w:jc w:val="right"/>
              <w:ind w:right="203"/>
              <w:spacing w:after="0"/>
              <w:rPr>
                <w:sz w:val="20"/>
                <w:szCs w:val="20"/>
                <w:color w:val="auto"/>
              </w:rPr>
            </w:pPr>
            <w:r>
              <w:rPr>
                <w:rFonts w:ascii="Arial" w:cs="Arial" w:eastAsia="Arial" w:hAnsi="Arial"/>
                <w:sz w:val="16"/>
                <w:szCs w:val="16"/>
                <w:color w:val="092E44"/>
              </w:rPr>
              <w:t>96%</w:t>
            </w:r>
          </w:p>
        </w:tc>
        <w:tc>
          <w:tcPr>
            <w:tcW w:w="920" w:type="dxa"/>
            <w:vAlign w:val="bottom"/>
            <w:tcBorders>
              <w:bottom w:val="single" w:sz="8" w:color="DDE9F2"/>
            </w:tcBorders>
            <w:shd w:val="clear" w:color="auto" w:fill="DDE9F2"/>
          </w:tcPr>
          <w:p>
            <w:pPr>
              <w:jc w:val="right"/>
              <w:ind w:right="223"/>
              <w:spacing w:after="0"/>
              <w:rPr>
                <w:sz w:val="20"/>
                <w:szCs w:val="20"/>
                <w:color w:val="auto"/>
              </w:rPr>
            </w:pPr>
            <w:r>
              <w:rPr>
                <w:rFonts w:ascii="Arial" w:cs="Arial" w:eastAsia="Arial" w:hAnsi="Arial"/>
                <w:sz w:val="16"/>
                <w:szCs w:val="16"/>
                <w:color w:val="092E44"/>
              </w:rPr>
              <w:t>105%</w:t>
            </w:r>
          </w:p>
        </w:tc>
        <w:tc>
          <w:tcPr>
            <w:tcW w:w="900" w:type="dxa"/>
            <w:vAlign w:val="bottom"/>
            <w:tcBorders>
              <w:bottom w:val="single" w:sz="8" w:color="DDE9F2"/>
            </w:tcBorders>
            <w:shd w:val="clear" w:color="auto" w:fill="DDE9F2"/>
          </w:tcPr>
          <w:p>
            <w:pPr>
              <w:jc w:val="right"/>
              <w:ind w:right="223"/>
              <w:spacing w:after="0"/>
              <w:rPr>
                <w:sz w:val="20"/>
                <w:szCs w:val="20"/>
                <w:color w:val="auto"/>
              </w:rPr>
            </w:pPr>
            <w:r>
              <w:rPr>
                <w:rFonts w:ascii="Arial" w:cs="Arial" w:eastAsia="Arial" w:hAnsi="Arial"/>
                <w:sz w:val="16"/>
                <w:szCs w:val="16"/>
                <w:color w:val="092E44"/>
              </w:rPr>
              <w:t>98%</w:t>
            </w:r>
          </w:p>
        </w:tc>
        <w:tc>
          <w:tcPr>
            <w:tcW w:w="720" w:type="dxa"/>
            <w:vAlign w:val="bottom"/>
            <w:tcBorders>
              <w:bottom w:val="single" w:sz="8" w:color="DDE9F2"/>
            </w:tcBorders>
            <w:shd w:val="clear" w:color="auto" w:fill="DDE9F2"/>
          </w:tcPr>
          <w:p>
            <w:pPr>
              <w:jc w:val="right"/>
              <w:ind w:right="23"/>
              <w:spacing w:after="0"/>
              <w:rPr>
                <w:sz w:val="20"/>
                <w:szCs w:val="20"/>
                <w:color w:val="auto"/>
              </w:rPr>
            </w:pPr>
            <w:r>
              <w:rPr>
                <w:rFonts w:ascii="Arial" w:cs="Arial" w:eastAsia="Arial" w:hAnsi="Arial"/>
                <w:sz w:val="16"/>
                <w:szCs w:val="16"/>
                <w:color w:val="092E44"/>
              </w:rPr>
              <w:t>100%</w:t>
            </w:r>
          </w:p>
        </w:tc>
        <w:tc>
          <w:tcPr>
            <w:tcW w:w="0" w:type="dxa"/>
            <w:vAlign w:val="bottom"/>
          </w:tcPr>
          <w:p>
            <w:pPr>
              <w:spacing w:after="0"/>
              <w:rPr>
                <w:sz w:val="1"/>
                <w:szCs w:val="1"/>
                <w:color w:val="auto"/>
              </w:rPr>
            </w:pPr>
          </w:p>
        </w:tc>
      </w:tr>
      <w:tr>
        <w:trPr>
          <w:trHeight w:val="213"/>
        </w:trPr>
        <w:tc>
          <w:tcPr>
            <w:tcW w:w="4020" w:type="dxa"/>
            <w:vAlign w:val="bottom"/>
          </w:tcPr>
          <w:p>
            <w:pPr>
              <w:ind w:left="120"/>
              <w:spacing w:after="0"/>
              <w:rPr>
                <w:sz w:val="20"/>
                <w:szCs w:val="20"/>
                <w:color w:val="auto"/>
              </w:rPr>
            </w:pPr>
            <w:r>
              <w:rPr>
                <w:rFonts w:ascii="Arial" w:cs="Arial" w:eastAsia="Arial" w:hAnsi="Arial"/>
                <w:sz w:val="16"/>
                <w:szCs w:val="16"/>
                <w:color w:val="092E44"/>
              </w:rPr>
              <w:t>Second annual tranche</w:t>
            </w:r>
          </w:p>
        </w:tc>
        <w:tc>
          <w:tcPr>
            <w:tcW w:w="3580" w:type="dxa"/>
            <w:vAlign w:val="bottom"/>
          </w:tcPr>
          <w:p>
            <w:pPr>
              <w:jc w:val="right"/>
              <w:ind w:right="163"/>
              <w:spacing w:after="0"/>
              <w:rPr>
                <w:sz w:val="20"/>
                <w:szCs w:val="20"/>
                <w:color w:val="auto"/>
              </w:rPr>
            </w:pPr>
            <w:r>
              <w:rPr>
                <w:rFonts w:ascii="Arial" w:cs="Arial" w:eastAsia="Arial" w:hAnsi="Arial"/>
                <w:sz w:val="16"/>
                <w:szCs w:val="16"/>
                <w:color w:val="092E44"/>
              </w:rPr>
              <w:t>62%</w:t>
            </w:r>
          </w:p>
        </w:tc>
        <w:tc>
          <w:tcPr>
            <w:tcW w:w="860" w:type="dxa"/>
            <w:vAlign w:val="bottom"/>
          </w:tcPr>
          <w:p>
            <w:pPr>
              <w:jc w:val="right"/>
              <w:ind w:right="203"/>
              <w:spacing w:after="0"/>
              <w:rPr>
                <w:sz w:val="20"/>
                <w:szCs w:val="20"/>
                <w:color w:val="auto"/>
              </w:rPr>
            </w:pPr>
            <w:r>
              <w:rPr>
                <w:rFonts w:ascii="Arial" w:cs="Arial" w:eastAsia="Arial" w:hAnsi="Arial"/>
                <w:sz w:val="16"/>
                <w:szCs w:val="16"/>
                <w:color w:val="092E44"/>
              </w:rPr>
              <w:t>95%</w:t>
            </w:r>
          </w:p>
        </w:tc>
        <w:tc>
          <w:tcPr>
            <w:tcW w:w="920" w:type="dxa"/>
            <w:vAlign w:val="bottom"/>
          </w:tcPr>
          <w:p>
            <w:pPr>
              <w:jc w:val="right"/>
              <w:ind w:right="223"/>
              <w:spacing w:after="0"/>
              <w:rPr>
                <w:sz w:val="20"/>
                <w:szCs w:val="20"/>
                <w:color w:val="auto"/>
              </w:rPr>
            </w:pPr>
            <w:r>
              <w:rPr>
                <w:rFonts w:ascii="Arial" w:cs="Arial" w:eastAsia="Arial" w:hAnsi="Arial"/>
                <w:sz w:val="16"/>
                <w:szCs w:val="16"/>
                <w:color w:val="092E44"/>
              </w:rPr>
              <w:t>101%</w:t>
            </w:r>
          </w:p>
        </w:tc>
        <w:tc>
          <w:tcPr>
            <w:tcW w:w="900" w:type="dxa"/>
            <w:vAlign w:val="bottom"/>
          </w:tcPr>
          <w:p>
            <w:pPr>
              <w:jc w:val="right"/>
              <w:ind w:right="223"/>
              <w:spacing w:after="0"/>
              <w:rPr>
                <w:sz w:val="20"/>
                <w:szCs w:val="20"/>
                <w:color w:val="auto"/>
              </w:rPr>
            </w:pPr>
            <w:r>
              <w:rPr>
                <w:rFonts w:ascii="Arial" w:cs="Arial" w:eastAsia="Arial" w:hAnsi="Arial"/>
                <w:sz w:val="16"/>
                <w:szCs w:val="16"/>
                <w:color w:val="092E44"/>
              </w:rPr>
              <w:t>100%</w:t>
            </w:r>
          </w:p>
        </w:tc>
        <w:tc>
          <w:tcPr>
            <w:tcW w:w="720" w:type="dxa"/>
            <w:vAlign w:val="bottom"/>
          </w:tcPr>
          <w:p>
            <w:pPr>
              <w:jc w:val="right"/>
              <w:ind w:right="23"/>
              <w:spacing w:after="0"/>
              <w:rPr>
                <w:sz w:val="20"/>
                <w:szCs w:val="20"/>
                <w:color w:val="auto"/>
              </w:rPr>
            </w:pPr>
            <w:r>
              <w:rPr>
                <w:rFonts w:ascii="Arial" w:cs="Arial" w:eastAsia="Arial" w:hAnsi="Arial"/>
                <w:sz w:val="16"/>
                <w:szCs w:val="16"/>
                <w:color w:val="092E44"/>
              </w:rPr>
              <w:t>TBD</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0B2E44"/>
            </w:tcBorders>
            <w:shd w:val="clear" w:color="auto" w:fill="DDE9F2"/>
          </w:tcPr>
          <w:p>
            <w:pPr>
              <w:ind w:left="120"/>
              <w:spacing w:after="0"/>
              <w:rPr>
                <w:sz w:val="20"/>
                <w:szCs w:val="20"/>
                <w:color w:val="auto"/>
              </w:rPr>
            </w:pPr>
            <w:r>
              <w:rPr>
                <w:rFonts w:ascii="Arial" w:cs="Arial" w:eastAsia="Arial" w:hAnsi="Arial"/>
                <w:sz w:val="16"/>
                <w:szCs w:val="16"/>
                <w:color w:val="092E44"/>
              </w:rPr>
              <w:t>Third annual tranche</w:t>
            </w:r>
          </w:p>
        </w:tc>
        <w:tc>
          <w:tcPr>
            <w:tcW w:w="3580" w:type="dxa"/>
            <w:vAlign w:val="bottom"/>
            <w:tcBorders>
              <w:bottom w:val="single" w:sz="8" w:color="0B2E44"/>
            </w:tcBorders>
            <w:shd w:val="clear" w:color="auto" w:fill="DDE9F2"/>
          </w:tcPr>
          <w:p>
            <w:pPr>
              <w:jc w:val="right"/>
              <w:ind w:right="163"/>
              <w:spacing w:after="0"/>
              <w:rPr>
                <w:sz w:val="20"/>
                <w:szCs w:val="20"/>
                <w:color w:val="auto"/>
              </w:rPr>
            </w:pPr>
            <w:r>
              <w:rPr>
                <w:rFonts w:ascii="Arial" w:cs="Arial" w:eastAsia="Arial" w:hAnsi="Arial"/>
                <w:sz w:val="16"/>
                <w:szCs w:val="16"/>
                <w:color w:val="092E44"/>
              </w:rPr>
              <w:t>66%</w:t>
            </w:r>
          </w:p>
        </w:tc>
        <w:tc>
          <w:tcPr>
            <w:tcW w:w="860" w:type="dxa"/>
            <w:vAlign w:val="bottom"/>
            <w:tcBorders>
              <w:bottom w:val="single" w:sz="8" w:color="0B2E44"/>
            </w:tcBorders>
            <w:shd w:val="clear" w:color="auto" w:fill="DDE9F2"/>
          </w:tcPr>
          <w:p>
            <w:pPr>
              <w:jc w:val="right"/>
              <w:ind w:right="203"/>
              <w:spacing w:after="0"/>
              <w:rPr>
                <w:sz w:val="20"/>
                <w:szCs w:val="20"/>
                <w:color w:val="auto"/>
              </w:rPr>
            </w:pPr>
            <w:r>
              <w:rPr>
                <w:rFonts w:ascii="Arial" w:cs="Arial" w:eastAsia="Arial" w:hAnsi="Arial"/>
                <w:sz w:val="16"/>
                <w:szCs w:val="16"/>
                <w:color w:val="092E44"/>
              </w:rPr>
              <w:t>87%</w:t>
            </w:r>
          </w:p>
        </w:tc>
        <w:tc>
          <w:tcPr>
            <w:tcW w:w="920" w:type="dxa"/>
            <w:vAlign w:val="bottom"/>
            <w:tcBorders>
              <w:bottom w:val="single" w:sz="8" w:color="0B2E44"/>
            </w:tcBorders>
            <w:shd w:val="clear" w:color="auto" w:fill="DDE9F2"/>
          </w:tcPr>
          <w:p>
            <w:pPr>
              <w:jc w:val="right"/>
              <w:ind w:right="223"/>
              <w:spacing w:after="0"/>
              <w:rPr>
                <w:sz w:val="20"/>
                <w:szCs w:val="20"/>
                <w:color w:val="auto"/>
              </w:rPr>
            </w:pPr>
            <w:r>
              <w:rPr>
                <w:rFonts w:ascii="Arial" w:cs="Arial" w:eastAsia="Arial" w:hAnsi="Arial"/>
                <w:sz w:val="16"/>
                <w:szCs w:val="16"/>
                <w:color w:val="092E44"/>
              </w:rPr>
              <w:t>117%</w:t>
            </w:r>
          </w:p>
        </w:tc>
        <w:tc>
          <w:tcPr>
            <w:tcW w:w="900" w:type="dxa"/>
            <w:vAlign w:val="bottom"/>
            <w:tcBorders>
              <w:bottom w:val="single" w:sz="8" w:color="0B2E44"/>
            </w:tcBorders>
            <w:shd w:val="clear" w:color="auto" w:fill="DDE9F2"/>
          </w:tcPr>
          <w:p>
            <w:pPr>
              <w:jc w:val="right"/>
              <w:ind w:right="223"/>
              <w:spacing w:after="0"/>
              <w:rPr>
                <w:sz w:val="20"/>
                <w:szCs w:val="20"/>
                <w:color w:val="auto"/>
              </w:rPr>
            </w:pPr>
            <w:r>
              <w:rPr>
                <w:rFonts w:ascii="Arial" w:cs="Arial" w:eastAsia="Arial" w:hAnsi="Arial"/>
                <w:sz w:val="16"/>
                <w:szCs w:val="16"/>
                <w:color w:val="092E44"/>
              </w:rPr>
              <w:t>TBD</w:t>
            </w:r>
          </w:p>
        </w:tc>
        <w:tc>
          <w:tcPr>
            <w:tcW w:w="720" w:type="dxa"/>
            <w:vAlign w:val="bottom"/>
            <w:tcBorders>
              <w:bottom w:val="single" w:sz="8" w:color="0B2E44"/>
            </w:tcBorders>
            <w:shd w:val="clear" w:color="auto" w:fill="DDE9F2"/>
          </w:tcPr>
          <w:p>
            <w:pPr>
              <w:jc w:val="right"/>
              <w:ind w:right="23"/>
              <w:spacing w:after="0"/>
              <w:rPr>
                <w:sz w:val="20"/>
                <w:szCs w:val="20"/>
                <w:color w:val="auto"/>
              </w:rPr>
            </w:pPr>
            <w:r>
              <w:rPr>
                <w:rFonts w:ascii="Arial" w:cs="Arial" w:eastAsia="Arial" w:hAnsi="Arial"/>
                <w:sz w:val="16"/>
                <w:szCs w:val="16"/>
                <w:color w:val="092E44"/>
              </w:rPr>
              <w:t>TBD</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3"/>
          <w:szCs w:val="13"/>
          <w:color w:val="0B2E44"/>
        </w:rPr>
      </w:pPr>
      <w:r>
        <w:rPr>
          <w:rFonts w:ascii="Arial" w:cs="Arial" w:eastAsia="Arial" w:hAnsi="Arial"/>
          <w:sz w:val="13"/>
          <w:szCs w:val="13"/>
          <w:color w:val="0B2E44"/>
        </w:rPr>
        <w:t>This market-based award was granted to Mr. Mirchandani as part of his new hire equity award.</w:t>
      </w:r>
    </w:p>
    <w:p>
      <w:pPr>
        <w:spacing w:after="0" w:line="7" w:lineRule="exact"/>
        <w:rPr>
          <w:rFonts w:ascii="Arial" w:cs="Arial" w:eastAsia="Arial" w:hAnsi="Arial"/>
          <w:sz w:val="13"/>
          <w:szCs w:val="13"/>
          <w:color w:val="0B2E44"/>
        </w:rPr>
      </w:pPr>
    </w:p>
    <w:p>
      <w:pPr>
        <w:ind w:left="260" w:hanging="252"/>
        <w:spacing w:after="0"/>
        <w:tabs>
          <w:tab w:leader="none" w:pos="260" w:val="left"/>
        </w:tabs>
        <w:numPr>
          <w:ilvl w:val="0"/>
          <w:numId w:val="41"/>
        </w:numPr>
        <w:rPr>
          <w:rFonts w:ascii="Arial" w:cs="Arial" w:eastAsia="Arial" w:hAnsi="Arial"/>
          <w:sz w:val="13"/>
          <w:szCs w:val="13"/>
          <w:color w:val="0B2E44"/>
        </w:rPr>
      </w:pPr>
      <w:r>
        <w:rPr>
          <w:rFonts w:ascii="Arial" w:cs="Arial" w:eastAsia="Arial" w:hAnsi="Arial"/>
          <w:sz w:val="13"/>
          <w:szCs w:val="13"/>
          <w:color w:val="0B2E44"/>
        </w:rPr>
        <w:t>The first tranche of Mr. Mirchandani’ s awards vested on the second anniversary of the grant date.</w:t>
      </w:r>
    </w:p>
    <w:p>
      <w:pPr>
        <w:spacing w:after="0" w:line="170" w:lineRule="exact"/>
        <w:rPr>
          <w:sz w:val="20"/>
          <w:szCs w:val="20"/>
          <w:color w:val="auto"/>
        </w:rPr>
      </w:pPr>
    </w:p>
    <w:p>
      <w:pPr>
        <w:ind w:right="20"/>
        <w:spacing w:after="0" w:line="231" w:lineRule="auto"/>
        <w:rPr>
          <w:sz w:val="20"/>
          <w:szCs w:val="20"/>
          <w:color w:val="auto"/>
        </w:rPr>
      </w:pPr>
      <w:r>
        <w:rPr>
          <w:rFonts w:ascii="Arial" w:cs="Arial" w:eastAsia="Arial" w:hAnsi="Arial"/>
          <w:sz w:val="16"/>
          <w:szCs w:val="16"/>
          <w:color w:val="0B2E44"/>
        </w:rPr>
        <w:t>Earned units for each performance period, if any, will vest following certification of our results by the TMCC. For the one-year performance period ended May 16, 2023, our total stockholder return of -1.42% was positioned at the 61</w:t>
      </w:r>
      <w:r>
        <w:rPr>
          <w:rFonts w:ascii="Arial" w:cs="Arial" w:eastAsia="Arial" w:hAnsi="Arial"/>
          <w:sz w:val="23"/>
          <w:szCs w:val="23"/>
          <w:color w:val="0B2E44"/>
          <w:vertAlign w:val="superscript"/>
        </w:rPr>
        <w:t>st</w:t>
      </w:r>
      <w:r>
        <w:rPr>
          <w:rFonts w:ascii="Arial" w:cs="Arial" w:eastAsia="Arial" w:hAnsi="Arial"/>
          <w:sz w:val="16"/>
          <w:szCs w:val="16"/>
          <w:color w:val="0B2E44"/>
        </w:rPr>
        <w:t xml:space="preserve"> percentile of the benchmark. However, the payout of TSR PSUs is capped at 100% of target for any performance period during which our total shareholder return is negative. As a result, the TMCC certified a payout equal to 100% of target for the portion of the Relative TSR PSU awards allocated to the one-year performance period.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39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1"/>
          <w:szCs w:val="11"/>
          <w:color w:val="0B2E44"/>
        </w:rPr>
        <w:t xml:space="preserve">CD&amp;A | </w:t>
      </w:r>
      <w:r>
        <w:rPr>
          <w:rFonts w:ascii="Arial" w:cs="Arial" w:eastAsia="Arial" w:hAnsi="Arial"/>
          <w:sz w:val="11"/>
          <w:szCs w:val="11"/>
          <w:b w:val="1"/>
          <w:bCs w:val="1"/>
          <w:color w:val="0B2E44"/>
        </w:rPr>
        <w:t>FISCAL YEAR 2023 COMPENSATION DECISIONS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E14A6A"/>
        </w:rPr>
        <w:t>Financial PSU awards</w:t>
      </w:r>
    </w:p>
    <w:p>
      <w:pPr>
        <w:spacing w:after="0" w:line="66" w:lineRule="exact"/>
        <w:rPr>
          <w:sz w:val="20"/>
          <w:szCs w:val="20"/>
          <w:color w:val="auto"/>
        </w:rPr>
      </w:pPr>
    </w:p>
    <w:p>
      <w:pPr>
        <w:ind w:right="600"/>
        <w:spacing w:after="0" w:line="276" w:lineRule="auto"/>
        <w:rPr>
          <w:sz w:val="20"/>
          <w:szCs w:val="20"/>
          <w:color w:val="auto"/>
        </w:rPr>
      </w:pPr>
      <w:r>
        <w:rPr>
          <w:rFonts w:ascii="Arial" w:cs="Arial" w:eastAsia="Arial" w:hAnsi="Arial"/>
          <w:sz w:val="16"/>
          <w:szCs w:val="16"/>
          <w:color w:val="0B2E44"/>
        </w:rPr>
        <w:t>The Financial PSUs granted to our named executive officers in fiscal 2023 were eligible to be earned based on our level of achievement against total annualized recurring revenue (“ARR”) goals established at the beginning of fiscal 2023 and measured over a one-year performance period.</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00" w:type="dxa"/>
            <w:vAlign w:val="bottom"/>
            <w:vMerge w:val="restart"/>
          </w:tcPr>
          <w:p>
            <w:pPr>
              <w:ind w:left="140"/>
              <w:spacing w:after="0"/>
              <w:rPr>
                <w:sz w:val="20"/>
                <w:szCs w:val="20"/>
                <w:color w:val="auto"/>
              </w:rPr>
            </w:pPr>
            <w:r>
              <w:rPr>
                <w:rFonts w:ascii="Arial" w:cs="Arial" w:eastAsia="Arial" w:hAnsi="Arial"/>
                <w:sz w:val="14"/>
                <w:szCs w:val="14"/>
                <w:color w:val="0B2E44"/>
              </w:rPr>
              <w:t>Achievement</w:t>
            </w:r>
          </w:p>
        </w:tc>
        <w:tc>
          <w:tcPr>
            <w:tcW w:w="3420" w:type="dxa"/>
            <w:vAlign w:val="bottom"/>
          </w:tcPr>
          <w:p>
            <w:pPr>
              <w:jc w:val="right"/>
              <w:ind w:right="701"/>
              <w:spacing w:after="0"/>
              <w:rPr>
                <w:sz w:val="20"/>
                <w:szCs w:val="20"/>
                <w:color w:val="auto"/>
              </w:rPr>
            </w:pPr>
            <w:r>
              <w:rPr>
                <w:rFonts w:ascii="Arial" w:cs="Arial" w:eastAsia="Arial" w:hAnsi="Arial"/>
                <w:sz w:val="14"/>
                <w:szCs w:val="14"/>
                <w:color w:val="0B2E44"/>
              </w:rPr>
              <w:t>ARR Achievement</w:t>
            </w:r>
          </w:p>
        </w:tc>
        <w:tc>
          <w:tcPr>
            <w:tcW w:w="2540" w:type="dxa"/>
            <w:vAlign w:val="bottom"/>
          </w:tcPr>
          <w:p>
            <w:pPr>
              <w:jc w:val="right"/>
              <w:ind w:right="503"/>
              <w:spacing w:after="0"/>
              <w:rPr>
                <w:sz w:val="20"/>
                <w:szCs w:val="20"/>
                <w:color w:val="auto"/>
              </w:rPr>
            </w:pPr>
            <w:r>
              <w:rPr>
                <w:rFonts w:ascii="Arial" w:cs="Arial" w:eastAsia="Arial" w:hAnsi="Arial"/>
                <w:sz w:val="14"/>
                <w:szCs w:val="14"/>
                <w:color w:val="0B2E44"/>
              </w:rPr>
              <w:t>ARR Achievement</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0B2E44"/>
              </w:rPr>
              <w:t>% of Target PSU Earned</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E14A6A"/>
            </w:tcBorders>
            <w:vMerge w:val="continue"/>
          </w:tcPr>
          <w:p>
            <w:pPr>
              <w:spacing w:after="0"/>
              <w:rPr>
                <w:sz w:val="16"/>
                <w:szCs w:val="16"/>
                <w:color w:val="auto"/>
              </w:rPr>
            </w:pPr>
          </w:p>
        </w:tc>
        <w:tc>
          <w:tcPr>
            <w:tcW w:w="3420" w:type="dxa"/>
            <w:vAlign w:val="bottom"/>
            <w:tcBorders>
              <w:bottom w:val="single" w:sz="8" w:color="E14A6A"/>
            </w:tcBorders>
          </w:tcPr>
          <w:p>
            <w:pPr>
              <w:spacing w:after="0"/>
              <w:rPr>
                <w:sz w:val="16"/>
                <w:szCs w:val="16"/>
                <w:color w:val="auto"/>
              </w:rPr>
            </w:pPr>
          </w:p>
        </w:tc>
        <w:tc>
          <w:tcPr>
            <w:tcW w:w="2540" w:type="dxa"/>
            <w:vAlign w:val="bottom"/>
            <w:tcBorders>
              <w:bottom w:val="single" w:sz="8" w:color="E14A6A"/>
            </w:tcBorders>
          </w:tcPr>
          <w:p>
            <w:pPr>
              <w:jc w:val="right"/>
              <w:ind w:right="503"/>
              <w:spacing w:after="0"/>
              <w:rPr>
                <w:sz w:val="20"/>
                <w:szCs w:val="20"/>
                <w:color w:val="auto"/>
              </w:rPr>
            </w:pPr>
            <w:r>
              <w:rPr>
                <w:rFonts w:ascii="Arial" w:cs="Arial" w:eastAsia="Arial" w:hAnsi="Arial"/>
                <w:sz w:val="14"/>
                <w:szCs w:val="14"/>
                <w:color w:val="0B2E44"/>
              </w:rPr>
              <w:t>(% of Target)</w:t>
            </w:r>
          </w:p>
        </w:tc>
        <w:tc>
          <w:tcPr>
            <w:tcW w:w="2160" w:type="dxa"/>
            <w:vAlign w:val="bottom"/>
            <w:tcBorders>
              <w:bottom w:val="single" w:sz="8" w:color="E14A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120"/>
              <w:spacing w:after="0"/>
              <w:rPr>
                <w:sz w:val="20"/>
                <w:szCs w:val="20"/>
                <w:color w:val="auto"/>
              </w:rPr>
            </w:pPr>
            <w:r>
              <w:rPr>
                <w:rFonts w:ascii="Arial" w:cs="Arial" w:eastAsia="Arial" w:hAnsi="Arial"/>
                <w:sz w:val="16"/>
                <w:szCs w:val="16"/>
                <w:color w:val="0B2E44"/>
              </w:rPr>
              <w:t>Below Threshold</w:t>
            </w:r>
          </w:p>
        </w:tc>
        <w:tc>
          <w:tcPr>
            <w:tcW w:w="3420" w:type="dxa"/>
            <w:vAlign w:val="bottom"/>
          </w:tcPr>
          <w:p>
            <w:pPr>
              <w:jc w:val="right"/>
              <w:ind w:right="781"/>
              <w:spacing w:after="0"/>
              <w:rPr>
                <w:sz w:val="20"/>
                <w:szCs w:val="20"/>
                <w:color w:val="auto"/>
              </w:rPr>
            </w:pPr>
            <w:r>
              <w:rPr>
                <w:rFonts w:ascii="Arial" w:cs="Arial" w:eastAsia="Arial" w:hAnsi="Arial"/>
                <w:sz w:val="16"/>
                <w:szCs w:val="16"/>
                <w:color w:val="0B2E44"/>
              </w:rPr>
              <w:t>&lt;$583M</w:t>
            </w:r>
          </w:p>
        </w:tc>
        <w:tc>
          <w:tcPr>
            <w:tcW w:w="2540" w:type="dxa"/>
            <w:vAlign w:val="bottom"/>
          </w:tcPr>
          <w:p>
            <w:pPr>
              <w:jc w:val="right"/>
              <w:ind w:right="583"/>
              <w:spacing w:after="0"/>
              <w:rPr>
                <w:sz w:val="20"/>
                <w:szCs w:val="20"/>
                <w:color w:val="auto"/>
              </w:rPr>
            </w:pPr>
            <w:r>
              <w:rPr>
                <w:rFonts w:ascii="Arial" w:cs="Arial" w:eastAsia="Arial" w:hAnsi="Arial"/>
                <w:sz w:val="16"/>
                <w:szCs w:val="16"/>
                <w:color w:val="0B2E44"/>
              </w:rPr>
              <w:t>&lt;89%</w:t>
            </w:r>
          </w:p>
        </w:tc>
        <w:tc>
          <w:tcPr>
            <w:tcW w:w="2160" w:type="dxa"/>
            <w:vAlign w:val="bottom"/>
          </w:tcPr>
          <w:p>
            <w:pPr>
              <w:jc w:val="right"/>
              <w:ind w:right="21"/>
              <w:spacing w:after="0"/>
              <w:rPr>
                <w:sz w:val="20"/>
                <w:szCs w:val="20"/>
                <w:color w:val="auto"/>
              </w:rPr>
            </w:pPr>
            <w:r>
              <w:rPr>
                <w:rFonts w:ascii="Arial" w:cs="Arial" w:eastAsia="Arial" w:hAnsi="Arial"/>
                <w:sz w:val="16"/>
                <w:szCs w:val="16"/>
                <w:color w:val="0B2E44"/>
              </w:rPr>
              <w:t>—%</w:t>
            </w:r>
          </w:p>
        </w:tc>
        <w:tc>
          <w:tcPr>
            <w:tcW w:w="0" w:type="dxa"/>
            <w:vAlign w:val="bottom"/>
          </w:tcPr>
          <w:p>
            <w:pPr>
              <w:spacing w:after="0"/>
              <w:rPr>
                <w:sz w:val="1"/>
                <w:szCs w:val="1"/>
                <w:color w:val="auto"/>
              </w:rPr>
            </w:pPr>
          </w:p>
        </w:tc>
      </w:tr>
      <w:tr>
        <w:trPr>
          <w:trHeight w:val="219"/>
        </w:trPr>
        <w:tc>
          <w:tcPr>
            <w:tcW w:w="280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Threshold</w:t>
            </w:r>
          </w:p>
        </w:tc>
        <w:tc>
          <w:tcPr>
            <w:tcW w:w="3420" w:type="dxa"/>
            <w:vAlign w:val="bottom"/>
            <w:shd w:val="clear" w:color="auto" w:fill="DDE9F2"/>
          </w:tcPr>
          <w:p>
            <w:pPr>
              <w:jc w:val="right"/>
              <w:ind w:right="781"/>
              <w:spacing w:after="0"/>
              <w:rPr>
                <w:sz w:val="20"/>
                <w:szCs w:val="20"/>
                <w:color w:val="auto"/>
              </w:rPr>
            </w:pPr>
            <w:r>
              <w:rPr>
                <w:rFonts w:ascii="Arial" w:cs="Arial" w:eastAsia="Arial" w:hAnsi="Arial"/>
                <w:sz w:val="16"/>
                <w:szCs w:val="16"/>
                <w:color w:val="0B2E44"/>
              </w:rPr>
              <w:t>$583M</w:t>
            </w:r>
          </w:p>
        </w:tc>
        <w:tc>
          <w:tcPr>
            <w:tcW w:w="2540" w:type="dxa"/>
            <w:vAlign w:val="bottom"/>
            <w:shd w:val="clear" w:color="auto" w:fill="DDE9F2"/>
          </w:tcPr>
          <w:p>
            <w:pPr>
              <w:jc w:val="right"/>
              <w:ind w:right="583"/>
              <w:spacing w:after="0"/>
              <w:rPr>
                <w:sz w:val="20"/>
                <w:szCs w:val="20"/>
                <w:color w:val="auto"/>
              </w:rPr>
            </w:pPr>
            <w:r>
              <w:rPr>
                <w:rFonts w:ascii="Arial" w:cs="Arial" w:eastAsia="Arial" w:hAnsi="Arial"/>
                <w:sz w:val="16"/>
                <w:szCs w:val="16"/>
                <w:color w:val="0B2E44"/>
              </w:rPr>
              <w:t>89%</w:t>
            </w:r>
          </w:p>
        </w:tc>
        <w:tc>
          <w:tcPr>
            <w:tcW w:w="2160" w:type="dxa"/>
            <w:vAlign w:val="bottom"/>
            <w:shd w:val="clear" w:color="auto" w:fill="DDE9F2"/>
          </w:tcPr>
          <w:p>
            <w:pPr>
              <w:jc w:val="right"/>
              <w:ind w:right="21"/>
              <w:spacing w:after="0"/>
              <w:rPr>
                <w:sz w:val="20"/>
                <w:szCs w:val="20"/>
                <w:color w:val="auto"/>
              </w:rPr>
            </w:pPr>
            <w:r>
              <w:rPr>
                <w:rFonts w:ascii="Arial" w:cs="Arial" w:eastAsia="Arial" w:hAnsi="Arial"/>
                <w:sz w:val="16"/>
                <w:szCs w:val="16"/>
                <w:color w:val="0B2E44"/>
              </w:rPr>
              <w:t>50%</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092E44"/>
            </w:tcBorders>
          </w:tcPr>
          <w:p>
            <w:pPr>
              <w:ind w:left="120"/>
              <w:spacing w:after="0"/>
              <w:rPr>
                <w:sz w:val="20"/>
                <w:szCs w:val="20"/>
                <w:color w:val="auto"/>
              </w:rPr>
            </w:pPr>
            <w:r>
              <w:rPr>
                <w:rFonts w:ascii="Arial" w:cs="Arial" w:eastAsia="Arial" w:hAnsi="Arial"/>
                <w:sz w:val="16"/>
                <w:szCs w:val="16"/>
                <w:color w:val="0B2E44"/>
              </w:rPr>
              <w:t>Target</w:t>
            </w:r>
          </w:p>
        </w:tc>
        <w:tc>
          <w:tcPr>
            <w:tcW w:w="3420" w:type="dxa"/>
            <w:vAlign w:val="bottom"/>
            <w:tcBorders>
              <w:bottom w:val="single" w:sz="8" w:color="092E44"/>
            </w:tcBorders>
          </w:tcPr>
          <w:p>
            <w:pPr>
              <w:jc w:val="right"/>
              <w:ind w:right="781"/>
              <w:spacing w:after="0"/>
              <w:rPr>
                <w:sz w:val="20"/>
                <w:szCs w:val="20"/>
                <w:color w:val="auto"/>
              </w:rPr>
            </w:pPr>
            <w:r>
              <w:rPr>
                <w:rFonts w:ascii="Arial" w:cs="Arial" w:eastAsia="Arial" w:hAnsi="Arial"/>
                <w:sz w:val="16"/>
                <w:szCs w:val="16"/>
                <w:color w:val="0B2E44"/>
              </w:rPr>
              <w:t>$655M</w:t>
            </w:r>
          </w:p>
        </w:tc>
        <w:tc>
          <w:tcPr>
            <w:tcW w:w="2540" w:type="dxa"/>
            <w:vAlign w:val="bottom"/>
            <w:tcBorders>
              <w:bottom w:val="single" w:sz="8" w:color="092E44"/>
            </w:tcBorders>
          </w:tcPr>
          <w:p>
            <w:pPr>
              <w:jc w:val="right"/>
              <w:ind w:right="583"/>
              <w:spacing w:after="0"/>
              <w:rPr>
                <w:sz w:val="20"/>
                <w:szCs w:val="20"/>
                <w:color w:val="auto"/>
              </w:rPr>
            </w:pPr>
            <w:r>
              <w:rPr>
                <w:rFonts w:ascii="Arial" w:cs="Arial" w:eastAsia="Arial" w:hAnsi="Arial"/>
                <w:sz w:val="16"/>
                <w:szCs w:val="16"/>
                <w:color w:val="0B2E44"/>
              </w:rPr>
              <w:t>100%</w:t>
            </w:r>
          </w:p>
        </w:tc>
        <w:tc>
          <w:tcPr>
            <w:tcW w:w="2160" w:type="dxa"/>
            <w:vAlign w:val="bottom"/>
            <w:tcBorders>
              <w:bottom w:val="single" w:sz="8" w:color="092E44"/>
            </w:tcBorders>
          </w:tcPr>
          <w:p>
            <w:pPr>
              <w:jc w:val="right"/>
              <w:ind w:right="21"/>
              <w:spacing w:after="0"/>
              <w:rPr>
                <w:sz w:val="20"/>
                <w:szCs w:val="20"/>
                <w:color w:val="auto"/>
              </w:rPr>
            </w:pPr>
            <w:r>
              <w:rPr>
                <w:rFonts w:ascii="Arial" w:cs="Arial" w:eastAsia="Arial" w:hAnsi="Arial"/>
                <w:sz w:val="16"/>
                <w:szCs w:val="16"/>
                <w:color w:val="0B2E44"/>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line="276" w:lineRule="auto"/>
        <w:rPr>
          <w:sz w:val="20"/>
          <w:szCs w:val="20"/>
          <w:color w:val="auto"/>
        </w:rPr>
      </w:pPr>
      <w:r>
        <w:rPr>
          <w:rFonts w:ascii="Arial" w:cs="Arial" w:eastAsia="Arial" w:hAnsi="Arial"/>
          <w:sz w:val="16"/>
          <w:szCs w:val="16"/>
          <w:color w:val="0B2E44"/>
        </w:rPr>
        <w:t>In the event that our actual performance exceeds target, the payout expressed as a percent of target will increase by 13.65% of each 1% of incremental ARR performance above target.</w:t>
      </w:r>
    </w:p>
    <w:p>
      <w:pPr>
        <w:spacing w:after="0" w:line="2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0B2E44"/>
        </w:rPr>
        <w:t>Our actual ARR achievement for fiscal 2023 was equal to 102.1% of target. As a result, the TMCC certified a payout equal to 128% of the target number of shares. Any shares earned based on our actual one-year financial performance were to vest 33.3% on the first anniversary of the grant date and an additional 8.375% quarterly thereafter until fully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E14A6A"/>
        </w:rPr>
        <w:t>Modification of Former CFO Equity Awards</w:t>
      </w:r>
    </w:p>
    <w:p>
      <w:pPr>
        <w:spacing w:after="0" w:line="241" w:lineRule="exact"/>
        <w:rPr>
          <w:sz w:val="20"/>
          <w:szCs w:val="20"/>
          <w:color w:val="auto"/>
        </w:rPr>
      </w:pPr>
    </w:p>
    <w:p>
      <w:pPr>
        <w:ind w:right="20"/>
        <w:spacing w:after="0"/>
        <w:rPr>
          <w:sz w:val="20"/>
          <w:szCs w:val="20"/>
          <w:color w:val="auto"/>
        </w:rPr>
      </w:pPr>
      <w:r>
        <w:rPr>
          <w:rFonts w:ascii="Arial" w:cs="Arial" w:eastAsia="Arial" w:hAnsi="Arial"/>
          <w:sz w:val="16"/>
          <w:szCs w:val="16"/>
          <w:color w:val="092E44"/>
        </w:rPr>
        <w:t>As described in more detail below in the section entitled “Individual Agreements,” our Compensation Committee approved an amendment to Mr. Carolan’s equity awards at the time of his termination of employment in June 2022 to provide for continued vesting of his outstanding and unvested equity awards. The Compensation Committee approved this amendment in order to support the effective transition of the Chief Financial Officer responsibilities from Mr. Carolan to his successor. Because this amendment is treated as a modification under the applicable accounting standards, the Summary Compensation Table and Grants of Plan Based Awards tables below reflect incremental compensation in the form of equity awards for Mr. Carolan during fiscal 2023.</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Other Benefits</w:t>
      </w:r>
    </w:p>
    <w:p>
      <w:pPr>
        <w:spacing w:after="0" w:line="66"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0B2E44"/>
        </w:rPr>
        <w:t>Our executive officers participate in health and welfare benefit programs that are substantially the same as the benefits for all other eligible Commvault employees. These benefits include a 50% matching contribution on the first 4% of eligible pay contributed to our 401(k) plan.</w:t>
      </w:r>
    </w:p>
    <w:p>
      <w:pPr>
        <w:spacing w:after="0" w:line="22" w:lineRule="exact"/>
        <w:rPr>
          <w:sz w:val="20"/>
          <w:szCs w:val="20"/>
          <w:color w:val="auto"/>
        </w:rPr>
      </w:pPr>
    </w:p>
    <w:p>
      <w:pPr>
        <w:spacing w:after="0" w:line="260" w:lineRule="auto"/>
        <w:rPr>
          <w:sz w:val="20"/>
          <w:szCs w:val="20"/>
          <w:color w:val="auto"/>
        </w:rPr>
      </w:pPr>
      <w:r>
        <w:rPr>
          <w:rFonts w:ascii="Arial" w:cs="Arial" w:eastAsia="Arial" w:hAnsi="Arial"/>
          <w:sz w:val="16"/>
          <w:szCs w:val="16"/>
          <w:color w:val="0B2E44"/>
        </w:rPr>
        <w:t>Our executive officers also are eligible to participate in our Employee Stock Purchase Plan (the “ESPP”). The ESPP is a stockholder approved plan under which substantially all employees may purchase the Company’s common stock through payroll deductions at a price equal to 85% of the lower of the fair market value of the common stock as of the beginning or the end of six-month offering periods. An employee’s payroll deductions under the ESPP are limited to 10% of salary, and employees may not purchase more than $25,000 of common stock during any calendar year. Messrs. Mirchandani, Merrill and Di Blasio participated in the ESPP in fiscal 2023 and received nominal benefits related to the 15% discount on the purchase price of the Company’s common stock.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Compensation Risk Assessment</w:t>
      </w:r>
    </w:p>
    <w:p>
      <w:pPr>
        <w:spacing w:after="0" w:line="66"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0B2E44"/>
        </w:rPr>
        <w:t>We have reviewed our compensation policies and practices for all employees and concluded that any risks arising from our policies and practices are not reasonably likely to have a material adverse effect on us.</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Individual Agreements</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B2E44"/>
        </w:rPr>
        <w:t>We have entered into individual agreements with each of our named executive officers. Mr. Mirchandani has entered into an employment agreement with the Company, and all other named executive officers have entered into executive retention and severance agreements. We entered into these arrangements to acknowledge each executive’s importance to Commvault and our stockholders and to attempt to avoid the distraction and loss of key management personnel that may occur in connection with rumored or actual fundamental corporate organizational changes. As more fully described in the section entitled “Individual Agreements” below, these agreements entitle a named executive officer to payments and benefits if employment is terminated by the Company without “cause,” or by him with “good reason,” within the two-year period following a change in control of the Company.</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Stock Ownership Guidelines for the CEO</w:t>
      </w:r>
    </w:p>
    <w:p>
      <w:pPr>
        <w:spacing w:after="0" w:line="53" w:lineRule="exact"/>
        <w:rPr>
          <w:sz w:val="20"/>
          <w:szCs w:val="20"/>
          <w:color w:val="auto"/>
        </w:rPr>
      </w:pPr>
    </w:p>
    <w:p>
      <w:pPr>
        <w:jc w:val="both"/>
        <w:ind w:right="140"/>
        <w:spacing w:after="0" w:line="261" w:lineRule="auto"/>
        <w:rPr>
          <w:sz w:val="20"/>
          <w:szCs w:val="20"/>
          <w:color w:val="auto"/>
        </w:rPr>
      </w:pPr>
      <w:r>
        <w:rPr>
          <w:rFonts w:ascii="Arial" w:cs="Arial" w:eastAsia="Arial" w:hAnsi="Arial"/>
          <w:sz w:val="16"/>
          <w:szCs w:val="16"/>
          <w:color w:val="0B2E44"/>
        </w:rPr>
        <w:t>We currently require our CEO to acquire an equity ownership interest in Commvault common stock by February 2024 (five years from his start date) that is equal to five times his current annual base salary. The TMCC is satisfied that this level of equity ownership is sufficient to motivate our CEO and to align his interests with those of our stockholders.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40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CD&amp;A | </w:t>
      </w:r>
      <w:r>
        <w:rPr>
          <w:rFonts w:ascii="Arial" w:cs="Arial" w:eastAsia="Arial" w:hAnsi="Arial"/>
          <w:sz w:val="11"/>
          <w:szCs w:val="11"/>
          <w:b w:val="1"/>
          <w:bCs w:val="1"/>
          <w:color w:val="0B2E44"/>
        </w:rPr>
        <w:t>FISCAL YEAR 2023 COMPENSATION DECISIONS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Hedging Prohibition</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6"/>
          <w:szCs w:val="16"/>
          <w:color w:val="0B2E44"/>
        </w:rPr>
        <w:t>We have a policy that prohibits our employees (including officers) and directors from engaging in any hedging transactions with regard to Commvault common stock, including: short sales; purchases or sales of puts, calls, or other derivative securities; and purchases of financial instruments (such as prepaid variable forward contracts, equity swaps, collars, and exchange funds) or other transactions that hedge or offset, or are designed to hedge or offset, any decrease in the market value of Commvault securities. Hedging transactions enable the holder to continue to own shares of our common stock, but without the full risks and rewards of ownership. The Board believes these transactions are inadvisable because a holder who no longer has the full risks and rewards of ownership may not have the same objectives as the Company and our other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Pledging Prohibition</w:t>
      </w:r>
    </w:p>
    <w:p>
      <w:pPr>
        <w:spacing w:after="0" w:line="66"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0B2E44"/>
        </w:rPr>
        <w:t>We have a policy that prohibits our employees (including officers) and directors from pledging Commvault securities as collateral to secure a personal loan. The Board believes these transactions are inadvisable because the practice may put the stock price at risk due to an employee’s personal decision and create misalignment of employee interests.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Clawback Policy</w:t>
      </w:r>
    </w:p>
    <w:p>
      <w:pPr>
        <w:spacing w:after="0" w:line="6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0B2E44"/>
        </w:rPr>
        <w:t>We have a “clawback” policy that permits the TMCC to seek to recover cash or equity incentive awards from certain senior leaders, in the event Commvault is required to prepare a financial restatement, without regard to whether the restatement is caused by wrongdoing, negligence, or misconduct. We expect to update the clawback policy or adopt a new policy in order to comply with Nasdaq listing standards to be issued in connection with new rules promulgated by the SEC under the Dodd-Frank Act.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Tax and Accounting Considerations</w:t>
      </w:r>
    </w:p>
    <w:p>
      <w:pPr>
        <w:spacing w:after="0" w:line="6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0B2E44"/>
        </w:rPr>
        <w:t>Section 162(m) of the Internal Revenue Code places a limit of $1 million on the amount of compensation that we may deduct as a business expense in any year with respect to certain of our most highly paid executive officers. While the TMCC considers the deductibility of compensation as one factor in determining executive compensation, the TMCC believes it is in the best interests of our stockholders to maintain flexibility in our approach to executive compensation and to structure a program that we consider to be the most effective in attracting, motivating, and retaining key executives.</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0B2E44"/>
        </w:rPr>
        <w:t>We account for the equity awards granted to all of our employees under ASC 718, Compensation—Stock Compensation, which requires us to estimate and record compensation expense over the service period of the award. All equity awards to our employees, including our executive officers, and to the non-employee members of our Board of Directors, are reflected in our consolidated financial statements, based upon the applicable accounting guidance, at fair value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41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288925</wp:posOffset>
            </wp:positionV>
            <wp:extent cx="7029450" cy="17487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94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Fiscal 2023 Summary Compensation Table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0B2E44"/>
        </w:rPr>
        <w:t>The following table summarizes the compensation earned by the named executive officers during the fiscal years ended March 31, 2023, 2022, and 2021.</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3"/>
                <w:szCs w:val="13"/>
                <w:color w:val="0B2E44"/>
              </w:rPr>
              <w:t>Stock</w:t>
            </w:r>
          </w:p>
        </w:tc>
        <w:tc>
          <w:tcPr>
            <w:tcW w:w="1180" w:type="dxa"/>
            <w:vAlign w:val="bottom"/>
          </w:tcPr>
          <w:p>
            <w:pPr>
              <w:jc w:val="right"/>
              <w:ind w:right="131"/>
              <w:spacing w:after="0"/>
              <w:rPr>
                <w:sz w:val="20"/>
                <w:szCs w:val="20"/>
                <w:color w:val="auto"/>
              </w:rPr>
            </w:pPr>
            <w:r>
              <w:rPr>
                <w:rFonts w:ascii="Arial" w:cs="Arial" w:eastAsia="Arial" w:hAnsi="Arial"/>
                <w:sz w:val="13"/>
                <w:szCs w:val="13"/>
                <w:color w:val="0B2E44"/>
              </w:rPr>
              <w:t>Non-Equity</w:t>
            </w:r>
          </w:p>
        </w:tc>
        <w:tc>
          <w:tcPr>
            <w:tcW w:w="1200" w:type="dxa"/>
            <w:vAlign w:val="bottom"/>
            <w:vMerge w:val="restart"/>
          </w:tcPr>
          <w:p>
            <w:pPr>
              <w:jc w:val="right"/>
              <w:ind w:right="150"/>
              <w:spacing w:after="0"/>
              <w:rPr>
                <w:sz w:val="20"/>
                <w:szCs w:val="20"/>
                <w:color w:val="auto"/>
              </w:rPr>
            </w:pPr>
            <w:r>
              <w:rPr>
                <w:rFonts w:ascii="Arial" w:cs="Arial" w:eastAsia="Arial" w:hAnsi="Arial"/>
                <w:sz w:val="13"/>
                <w:szCs w:val="13"/>
                <w:color w:val="0B2E44"/>
              </w:rPr>
              <w:t>All Other</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20" w:type="dxa"/>
            <w:vAlign w:val="bottom"/>
            <w:vMerge w:val="restart"/>
          </w:tcPr>
          <w:p>
            <w:pPr>
              <w:ind w:left="140"/>
              <w:spacing w:after="0"/>
              <w:rPr>
                <w:sz w:val="20"/>
                <w:szCs w:val="20"/>
                <w:color w:val="auto"/>
              </w:rPr>
            </w:pPr>
            <w:r>
              <w:rPr>
                <w:rFonts w:ascii="Arial" w:cs="Arial" w:eastAsia="Arial" w:hAnsi="Arial"/>
                <w:sz w:val="13"/>
                <w:szCs w:val="13"/>
                <w:color w:val="0B2E44"/>
              </w:rPr>
              <w:t>Name and</w:t>
            </w:r>
          </w:p>
        </w:tc>
        <w:tc>
          <w:tcPr>
            <w:tcW w:w="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80" w:type="dxa"/>
            <w:vAlign w:val="bottom"/>
          </w:tcPr>
          <w:p>
            <w:pPr>
              <w:jc w:val="right"/>
              <w:ind w:right="131"/>
              <w:spacing w:after="0" w:line="122" w:lineRule="exact"/>
              <w:rPr>
                <w:sz w:val="20"/>
                <w:szCs w:val="20"/>
                <w:color w:val="auto"/>
              </w:rPr>
            </w:pPr>
            <w:r>
              <w:rPr>
                <w:rFonts w:ascii="Arial" w:cs="Arial" w:eastAsia="Arial" w:hAnsi="Arial"/>
                <w:sz w:val="13"/>
                <w:szCs w:val="13"/>
                <w:color w:val="0B2E44"/>
              </w:rPr>
              <w:t>Incentive Plan</w:t>
            </w:r>
          </w:p>
        </w:tc>
        <w:tc>
          <w:tcPr>
            <w:tcW w:w="12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jc w:val="right"/>
              <w:ind w:right="130"/>
              <w:spacing w:after="0" w:line="122" w:lineRule="exact"/>
              <w:rPr>
                <w:sz w:val="20"/>
                <w:szCs w:val="20"/>
                <w:color w:val="auto"/>
              </w:rPr>
            </w:pPr>
            <w:r>
              <w:rPr>
                <w:rFonts w:ascii="Arial" w:cs="Arial" w:eastAsia="Arial" w:hAnsi="Arial"/>
                <w:sz w:val="13"/>
                <w:szCs w:val="13"/>
                <w:color w:val="0B2E44"/>
              </w:rPr>
              <w:t>Awards</w:t>
            </w:r>
          </w:p>
        </w:tc>
        <w:tc>
          <w:tcPr>
            <w:tcW w:w="1180" w:type="dxa"/>
            <w:vAlign w:val="bottom"/>
          </w:tcPr>
          <w:p>
            <w:pPr>
              <w:jc w:val="right"/>
              <w:ind w:right="131"/>
              <w:spacing w:after="0" w:line="122" w:lineRule="exact"/>
              <w:rPr>
                <w:sz w:val="20"/>
                <w:szCs w:val="20"/>
                <w:color w:val="auto"/>
              </w:rPr>
            </w:pPr>
            <w:r>
              <w:rPr>
                <w:rFonts w:ascii="Arial" w:cs="Arial" w:eastAsia="Arial" w:hAnsi="Arial"/>
                <w:sz w:val="13"/>
                <w:szCs w:val="13"/>
                <w:color w:val="0B2E44"/>
              </w:rPr>
              <w:t>Compensation</w:t>
            </w:r>
          </w:p>
        </w:tc>
        <w:tc>
          <w:tcPr>
            <w:tcW w:w="1200" w:type="dxa"/>
            <w:vAlign w:val="bottom"/>
          </w:tcPr>
          <w:p>
            <w:pPr>
              <w:jc w:val="right"/>
              <w:ind w:right="150"/>
              <w:spacing w:after="0" w:line="122" w:lineRule="exact"/>
              <w:rPr>
                <w:sz w:val="20"/>
                <w:szCs w:val="20"/>
                <w:color w:val="auto"/>
              </w:rPr>
            </w:pPr>
            <w:r>
              <w:rPr>
                <w:rFonts w:ascii="Arial" w:cs="Arial" w:eastAsia="Arial" w:hAnsi="Arial"/>
                <w:sz w:val="13"/>
                <w:szCs w:val="13"/>
                <w:color w:val="0B2E44"/>
              </w:rPr>
              <w:t>Compensation</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E14A6A"/>
            </w:tcBorders>
          </w:tcPr>
          <w:p>
            <w:pPr>
              <w:ind w:left="140"/>
              <w:spacing w:after="0"/>
              <w:rPr>
                <w:sz w:val="20"/>
                <w:szCs w:val="20"/>
                <w:color w:val="auto"/>
              </w:rPr>
            </w:pPr>
            <w:r>
              <w:rPr>
                <w:rFonts w:ascii="Arial" w:cs="Arial" w:eastAsia="Arial" w:hAnsi="Arial"/>
                <w:sz w:val="13"/>
                <w:szCs w:val="13"/>
                <w:color w:val="0B2E44"/>
              </w:rPr>
              <w:t>Principal Position</w:t>
            </w:r>
          </w:p>
        </w:tc>
        <w:tc>
          <w:tcPr>
            <w:tcW w:w="840" w:type="dxa"/>
            <w:vAlign w:val="bottom"/>
            <w:tcBorders>
              <w:bottom w:val="single" w:sz="8" w:color="E14A6A"/>
            </w:tcBorders>
          </w:tcPr>
          <w:p>
            <w:pPr>
              <w:jc w:val="right"/>
              <w:spacing w:after="0"/>
              <w:rPr>
                <w:sz w:val="20"/>
                <w:szCs w:val="20"/>
                <w:color w:val="auto"/>
              </w:rPr>
            </w:pPr>
            <w:r>
              <w:rPr>
                <w:rFonts w:ascii="Arial" w:cs="Arial" w:eastAsia="Arial" w:hAnsi="Arial"/>
                <w:sz w:val="13"/>
                <w:szCs w:val="13"/>
                <w:color w:val="0B2E44"/>
              </w:rPr>
              <w:t>Year</w:t>
            </w:r>
          </w:p>
        </w:tc>
        <w:tc>
          <w:tcPr>
            <w:tcW w:w="1460" w:type="dxa"/>
            <w:vAlign w:val="bottom"/>
            <w:tcBorders>
              <w:bottom w:val="single" w:sz="8" w:color="E14A6A"/>
            </w:tcBorders>
          </w:tcPr>
          <w:p>
            <w:pPr>
              <w:jc w:val="right"/>
              <w:ind w:right="249"/>
              <w:spacing w:after="0"/>
              <w:rPr>
                <w:sz w:val="20"/>
                <w:szCs w:val="20"/>
                <w:color w:val="auto"/>
              </w:rPr>
            </w:pPr>
            <w:r>
              <w:rPr>
                <w:rFonts w:ascii="Arial" w:cs="Arial" w:eastAsia="Arial" w:hAnsi="Arial"/>
                <w:sz w:val="13"/>
                <w:szCs w:val="13"/>
                <w:color w:val="0B2E44"/>
              </w:rPr>
              <w:t>Salary ($)</w:t>
            </w:r>
          </w:p>
        </w:tc>
        <w:tc>
          <w:tcPr>
            <w:tcW w:w="1020" w:type="dxa"/>
            <w:vAlign w:val="bottom"/>
            <w:tcBorders>
              <w:bottom w:val="single" w:sz="8" w:color="E14A6A"/>
            </w:tcBorders>
          </w:tcPr>
          <w:p>
            <w:pPr>
              <w:ind w:left="300"/>
              <w:spacing w:after="0"/>
              <w:rPr>
                <w:sz w:val="20"/>
                <w:szCs w:val="20"/>
                <w:color w:val="auto"/>
              </w:rPr>
            </w:pPr>
            <w:r>
              <w:rPr>
                <w:rFonts w:ascii="Arial" w:cs="Arial" w:eastAsia="Arial" w:hAnsi="Arial"/>
                <w:sz w:val="13"/>
                <w:szCs w:val="13"/>
                <w:color w:val="0B2E44"/>
              </w:rPr>
              <w:t>Bonus ($)</w:t>
            </w:r>
          </w:p>
        </w:tc>
        <w:tc>
          <w:tcPr>
            <w:tcW w:w="1200" w:type="dxa"/>
            <w:vAlign w:val="bottom"/>
            <w:tcBorders>
              <w:bottom w:val="single" w:sz="8" w:color="E14A6A"/>
            </w:tcBorders>
          </w:tcPr>
          <w:p>
            <w:pPr>
              <w:jc w:val="right"/>
              <w:ind w:right="130"/>
              <w:spacing w:after="0"/>
              <w:rPr>
                <w:sz w:val="20"/>
                <w:szCs w:val="20"/>
                <w:color w:val="auto"/>
              </w:rPr>
            </w:pPr>
            <w:r>
              <w:rPr>
                <w:rFonts w:ascii="Arial" w:cs="Arial" w:eastAsia="Arial" w:hAnsi="Arial"/>
                <w:sz w:val="13"/>
                <w:szCs w:val="13"/>
                <w:color w:val="0B2E44"/>
              </w:rPr>
              <w:t>($)(1)</w:t>
            </w:r>
          </w:p>
        </w:tc>
        <w:tc>
          <w:tcPr>
            <w:tcW w:w="1180" w:type="dxa"/>
            <w:vAlign w:val="bottom"/>
            <w:tcBorders>
              <w:bottom w:val="single" w:sz="8" w:color="E14A6A"/>
            </w:tcBorders>
          </w:tcPr>
          <w:p>
            <w:pPr>
              <w:jc w:val="right"/>
              <w:ind w:right="131"/>
              <w:spacing w:after="0"/>
              <w:rPr>
                <w:sz w:val="20"/>
                <w:szCs w:val="20"/>
                <w:color w:val="auto"/>
              </w:rPr>
            </w:pPr>
            <w:r>
              <w:rPr>
                <w:rFonts w:ascii="Arial" w:cs="Arial" w:eastAsia="Arial" w:hAnsi="Arial"/>
                <w:sz w:val="13"/>
                <w:szCs w:val="13"/>
                <w:color w:val="0B2E44"/>
              </w:rPr>
              <w:t>($)(2)</w:t>
            </w:r>
          </w:p>
        </w:tc>
        <w:tc>
          <w:tcPr>
            <w:tcW w:w="1200" w:type="dxa"/>
            <w:vAlign w:val="bottom"/>
            <w:tcBorders>
              <w:bottom w:val="single" w:sz="8" w:color="E14A6A"/>
            </w:tcBorders>
          </w:tcPr>
          <w:p>
            <w:pPr>
              <w:jc w:val="right"/>
              <w:ind w:right="150"/>
              <w:spacing w:after="0"/>
              <w:rPr>
                <w:sz w:val="20"/>
                <w:szCs w:val="20"/>
                <w:color w:val="auto"/>
              </w:rPr>
            </w:pPr>
            <w:r>
              <w:rPr>
                <w:rFonts w:ascii="Arial" w:cs="Arial" w:eastAsia="Arial" w:hAnsi="Arial"/>
                <w:sz w:val="13"/>
                <w:szCs w:val="13"/>
                <w:color w:val="0B2E44"/>
              </w:rPr>
              <w:t>($)</w:t>
            </w:r>
          </w:p>
        </w:tc>
        <w:tc>
          <w:tcPr>
            <w:tcW w:w="980" w:type="dxa"/>
            <w:vAlign w:val="bottom"/>
            <w:tcBorders>
              <w:bottom w:val="single" w:sz="8" w:color="E14A6A"/>
            </w:tcBorders>
          </w:tcPr>
          <w:p>
            <w:pPr>
              <w:jc w:val="right"/>
              <w:spacing w:after="0"/>
              <w:rPr>
                <w:sz w:val="20"/>
                <w:szCs w:val="20"/>
                <w:color w:val="auto"/>
              </w:rPr>
            </w:pPr>
            <w:r>
              <w:rPr>
                <w:rFonts w:ascii="Arial" w:cs="Arial" w:eastAsia="Arial" w:hAnsi="Arial"/>
                <w:sz w:val="13"/>
                <w:szCs w:val="13"/>
                <w:color w:val="0B2E44"/>
              </w:rPr>
              <w:t>Total ($)</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b w:val="1"/>
                <w:bCs w:val="1"/>
                <w:color w:val="0B2E44"/>
              </w:rPr>
              <w:t>Sanjay Mirchandani</w:t>
            </w:r>
          </w:p>
        </w:tc>
        <w:tc>
          <w:tcPr>
            <w:tcW w:w="840" w:type="dxa"/>
            <w:vAlign w:val="bottom"/>
          </w:tcPr>
          <w:p>
            <w:pPr>
              <w:jc w:val="right"/>
              <w:spacing w:after="0"/>
              <w:rPr>
                <w:sz w:val="20"/>
                <w:szCs w:val="20"/>
                <w:color w:val="auto"/>
              </w:rPr>
            </w:pPr>
            <w:r>
              <w:rPr>
                <w:rFonts w:ascii="Arial" w:cs="Arial" w:eastAsia="Arial" w:hAnsi="Arial"/>
                <w:sz w:val="14"/>
                <w:szCs w:val="14"/>
                <w:color w:val="0B2E44"/>
              </w:rPr>
              <w:t>2023</w:t>
            </w:r>
          </w:p>
        </w:tc>
        <w:tc>
          <w:tcPr>
            <w:tcW w:w="1460" w:type="dxa"/>
            <w:vAlign w:val="bottom"/>
          </w:tcPr>
          <w:p>
            <w:pPr>
              <w:jc w:val="right"/>
              <w:ind w:right="289"/>
              <w:spacing w:after="0"/>
              <w:rPr>
                <w:sz w:val="20"/>
                <w:szCs w:val="20"/>
                <w:color w:val="auto"/>
              </w:rPr>
            </w:pPr>
            <w:r>
              <w:rPr>
                <w:rFonts w:ascii="Arial" w:cs="Arial" w:eastAsia="Arial" w:hAnsi="Arial"/>
                <w:sz w:val="14"/>
                <w:szCs w:val="14"/>
                <w:color w:val="0B2E44"/>
              </w:rPr>
              <w:t>645,000</w:t>
            </w:r>
          </w:p>
        </w:tc>
        <w:tc>
          <w:tcPr>
            <w:tcW w:w="1020" w:type="dxa"/>
            <w:vAlign w:val="bottom"/>
          </w:tcPr>
          <w:p>
            <w:pPr>
              <w:ind w:left="660"/>
              <w:spacing w:after="0"/>
              <w:rPr>
                <w:sz w:val="20"/>
                <w:szCs w:val="20"/>
                <w:color w:val="auto"/>
              </w:rPr>
            </w:pPr>
            <w:r>
              <w:rPr>
                <w:rFonts w:ascii="Arial" w:cs="Arial" w:eastAsia="Arial" w:hAnsi="Arial"/>
                <w:sz w:val="14"/>
                <w:szCs w:val="14"/>
                <w:color w:val="0B2E44"/>
              </w:rPr>
              <w:t>—</w:t>
            </w:r>
          </w:p>
        </w:tc>
        <w:tc>
          <w:tcPr>
            <w:tcW w:w="1200" w:type="dxa"/>
            <w:vAlign w:val="bottom"/>
          </w:tcPr>
          <w:p>
            <w:pPr>
              <w:jc w:val="right"/>
              <w:ind w:right="170"/>
              <w:spacing w:after="0"/>
              <w:rPr>
                <w:sz w:val="20"/>
                <w:szCs w:val="20"/>
                <w:color w:val="auto"/>
              </w:rPr>
            </w:pPr>
            <w:r>
              <w:rPr>
                <w:rFonts w:ascii="Arial" w:cs="Arial" w:eastAsia="Arial" w:hAnsi="Arial"/>
                <w:sz w:val="14"/>
                <w:szCs w:val="14"/>
                <w:color w:val="0B2E44"/>
              </w:rPr>
              <w:t>9,722,388</w:t>
            </w:r>
          </w:p>
        </w:tc>
        <w:tc>
          <w:tcPr>
            <w:tcW w:w="1180" w:type="dxa"/>
            <w:vAlign w:val="bottom"/>
          </w:tcPr>
          <w:p>
            <w:pPr>
              <w:jc w:val="right"/>
              <w:ind w:right="171"/>
              <w:spacing w:after="0"/>
              <w:rPr>
                <w:sz w:val="20"/>
                <w:szCs w:val="20"/>
                <w:color w:val="auto"/>
              </w:rPr>
            </w:pPr>
            <w:r>
              <w:rPr>
                <w:rFonts w:ascii="Arial" w:cs="Arial" w:eastAsia="Arial" w:hAnsi="Arial"/>
                <w:sz w:val="14"/>
                <w:szCs w:val="14"/>
                <w:color w:val="0B2E44"/>
              </w:rPr>
              <w:t>462,465</w:t>
            </w:r>
          </w:p>
        </w:tc>
        <w:tc>
          <w:tcPr>
            <w:tcW w:w="1200" w:type="dxa"/>
            <w:vAlign w:val="bottom"/>
          </w:tcPr>
          <w:p>
            <w:pPr>
              <w:jc w:val="right"/>
              <w:ind w:right="150"/>
              <w:spacing w:after="0"/>
              <w:rPr>
                <w:sz w:val="20"/>
                <w:szCs w:val="20"/>
                <w:color w:val="auto"/>
              </w:rPr>
            </w:pPr>
            <w:r>
              <w:rPr>
                <w:rFonts w:ascii="Arial" w:cs="Arial" w:eastAsia="Arial" w:hAnsi="Arial"/>
                <w:sz w:val="14"/>
                <w:szCs w:val="14"/>
                <w:color w:val="0B2E44"/>
              </w:rPr>
              <w:t>22,950(4)</w:t>
            </w:r>
          </w:p>
        </w:tc>
        <w:tc>
          <w:tcPr>
            <w:tcW w:w="980" w:type="dxa"/>
            <w:vAlign w:val="bottom"/>
          </w:tcPr>
          <w:p>
            <w:pPr>
              <w:jc w:val="right"/>
              <w:spacing w:after="0"/>
              <w:rPr>
                <w:sz w:val="20"/>
                <w:szCs w:val="20"/>
                <w:color w:val="auto"/>
              </w:rPr>
            </w:pPr>
            <w:r>
              <w:rPr>
                <w:rFonts w:ascii="Arial" w:cs="Arial" w:eastAsia="Arial" w:hAnsi="Arial"/>
                <w:sz w:val="14"/>
                <w:szCs w:val="14"/>
                <w:color w:val="0B2E44"/>
              </w:rPr>
              <w:t>10,852,803</w:t>
            </w: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Arial" w:cs="Arial" w:eastAsia="Arial" w:hAnsi="Arial"/>
                <w:sz w:val="14"/>
                <w:szCs w:val="14"/>
                <w:color w:val="0B2E44"/>
              </w:rPr>
              <w:t>President and Chief Executive Officer</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B2E44"/>
              </w:rPr>
              <w:t>2022</w:t>
            </w:r>
          </w:p>
        </w:tc>
        <w:tc>
          <w:tcPr>
            <w:tcW w:w="1460" w:type="dxa"/>
            <w:vAlign w:val="bottom"/>
            <w:vMerge w:val="restart"/>
          </w:tcPr>
          <w:p>
            <w:pPr>
              <w:jc w:val="right"/>
              <w:ind w:right="289"/>
              <w:spacing w:after="0"/>
              <w:rPr>
                <w:sz w:val="20"/>
                <w:szCs w:val="20"/>
                <w:color w:val="auto"/>
              </w:rPr>
            </w:pPr>
            <w:r>
              <w:rPr>
                <w:rFonts w:ascii="Arial" w:cs="Arial" w:eastAsia="Arial" w:hAnsi="Arial"/>
                <w:sz w:val="14"/>
                <w:szCs w:val="14"/>
                <w:color w:val="0B2E44"/>
              </w:rPr>
              <w:t>634,038</w:t>
            </w:r>
          </w:p>
        </w:tc>
        <w:tc>
          <w:tcPr>
            <w:tcW w:w="1020" w:type="dxa"/>
            <w:vAlign w:val="bottom"/>
            <w:vMerge w:val="restart"/>
          </w:tcPr>
          <w:p>
            <w:pPr>
              <w:ind w:left="660"/>
              <w:spacing w:after="0"/>
              <w:rPr>
                <w:sz w:val="20"/>
                <w:szCs w:val="20"/>
                <w:color w:val="auto"/>
              </w:rPr>
            </w:pPr>
            <w:r>
              <w:rPr>
                <w:rFonts w:ascii="Arial" w:cs="Arial" w:eastAsia="Arial" w:hAnsi="Arial"/>
                <w:sz w:val="14"/>
                <w:szCs w:val="14"/>
                <w:color w:val="0B2E44"/>
              </w:rPr>
              <w:t>—</w:t>
            </w:r>
          </w:p>
        </w:tc>
        <w:tc>
          <w:tcPr>
            <w:tcW w:w="1200" w:type="dxa"/>
            <w:vAlign w:val="bottom"/>
            <w:vMerge w:val="restart"/>
          </w:tcPr>
          <w:p>
            <w:pPr>
              <w:jc w:val="right"/>
              <w:ind w:right="170"/>
              <w:spacing w:after="0"/>
              <w:rPr>
                <w:sz w:val="20"/>
                <w:szCs w:val="20"/>
                <w:color w:val="auto"/>
              </w:rPr>
            </w:pPr>
            <w:r>
              <w:rPr>
                <w:rFonts w:ascii="Arial" w:cs="Arial" w:eastAsia="Arial" w:hAnsi="Arial"/>
                <w:sz w:val="14"/>
                <w:szCs w:val="14"/>
                <w:color w:val="0B2E44"/>
              </w:rPr>
              <w:t>9,413,382</w:t>
            </w:r>
          </w:p>
        </w:tc>
        <w:tc>
          <w:tcPr>
            <w:tcW w:w="1180" w:type="dxa"/>
            <w:vAlign w:val="bottom"/>
            <w:vMerge w:val="restart"/>
          </w:tcPr>
          <w:p>
            <w:pPr>
              <w:jc w:val="right"/>
              <w:ind w:right="171"/>
              <w:spacing w:after="0"/>
              <w:rPr>
                <w:sz w:val="20"/>
                <w:szCs w:val="20"/>
                <w:color w:val="auto"/>
              </w:rPr>
            </w:pPr>
            <w:r>
              <w:rPr>
                <w:rFonts w:ascii="Arial" w:cs="Arial" w:eastAsia="Arial" w:hAnsi="Arial"/>
                <w:sz w:val="14"/>
                <w:szCs w:val="14"/>
                <w:color w:val="0B2E44"/>
              </w:rPr>
              <w:t>652,224</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B2E44"/>
              </w:rPr>
              <w:t>60,568</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B2E44"/>
              </w:rPr>
              <w:t>10,760,212</w:t>
            </w: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B2E44"/>
              </w:rPr>
              <w:t>2021</w:t>
            </w:r>
          </w:p>
        </w:tc>
        <w:tc>
          <w:tcPr>
            <w:tcW w:w="1460" w:type="dxa"/>
            <w:vAlign w:val="bottom"/>
          </w:tcPr>
          <w:p>
            <w:pPr>
              <w:jc w:val="right"/>
              <w:ind w:right="289"/>
              <w:spacing w:after="0"/>
              <w:rPr>
                <w:sz w:val="20"/>
                <w:szCs w:val="20"/>
                <w:color w:val="auto"/>
              </w:rPr>
            </w:pPr>
            <w:r>
              <w:rPr>
                <w:rFonts w:ascii="Arial" w:cs="Arial" w:eastAsia="Arial" w:hAnsi="Arial"/>
                <w:sz w:val="14"/>
                <w:szCs w:val="14"/>
                <w:color w:val="0B2E44"/>
              </w:rPr>
              <w:t>505,769</w:t>
            </w:r>
          </w:p>
        </w:tc>
        <w:tc>
          <w:tcPr>
            <w:tcW w:w="1020" w:type="dxa"/>
            <w:vAlign w:val="bottom"/>
          </w:tcPr>
          <w:p>
            <w:pPr>
              <w:ind w:left="660"/>
              <w:spacing w:after="0"/>
              <w:rPr>
                <w:sz w:val="20"/>
                <w:szCs w:val="20"/>
                <w:color w:val="auto"/>
              </w:rPr>
            </w:pPr>
            <w:r>
              <w:rPr>
                <w:rFonts w:ascii="Arial" w:cs="Arial" w:eastAsia="Arial" w:hAnsi="Arial"/>
                <w:sz w:val="14"/>
                <w:szCs w:val="14"/>
                <w:color w:val="0B2E44"/>
              </w:rPr>
              <w:t>—</w:t>
            </w:r>
          </w:p>
        </w:tc>
        <w:tc>
          <w:tcPr>
            <w:tcW w:w="1200" w:type="dxa"/>
            <w:vAlign w:val="bottom"/>
          </w:tcPr>
          <w:p>
            <w:pPr>
              <w:jc w:val="right"/>
              <w:ind w:right="170"/>
              <w:spacing w:after="0"/>
              <w:rPr>
                <w:sz w:val="20"/>
                <w:szCs w:val="20"/>
                <w:color w:val="auto"/>
              </w:rPr>
            </w:pPr>
            <w:r>
              <w:rPr>
                <w:rFonts w:ascii="Arial" w:cs="Arial" w:eastAsia="Arial" w:hAnsi="Arial"/>
                <w:sz w:val="14"/>
                <w:szCs w:val="14"/>
                <w:color w:val="0B2E44"/>
              </w:rPr>
              <w:t>6,336,511</w:t>
            </w:r>
          </w:p>
        </w:tc>
        <w:tc>
          <w:tcPr>
            <w:tcW w:w="1180" w:type="dxa"/>
            <w:vAlign w:val="bottom"/>
          </w:tcPr>
          <w:p>
            <w:pPr>
              <w:jc w:val="right"/>
              <w:ind w:right="171"/>
              <w:spacing w:after="0"/>
              <w:rPr>
                <w:sz w:val="20"/>
                <w:szCs w:val="20"/>
                <w:color w:val="auto"/>
              </w:rPr>
            </w:pPr>
            <w:r>
              <w:rPr>
                <w:rFonts w:ascii="Arial" w:cs="Arial" w:eastAsia="Arial" w:hAnsi="Arial"/>
                <w:sz w:val="14"/>
                <w:szCs w:val="14"/>
                <w:color w:val="0B2E44"/>
              </w:rPr>
              <w:t>874,706</w:t>
            </w:r>
          </w:p>
        </w:tc>
        <w:tc>
          <w:tcPr>
            <w:tcW w:w="1200" w:type="dxa"/>
            <w:vAlign w:val="bottom"/>
          </w:tcPr>
          <w:p>
            <w:pPr>
              <w:jc w:val="right"/>
              <w:ind w:right="190"/>
              <w:spacing w:after="0"/>
              <w:rPr>
                <w:sz w:val="20"/>
                <w:szCs w:val="20"/>
                <w:color w:val="auto"/>
              </w:rPr>
            </w:pPr>
            <w:r>
              <w:rPr>
                <w:rFonts w:ascii="Arial" w:cs="Arial" w:eastAsia="Arial" w:hAnsi="Arial"/>
                <w:sz w:val="14"/>
                <w:szCs w:val="14"/>
                <w:color w:val="0B2E44"/>
              </w:rPr>
              <w:t>288,000</w:t>
            </w:r>
          </w:p>
        </w:tc>
        <w:tc>
          <w:tcPr>
            <w:tcW w:w="980" w:type="dxa"/>
            <w:vAlign w:val="bottom"/>
          </w:tcPr>
          <w:p>
            <w:pPr>
              <w:jc w:val="right"/>
              <w:spacing w:after="0"/>
              <w:rPr>
                <w:sz w:val="20"/>
                <w:szCs w:val="20"/>
                <w:color w:val="auto"/>
              </w:rPr>
            </w:pPr>
            <w:r>
              <w:rPr>
                <w:rFonts w:ascii="Arial" w:cs="Arial" w:eastAsia="Arial" w:hAnsi="Arial"/>
                <w:sz w:val="14"/>
                <w:szCs w:val="14"/>
                <w:color w:val="0B2E44"/>
              </w:rPr>
              <w:t>8,004,986</w:t>
            </w:r>
          </w:p>
        </w:tc>
        <w:tc>
          <w:tcPr>
            <w:tcW w:w="0" w:type="dxa"/>
            <w:vAlign w:val="bottom"/>
          </w:tcPr>
          <w:p>
            <w:pPr>
              <w:spacing w:after="0"/>
              <w:rPr>
                <w:sz w:val="1"/>
                <w:szCs w:val="1"/>
                <w:color w:val="auto"/>
              </w:rPr>
            </w:pPr>
          </w:p>
        </w:tc>
      </w:tr>
      <w:tr>
        <w:trPr>
          <w:trHeight w:val="66"/>
        </w:trPr>
        <w:tc>
          <w:tcPr>
            <w:tcW w:w="3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120" w:type="dxa"/>
            <w:vAlign w:val="bottom"/>
            <w:shd w:val="clear" w:color="auto" w:fill="DDE9F2"/>
          </w:tcPr>
          <w:p>
            <w:pPr>
              <w:ind w:left="140"/>
              <w:spacing w:after="0"/>
              <w:rPr>
                <w:sz w:val="20"/>
                <w:szCs w:val="20"/>
                <w:color w:val="auto"/>
              </w:rPr>
            </w:pPr>
            <w:r>
              <w:rPr>
                <w:rFonts w:ascii="Arial" w:cs="Arial" w:eastAsia="Arial" w:hAnsi="Arial"/>
                <w:sz w:val="14"/>
                <w:szCs w:val="14"/>
                <w:b w:val="1"/>
                <w:bCs w:val="1"/>
                <w:color w:val="0B2E44"/>
              </w:rPr>
              <w:t>Gary Merrill(3)</w:t>
            </w:r>
          </w:p>
        </w:tc>
        <w:tc>
          <w:tcPr>
            <w:tcW w:w="840" w:type="dxa"/>
            <w:vAlign w:val="bottom"/>
            <w:vMerge w:val="restart"/>
            <w:shd w:val="clear" w:color="auto" w:fill="DDE9F2"/>
          </w:tcPr>
          <w:p>
            <w:pPr>
              <w:jc w:val="right"/>
              <w:spacing w:after="0"/>
              <w:rPr>
                <w:sz w:val="20"/>
                <w:szCs w:val="20"/>
                <w:color w:val="auto"/>
              </w:rPr>
            </w:pPr>
            <w:r>
              <w:rPr>
                <w:rFonts w:ascii="Arial" w:cs="Arial" w:eastAsia="Arial" w:hAnsi="Arial"/>
                <w:sz w:val="14"/>
                <w:szCs w:val="14"/>
                <w:color w:val="0B2E44"/>
              </w:rPr>
              <w:t>2023</w:t>
            </w:r>
          </w:p>
        </w:tc>
        <w:tc>
          <w:tcPr>
            <w:tcW w:w="1460" w:type="dxa"/>
            <w:vAlign w:val="bottom"/>
            <w:vMerge w:val="restart"/>
            <w:shd w:val="clear" w:color="auto" w:fill="DDE9F2"/>
          </w:tcPr>
          <w:p>
            <w:pPr>
              <w:jc w:val="right"/>
              <w:ind w:right="289"/>
              <w:spacing w:after="0"/>
              <w:rPr>
                <w:sz w:val="20"/>
                <w:szCs w:val="20"/>
                <w:color w:val="auto"/>
              </w:rPr>
            </w:pPr>
            <w:r>
              <w:rPr>
                <w:rFonts w:ascii="Arial" w:cs="Arial" w:eastAsia="Arial" w:hAnsi="Arial"/>
                <w:sz w:val="14"/>
                <w:szCs w:val="14"/>
                <w:color w:val="0B2E44"/>
              </w:rPr>
              <w:t>408,846</w:t>
            </w:r>
          </w:p>
        </w:tc>
        <w:tc>
          <w:tcPr>
            <w:tcW w:w="1020" w:type="dxa"/>
            <w:vAlign w:val="bottom"/>
            <w:vMerge w:val="restart"/>
            <w:shd w:val="clear" w:color="auto" w:fill="DDE9F2"/>
          </w:tcPr>
          <w:p>
            <w:pPr>
              <w:ind w:left="660"/>
              <w:spacing w:after="0"/>
              <w:rPr>
                <w:sz w:val="20"/>
                <w:szCs w:val="20"/>
                <w:color w:val="auto"/>
              </w:rPr>
            </w:pPr>
            <w:r>
              <w:rPr>
                <w:rFonts w:ascii="Arial" w:cs="Arial" w:eastAsia="Arial" w:hAnsi="Arial"/>
                <w:sz w:val="14"/>
                <w:szCs w:val="14"/>
                <w:color w:val="0B2E44"/>
              </w:rPr>
              <w:t>—</w:t>
            </w:r>
          </w:p>
        </w:tc>
        <w:tc>
          <w:tcPr>
            <w:tcW w:w="1200" w:type="dxa"/>
            <w:vAlign w:val="bottom"/>
            <w:vMerge w:val="restart"/>
            <w:shd w:val="clear" w:color="auto" w:fill="DDE9F2"/>
          </w:tcPr>
          <w:p>
            <w:pPr>
              <w:jc w:val="right"/>
              <w:ind w:right="170"/>
              <w:spacing w:after="0"/>
              <w:rPr>
                <w:sz w:val="20"/>
                <w:szCs w:val="20"/>
                <w:color w:val="auto"/>
              </w:rPr>
            </w:pPr>
            <w:r>
              <w:rPr>
                <w:rFonts w:ascii="Arial" w:cs="Arial" w:eastAsia="Arial" w:hAnsi="Arial"/>
                <w:sz w:val="14"/>
                <w:szCs w:val="14"/>
                <w:color w:val="0B2E44"/>
              </w:rPr>
              <w:t>1,890,383</w:t>
            </w:r>
          </w:p>
        </w:tc>
        <w:tc>
          <w:tcPr>
            <w:tcW w:w="1180" w:type="dxa"/>
            <w:vAlign w:val="bottom"/>
            <w:vMerge w:val="restart"/>
            <w:shd w:val="clear" w:color="auto" w:fill="DDE9F2"/>
          </w:tcPr>
          <w:p>
            <w:pPr>
              <w:jc w:val="right"/>
              <w:ind w:right="171"/>
              <w:spacing w:after="0"/>
              <w:rPr>
                <w:sz w:val="20"/>
                <w:szCs w:val="20"/>
                <w:color w:val="auto"/>
              </w:rPr>
            </w:pPr>
            <w:r>
              <w:rPr>
                <w:rFonts w:ascii="Arial" w:cs="Arial" w:eastAsia="Arial" w:hAnsi="Arial"/>
                <w:sz w:val="14"/>
                <w:szCs w:val="14"/>
                <w:color w:val="0B2E44"/>
              </w:rPr>
              <w:t>176,382</w:t>
            </w:r>
          </w:p>
        </w:tc>
        <w:tc>
          <w:tcPr>
            <w:tcW w:w="1200" w:type="dxa"/>
            <w:vAlign w:val="bottom"/>
            <w:vMerge w:val="restart"/>
            <w:shd w:val="clear" w:color="auto" w:fill="DDE9F2"/>
          </w:tcPr>
          <w:p>
            <w:pPr>
              <w:jc w:val="right"/>
              <w:ind w:right="150"/>
              <w:spacing w:after="0"/>
              <w:rPr>
                <w:sz w:val="20"/>
                <w:szCs w:val="20"/>
                <w:color w:val="auto"/>
              </w:rPr>
            </w:pPr>
            <w:r>
              <w:rPr>
                <w:rFonts w:ascii="Arial" w:cs="Arial" w:eastAsia="Arial" w:hAnsi="Arial"/>
                <w:sz w:val="14"/>
                <w:szCs w:val="14"/>
                <w:color w:val="0B2E44"/>
              </w:rPr>
              <w:t>6,146(5)</w:t>
            </w:r>
          </w:p>
        </w:tc>
        <w:tc>
          <w:tcPr>
            <w:tcW w:w="980" w:type="dxa"/>
            <w:vAlign w:val="bottom"/>
            <w:vMerge w:val="restart"/>
            <w:shd w:val="clear" w:color="auto" w:fill="DDE9F2"/>
          </w:tcPr>
          <w:p>
            <w:pPr>
              <w:jc w:val="right"/>
              <w:spacing w:after="0"/>
              <w:rPr>
                <w:sz w:val="20"/>
                <w:szCs w:val="20"/>
                <w:color w:val="auto"/>
              </w:rPr>
            </w:pPr>
            <w:r>
              <w:rPr>
                <w:rFonts w:ascii="Arial" w:cs="Arial" w:eastAsia="Arial" w:hAnsi="Arial"/>
                <w:sz w:val="14"/>
                <w:szCs w:val="14"/>
                <w:color w:val="0B2E44"/>
              </w:rPr>
              <w:t>2,481,757</w:t>
            </w:r>
          </w:p>
        </w:tc>
        <w:tc>
          <w:tcPr>
            <w:tcW w:w="0" w:type="dxa"/>
            <w:vAlign w:val="bottom"/>
          </w:tcPr>
          <w:p>
            <w:pPr>
              <w:spacing w:after="0"/>
              <w:rPr>
                <w:sz w:val="1"/>
                <w:szCs w:val="1"/>
                <w:color w:val="auto"/>
              </w:rPr>
            </w:pPr>
          </w:p>
        </w:tc>
      </w:tr>
      <w:tr>
        <w:trPr>
          <w:trHeight w:val="152"/>
        </w:trPr>
        <w:tc>
          <w:tcPr>
            <w:tcW w:w="3120" w:type="dxa"/>
            <w:vAlign w:val="bottom"/>
            <w:vMerge w:val="restart"/>
            <w:shd w:val="clear" w:color="auto" w:fill="DDE9F2"/>
          </w:tcPr>
          <w:p>
            <w:pPr>
              <w:ind w:left="140"/>
              <w:spacing w:after="0"/>
              <w:rPr>
                <w:sz w:val="20"/>
                <w:szCs w:val="20"/>
                <w:color w:val="auto"/>
              </w:rPr>
            </w:pPr>
            <w:r>
              <w:rPr>
                <w:rFonts w:ascii="Arial" w:cs="Arial" w:eastAsia="Arial" w:hAnsi="Arial"/>
                <w:sz w:val="14"/>
                <w:szCs w:val="14"/>
                <w:color w:val="0B2E44"/>
              </w:rPr>
              <w:t>Chief Financial Officer</w:t>
            </w:r>
          </w:p>
        </w:tc>
        <w:tc>
          <w:tcPr>
            <w:tcW w:w="840" w:type="dxa"/>
            <w:vAlign w:val="bottom"/>
            <w:vMerge w:val="continue"/>
            <w:shd w:val="clear" w:color="auto" w:fill="DDE9F2"/>
          </w:tcPr>
          <w:p>
            <w:pPr>
              <w:spacing w:after="0"/>
              <w:rPr>
                <w:sz w:val="13"/>
                <w:szCs w:val="13"/>
                <w:color w:val="auto"/>
              </w:rPr>
            </w:pPr>
          </w:p>
        </w:tc>
        <w:tc>
          <w:tcPr>
            <w:tcW w:w="1460" w:type="dxa"/>
            <w:vAlign w:val="bottom"/>
            <w:vMerge w:val="continue"/>
            <w:shd w:val="clear" w:color="auto" w:fill="DDE9F2"/>
          </w:tcPr>
          <w:p>
            <w:pPr>
              <w:spacing w:after="0"/>
              <w:rPr>
                <w:sz w:val="13"/>
                <w:szCs w:val="13"/>
                <w:color w:val="auto"/>
              </w:rPr>
            </w:pPr>
          </w:p>
        </w:tc>
        <w:tc>
          <w:tcPr>
            <w:tcW w:w="1020" w:type="dxa"/>
            <w:vAlign w:val="bottom"/>
            <w:vMerge w:val="continue"/>
            <w:shd w:val="clear" w:color="auto" w:fill="DDE9F2"/>
          </w:tcPr>
          <w:p>
            <w:pPr>
              <w:spacing w:after="0"/>
              <w:rPr>
                <w:sz w:val="13"/>
                <w:szCs w:val="13"/>
                <w:color w:val="auto"/>
              </w:rPr>
            </w:pPr>
          </w:p>
        </w:tc>
        <w:tc>
          <w:tcPr>
            <w:tcW w:w="1200" w:type="dxa"/>
            <w:vAlign w:val="bottom"/>
            <w:vMerge w:val="continue"/>
            <w:shd w:val="clear" w:color="auto" w:fill="DDE9F2"/>
          </w:tcPr>
          <w:p>
            <w:pPr>
              <w:spacing w:after="0"/>
              <w:rPr>
                <w:sz w:val="13"/>
                <w:szCs w:val="13"/>
                <w:color w:val="auto"/>
              </w:rPr>
            </w:pPr>
          </w:p>
        </w:tc>
        <w:tc>
          <w:tcPr>
            <w:tcW w:w="1180" w:type="dxa"/>
            <w:vAlign w:val="bottom"/>
            <w:vMerge w:val="continue"/>
            <w:shd w:val="clear" w:color="auto" w:fill="DDE9F2"/>
          </w:tcPr>
          <w:p>
            <w:pPr>
              <w:spacing w:after="0"/>
              <w:rPr>
                <w:sz w:val="13"/>
                <w:szCs w:val="13"/>
                <w:color w:val="auto"/>
              </w:rPr>
            </w:pPr>
          </w:p>
        </w:tc>
        <w:tc>
          <w:tcPr>
            <w:tcW w:w="1200" w:type="dxa"/>
            <w:vAlign w:val="bottom"/>
            <w:vMerge w:val="continue"/>
            <w:shd w:val="clear" w:color="auto" w:fill="DDE9F2"/>
          </w:tcPr>
          <w:p>
            <w:pPr>
              <w:spacing w:after="0"/>
              <w:rPr>
                <w:sz w:val="13"/>
                <w:szCs w:val="13"/>
                <w:color w:val="auto"/>
              </w:rPr>
            </w:pPr>
          </w:p>
        </w:tc>
        <w:tc>
          <w:tcPr>
            <w:tcW w:w="980" w:type="dxa"/>
            <w:vAlign w:val="bottom"/>
            <w:vMerge w:val="continue"/>
            <w:shd w:val="clear" w:color="auto" w:fill="DDE9F2"/>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shd w:val="clear" w:color="auto" w:fill="DDE9F2"/>
          </w:tcPr>
          <w:p>
            <w:pPr>
              <w:spacing w:after="0"/>
              <w:rPr>
                <w:sz w:val="8"/>
                <w:szCs w:val="8"/>
                <w:color w:val="auto"/>
              </w:rPr>
            </w:pPr>
          </w:p>
        </w:tc>
        <w:tc>
          <w:tcPr>
            <w:tcW w:w="840" w:type="dxa"/>
            <w:vAlign w:val="bottom"/>
            <w:shd w:val="clear" w:color="auto" w:fill="DDE9F2"/>
          </w:tcPr>
          <w:p>
            <w:pPr>
              <w:spacing w:after="0"/>
              <w:rPr>
                <w:sz w:val="8"/>
                <w:szCs w:val="8"/>
                <w:color w:val="auto"/>
              </w:rPr>
            </w:pPr>
          </w:p>
        </w:tc>
        <w:tc>
          <w:tcPr>
            <w:tcW w:w="1460" w:type="dxa"/>
            <w:vAlign w:val="bottom"/>
            <w:shd w:val="clear" w:color="auto" w:fill="DDE9F2"/>
          </w:tcPr>
          <w:p>
            <w:pPr>
              <w:spacing w:after="0"/>
              <w:rPr>
                <w:sz w:val="8"/>
                <w:szCs w:val="8"/>
                <w:color w:val="auto"/>
              </w:rPr>
            </w:pPr>
          </w:p>
        </w:tc>
        <w:tc>
          <w:tcPr>
            <w:tcW w:w="1020" w:type="dxa"/>
            <w:vAlign w:val="bottom"/>
            <w:shd w:val="clear" w:color="auto" w:fill="DDE9F2"/>
          </w:tcPr>
          <w:p>
            <w:pPr>
              <w:spacing w:after="0"/>
              <w:rPr>
                <w:sz w:val="8"/>
                <w:szCs w:val="8"/>
                <w:color w:val="auto"/>
              </w:rPr>
            </w:pPr>
          </w:p>
        </w:tc>
        <w:tc>
          <w:tcPr>
            <w:tcW w:w="1200" w:type="dxa"/>
            <w:vAlign w:val="bottom"/>
            <w:shd w:val="clear" w:color="auto" w:fill="DDE9F2"/>
          </w:tcPr>
          <w:p>
            <w:pPr>
              <w:spacing w:after="0"/>
              <w:rPr>
                <w:sz w:val="8"/>
                <w:szCs w:val="8"/>
                <w:color w:val="auto"/>
              </w:rPr>
            </w:pPr>
          </w:p>
        </w:tc>
        <w:tc>
          <w:tcPr>
            <w:tcW w:w="1180" w:type="dxa"/>
            <w:vAlign w:val="bottom"/>
            <w:shd w:val="clear" w:color="auto" w:fill="DDE9F2"/>
          </w:tcPr>
          <w:p>
            <w:pPr>
              <w:spacing w:after="0"/>
              <w:rPr>
                <w:sz w:val="8"/>
                <w:szCs w:val="8"/>
                <w:color w:val="auto"/>
              </w:rPr>
            </w:pPr>
          </w:p>
        </w:tc>
        <w:tc>
          <w:tcPr>
            <w:tcW w:w="1200" w:type="dxa"/>
            <w:vAlign w:val="bottom"/>
            <w:shd w:val="clear" w:color="auto" w:fill="DDE9F2"/>
          </w:tcPr>
          <w:p>
            <w:pPr>
              <w:spacing w:after="0"/>
              <w:rPr>
                <w:sz w:val="8"/>
                <w:szCs w:val="8"/>
                <w:color w:val="auto"/>
              </w:rPr>
            </w:pPr>
          </w:p>
        </w:tc>
        <w:tc>
          <w:tcPr>
            <w:tcW w:w="980" w:type="dxa"/>
            <w:vAlign w:val="bottom"/>
            <w:shd w:val="clear" w:color="auto" w:fill="DDE9F2"/>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120" w:type="dxa"/>
            <w:vAlign w:val="bottom"/>
            <w:shd w:val="clear" w:color="auto" w:fill="DDE9F2"/>
          </w:tcPr>
          <w:p>
            <w:pPr>
              <w:spacing w:after="0"/>
              <w:rPr>
                <w:sz w:val="11"/>
                <w:szCs w:val="11"/>
                <w:color w:val="auto"/>
              </w:rPr>
            </w:pPr>
          </w:p>
        </w:tc>
        <w:tc>
          <w:tcPr>
            <w:tcW w:w="840" w:type="dxa"/>
            <w:vAlign w:val="bottom"/>
            <w:shd w:val="clear" w:color="auto" w:fill="DDE9F2"/>
          </w:tcPr>
          <w:p>
            <w:pPr>
              <w:spacing w:after="0"/>
              <w:rPr>
                <w:sz w:val="11"/>
                <w:szCs w:val="11"/>
                <w:color w:val="auto"/>
              </w:rPr>
            </w:pPr>
          </w:p>
        </w:tc>
        <w:tc>
          <w:tcPr>
            <w:tcW w:w="1460" w:type="dxa"/>
            <w:vAlign w:val="bottom"/>
            <w:shd w:val="clear" w:color="auto" w:fill="DDE9F2"/>
          </w:tcPr>
          <w:p>
            <w:pPr>
              <w:spacing w:after="0"/>
              <w:rPr>
                <w:sz w:val="11"/>
                <w:szCs w:val="11"/>
                <w:color w:val="auto"/>
              </w:rPr>
            </w:pPr>
          </w:p>
        </w:tc>
        <w:tc>
          <w:tcPr>
            <w:tcW w:w="1020" w:type="dxa"/>
            <w:vAlign w:val="bottom"/>
            <w:shd w:val="clear" w:color="auto" w:fill="DDE9F2"/>
          </w:tcPr>
          <w:p>
            <w:pPr>
              <w:spacing w:after="0"/>
              <w:rPr>
                <w:sz w:val="11"/>
                <w:szCs w:val="11"/>
                <w:color w:val="auto"/>
              </w:rPr>
            </w:pPr>
          </w:p>
        </w:tc>
        <w:tc>
          <w:tcPr>
            <w:tcW w:w="1200" w:type="dxa"/>
            <w:vAlign w:val="bottom"/>
            <w:shd w:val="clear" w:color="auto" w:fill="DDE9F2"/>
          </w:tcPr>
          <w:p>
            <w:pPr>
              <w:spacing w:after="0"/>
              <w:rPr>
                <w:sz w:val="11"/>
                <w:szCs w:val="11"/>
                <w:color w:val="auto"/>
              </w:rPr>
            </w:pPr>
          </w:p>
        </w:tc>
        <w:tc>
          <w:tcPr>
            <w:tcW w:w="1180" w:type="dxa"/>
            <w:vAlign w:val="bottom"/>
            <w:shd w:val="clear" w:color="auto" w:fill="DDE9F2"/>
          </w:tcPr>
          <w:p>
            <w:pPr>
              <w:spacing w:after="0"/>
              <w:rPr>
                <w:sz w:val="11"/>
                <w:szCs w:val="11"/>
                <w:color w:val="auto"/>
              </w:rPr>
            </w:pPr>
          </w:p>
        </w:tc>
        <w:tc>
          <w:tcPr>
            <w:tcW w:w="1200" w:type="dxa"/>
            <w:vAlign w:val="bottom"/>
            <w:shd w:val="clear" w:color="auto" w:fill="DDE9F2"/>
          </w:tcPr>
          <w:p>
            <w:pPr>
              <w:spacing w:after="0"/>
              <w:rPr>
                <w:sz w:val="11"/>
                <w:szCs w:val="11"/>
                <w:color w:val="auto"/>
              </w:rPr>
            </w:pPr>
          </w:p>
        </w:tc>
        <w:tc>
          <w:tcPr>
            <w:tcW w:w="980" w:type="dxa"/>
            <w:vAlign w:val="bottom"/>
            <w:shd w:val="clear" w:color="auto" w:fill="DDE9F2"/>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b w:val="1"/>
                <w:bCs w:val="1"/>
                <w:color w:val="0B2E44"/>
              </w:rPr>
              <w:t>Riccardo Di Blasio</w:t>
            </w:r>
          </w:p>
        </w:tc>
        <w:tc>
          <w:tcPr>
            <w:tcW w:w="840" w:type="dxa"/>
            <w:vAlign w:val="bottom"/>
          </w:tcPr>
          <w:p>
            <w:pPr>
              <w:jc w:val="right"/>
              <w:spacing w:after="0"/>
              <w:rPr>
                <w:sz w:val="20"/>
                <w:szCs w:val="20"/>
                <w:color w:val="auto"/>
              </w:rPr>
            </w:pPr>
            <w:r>
              <w:rPr>
                <w:rFonts w:ascii="Arial" w:cs="Arial" w:eastAsia="Arial" w:hAnsi="Arial"/>
                <w:sz w:val="14"/>
                <w:szCs w:val="14"/>
                <w:color w:val="0B2E44"/>
              </w:rPr>
              <w:t>2023</w:t>
            </w:r>
          </w:p>
        </w:tc>
        <w:tc>
          <w:tcPr>
            <w:tcW w:w="1460" w:type="dxa"/>
            <w:vAlign w:val="bottom"/>
          </w:tcPr>
          <w:p>
            <w:pPr>
              <w:jc w:val="right"/>
              <w:ind w:right="289"/>
              <w:spacing w:after="0"/>
              <w:rPr>
                <w:sz w:val="20"/>
                <w:szCs w:val="20"/>
                <w:color w:val="auto"/>
              </w:rPr>
            </w:pPr>
            <w:r>
              <w:rPr>
                <w:rFonts w:ascii="Arial" w:cs="Arial" w:eastAsia="Arial" w:hAnsi="Arial"/>
                <w:sz w:val="14"/>
                <w:szCs w:val="14"/>
                <w:color w:val="0B2E44"/>
              </w:rPr>
              <w:t>472,115</w:t>
            </w:r>
          </w:p>
        </w:tc>
        <w:tc>
          <w:tcPr>
            <w:tcW w:w="1020" w:type="dxa"/>
            <w:vAlign w:val="bottom"/>
          </w:tcPr>
          <w:p>
            <w:pPr>
              <w:ind w:left="660"/>
              <w:spacing w:after="0"/>
              <w:rPr>
                <w:sz w:val="20"/>
                <w:szCs w:val="20"/>
                <w:color w:val="auto"/>
              </w:rPr>
            </w:pPr>
            <w:r>
              <w:rPr>
                <w:rFonts w:ascii="Arial" w:cs="Arial" w:eastAsia="Arial" w:hAnsi="Arial"/>
                <w:sz w:val="14"/>
                <w:szCs w:val="14"/>
                <w:color w:val="0B2E44"/>
              </w:rPr>
              <w:t>—</w:t>
            </w:r>
          </w:p>
        </w:tc>
        <w:tc>
          <w:tcPr>
            <w:tcW w:w="1200" w:type="dxa"/>
            <w:vAlign w:val="bottom"/>
          </w:tcPr>
          <w:p>
            <w:pPr>
              <w:jc w:val="right"/>
              <w:ind w:right="170"/>
              <w:spacing w:after="0"/>
              <w:rPr>
                <w:sz w:val="20"/>
                <w:szCs w:val="20"/>
                <w:color w:val="auto"/>
              </w:rPr>
            </w:pPr>
            <w:r>
              <w:rPr>
                <w:rFonts w:ascii="Arial" w:cs="Arial" w:eastAsia="Arial" w:hAnsi="Arial"/>
                <w:sz w:val="14"/>
                <w:szCs w:val="14"/>
                <w:color w:val="0B2E44"/>
              </w:rPr>
              <w:t>3,024,622</w:t>
            </w:r>
          </w:p>
        </w:tc>
        <w:tc>
          <w:tcPr>
            <w:tcW w:w="1180" w:type="dxa"/>
            <w:vAlign w:val="bottom"/>
          </w:tcPr>
          <w:p>
            <w:pPr>
              <w:jc w:val="right"/>
              <w:ind w:right="171"/>
              <w:spacing w:after="0"/>
              <w:rPr>
                <w:sz w:val="20"/>
                <w:szCs w:val="20"/>
                <w:color w:val="auto"/>
              </w:rPr>
            </w:pPr>
            <w:r>
              <w:rPr>
                <w:rFonts w:ascii="Arial" w:cs="Arial" w:eastAsia="Arial" w:hAnsi="Arial"/>
                <w:sz w:val="14"/>
                <w:szCs w:val="14"/>
                <w:color w:val="0B2E44"/>
              </w:rPr>
              <w:t>356,250</w:t>
            </w:r>
          </w:p>
        </w:tc>
        <w:tc>
          <w:tcPr>
            <w:tcW w:w="1200" w:type="dxa"/>
            <w:vAlign w:val="bottom"/>
          </w:tcPr>
          <w:p>
            <w:pPr>
              <w:jc w:val="right"/>
              <w:ind w:right="150"/>
              <w:spacing w:after="0"/>
              <w:rPr>
                <w:sz w:val="20"/>
                <w:szCs w:val="20"/>
                <w:color w:val="auto"/>
              </w:rPr>
            </w:pPr>
            <w:r>
              <w:rPr>
                <w:rFonts w:ascii="Arial" w:cs="Arial" w:eastAsia="Arial" w:hAnsi="Arial"/>
                <w:sz w:val="14"/>
                <w:szCs w:val="14"/>
                <w:color w:val="0B2E44"/>
              </w:rPr>
              <w:t>5,812(6)</w:t>
            </w:r>
          </w:p>
        </w:tc>
        <w:tc>
          <w:tcPr>
            <w:tcW w:w="980" w:type="dxa"/>
            <w:vAlign w:val="bottom"/>
          </w:tcPr>
          <w:p>
            <w:pPr>
              <w:jc w:val="right"/>
              <w:spacing w:after="0"/>
              <w:rPr>
                <w:sz w:val="20"/>
                <w:szCs w:val="20"/>
                <w:color w:val="auto"/>
              </w:rPr>
            </w:pPr>
            <w:r>
              <w:rPr>
                <w:rFonts w:ascii="Arial" w:cs="Arial" w:eastAsia="Arial" w:hAnsi="Arial"/>
                <w:sz w:val="14"/>
                <w:szCs w:val="14"/>
                <w:color w:val="0B2E44"/>
              </w:rPr>
              <w:t>3,858,799</w:t>
            </w: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Arial" w:cs="Arial" w:eastAsia="Arial" w:hAnsi="Arial"/>
                <w:sz w:val="14"/>
                <w:szCs w:val="14"/>
                <w:color w:val="0B2E44"/>
              </w:rPr>
              <w:t>Chief Revenue Officer</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B2E44"/>
              </w:rPr>
              <w:t>2022</w:t>
            </w:r>
          </w:p>
        </w:tc>
        <w:tc>
          <w:tcPr>
            <w:tcW w:w="1460" w:type="dxa"/>
            <w:vAlign w:val="bottom"/>
            <w:vMerge w:val="restart"/>
          </w:tcPr>
          <w:p>
            <w:pPr>
              <w:jc w:val="right"/>
              <w:ind w:right="289"/>
              <w:spacing w:after="0"/>
              <w:rPr>
                <w:sz w:val="20"/>
                <w:szCs w:val="20"/>
                <w:color w:val="auto"/>
              </w:rPr>
            </w:pPr>
            <w:r>
              <w:rPr>
                <w:rFonts w:ascii="Arial" w:cs="Arial" w:eastAsia="Arial" w:hAnsi="Arial"/>
                <w:sz w:val="14"/>
                <w:szCs w:val="14"/>
                <w:color w:val="0B2E44"/>
              </w:rPr>
              <w:t>449,423</w:t>
            </w:r>
          </w:p>
        </w:tc>
        <w:tc>
          <w:tcPr>
            <w:tcW w:w="1020" w:type="dxa"/>
            <w:vAlign w:val="bottom"/>
            <w:vMerge w:val="restart"/>
          </w:tcPr>
          <w:p>
            <w:pPr>
              <w:ind w:left="660"/>
              <w:spacing w:after="0"/>
              <w:rPr>
                <w:sz w:val="20"/>
                <w:szCs w:val="20"/>
                <w:color w:val="auto"/>
              </w:rPr>
            </w:pPr>
            <w:r>
              <w:rPr>
                <w:rFonts w:ascii="Arial" w:cs="Arial" w:eastAsia="Arial" w:hAnsi="Arial"/>
                <w:sz w:val="14"/>
                <w:szCs w:val="14"/>
                <w:color w:val="0B2E44"/>
              </w:rPr>
              <w:t>—</w:t>
            </w:r>
          </w:p>
        </w:tc>
        <w:tc>
          <w:tcPr>
            <w:tcW w:w="1200" w:type="dxa"/>
            <w:vAlign w:val="bottom"/>
            <w:vMerge w:val="restart"/>
          </w:tcPr>
          <w:p>
            <w:pPr>
              <w:jc w:val="right"/>
              <w:ind w:right="170"/>
              <w:spacing w:after="0"/>
              <w:rPr>
                <w:sz w:val="20"/>
                <w:szCs w:val="20"/>
                <w:color w:val="auto"/>
              </w:rPr>
            </w:pPr>
            <w:r>
              <w:rPr>
                <w:rFonts w:ascii="Arial" w:cs="Arial" w:eastAsia="Arial" w:hAnsi="Arial"/>
                <w:sz w:val="14"/>
                <w:szCs w:val="14"/>
                <w:color w:val="0B2E44"/>
              </w:rPr>
              <w:t>2,768,656</w:t>
            </w:r>
          </w:p>
        </w:tc>
        <w:tc>
          <w:tcPr>
            <w:tcW w:w="1180" w:type="dxa"/>
            <w:vAlign w:val="bottom"/>
            <w:vMerge w:val="restart"/>
          </w:tcPr>
          <w:p>
            <w:pPr>
              <w:jc w:val="right"/>
              <w:ind w:right="171"/>
              <w:spacing w:after="0"/>
              <w:rPr>
                <w:sz w:val="20"/>
                <w:szCs w:val="20"/>
                <w:color w:val="auto"/>
              </w:rPr>
            </w:pPr>
            <w:r>
              <w:rPr>
                <w:rFonts w:ascii="Arial" w:cs="Arial" w:eastAsia="Arial" w:hAnsi="Arial"/>
                <w:sz w:val="14"/>
                <w:szCs w:val="14"/>
                <w:color w:val="0B2E44"/>
              </w:rPr>
              <w:t>577,539</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B2E44"/>
              </w:rPr>
              <w:t>8,185</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B2E44"/>
              </w:rPr>
              <w:t>3,803,803</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B2E44"/>
              </w:rPr>
              <w:t>2021</w:t>
            </w:r>
          </w:p>
        </w:tc>
        <w:tc>
          <w:tcPr>
            <w:tcW w:w="1460" w:type="dxa"/>
            <w:vAlign w:val="bottom"/>
          </w:tcPr>
          <w:p>
            <w:pPr>
              <w:jc w:val="right"/>
              <w:ind w:right="289"/>
              <w:spacing w:after="0"/>
              <w:rPr>
                <w:sz w:val="20"/>
                <w:szCs w:val="20"/>
                <w:color w:val="auto"/>
              </w:rPr>
            </w:pPr>
            <w:r>
              <w:rPr>
                <w:rFonts w:ascii="Arial" w:cs="Arial" w:eastAsia="Arial" w:hAnsi="Arial"/>
                <w:sz w:val="14"/>
                <w:szCs w:val="14"/>
                <w:color w:val="0B2E44"/>
              </w:rPr>
              <w:t>416,654</w:t>
            </w:r>
          </w:p>
        </w:tc>
        <w:tc>
          <w:tcPr>
            <w:tcW w:w="1020" w:type="dxa"/>
            <w:vAlign w:val="bottom"/>
          </w:tcPr>
          <w:p>
            <w:pPr>
              <w:ind w:left="660"/>
              <w:spacing w:after="0"/>
              <w:rPr>
                <w:sz w:val="20"/>
                <w:szCs w:val="20"/>
                <w:color w:val="auto"/>
              </w:rPr>
            </w:pPr>
            <w:r>
              <w:rPr>
                <w:rFonts w:ascii="Arial" w:cs="Arial" w:eastAsia="Arial" w:hAnsi="Arial"/>
                <w:sz w:val="14"/>
                <w:szCs w:val="14"/>
                <w:color w:val="0B2E44"/>
              </w:rPr>
              <w:t>—</w:t>
            </w:r>
          </w:p>
        </w:tc>
        <w:tc>
          <w:tcPr>
            <w:tcW w:w="1200" w:type="dxa"/>
            <w:vAlign w:val="bottom"/>
          </w:tcPr>
          <w:p>
            <w:pPr>
              <w:jc w:val="right"/>
              <w:ind w:right="170"/>
              <w:spacing w:after="0"/>
              <w:rPr>
                <w:sz w:val="20"/>
                <w:szCs w:val="20"/>
                <w:color w:val="auto"/>
              </w:rPr>
            </w:pPr>
            <w:r>
              <w:rPr>
                <w:rFonts w:ascii="Arial" w:cs="Arial" w:eastAsia="Arial" w:hAnsi="Arial"/>
                <w:sz w:val="14"/>
                <w:szCs w:val="14"/>
                <w:color w:val="0B2E44"/>
              </w:rPr>
              <w:t>1,530,963</w:t>
            </w:r>
          </w:p>
        </w:tc>
        <w:tc>
          <w:tcPr>
            <w:tcW w:w="1180" w:type="dxa"/>
            <w:vAlign w:val="bottom"/>
          </w:tcPr>
          <w:p>
            <w:pPr>
              <w:jc w:val="right"/>
              <w:ind w:right="171"/>
              <w:spacing w:after="0"/>
              <w:rPr>
                <w:sz w:val="20"/>
                <w:szCs w:val="20"/>
                <w:color w:val="auto"/>
              </w:rPr>
            </w:pPr>
            <w:r>
              <w:rPr>
                <w:rFonts w:ascii="Arial" w:cs="Arial" w:eastAsia="Arial" w:hAnsi="Arial"/>
                <w:sz w:val="14"/>
                <w:szCs w:val="14"/>
                <w:color w:val="0B2E44"/>
              </w:rPr>
              <w:t>577,539</w:t>
            </w:r>
          </w:p>
        </w:tc>
        <w:tc>
          <w:tcPr>
            <w:tcW w:w="1200" w:type="dxa"/>
            <w:vAlign w:val="bottom"/>
          </w:tcPr>
          <w:p>
            <w:pPr>
              <w:jc w:val="right"/>
              <w:ind w:right="190"/>
              <w:spacing w:after="0"/>
              <w:rPr>
                <w:sz w:val="20"/>
                <w:szCs w:val="20"/>
                <w:color w:val="auto"/>
              </w:rPr>
            </w:pPr>
            <w:r>
              <w:rPr>
                <w:rFonts w:ascii="Arial" w:cs="Arial" w:eastAsia="Arial" w:hAnsi="Arial"/>
                <w:sz w:val="14"/>
                <w:szCs w:val="14"/>
                <w:color w:val="0B2E44"/>
              </w:rPr>
              <w:t>5,438</w:t>
            </w:r>
          </w:p>
        </w:tc>
        <w:tc>
          <w:tcPr>
            <w:tcW w:w="980" w:type="dxa"/>
            <w:vAlign w:val="bottom"/>
          </w:tcPr>
          <w:p>
            <w:pPr>
              <w:jc w:val="right"/>
              <w:spacing w:after="0"/>
              <w:rPr>
                <w:sz w:val="20"/>
                <w:szCs w:val="20"/>
                <w:color w:val="auto"/>
              </w:rPr>
            </w:pPr>
            <w:r>
              <w:rPr>
                <w:rFonts w:ascii="Arial" w:cs="Arial" w:eastAsia="Arial" w:hAnsi="Arial"/>
                <w:sz w:val="14"/>
                <w:szCs w:val="14"/>
                <w:color w:val="0B2E44"/>
              </w:rPr>
              <w:t>2,530,594</w:t>
            </w:r>
          </w:p>
        </w:tc>
        <w:tc>
          <w:tcPr>
            <w:tcW w:w="0" w:type="dxa"/>
            <w:vAlign w:val="bottom"/>
          </w:tcPr>
          <w:p>
            <w:pPr>
              <w:spacing w:after="0"/>
              <w:rPr>
                <w:sz w:val="1"/>
                <w:szCs w:val="1"/>
                <w:color w:val="auto"/>
              </w:rPr>
            </w:pPr>
          </w:p>
        </w:tc>
      </w:tr>
      <w:tr>
        <w:trPr>
          <w:trHeight w:val="66"/>
        </w:trPr>
        <w:tc>
          <w:tcPr>
            <w:tcW w:w="3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120" w:type="dxa"/>
            <w:vAlign w:val="bottom"/>
            <w:shd w:val="clear" w:color="auto" w:fill="DDE9F2"/>
          </w:tcPr>
          <w:p>
            <w:pPr>
              <w:ind w:left="140"/>
              <w:spacing w:after="0"/>
              <w:rPr>
                <w:sz w:val="20"/>
                <w:szCs w:val="20"/>
                <w:color w:val="auto"/>
              </w:rPr>
            </w:pPr>
            <w:r>
              <w:rPr>
                <w:rFonts w:ascii="Arial" w:cs="Arial" w:eastAsia="Arial" w:hAnsi="Arial"/>
                <w:sz w:val="14"/>
                <w:szCs w:val="14"/>
                <w:b w:val="1"/>
                <w:bCs w:val="1"/>
                <w:color w:val="0B2E44"/>
              </w:rPr>
              <w:t>Brian Carolan</w:t>
            </w:r>
          </w:p>
        </w:tc>
        <w:tc>
          <w:tcPr>
            <w:tcW w:w="84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2023</w:t>
            </w:r>
          </w:p>
        </w:tc>
        <w:tc>
          <w:tcPr>
            <w:tcW w:w="1460" w:type="dxa"/>
            <w:vAlign w:val="bottom"/>
            <w:shd w:val="clear" w:color="auto" w:fill="DDE9F2"/>
          </w:tcPr>
          <w:p>
            <w:pPr>
              <w:jc w:val="right"/>
              <w:ind w:right="289"/>
              <w:spacing w:after="0"/>
              <w:rPr>
                <w:sz w:val="20"/>
                <w:szCs w:val="20"/>
                <w:color w:val="auto"/>
              </w:rPr>
            </w:pPr>
            <w:r>
              <w:rPr>
                <w:rFonts w:ascii="Arial" w:cs="Arial" w:eastAsia="Arial" w:hAnsi="Arial"/>
                <w:sz w:val="14"/>
                <w:szCs w:val="14"/>
                <w:color w:val="0B2E44"/>
              </w:rPr>
              <w:t>108,808</w:t>
            </w:r>
          </w:p>
        </w:tc>
        <w:tc>
          <w:tcPr>
            <w:tcW w:w="1020" w:type="dxa"/>
            <w:vAlign w:val="bottom"/>
            <w:shd w:val="clear" w:color="auto" w:fill="DDE9F2"/>
          </w:tcPr>
          <w:p>
            <w:pPr>
              <w:ind w:left="660"/>
              <w:spacing w:after="0"/>
              <w:rPr>
                <w:sz w:val="20"/>
                <w:szCs w:val="20"/>
                <w:color w:val="auto"/>
              </w:rPr>
            </w:pPr>
            <w:r>
              <w:rPr>
                <w:rFonts w:ascii="Arial" w:cs="Arial" w:eastAsia="Arial" w:hAnsi="Arial"/>
                <w:sz w:val="14"/>
                <w:szCs w:val="14"/>
                <w:color w:val="0B2E44"/>
              </w:rPr>
              <w:t>—</w:t>
            </w:r>
          </w:p>
        </w:tc>
        <w:tc>
          <w:tcPr>
            <w:tcW w:w="1200" w:type="dxa"/>
            <w:vAlign w:val="bottom"/>
            <w:shd w:val="clear" w:color="auto" w:fill="DDE9F2"/>
          </w:tcPr>
          <w:p>
            <w:pPr>
              <w:jc w:val="right"/>
              <w:ind w:right="130"/>
              <w:spacing w:after="0"/>
              <w:rPr>
                <w:sz w:val="20"/>
                <w:szCs w:val="20"/>
                <w:color w:val="auto"/>
              </w:rPr>
            </w:pPr>
            <w:r>
              <w:rPr>
                <w:rFonts w:ascii="Arial" w:cs="Arial" w:eastAsia="Arial" w:hAnsi="Arial"/>
                <w:sz w:val="14"/>
                <w:szCs w:val="14"/>
                <w:color w:val="0B2E44"/>
              </w:rPr>
              <w:t>2,763,340(7)</w:t>
            </w:r>
          </w:p>
        </w:tc>
        <w:tc>
          <w:tcPr>
            <w:tcW w:w="118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61,500</w:t>
            </w:r>
          </w:p>
        </w:tc>
        <w:tc>
          <w:tcPr>
            <w:tcW w:w="1200" w:type="dxa"/>
            <w:vAlign w:val="bottom"/>
            <w:shd w:val="clear" w:color="auto" w:fill="DDE9F2"/>
          </w:tcPr>
          <w:p>
            <w:pPr>
              <w:jc w:val="right"/>
              <w:ind w:right="150"/>
              <w:spacing w:after="0"/>
              <w:rPr>
                <w:sz w:val="20"/>
                <w:szCs w:val="20"/>
                <w:color w:val="auto"/>
              </w:rPr>
            </w:pPr>
            <w:r>
              <w:rPr>
                <w:rFonts w:ascii="Arial" w:cs="Arial" w:eastAsia="Arial" w:hAnsi="Arial"/>
                <w:sz w:val="14"/>
                <w:szCs w:val="14"/>
                <w:color w:val="0B2E44"/>
              </w:rPr>
              <w:t>439,026(8)</w:t>
            </w:r>
          </w:p>
        </w:tc>
        <w:tc>
          <w:tcPr>
            <w:tcW w:w="98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3,372,674</w:t>
            </w:r>
          </w:p>
        </w:tc>
        <w:tc>
          <w:tcPr>
            <w:tcW w:w="0" w:type="dxa"/>
            <w:vAlign w:val="bottom"/>
          </w:tcPr>
          <w:p>
            <w:pPr>
              <w:spacing w:after="0"/>
              <w:rPr>
                <w:sz w:val="1"/>
                <w:szCs w:val="1"/>
                <w:color w:val="auto"/>
              </w:rPr>
            </w:pPr>
          </w:p>
        </w:tc>
      </w:tr>
      <w:tr>
        <w:trPr>
          <w:trHeight w:val="193"/>
        </w:trPr>
        <w:tc>
          <w:tcPr>
            <w:tcW w:w="3120" w:type="dxa"/>
            <w:vAlign w:val="bottom"/>
            <w:shd w:val="clear" w:color="auto" w:fill="DDE9F2"/>
          </w:tcPr>
          <w:p>
            <w:pPr>
              <w:ind w:left="140"/>
              <w:spacing w:after="0"/>
              <w:rPr>
                <w:sz w:val="20"/>
                <w:szCs w:val="20"/>
                <w:color w:val="auto"/>
              </w:rPr>
            </w:pPr>
            <w:r>
              <w:rPr>
                <w:rFonts w:ascii="Arial" w:cs="Arial" w:eastAsia="Arial" w:hAnsi="Arial"/>
                <w:sz w:val="14"/>
                <w:szCs w:val="14"/>
                <w:color w:val="0B2E44"/>
              </w:rPr>
              <w:t>Former Chief Financial Officer</w:t>
            </w:r>
          </w:p>
        </w:tc>
        <w:tc>
          <w:tcPr>
            <w:tcW w:w="840" w:type="dxa"/>
            <w:vAlign w:val="bottom"/>
            <w:vMerge w:val="restart"/>
            <w:shd w:val="clear" w:color="auto" w:fill="DDE9F2"/>
          </w:tcPr>
          <w:p>
            <w:pPr>
              <w:jc w:val="right"/>
              <w:spacing w:after="0"/>
              <w:rPr>
                <w:sz w:val="20"/>
                <w:szCs w:val="20"/>
                <w:color w:val="auto"/>
              </w:rPr>
            </w:pPr>
            <w:r>
              <w:rPr>
                <w:rFonts w:ascii="Arial" w:cs="Arial" w:eastAsia="Arial" w:hAnsi="Arial"/>
                <w:sz w:val="14"/>
                <w:szCs w:val="14"/>
                <w:color w:val="0B2E44"/>
              </w:rPr>
              <w:t>2022</w:t>
            </w:r>
          </w:p>
        </w:tc>
        <w:tc>
          <w:tcPr>
            <w:tcW w:w="1460" w:type="dxa"/>
            <w:vAlign w:val="bottom"/>
            <w:vMerge w:val="restart"/>
            <w:shd w:val="clear" w:color="auto" w:fill="DDE9F2"/>
          </w:tcPr>
          <w:p>
            <w:pPr>
              <w:jc w:val="right"/>
              <w:ind w:right="289"/>
              <w:spacing w:after="0"/>
              <w:rPr>
                <w:sz w:val="20"/>
                <w:szCs w:val="20"/>
                <w:color w:val="auto"/>
              </w:rPr>
            </w:pPr>
            <w:r>
              <w:rPr>
                <w:rFonts w:ascii="Arial" w:cs="Arial" w:eastAsia="Arial" w:hAnsi="Arial"/>
                <w:sz w:val="14"/>
                <w:szCs w:val="14"/>
                <w:color w:val="0B2E44"/>
              </w:rPr>
              <w:t>410,000</w:t>
            </w:r>
          </w:p>
        </w:tc>
        <w:tc>
          <w:tcPr>
            <w:tcW w:w="1020" w:type="dxa"/>
            <w:vAlign w:val="bottom"/>
            <w:vMerge w:val="restart"/>
            <w:shd w:val="clear" w:color="auto" w:fill="DDE9F2"/>
          </w:tcPr>
          <w:p>
            <w:pPr>
              <w:ind w:left="660"/>
              <w:spacing w:after="0"/>
              <w:rPr>
                <w:sz w:val="20"/>
                <w:szCs w:val="20"/>
                <w:color w:val="auto"/>
              </w:rPr>
            </w:pPr>
            <w:r>
              <w:rPr>
                <w:rFonts w:ascii="Arial" w:cs="Arial" w:eastAsia="Arial" w:hAnsi="Arial"/>
                <w:sz w:val="14"/>
                <w:szCs w:val="14"/>
                <w:color w:val="0B2E44"/>
              </w:rPr>
              <w:t>—</w:t>
            </w:r>
          </w:p>
        </w:tc>
        <w:tc>
          <w:tcPr>
            <w:tcW w:w="1200" w:type="dxa"/>
            <w:vAlign w:val="bottom"/>
            <w:vMerge w:val="restart"/>
            <w:shd w:val="clear" w:color="auto" w:fill="DDE9F2"/>
          </w:tcPr>
          <w:p>
            <w:pPr>
              <w:jc w:val="right"/>
              <w:ind w:right="170"/>
              <w:spacing w:after="0"/>
              <w:rPr>
                <w:sz w:val="20"/>
                <w:szCs w:val="20"/>
                <w:color w:val="auto"/>
              </w:rPr>
            </w:pPr>
            <w:r>
              <w:rPr>
                <w:rFonts w:ascii="Arial" w:cs="Arial" w:eastAsia="Arial" w:hAnsi="Arial"/>
                <w:sz w:val="14"/>
                <w:szCs w:val="14"/>
                <w:color w:val="0B2E44"/>
              </w:rPr>
              <w:t>2,214,758</w:t>
            </w:r>
          </w:p>
        </w:tc>
        <w:tc>
          <w:tcPr>
            <w:tcW w:w="1180" w:type="dxa"/>
            <w:vAlign w:val="bottom"/>
            <w:vMerge w:val="restart"/>
            <w:shd w:val="clear" w:color="auto" w:fill="DDE9F2"/>
          </w:tcPr>
          <w:p>
            <w:pPr>
              <w:jc w:val="right"/>
              <w:ind w:right="171"/>
              <w:spacing w:after="0"/>
              <w:rPr>
                <w:sz w:val="20"/>
                <w:szCs w:val="20"/>
                <w:color w:val="auto"/>
              </w:rPr>
            </w:pPr>
            <w:r>
              <w:rPr>
                <w:rFonts w:ascii="Arial" w:cs="Arial" w:eastAsia="Arial" w:hAnsi="Arial"/>
                <w:sz w:val="14"/>
                <w:szCs w:val="14"/>
                <w:color w:val="0B2E44"/>
              </w:rPr>
              <w:t>248,755</w:t>
            </w:r>
          </w:p>
        </w:tc>
        <w:tc>
          <w:tcPr>
            <w:tcW w:w="1200" w:type="dxa"/>
            <w:vAlign w:val="bottom"/>
            <w:vMerge w:val="restart"/>
            <w:shd w:val="clear" w:color="auto" w:fill="DDE9F2"/>
          </w:tcPr>
          <w:p>
            <w:pPr>
              <w:jc w:val="right"/>
              <w:ind w:right="190"/>
              <w:spacing w:after="0"/>
              <w:rPr>
                <w:sz w:val="20"/>
                <w:szCs w:val="20"/>
                <w:color w:val="auto"/>
              </w:rPr>
            </w:pPr>
            <w:r>
              <w:rPr>
                <w:rFonts w:ascii="Arial" w:cs="Arial" w:eastAsia="Arial" w:hAnsi="Arial"/>
                <w:sz w:val="14"/>
                <w:szCs w:val="14"/>
                <w:color w:val="0B2E44"/>
              </w:rPr>
              <w:t>8,263</w:t>
            </w:r>
          </w:p>
        </w:tc>
        <w:tc>
          <w:tcPr>
            <w:tcW w:w="980" w:type="dxa"/>
            <w:vAlign w:val="bottom"/>
            <w:vMerge w:val="restart"/>
            <w:shd w:val="clear" w:color="auto" w:fill="DDE9F2"/>
          </w:tcPr>
          <w:p>
            <w:pPr>
              <w:jc w:val="right"/>
              <w:spacing w:after="0"/>
              <w:rPr>
                <w:sz w:val="20"/>
                <w:szCs w:val="20"/>
                <w:color w:val="auto"/>
              </w:rPr>
            </w:pPr>
            <w:r>
              <w:rPr>
                <w:rFonts w:ascii="Arial" w:cs="Arial" w:eastAsia="Arial" w:hAnsi="Arial"/>
                <w:sz w:val="14"/>
                <w:szCs w:val="14"/>
                <w:color w:val="0B2E44"/>
              </w:rPr>
              <w:t>2,881,776</w:t>
            </w:r>
          </w:p>
        </w:tc>
        <w:tc>
          <w:tcPr>
            <w:tcW w:w="0" w:type="dxa"/>
            <w:vAlign w:val="bottom"/>
          </w:tcPr>
          <w:p>
            <w:pPr>
              <w:spacing w:after="0"/>
              <w:rPr>
                <w:sz w:val="1"/>
                <w:szCs w:val="1"/>
                <w:color w:val="auto"/>
              </w:rPr>
            </w:pPr>
          </w:p>
        </w:tc>
      </w:tr>
      <w:tr>
        <w:trPr>
          <w:trHeight w:val="54"/>
        </w:trPr>
        <w:tc>
          <w:tcPr>
            <w:tcW w:w="3120" w:type="dxa"/>
            <w:vAlign w:val="bottom"/>
            <w:shd w:val="clear" w:color="auto" w:fill="DDE9F2"/>
          </w:tcPr>
          <w:p>
            <w:pPr>
              <w:spacing w:after="0"/>
              <w:rPr>
                <w:sz w:val="4"/>
                <w:szCs w:val="4"/>
                <w:color w:val="auto"/>
              </w:rPr>
            </w:pPr>
          </w:p>
        </w:tc>
        <w:tc>
          <w:tcPr>
            <w:tcW w:w="840" w:type="dxa"/>
            <w:vAlign w:val="bottom"/>
            <w:vMerge w:val="continue"/>
            <w:shd w:val="clear" w:color="auto" w:fill="DDE9F2"/>
          </w:tcPr>
          <w:p>
            <w:pPr>
              <w:spacing w:after="0"/>
              <w:rPr>
                <w:sz w:val="4"/>
                <w:szCs w:val="4"/>
                <w:color w:val="auto"/>
              </w:rPr>
            </w:pPr>
          </w:p>
        </w:tc>
        <w:tc>
          <w:tcPr>
            <w:tcW w:w="1460" w:type="dxa"/>
            <w:vAlign w:val="bottom"/>
            <w:vMerge w:val="continue"/>
            <w:shd w:val="clear" w:color="auto" w:fill="DDE9F2"/>
          </w:tcPr>
          <w:p>
            <w:pPr>
              <w:spacing w:after="0"/>
              <w:rPr>
                <w:sz w:val="4"/>
                <w:szCs w:val="4"/>
                <w:color w:val="auto"/>
              </w:rPr>
            </w:pPr>
          </w:p>
        </w:tc>
        <w:tc>
          <w:tcPr>
            <w:tcW w:w="1020" w:type="dxa"/>
            <w:vAlign w:val="bottom"/>
            <w:vMerge w:val="continue"/>
            <w:shd w:val="clear" w:color="auto" w:fill="DDE9F2"/>
          </w:tcPr>
          <w:p>
            <w:pPr>
              <w:spacing w:after="0"/>
              <w:rPr>
                <w:sz w:val="4"/>
                <w:szCs w:val="4"/>
                <w:color w:val="auto"/>
              </w:rPr>
            </w:pPr>
          </w:p>
        </w:tc>
        <w:tc>
          <w:tcPr>
            <w:tcW w:w="1200" w:type="dxa"/>
            <w:vAlign w:val="bottom"/>
            <w:vMerge w:val="continue"/>
            <w:shd w:val="clear" w:color="auto" w:fill="DDE9F2"/>
          </w:tcPr>
          <w:p>
            <w:pPr>
              <w:spacing w:after="0"/>
              <w:rPr>
                <w:sz w:val="4"/>
                <w:szCs w:val="4"/>
                <w:color w:val="auto"/>
              </w:rPr>
            </w:pPr>
          </w:p>
        </w:tc>
        <w:tc>
          <w:tcPr>
            <w:tcW w:w="1180" w:type="dxa"/>
            <w:vAlign w:val="bottom"/>
            <w:vMerge w:val="continue"/>
            <w:shd w:val="clear" w:color="auto" w:fill="DDE9F2"/>
          </w:tcPr>
          <w:p>
            <w:pPr>
              <w:spacing w:after="0"/>
              <w:rPr>
                <w:sz w:val="4"/>
                <w:szCs w:val="4"/>
                <w:color w:val="auto"/>
              </w:rPr>
            </w:pPr>
          </w:p>
        </w:tc>
        <w:tc>
          <w:tcPr>
            <w:tcW w:w="1200" w:type="dxa"/>
            <w:vAlign w:val="bottom"/>
            <w:vMerge w:val="continue"/>
            <w:shd w:val="clear" w:color="auto" w:fill="DDE9F2"/>
          </w:tcPr>
          <w:p>
            <w:pPr>
              <w:spacing w:after="0"/>
              <w:rPr>
                <w:sz w:val="4"/>
                <w:szCs w:val="4"/>
                <w:color w:val="auto"/>
              </w:rPr>
            </w:pPr>
          </w:p>
        </w:tc>
        <w:tc>
          <w:tcPr>
            <w:tcW w:w="980" w:type="dxa"/>
            <w:vAlign w:val="bottom"/>
            <w:vMerge w:val="continue"/>
            <w:shd w:val="clear" w:color="auto" w:fill="DDE9F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120" w:type="dxa"/>
            <w:vAlign w:val="bottom"/>
            <w:shd w:val="clear" w:color="auto" w:fill="DDE9F2"/>
          </w:tcPr>
          <w:p>
            <w:pPr>
              <w:spacing w:after="0"/>
              <w:rPr>
                <w:sz w:val="24"/>
                <w:szCs w:val="24"/>
                <w:color w:val="auto"/>
              </w:rPr>
            </w:pPr>
          </w:p>
        </w:tc>
        <w:tc>
          <w:tcPr>
            <w:tcW w:w="84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2021</w:t>
            </w:r>
          </w:p>
        </w:tc>
        <w:tc>
          <w:tcPr>
            <w:tcW w:w="1460" w:type="dxa"/>
            <w:vAlign w:val="bottom"/>
            <w:shd w:val="clear" w:color="auto" w:fill="DDE9F2"/>
          </w:tcPr>
          <w:p>
            <w:pPr>
              <w:jc w:val="right"/>
              <w:ind w:right="289"/>
              <w:spacing w:after="0"/>
              <w:rPr>
                <w:sz w:val="20"/>
                <w:szCs w:val="20"/>
                <w:color w:val="auto"/>
              </w:rPr>
            </w:pPr>
            <w:r>
              <w:rPr>
                <w:rFonts w:ascii="Arial" w:cs="Arial" w:eastAsia="Arial" w:hAnsi="Arial"/>
                <w:sz w:val="14"/>
                <w:szCs w:val="14"/>
                <w:color w:val="0B2E44"/>
              </w:rPr>
              <w:t>384,123</w:t>
            </w:r>
          </w:p>
        </w:tc>
        <w:tc>
          <w:tcPr>
            <w:tcW w:w="1020" w:type="dxa"/>
            <w:vAlign w:val="bottom"/>
            <w:shd w:val="clear" w:color="auto" w:fill="DDE9F2"/>
          </w:tcPr>
          <w:p>
            <w:pPr>
              <w:ind w:left="660"/>
              <w:spacing w:after="0"/>
              <w:rPr>
                <w:sz w:val="20"/>
                <w:szCs w:val="20"/>
                <w:color w:val="auto"/>
              </w:rPr>
            </w:pPr>
            <w:r>
              <w:rPr>
                <w:rFonts w:ascii="Arial" w:cs="Arial" w:eastAsia="Arial" w:hAnsi="Arial"/>
                <w:sz w:val="14"/>
                <w:szCs w:val="14"/>
                <w:color w:val="0B2E44"/>
              </w:rPr>
              <w:t>—</w:t>
            </w:r>
          </w:p>
        </w:tc>
        <w:tc>
          <w:tcPr>
            <w:tcW w:w="1200" w:type="dxa"/>
            <w:vAlign w:val="bottom"/>
            <w:shd w:val="clear" w:color="auto" w:fill="DDE9F2"/>
          </w:tcPr>
          <w:p>
            <w:pPr>
              <w:jc w:val="right"/>
              <w:ind w:right="170"/>
              <w:spacing w:after="0"/>
              <w:rPr>
                <w:sz w:val="20"/>
                <w:szCs w:val="20"/>
                <w:color w:val="auto"/>
              </w:rPr>
            </w:pPr>
            <w:r>
              <w:rPr>
                <w:rFonts w:ascii="Arial" w:cs="Arial" w:eastAsia="Arial" w:hAnsi="Arial"/>
                <w:sz w:val="14"/>
                <w:szCs w:val="14"/>
                <w:color w:val="0B2E44"/>
              </w:rPr>
              <w:t>2,086,543</w:t>
            </w:r>
          </w:p>
        </w:tc>
        <w:tc>
          <w:tcPr>
            <w:tcW w:w="118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386,786</w:t>
            </w:r>
          </w:p>
        </w:tc>
        <w:tc>
          <w:tcPr>
            <w:tcW w:w="1200" w:type="dxa"/>
            <w:vAlign w:val="bottom"/>
            <w:shd w:val="clear" w:color="auto" w:fill="DDE9F2"/>
          </w:tcPr>
          <w:p>
            <w:pPr>
              <w:jc w:val="right"/>
              <w:ind w:right="190"/>
              <w:spacing w:after="0"/>
              <w:rPr>
                <w:sz w:val="20"/>
                <w:szCs w:val="20"/>
                <w:color w:val="auto"/>
              </w:rPr>
            </w:pPr>
            <w:r>
              <w:rPr>
                <w:rFonts w:ascii="Arial" w:cs="Arial" w:eastAsia="Arial" w:hAnsi="Arial"/>
                <w:sz w:val="14"/>
                <w:szCs w:val="14"/>
                <w:color w:val="0B2E44"/>
              </w:rPr>
              <w:t>5,455</w:t>
            </w:r>
          </w:p>
        </w:tc>
        <w:tc>
          <w:tcPr>
            <w:tcW w:w="98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2,862,907</w:t>
            </w:r>
          </w:p>
        </w:tc>
        <w:tc>
          <w:tcPr>
            <w:tcW w:w="0" w:type="dxa"/>
            <w:vAlign w:val="bottom"/>
          </w:tcPr>
          <w:p>
            <w:pPr>
              <w:spacing w:after="0"/>
              <w:rPr>
                <w:sz w:val="1"/>
                <w:szCs w:val="1"/>
                <w:color w:val="auto"/>
              </w:rPr>
            </w:pPr>
          </w:p>
        </w:tc>
      </w:tr>
      <w:tr>
        <w:trPr>
          <w:trHeight w:val="66"/>
        </w:trPr>
        <w:tc>
          <w:tcPr>
            <w:tcW w:w="3120" w:type="dxa"/>
            <w:vAlign w:val="bottom"/>
            <w:tcBorders>
              <w:bottom w:val="single" w:sz="8" w:color="0B2E44"/>
            </w:tcBorders>
            <w:shd w:val="clear" w:color="auto" w:fill="DDE9F2"/>
          </w:tcPr>
          <w:p>
            <w:pPr>
              <w:spacing w:after="0"/>
              <w:rPr>
                <w:sz w:val="5"/>
                <w:szCs w:val="5"/>
                <w:color w:val="auto"/>
              </w:rPr>
            </w:pPr>
          </w:p>
        </w:tc>
        <w:tc>
          <w:tcPr>
            <w:tcW w:w="840" w:type="dxa"/>
            <w:vAlign w:val="bottom"/>
            <w:tcBorders>
              <w:bottom w:val="single" w:sz="8" w:color="0B2E44"/>
            </w:tcBorders>
            <w:shd w:val="clear" w:color="auto" w:fill="DDE9F2"/>
          </w:tcPr>
          <w:p>
            <w:pPr>
              <w:spacing w:after="0"/>
              <w:rPr>
                <w:sz w:val="5"/>
                <w:szCs w:val="5"/>
                <w:color w:val="auto"/>
              </w:rPr>
            </w:pPr>
          </w:p>
        </w:tc>
        <w:tc>
          <w:tcPr>
            <w:tcW w:w="1460" w:type="dxa"/>
            <w:vAlign w:val="bottom"/>
            <w:tcBorders>
              <w:bottom w:val="single" w:sz="8" w:color="0B2E44"/>
            </w:tcBorders>
            <w:shd w:val="clear" w:color="auto" w:fill="DDE9F2"/>
          </w:tcPr>
          <w:p>
            <w:pPr>
              <w:spacing w:after="0"/>
              <w:rPr>
                <w:sz w:val="5"/>
                <w:szCs w:val="5"/>
                <w:color w:val="auto"/>
              </w:rPr>
            </w:pPr>
          </w:p>
        </w:tc>
        <w:tc>
          <w:tcPr>
            <w:tcW w:w="1020" w:type="dxa"/>
            <w:vAlign w:val="bottom"/>
            <w:tcBorders>
              <w:bottom w:val="single" w:sz="8" w:color="0B2E44"/>
            </w:tcBorders>
            <w:shd w:val="clear" w:color="auto" w:fill="DDE9F2"/>
          </w:tcPr>
          <w:p>
            <w:pPr>
              <w:spacing w:after="0"/>
              <w:rPr>
                <w:sz w:val="5"/>
                <w:szCs w:val="5"/>
                <w:color w:val="auto"/>
              </w:rPr>
            </w:pPr>
          </w:p>
        </w:tc>
        <w:tc>
          <w:tcPr>
            <w:tcW w:w="1200" w:type="dxa"/>
            <w:vAlign w:val="bottom"/>
            <w:tcBorders>
              <w:bottom w:val="single" w:sz="8" w:color="0B2E44"/>
            </w:tcBorders>
            <w:shd w:val="clear" w:color="auto" w:fill="DDE9F2"/>
          </w:tcPr>
          <w:p>
            <w:pPr>
              <w:spacing w:after="0"/>
              <w:rPr>
                <w:sz w:val="5"/>
                <w:szCs w:val="5"/>
                <w:color w:val="auto"/>
              </w:rPr>
            </w:pPr>
          </w:p>
        </w:tc>
        <w:tc>
          <w:tcPr>
            <w:tcW w:w="1180" w:type="dxa"/>
            <w:vAlign w:val="bottom"/>
            <w:tcBorders>
              <w:bottom w:val="single" w:sz="8" w:color="0B2E44"/>
            </w:tcBorders>
            <w:shd w:val="clear" w:color="auto" w:fill="DDE9F2"/>
          </w:tcPr>
          <w:p>
            <w:pPr>
              <w:spacing w:after="0"/>
              <w:rPr>
                <w:sz w:val="5"/>
                <w:szCs w:val="5"/>
                <w:color w:val="auto"/>
              </w:rPr>
            </w:pPr>
          </w:p>
        </w:tc>
        <w:tc>
          <w:tcPr>
            <w:tcW w:w="1200" w:type="dxa"/>
            <w:vAlign w:val="bottom"/>
            <w:tcBorders>
              <w:bottom w:val="single" w:sz="8" w:color="0B2E44"/>
            </w:tcBorders>
            <w:shd w:val="clear" w:color="auto" w:fill="DDE9F2"/>
          </w:tcPr>
          <w:p>
            <w:pPr>
              <w:spacing w:after="0"/>
              <w:rPr>
                <w:sz w:val="5"/>
                <w:szCs w:val="5"/>
                <w:color w:val="auto"/>
              </w:rPr>
            </w:pPr>
          </w:p>
        </w:tc>
        <w:tc>
          <w:tcPr>
            <w:tcW w:w="980" w:type="dxa"/>
            <w:vAlign w:val="bottom"/>
            <w:tcBorders>
              <w:bottom w:val="single" w:sz="8" w:color="0B2E44"/>
            </w:tcBorders>
            <w:shd w:val="clear" w:color="auto" w:fill="DDE9F2"/>
          </w:tcPr>
          <w:p>
            <w:pPr>
              <w:spacing w:after="0"/>
              <w:rPr>
                <w:sz w:val="5"/>
                <w:szCs w:val="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0" w:hanging="332"/>
        <w:spacing w:after="0" w:line="242" w:lineRule="auto"/>
        <w:tabs>
          <w:tab w:leader="none" w:pos="255" w:val="left"/>
        </w:tabs>
        <w:numPr>
          <w:ilvl w:val="0"/>
          <w:numId w:val="42"/>
        </w:numPr>
        <w:rPr>
          <w:rFonts w:ascii="Arial" w:cs="Arial" w:eastAsia="Arial" w:hAnsi="Arial"/>
          <w:sz w:val="13"/>
          <w:szCs w:val="13"/>
          <w:color w:val="0B2E44"/>
        </w:rPr>
      </w:pPr>
      <w:r>
        <w:rPr>
          <w:rFonts w:ascii="Arial" w:cs="Arial" w:eastAsia="Arial" w:hAnsi="Arial"/>
          <w:sz w:val="13"/>
          <w:szCs w:val="13"/>
          <w:color w:val="0B2E44"/>
        </w:rPr>
        <w:t>The amounts reported in this column represent the grant date fair value of the restricted stock unit awards and performance stock unit awards granted during the fiscal year indicated as computed in accordance with FASB ASC Topic 718. The amounts shown disregard estimated forfeitures related to service-based vesting conditions and assume performance stock units at target (100%). If the performance stock unit awards are achieved at the maximum (200%), this would result in stock award values of $14,944,812 (for Mr. Mirchandani), $2,905,818 (for Mr. Merrill), and $4,649,289 (for Mr. Di Blasio). See our consolidated financial statements contained in our Annual Report on Form 10-K for the year ended March 31, 2023, for a discussion of the assumptions we made in determining the grant date fair value of such awards.</w:t>
      </w:r>
    </w:p>
    <w:p>
      <w:pPr>
        <w:spacing w:after="0" w:line="2" w:lineRule="exact"/>
        <w:rPr>
          <w:rFonts w:ascii="Arial" w:cs="Arial" w:eastAsia="Arial" w:hAnsi="Arial"/>
          <w:sz w:val="13"/>
          <w:szCs w:val="13"/>
          <w:color w:val="0B2E44"/>
        </w:rPr>
      </w:pPr>
    </w:p>
    <w:p>
      <w:pPr>
        <w:ind w:left="340" w:right="660" w:hanging="332"/>
        <w:spacing w:after="0" w:line="244" w:lineRule="auto"/>
        <w:tabs>
          <w:tab w:leader="none" w:pos="255" w:val="left"/>
        </w:tabs>
        <w:numPr>
          <w:ilvl w:val="0"/>
          <w:numId w:val="42"/>
        </w:numPr>
        <w:rPr>
          <w:rFonts w:ascii="Arial" w:cs="Arial" w:eastAsia="Arial" w:hAnsi="Arial"/>
          <w:sz w:val="13"/>
          <w:szCs w:val="13"/>
          <w:color w:val="0B2E44"/>
        </w:rPr>
      </w:pPr>
      <w:r>
        <w:rPr>
          <w:rFonts w:ascii="Arial" w:cs="Arial" w:eastAsia="Arial" w:hAnsi="Arial"/>
          <w:sz w:val="13"/>
          <w:szCs w:val="13"/>
          <w:color w:val="0B2E44"/>
        </w:rPr>
        <w:t>The amounts reported in this column consist of annual cash incentive bonuses earned in fiscal 2023 and are more fully described above under the heading “Annual Incentive Plan” in the Compensation Discussion and Analysis.</w:t>
      </w:r>
    </w:p>
    <w:p>
      <w:pPr>
        <w:spacing w:after="0"/>
        <w:tabs>
          <w:tab w:leader="none" w:pos="240" w:val="left"/>
        </w:tabs>
        <w:rPr>
          <w:sz w:val="20"/>
          <w:szCs w:val="20"/>
          <w:color w:val="auto"/>
        </w:rPr>
      </w:pPr>
      <w:r>
        <w:rPr>
          <w:rFonts w:ascii="Arial" w:cs="Arial" w:eastAsia="Arial" w:hAnsi="Arial"/>
          <w:sz w:val="13"/>
          <w:szCs w:val="13"/>
          <w:color w:val="auto"/>
        </w:rPr>
        <w:t>3</w:t>
      </w:r>
      <w:r>
        <w:rPr>
          <w:rFonts w:ascii="Arial" w:cs="Arial" w:eastAsia="Arial" w:hAnsi="Arial"/>
          <w:sz w:val="13"/>
          <w:szCs w:val="13"/>
          <w:color w:val="0B2E44"/>
        </w:rPr>
        <w:t>.</w:t>
      </w:r>
      <w:r>
        <w:rPr>
          <w:sz w:val="20"/>
          <w:szCs w:val="20"/>
          <w:color w:val="auto"/>
        </w:rPr>
        <w:tab/>
      </w:r>
      <w:r>
        <w:rPr>
          <w:rFonts w:ascii="Arial" w:cs="Arial" w:eastAsia="Arial" w:hAnsi="Arial"/>
          <w:sz w:val="12"/>
          <w:szCs w:val="12"/>
          <w:color w:val="0B2E44"/>
        </w:rPr>
        <w:t>Mr. Merrill became a named executive officer effective July 1, 2022 and compensation information for fiscal 2021 and 2022 has not been provided in accordance with SEC rules.</w:t>
      </w:r>
    </w:p>
    <w:p>
      <w:pPr>
        <w:ind w:left="340" w:right="20" w:hanging="332"/>
        <w:spacing w:after="0" w:line="242" w:lineRule="auto"/>
        <w:tabs>
          <w:tab w:leader="none" w:pos="255" w:val="left"/>
        </w:tabs>
        <w:numPr>
          <w:ilvl w:val="0"/>
          <w:numId w:val="43"/>
        </w:numPr>
        <w:rPr>
          <w:rFonts w:ascii="Arial" w:cs="Arial" w:eastAsia="Arial" w:hAnsi="Arial"/>
          <w:sz w:val="13"/>
          <w:szCs w:val="13"/>
          <w:color w:val="0B2E44"/>
        </w:rPr>
      </w:pPr>
      <w:r>
        <w:rPr>
          <w:rFonts w:ascii="Arial" w:cs="Arial" w:eastAsia="Arial" w:hAnsi="Arial"/>
          <w:sz w:val="13"/>
          <w:szCs w:val="13"/>
          <w:color w:val="0B2E44"/>
        </w:rPr>
        <w:t>Mr. Mirchandani’ s other annual compensation in fiscal 2023 included $6,100 related to his 401(k) plan company matching contributions,$3,584 for financial and estate planning, and $13,266 related to the use of a corporate car.</w:t>
      </w:r>
    </w:p>
    <w:p>
      <w:pPr>
        <w:spacing w:after="0" w:line="1" w:lineRule="exact"/>
        <w:rPr>
          <w:rFonts w:ascii="Arial" w:cs="Arial" w:eastAsia="Arial" w:hAnsi="Arial"/>
          <w:sz w:val="13"/>
          <w:szCs w:val="13"/>
          <w:color w:val="0B2E44"/>
        </w:rPr>
      </w:pPr>
    </w:p>
    <w:p>
      <w:pPr>
        <w:ind w:left="260" w:hanging="252"/>
        <w:spacing w:after="0"/>
        <w:tabs>
          <w:tab w:leader="none" w:pos="260" w:val="left"/>
        </w:tabs>
        <w:numPr>
          <w:ilvl w:val="0"/>
          <w:numId w:val="43"/>
        </w:numPr>
        <w:rPr>
          <w:rFonts w:ascii="Arial" w:cs="Arial" w:eastAsia="Arial" w:hAnsi="Arial"/>
          <w:sz w:val="13"/>
          <w:szCs w:val="13"/>
          <w:color w:val="0B2E44"/>
        </w:rPr>
      </w:pPr>
      <w:r>
        <w:rPr>
          <w:rFonts w:ascii="Arial" w:cs="Arial" w:eastAsia="Arial" w:hAnsi="Arial"/>
          <w:sz w:val="13"/>
          <w:szCs w:val="13"/>
          <w:color w:val="0B2E44"/>
        </w:rPr>
        <w:t>Mr. Merrill’s other annual compensation in fiscal 2023 included $6,146 related to his 401(k) plan company matching contributions.</w:t>
      </w:r>
    </w:p>
    <w:p>
      <w:pPr>
        <w:spacing w:after="0" w:line="7" w:lineRule="exact"/>
        <w:rPr>
          <w:rFonts w:ascii="Arial" w:cs="Arial" w:eastAsia="Arial" w:hAnsi="Arial"/>
          <w:sz w:val="13"/>
          <w:szCs w:val="13"/>
          <w:color w:val="0B2E44"/>
        </w:rPr>
      </w:pPr>
    </w:p>
    <w:p>
      <w:pPr>
        <w:ind w:left="260" w:hanging="252"/>
        <w:spacing w:after="0"/>
        <w:tabs>
          <w:tab w:leader="none" w:pos="260" w:val="left"/>
        </w:tabs>
        <w:numPr>
          <w:ilvl w:val="0"/>
          <w:numId w:val="43"/>
        </w:numPr>
        <w:rPr>
          <w:rFonts w:ascii="Arial" w:cs="Arial" w:eastAsia="Arial" w:hAnsi="Arial"/>
          <w:sz w:val="13"/>
          <w:szCs w:val="13"/>
          <w:color w:val="0B2E44"/>
        </w:rPr>
      </w:pPr>
      <w:r>
        <w:rPr>
          <w:rFonts w:ascii="Arial" w:cs="Arial" w:eastAsia="Arial" w:hAnsi="Arial"/>
          <w:sz w:val="13"/>
          <w:szCs w:val="13"/>
          <w:color w:val="0B2E44"/>
        </w:rPr>
        <w:t>Mr. Di Blasio’s other annual compensation in fiscal 2023 included his 401(k) plan company matching contributions of $5,812.</w:t>
      </w:r>
    </w:p>
    <w:p>
      <w:pPr>
        <w:ind w:left="340" w:right="160" w:hanging="332"/>
        <w:spacing w:after="0" w:line="216" w:lineRule="auto"/>
        <w:tabs>
          <w:tab w:leader="none" w:pos="255" w:val="left"/>
        </w:tabs>
        <w:numPr>
          <w:ilvl w:val="0"/>
          <w:numId w:val="43"/>
        </w:numPr>
        <w:rPr>
          <w:rFonts w:ascii="Arial" w:cs="Arial" w:eastAsia="Arial" w:hAnsi="Arial"/>
          <w:sz w:val="13"/>
          <w:szCs w:val="13"/>
          <w:color w:val="0B2E44"/>
        </w:rPr>
      </w:pPr>
      <w:r>
        <w:rPr>
          <w:rFonts w:ascii="Arial" w:cs="Arial" w:eastAsia="Arial" w:hAnsi="Arial"/>
          <w:sz w:val="13"/>
          <w:szCs w:val="13"/>
          <w:color w:val="0B2E44"/>
        </w:rPr>
        <w:t>In connection with Mr. Carolan’s Agreement and General Release dated April 28, 2022, all unvested equity shares shall continue to vest in accordance with the plan agreement in which the equity grants were made. The amount herein represents the accounting charge associated with the incremental fair value in accordance with FASB ASC Topic 718.</w:t>
      </w:r>
    </w:p>
    <w:p>
      <w:pPr>
        <w:ind w:left="340" w:right="180" w:hanging="332"/>
        <w:spacing w:after="0" w:line="242" w:lineRule="auto"/>
        <w:tabs>
          <w:tab w:leader="none" w:pos="255" w:val="left"/>
        </w:tabs>
        <w:numPr>
          <w:ilvl w:val="0"/>
          <w:numId w:val="43"/>
        </w:numPr>
        <w:rPr>
          <w:rFonts w:ascii="Arial" w:cs="Arial" w:eastAsia="Arial" w:hAnsi="Arial"/>
          <w:sz w:val="13"/>
          <w:szCs w:val="13"/>
          <w:color w:val="0B2E44"/>
        </w:rPr>
      </w:pPr>
      <w:r>
        <w:rPr>
          <w:rFonts w:ascii="Arial" w:cs="Arial" w:eastAsia="Arial" w:hAnsi="Arial"/>
          <w:sz w:val="13"/>
          <w:szCs w:val="13"/>
          <w:color w:val="0B2E44"/>
        </w:rPr>
        <w:t>Mr. Carolan’s other annual compensation in fiscal 2023 included his 401(k) plan company matching contributions of $2,177, $410,000 related to his severance in accordance with his employment agreement for 12 months of pay in case of termination not for cause, and $26,849 for continued medical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42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2023 GRANTS OF PLAN BASED AWARDS TABLE</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E14A6A"/>
        </w:rPr>
        <w:t>Fiscal 2023 Grants of Plan-Based Awards Table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0B2E44"/>
        </w:rPr>
        <w:t>The following table sets forth information as to grants of plan-based awards to our named executive officers in fiscal 2023.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140" w:type="dxa"/>
            <w:vAlign w:val="bottom"/>
            <w:gridSpan w:val="3"/>
          </w:tcPr>
          <w:p>
            <w:pPr>
              <w:jc w:val="center"/>
              <w:ind w:right="257"/>
              <w:spacing w:after="0"/>
              <w:rPr>
                <w:sz w:val="20"/>
                <w:szCs w:val="20"/>
                <w:color w:val="auto"/>
              </w:rPr>
            </w:pPr>
            <w:r>
              <w:rPr>
                <w:rFonts w:ascii="Arial" w:cs="Arial" w:eastAsia="Arial" w:hAnsi="Arial"/>
                <w:sz w:val="13"/>
                <w:szCs w:val="13"/>
                <w:color w:val="0B2E44"/>
                <w:w w:val="97"/>
              </w:rPr>
              <w:t>Estimated future payouts under non-equity</w:t>
            </w:r>
          </w:p>
        </w:tc>
        <w:tc>
          <w:tcPr>
            <w:tcW w:w="2960" w:type="dxa"/>
            <w:vAlign w:val="bottom"/>
            <w:gridSpan w:val="3"/>
          </w:tcPr>
          <w:p>
            <w:pPr>
              <w:ind w:left="540"/>
              <w:spacing w:after="0"/>
              <w:rPr>
                <w:sz w:val="20"/>
                <w:szCs w:val="20"/>
                <w:color w:val="auto"/>
              </w:rPr>
            </w:pPr>
            <w:r>
              <w:rPr>
                <w:rFonts w:ascii="Arial" w:cs="Arial" w:eastAsia="Arial" w:hAnsi="Arial"/>
                <w:sz w:val="13"/>
                <w:szCs w:val="13"/>
                <w:color w:val="0B2E44"/>
              </w:rPr>
              <w:t>Estimated future payouts under</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13"/>
                <w:szCs w:val="13"/>
                <w:color w:val="auto"/>
              </w:rPr>
            </w:pP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0B2E44"/>
              </w:rPr>
              <w:t>Grant &amp;</w:t>
            </w:r>
          </w:p>
        </w:tc>
        <w:tc>
          <w:tcPr>
            <w:tcW w:w="2200" w:type="dxa"/>
            <w:vAlign w:val="bottom"/>
            <w:gridSpan w:val="2"/>
          </w:tcPr>
          <w:p>
            <w:pPr>
              <w:jc w:val="center"/>
              <w:ind w:left="577"/>
              <w:spacing w:after="0"/>
              <w:rPr>
                <w:sz w:val="20"/>
                <w:szCs w:val="20"/>
                <w:color w:val="auto"/>
              </w:rPr>
            </w:pPr>
            <w:r>
              <w:rPr>
                <w:rFonts w:ascii="Arial" w:cs="Arial" w:eastAsia="Arial" w:hAnsi="Arial"/>
                <w:sz w:val="13"/>
                <w:szCs w:val="13"/>
                <w:color w:val="0B2E44"/>
                <w:w w:val="96"/>
              </w:rPr>
              <w:t>incentive plan awards ($)</w:t>
            </w:r>
          </w:p>
        </w:tc>
        <w:tc>
          <w:tcPr>
            <w:tcW w:w="940" w:type="dxa"/>
            <w:vAlign w:val="bottom"/>
          </w:tcPr>
          <w:p>
            <w:pPr>
              <w:spacing w:after="0"/>
              <w:rPr>
                <w:sz w:val="13"/>
                <w:szCs w:val="13"/>
                <w:color w:val="auto"/>
              </w:rPr>
            </w:pPr>
          </w:p>
        </w:tc>
        <w:tc>
          <w:tcPr>
            <w:tcW w:w="2960" w:type="dxa"/>
            <w:vAlign w:val="bottom"/>
            <w:gridSpan w:val="3"/>
          </w:tcPr>
          <w:p>
            <w:pPr>
              <w:ind w:left="520"/>
              <w:spacing w:after="0"/>
              <w:rPr>
                <w:sz w:val="20"/>
                <w:szCs w:val="20"/>
                <w:color w:val="auto"/>
              </w:rPr>
            </w:pPr>
            <w:r>
              <w:rPr>
                <w:rFonts w:ascii="Arial" w:cs="Arial" w:eastAsia="Arial" w:hAnsi="Arial"/>
                <w:sz w:val="13"/>
                <w:szCs w:val="13"/>
                <w:color w:val="0B2E44"/>
              </w:rPr>
              <w:t>equity incentive plan awards (#)</w:t>
            </w: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640" w:type="dxa"/>
            <w:vAlign w:val="bottom"/>
          </w:tcPr>
          <w:p>
            <w:pPr>
              <w:jc w:val="right"/>
              <w:ind w:right="117"/>
              <w:spacing w:after="0" w:line="134" w:lineRule="exact"/>
              <w:rPr>
                <w:sz w:val="20"/>
                <w:szCs w:val="20"/>
                <w:color w:val="auto"/>
              </w:rPr>
            </w:pPr>
            <w:r>
              <w:rPr>
                <w:rFonts w:ascii="Arial" w:cs="Arial" w:eastAsia="Arial" w:hAnsi="Arial"/>
                <w:sz w:val="13"/>
                <w:szCs w:val="13"/>
                <w:color w:val="0B2E44"/>
              </w:rPr>
              <w:t>Approval</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0B2E44"/>
              </w:rPr>
              <w:t>Name</w:t>
            </w:r>
          </w:p>
        </w:tc>
        <w:tc>
          <w:tcPr>
            <w:tcW w:w="1640" w:type="dxa"/>
            <w:vAlign w:val="bottom"/>
          </w:tcPr>
          <w:p>
            <w:pPr>
              <w:jc w:val="right"/>
              <w:ind w:right="117"/>
              <w:spacing w:after="0"/>
              <w:rPr>
                <w:sz w:val="20"/>
                <w:szCs w:val="20"/>
                <w:color w:val="auto"/>
              </w:rPr>
            </w:pPr>
            <w:r>
              <w:rPr>
                <w:rFonts w:ascii="Arial" w:cs="Arial" w:eastAsia="Arial" w:hAnsi="Arial"/>
                <w:sz w:val="13"/>
                <w:szCs w:val="13"/>
                <w:color w:val="0B2E44"/>
              </w:rPr>
              <w:t>Date</w:t>
            </w:r>
          </w:p>
        </w:tc>
        <w:tc>
          <w:tcPr>
            <w:tcW w:w="1140" w:type="dxa"/>
            <w:vAlign w:val="bottom"/>
          </w:tcPr>
          <w:p>
            <w:pPr>
              <w:ind w:left="160"/>
              <w:spacing w:after="0"/>
              <w:rPr>
                <w:sz w:val="20"/>
                <w:szCs w:val="20"/>
                <w:color w:val="auto"/>
              </w:rPr>
            </w:pPr>
            <w:r>
              <w:rPr>
                <w:rFonts w:ascii="Arial" w:cs="Arial" w:eastAsia="Arial" w:hAnsi="Arial"/>
                <w:sz w:val="13"/>
                <w:szCs w:val="13"/>
                <w:color w:val="0B2E44"/>
              </w:rPr>
              <w:t>Threshold(1)</w:t>
            </w:r>
          </w:p>
        </w:tc>
        <w:tc>
          <w:tcPr>
            <w:tcW w:w="1060" w:type="dxa"/>
            <w:vAlign w:val="bottom"/>
          </w:tcPr>
          <w:p>
            <w:pPr>
              <w:ind w:left="280"/>
              <w:spacing w:after="0"/>
              <w:rPr>
                <w:sz w:val="20"/>
                <w:szCs w:val="20"/>
                <w:color w:val="auto"/>
              </w:rPr>
            </w:pPr>
            <w:r>
              <w:rPr>
                <w:rFonts w:ascii="Arial" w:cs="Arial" w:eastAsia="Arial" w:hAnsi="Arial"/>
                <w:sz w:val="13"/>
                <w:szCs w:val="13"/>
                <w:color w:val="0B2E44"/>
              </w:rPr>
              <w:t>Target(2)</w:t>
            </w:r>
          </w:p>
        </w:tc>
        <w:tc>
          <w:tcPr>
            <w:tcW w:w="940" w:type="dxa"/>
            <w:vAlign w:val="bottom"/>
          </w:tcPr>
          <w:p>
            <w:pPr>
              <w:ind w:left="60"/>
              <w:spacing w:after="0"/>
              <w:rPr>
                <w:sz w:val="20"/>
                <w:szCs w:val="20"/>
                <w:color w:val="auto"/>
              </w:rPr>
            </w:pPr>
            <w:r>
              <w:rPr>
                <w:rFonts w:ascii="Arial" w:cs="Arial" w:eastAsia="Arial" w:hAnsi="Arial"/>
                <w:sz w:val="13"/>
                <w:szCs w:val="13"/>
                <w:color w:val="0B2E44"/>
              </w:rPr>
              <w:t>Maximum(3)</w:t>
            </w:r>
          </w:p>
        </w:tc>
        <w:tc>
          <w:tcPr>
            <w:tcW w:w="1140" w:type="dxa"/>
            <w:vAlign w:val="bottom"/>
          </w:tcPr>
          <w:p>
            <w:pPr>
              <w:ind w:left="160"/>
              <w:spacing w:after="0"/>
              <w:rPr>
                <w:sz w:val="20"/>
                <w:szCs w:val="20"/>
                <w:color w:val="auto"/>
              </w:rPr>
            </w:pPr>
            <w:r>
              <w:rPr>
                <w:rFonts w:ascii="Arial" w:cs="Arial" w:eastAsia="Arial" w:hAnsi="Arial"/>
                <w:sz w:val="13"/>
                <w:szCs w:val="13"/>
                <w:color w:val="0B2E44"/>
              </w:rPr>
              <w:t>Threshold(4)</w:t>
            </w:r>
          </w:p>
        </w:tc>
        <w:tc>
          <w:tcPr>
            <w:tcW w:w="940" w:type="dxa"/>
            <w:vAlign w:val="bottom"/>
          </w:tcPr>
          <w:p>
            <w:pPr>
              <w:ind w:left="260"/>
              <w:spacing w:after="0"/>
              <w:rPr>
                <w:sz w:val="20"/>
                <w:szCs w:val="20"/>
                <w:color w:val="auto"/>
              </w:rPr>
            </w:pPr>
            <w:r>
              <w:rPr>
                <w:rFonts w:ascii="Arial" w:cs="Arial" w:eastAsia="Arial" w:hAnsi="Arial"/>
                <w:sz w:val="13"/>
                <w:szCs w:val="13"/>
                <w:color w:val="0B2E44"/>
              </w:rPr>
              <w:t>Target(5)</w:t>
            </w:r>
          </w:p>
        </w:tc>
        <w:tc>
          <w:tcPr>
            <w:tcW w:w="880" w:type="dxa"/>
            <w:vAlign w:val="bottom"/>
          </w:tcPr>
          <w:p>
            <w:pPr>
              <w:ind w:left="180"/>
              <w:spacing w:after="0"/>
              <w:rPr>
                <w:sz w:val="20"/>
                <w:szCs w:val="20"/>
                <w:color w:val="auto"/>
              </w:rPr>
            </w:pPr>
            <w:r>
              <w:rPr>
                <w:rFonts w:ascii="Arial" w:cs="Arial" w:eastAsia="Arial" w:hAnsi="Arial"/>
                <w:sz w:val="13"/>
                <w:szCs w:val="13"/>
                <w:color w:val="0B2E44"/>
                <w:w w:val="94"/>
              </w:rPr>
              <w:t>Maximum(6)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jc w:val="right"/>
              <w:ind w:right="157"/>
              <w:spacing w:after="0"/>
              <w:rPr>
                <w:sz w:val="20"/>
                <w:szCs w:val="20"/>
                <w:color w:val="auto"/>
              </w:rPr>
            </w:pPr>
            <w:r>
              <w:rPr>
                <w:rFonts w:ascii="Arial" w:cs="Arial" w:eastAsia="Arial" w:hAnsi="Arial"/>
                <w:sz w:val="13"/>
                <w:szCs w:val="13"/>
                <w:color w:val="0B2E44"/>
              </w:rPr>
              <w:t>All Other</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0" w:type="dxa"/>
            <w:vAlign w:val="bottom"/>
          </w:tcPr>
          <w:p>
            <w:pPr>
              <w:jc w:val="right"/>
              <w:ind w:right="157"/>
              <w:spacing w:after="0" w:line="122" w:lineRule="exact"/>
              <w:rPr>
                <w:sz w:val="20"/>
                <w:szCs w:val="20"/>
                <w:color w:val="auto"/>
              </w:rPr>
            </w:pPr>
            <w:r>
              <w:rPr>
                <w:rFonts w:ascii="Arial" w:cs="Arial" w:eastAsia="Arial" w:hAnsi="Arial"/>
                <w:sz w:val="13"/>
                <w:szCs w:val="13"/>
                <w:color w:val="0B2E44"/>
              </w:rPr>
              <w:t>Stock</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0B2E44"/>
              </w:rPr>
              <w:t>Grant Date</w:t>
            </w:r>
          </w:p>
        </w:tc>
        <w:tc>
          <w:tcPr>
            <w:tcW w:w="0" w:type="dxa"/>
            <w:vAlign w:val="bottom"/>
          </w:tcPr>
          <w:p>
            <w:pPr>
              <w:spacing w:after="0"/>
              <w:rPr>
                <w:sz w:val="1"/>
                <w:szCs w:val="1"/>
                <w:color w:val="auto"/>
              </w:rPr>
            </w:pPr>
          </w:p>
        </w:tc>
      </w:tr>
      <w:tr>
        <w:trPr>
          <w:trHeight w:val="121"/>
        </w:trPr>
        <w:tc>
          <w:tcPr>
            <w:tcW w:w="800" w:type="dxa"/>
            <w:vAlign w:val="bottom"/>
          </w:tcPr>
          <w:p>
            <w:pPr>
              <w:jc w:val="right"/>
              <w:ind w:right="157"/>
              <w:spacing w:after="0" w:line="122" w:lineRule="exact"/>
              <w:rPr>
                <w:sz w:val="20"/>
                <w:szCs w:val="20"/>
                <w:color w:val="auto"/>
              </w:rPr>
            </w:pPr>
            <w:r>
              <w:rPr>
                <w:rFonts w:ascii="Arial" w:cs="Arial" w:eastAsia="Arial" w:hAnsi="Arial"/>
                <w:sz w:val="13"/>
                <w:szCs w:val="13"/>
                <w:color w:val="0B2E44"/>
              </w:rPr>
              <w:t>Awards:</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jc w:val="right"/>
              <w:ind w:right="157"/>
              <w:spacing w:after="0" w:line="134" w:lineRule="exact"/>
              <w:rPr>
                <w:sz w:val="20"/>
                <w:szCs w:val="20"/>
                <w:color w:val="auto"/>
              </w:rPr>
            </w:pPr>
            <w:r>
              <w:rPr>
                <w:rFonts w:ascii="Arial" w:cs="Arial" w:eastAsia="Arial" w:hAnsi="Arial"/>
                <w:sz w:val="13"/>
                <w:szCs w:val="13"/>
                <w:color w:val="0B2E44"/>
                <w:w w:val="92"/>
              </w:rPr>
              <w:t>Number of</w:t>
            </w: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0B2E44"/>
              </w:rPr>
              <w:t>Fair Value</w:t>
            </w:r>
          </w:p>
        </w:tc>
        <w:tc>
          <w:tcPr>
            <w:tcW w:w="0" w:type="dxa"/>
            <w:vAlign w:val="bottom"/>
          </w:tcPr>
          <w:p>
            <w:pPr>
              <w:spacing w:after="0"/>
              <w:rPr>
                <w:sz w:val="1"/>
                <w:szCs w:val="1"/>
                <w:color w:val="auto"/>
              </w:rPr>
            </w:pPr>
          </w:p>
        </w:tc>
      </w:tr>
      <w:tr>
        <w:trPr>
          <w:trHeight w:val="122"/>
        </w:trPr>
        <w:tc>
          <w:tcPr>
            <w:tcW w:w="800" w:type="dxa"/>
            <w:vAlign w:val="bottom"/>
          </w:tcPr>
          <w:p>
            <w:pPr>
              <w:jc w:val="right"/>
              <w:ind w:right="157"/>
              <w:spacing w:after="0" w:line="122" w:lineRule="exact"/>
              <w:rPr>
                <w:sz w:val="20"/>
                <w:szCs w:val="20"/>
                <w:color w:val="auto"/>
              </w:rPr>
            </w:pPr>
            <w:r>
              <w:rPr>
                <w:rFonts w:ascii="Arial" w:cs="Arial" w:eastAsia="Arial" w:hAnsi="Arial"/>
                <w:sz w:val="13"/>
                <w:szCs w:val="13"/>
                <w:color w:val="0B2E44"/>
              </w:rPr>
              <w:t>Shares of</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0B2E44"/>
              </w:rPr>
              <w:t>of Stock</w:t>
            </w:r>
          </w:p>
        </w:tc>
        <w:tc>
          <w:tcPr>
            <w:tcW w:w="0" w:type="dxa"/>
            <w:vAlign w:val="bottom"/>
          </w:tcPr>
          <w:p>
            <w:pPr>
              <w:spacing w:after="0"/>
              <w:rPr>
                <w:sz w:val="1"/>
                <w:szCs w:val="1"/>
                <w:color w:val="auto"/>
              </w:rPr>
            </w:pPr>
          </w:p>
        </w:tc>
      </w:tr>
      <w:tr>
        <w:trPr>
          <w:trHeight w:val="122"/>
        </w:trPr>
        <w:tc>
          <w:tcPr>
            <w:tcW w:w="800" w:type="dxa"/>
            <w:vAlign w:val="bottom"/>
          </w:tcPr>
          <w:p>
            <w:pPr>
              <w:jc w:val="right"/>
              <w:ind w:right="157"/>
              <w:spacing w:after="0" w:line="122" w:lineRule="exact"/>
              <w:rPr>
                <w:sz w:val="20"/>
                <w:szCs w:val="20"/>
                <w:color w:val="auto"/>
              </w:rPr>
            </w:pPr>
            <w:r>
              <w:rPr>
                <w:rFonts w:ascii="Arial" w:cs="Arial" w:eastAsia="Arial" w:hAnsi="Arial"/>
                <w:sz w:val="13"/>
                <w:szCs w:val="13"/>
                <w:color w:val="0B2E44"/>
              </w:rPr>
              <w:t>Stock or</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0B2E44"/>
              </w:rPr>
              <w:t>and Option</w:t>
            </w:r>
          </w:p>
        </w:tc>
        <w:tc>
          <w:tcPr>
            <w:tcW w:w="0" w:type="dxa"/>
            <w:vAlign w:val="bottom"/>
          </w:tcPr>
          <w:p>
            <w:pPr>
              <w:spacing w:after="0"/>
              <w:rPr>
                <w:sz w:val="1"/>
                <w:szCs w:val="1"/>
                <w:color w:val="auto"/>
              </w:rPr>
            </w:pPr>
          </w:p>
        </w:tc>
      </w:tr>
      <w:tr>
        <w:trPr>
          <w:trHeight w:val="135"/>
        </w:trPr>
        <w:tc>
          <w:tcPr>
            <w:tcW w:w="800" w:type="dxa"/>
            <w:vAlign w:val="bottom"/>
          </w:tcPr>
          <w:p>
            <w:pPr>
              <w:jc w:val="right"/>
              <w:ind w:right="157"/>
              <w:spacing w:after="0" w:line="134" w:lineRule="exact"/>
              <w:rPr>
                <w:sz w:val="20"/>
                <w:szCs w:val="20"/>
                <w:color w:val="auto"/>
              </w:rPr>
            </w:pPr>
            <w:r>
              <w:rPr>
                <w:rFonts w:ascii="Arial" w:cs="Arial" w:eastAsia="Arial" w:hAnsi="Arial"/>
                <w:sz w:val="13"/>
                <w:szCs w:val="13"/>
                <w:color w:val="0B2E44"/>
              </w:rPr>
              <w:t>Units</w:t>
            </w: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0B2E44"/>
              </w:rPr>
              <w:t>Awards</w:t>
            </w:r>
          </w:p>
        </w:tc>
        <w:tc>
          <w:tcPr>
            <w:tcW w:w="0" w:type="dxa"/>
            <w:vAlign w:val="bottom"/>
          </w:tcPr>
          <w:p>
            <w:pPr>
              <w:spacing w:after="0"/>
              <w:rPr>
                <w:sz w:val="1"/>
                <w:szCs w:val="1"/>
                <w:color w:val="auto"/>
              </w:rPr>
            </w:pPr>
          </w:p>
        </w:tc>
      </w:tr>
      <w:tr>
        <w:trPr>
          <w:trHeight w:val="160"/>
        </w:trPr>
        <w:tc>
          <w:tcPr>
            <w:tcW w:w="800" w:type="dxa"/>
            <w:vAlign w:val="bottom"/>
          </w:tcPr>
          <w:p>
            <w:pPr>
              <w:jc w:val="right"/>
              <w:ind w:right="157"/>
              <w:spacing w:after="0"/>
              <w:rPr>
                <w:sz w:val="20"/>
                <w:szCs w:val="20"/>
                <w:color w:val="auto"/>
              </w:rPr>
            </w:pPr>
            <w:r>
              <w:rPr>
                <w:rFonts w:ascii="Arial" w:cs="Arial" w:eastAsia="Arial" w:hAnsi="Arial"/>
                <w:sz w:val="13"/>
                <w:szCs w:val="13"/>
                <w:color w:val="0B2E44"/>
              </w:rPr>
              <w:t>(#)(7)</w:t>
            </w:r>
          </w:p>
        </w:tc>
        <w:tc>
          <w:tcPr>
            <w:tcW w:w="820" w:type="dxa"/>
            <w:vAlign w:val="bottom"/>
          </w:tcPr>
          <w:p>
            <w:pPr>
              <w:jc w:val="right"/>
              <w:spacing w:after="0"/>
              <w:rPr>
                <w:sz w:val="20"/>
                <w:szCs w:val="20"/>
                <w:color w:val="auto"/>
              </w:rPr>
            </w:pPr>
            <w:r>
              <w:rPr>
                <w:rFonts w:ascii="Arial" w:cs="Arial" w:eastAsia="Arial" w:hAnsi="Arial"/>
                <w:sz w:val="13"/>
                <w:szCs w:val="13"/>
                <w:color w:val="0B2E44"/>
              </w:rPr>
              <w:t>($)(8)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9240" w:space="340"/>
            <w:col w:w="1640"/>
          </w:cols>
          <w:pgMar w:left="320" w:top="126" w:right="359" w:bottom="1440" w:gutter="0" w:footer="0" w:header="0"/>
        </w:sectPr>
      </w:pPr>
    </w:p>
    <w:tbl>
      <w:tblPr>
        <w:tblLayout w:type="fixed"/>
        <w:tblInd w:w="40" w:type="dxa"/>
        <w:tblCellMar>
          <w:top w:w="0" w:type="dxa"/>
          <w:left w:w="0" w:type="dxa"/>
          <w:bottom w:w="0" w:type="dxa"/>
          <w:right w:w="0" w:type="dxa"/>
        </w:tblCellMar>
      </w:tblPr>
      <w:tr>
        <w:trPr>
          <w:trHeight w:val="210"/>
        </w:trPr>
        <w:tc>
          <w:tcPr>
            <w:tcW w:w="1800" w:type="dxa"/>
            <w:vAlign w:val="bottom"/>
            <w:tcBorders>
              <w:top w:val="single" w:sz="8" w:color="E14A6A"/>
            </w:tcBorders>
          </w:tcPr>
          <w:p>
            <w:pPr>
              <w:ind w:left="120"/>
              <w:spacing w:after="0"/>
              <w:rPr>
                <w:sz w:val="20"/>
                <w:szCs w:val="20"/>
                <w:color w:val="auto"/>
              </w:rPr>
            </w:pPr>
            <w:r>
              <w:rPr>
                <w:rFonts w:ascii="Arial" w:cs="Arial" w:eastAsia="Arial" w:hAnsi="Arial"/>
                <w:sz w:val="14"/>
                <w:szCs w:val="14"/>
                <w:b w:val="1"/>
                <w:bCs w:val="1"/>
                <w:color w:val="0B2E44"/>
              </w:rPr>
              <w:t>Sanjay Mirchandani</w:t>
            </w:r>
          </w:p>
        </w:tc>
        <w:tc>
          <w:tcPr>
            <w:tcW w:w="1160" w:type="dxa"/>
            <w:vAlign w:val="bottom"/>
            <w:tcBorders>
              <w:top w:val="single" w:sz="8" w:color="E14A6A"/>
            </w:tcBorders>
          </w:tcPr>
          <w:p>
            <w:pPr>
              <w:jc w:val="right"/>
              <w:ind w:right="48"/>
              <w:spacing w:after="0"/>
              <w:rPr>
                <w:sz w:val="20"/>
                <w:szCs w:val="20"/>
                <w:color w:val="auto"/>
              </w:rPr>
            </w:pPr>
            <w:r>
              <w:rPr>
                <w:rFonts w:ascii="Arial" w:cs="Arial" w:eastAsia="Arial" w:hAnsi="Arial"/>
                <w:sz w:val="14"/>
                <w:szCs w:val="14"/>
                <w:color w:val="0B2E44"/>
              </w:rPr>
              <w:t>—</w:t>
            </w:r>
          </w:p>
        </w:tc>
        <w:tc>
          <w:tcPr>
            <w:tcW w:w="1000" w:type="dxa"/>
            <w:vAlign w:val="bottom"/>
            <w:tcBorders>
              <w:top w:val="single" w:sz="8" w:color="E14A6A"/>
            </w:tcBorders>
          </w:tcPr>
          <w:p>
            <w:pPr>
              <w:jc w:val="right"/>
              <w:spacing w:after="0"/>
              <w:rPr>
                <w:sz w:val="20"/>
                <w:szCs w:val="20"/>
                <w:color w:val="auto"/>
              </w:rPr>
            </w:pPr>
            <w:r>
              <w:rPr>
                <w:rFonts w:ascii="Arial" w:cs="Arial" w:eastAsia="Arial" w:hAnsi="Arial"/>
                <w:sz w:val="14"/>
                <w:szCs w:val="14"/>
                <w:color w:val="0B2E44"/>
              </w:rPr>
              <w:t>322,500</w:t>
            </w:r>
          </w:p>
        </w:tc>
        <w:tc>
          <w:tcPr>
            <w:tcW w:w="1220" w:type="dxa"/>
            <w:vAlign w:val="bottom"/>
            <w:tcBorders>
              <w:top w:val="single" w:sz="8" w:color="E14A6A"/>
            </w:tcBorders>
          </w:tcPr>
          <w:p>
            <w:pPr>
              <w:jc w:val="right"/>
              <w:ind w:right="148"/>
              <w:spacing w:after="0"/>
              <w:rPr>
                <w:sz w:val="20"/>
                <w:szCs w:val="20"/>
                <w:color w:val="auto"/>
              </w:rPr>
            </w:pPr>
            <w:r>
              <w:rPr>
                <w:rFonts w:ascii="Arial" w:cs="Arial" w:eastAsia="Arial" w:hAnsi="Arial"/>
                <w:sz w:val="14"/>
                <w:szCs w:val="14"/>
                <w:color w:val="0B2E44"/>
              </w:rPr>
              <w:t>645,000</w:t>
            </w:r>
          </w:p>
        </w:tc>
        <w:tc>
          <w:tcPr>
            <w:tcW w:w="1140" w:type="dxa"/>
            <w:vAlign w:val="bottom"/>
            <w:tcBorders>
              <w:top w:val="single" w:sz="8" w:color="E14A6A"/>
            </w:tcBorders>
          </w:tcPr>
          <w:p>
            <w:pPr>
              <w:jc w:val="right"/>
              <w:ind w:right="228"/>
              <w:spacing w:after="0"/>
              <w:rPr>
                <w:sz w:val="20"/>
                <w:szCs w:val="20"/>
                <w:color w:val="auto"/>
              </w:rPr>
            </w:pPr>
            <w:r>
              <w:rPr>
                <w:rFonts w:ascii="Arial" w:cs="Arial" w:eastAsia="Arial" w:hAnsi="Arial"/>
                <w:sz w:val="14"/>
                <w:szCs w:val="14"/>
                <w:color w:val="0B2E44"/>
              </w:rPr>
              <w:t>1,290,000</w:t>
            </w:r>
          </w:p>
        </w:tc>
        <w:tc>
          <w:tcPr>
            <w:tcW w:w="1040" w:type="dxa"/>
            <w:vAlign w:val="bottom"/>
            <w:tcBorders>
              <w:top w:val="single" w:sz="8" w:color="E14A6A"/>
            </w:tcBorders>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Borders>
              <w:top w:val="single" w:sz="8" w:color="E14A6A"/>
            </w:tcBorders>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tcBorders>
              <w:top w:val="single" w:sz="8" w:color="E14A6A"/>
            </w:tcBorders>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tcBorders>
              <w:top w:val="single" w:sz="8" w:color="E14A6A"/>
            </w:tcBorders>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tcBorders>
              <w:top w:val="single" w:sz="8" w:color="E14A6A"/>
            </w:tcBorders>
          </w:tcPr>
          <w:p>
            <w:pPr>
              <w:jc w:val="right"/>
              <w:ind w:right="8"/>
              <w:spacing w:after="0"/>
              <w:rPr>
                <w:sz w:val="20"/>
                <w:szCs w:val="20"/>
                <w:color w:val="auto"/>
              </w:rPr>
            </w:pPr>
            <w:r>
              <w:rPr>
                <w:rFonts w:ascii="Arial" w:cs="Arial" w:eastAsia="Arial" w:hAnsi="Arial"/>
                <w:sz w:val="14"/>
                <w:szCs w:val="14"/>
                <w:color w:val="0B2E44"/>
              </w:rPr>
              <w:t>—</w:t>
            </w:r>
          </w:p>
        </w:tc>
      </w:tr>
      <w:tr>
        <w:trPr>
          <w:trHeight w:val="193"/>
        </w:trPr>
        <w:tc>
          <w:tcPr>
            <w:tcW w:w="18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tcPr>
          <w:p>
            <w:pPr>
              <w:jc w:val="right"/>
              <w:spacing w:after="0"/>
              <w:rPr>
                <w:sz w:val="20"/>
                <w:szCs w:val="20"/>
                <w:color w:val="auto"/>
              </w:rPr>
            </w:pPr>
            <w:r>
              <w:rPr>
                <w:rFonts w:ascii="Arial" w:cs="Arial" w:eastAsia="Arial" w:hAnsi="Arial"/>
                <w:sz w:val="14"/>
                <w:szCs w:val="14"/>
                <w:color w:val="0B2E44"/>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0B2E44"/>
              </w:rPr>
              <w:t>77,733</w:t>
            </w:r>
          </w:p>
        </w:tc>
        <w:tc>
          <w:tcPr>
            <w:tcW w:w="920" w:type="dxa"/>
            <w:vAlign w:val="bottom"/>
          </w:tcPr>
          <w:p>
            <w:pPr>
              <w:jc w:val="right"/>
              <w:ind w:right="8"/>
              <w:spacing w:after="0"/>
              <w:rPr>
                <w:sz w:val="20"/>
                <w:szCs w:val="20"/>
                <w:color w:val="auto"/>
              </w:rPr>
            </w:pPr>
            <w:r>
              <w:rPr>
                <w:rFonts w:ascii="Arial" w:cs="Arial" w:eastAsia="Arial" w:hAnsi="Arial"/>
                <w:sz w:val="14"/>
                <w:szCs w:val="14"/>
                <w:color w:val="0B2E44"/>
              </w:rPr>
              <w:t>4,499,963</w:t>
            </w:r>
          </w:p>
        </w:tc>
      </w:tr>
      <w:tr>
        <w:trPr>
          <w:trHeight w:val="189"/>
        </w:trPr>
        <w:tc>
          <w:tcPr>
            <w:tcW w:w="18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tcPr>
          <w:p>
            <w:pPr>
              <w:jc w:val="right"/>
              <w:spacing w:after="0"/>
              <w:rPr>
                <w:sz w:val="20"/>
                <w:szCs w:val="20"/>
                <w:color w:val="auto"/>
              </w:rPr>
            </w:pPr>
            <w:r>
              <w:rPr>
                <w:rFonts w:ascii="Arial" w:cs="Arial" w:eastAsia="Arial" w:hAnsi="Arial"/>
                <w:sz w:val="14"/>
                <w:szCs w:val="14"/>
                <w:color w:val="0B2E44"/>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19,433</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38,866</w:t>
            </w:r>
          </w:p>
        </w:tc>
        <w:tc>
          <w:tcPr>
            <w:tcW w:w="1000" w:type="dxa"/>
            <w:vAlign w:val="bottom"/>
          </w:tcPr>
          <w:p>
            <w:pPr>
              <w:jc w:val="right"/>
              <w:ind w:right="188"/>
              <w:spacing w:after="0"/>
              <w:rPr>
                <w:sz w:val="20"/>
                <w:szCs w:val="20"/>
                <w:color w:val="auto"/>
              </w:rPr>
            </w:pPr>
            <w:r>
              <w:rPr>
                <w:rFonts w:ascii="Arial" w:cs="Arial" w:eastAsia="Arial" w:hAnsi="Arial"/>
                <w:sz w:val="14"/>
                <w:szCs w:val="14"/>
                <w:color w:val="0B2E44"/>
              </w:rPr>
              <w:t>77,732</w:t>
            </w:r>
          </w:p>
        </w:tc>
        <w:tc>
          <w:tcPr>
            <w:tcW w:w="860" w:type="dxa"/>
            <w:vAlign w:val="bottom"/>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B2E44"/>
              </w:rPr>
              <w:t>2,972,472</w:t>
            </w:r>
          </w:p>
        </w:tc>
      </w:tr>
      <w:tr>
        <w:trPr>
          <w:trHeight w:val="208"/>
        </w:trPr>
        <w:tc>
          <w:tcPr>
            <w:tcW w:w="18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tcPr>
          <w:p>
            <w:pPr>
              <w:jc w:val="right"/>
              <w:spacing w:after="0"/>
              <w:rPr>
                <w:sz w:val="20"/>
                <w:szCs w:val="20"/>
                <w:color w:val="auto"/>
              </w:rPr>
            </w:pPr>
            <w:r>
              <w:rPr>
                <w:rFonts w:ascii="Arial" w:cs="Arial" w:eastAsia="Arial" w:hAnsi="Arial"/>
                <w:sz w:val="14"/>
                <w:szCs w:val="14"/>
                <w:color w:val="0B2E44"/>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19,433</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38,866</w:t>
            </w:r>
          </w:p>
        </w:tc>
        <w:tc>
          <w:tcPr>
            <w:tcW w:w="1000" w:type="dxa"/>
            <w:vAlign w:val="bottom"/>
          </w:tcPr>
          <w:p>
            <w:pPr>
              <w:jc w:val="right"/>
              <w:ind w:right="188"/>
              <w:spacing w:after="0"/>
              <w:rPr>
                <w:sz w:val="20"/>
                <w:szCs w:val="20"/>
                <w:color w:val="auto"/>
              </w:rPr>
            </w:pPr>
            <w:r>
              <w:rPr>
                <w:rFonts w:ascii="Arial" w:cs="Arial" w:eastAsia="Arial" w:hAnsi="Arial"/>
                <w:sz w:val="14"/>
                <w:szCs w:val="14"/>
                <w:color w:val="0B2E44"/>
              </w:rPr>
              <w:t>77,732</w:t>
            </w:r>
          </w:p>
        </w:tc>
        <w:tc>
          <w:tcPr>
            <w:tcW w:w="860" w:type="dxa"/>
            <w:vAlign w:val="bottom"/>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B2E44"/>
              </w:rPr>
              <w:t>2,249,953</w:t>
            </w:r>
          </w:p>
        </w:tc>
      </w:tr>
      <w:tr>
        <w:trPr>
          <w:trHeight w:val="195"/>
        </w:trPr>
        <w:tc>
          <w:tcPr>
            <w:tcW w:w="1800" w:type="dxa"/>
            <w:vAlign w:val="bottom"/>
            <w:shd w:val="clear" w:color="auto" w:fill="DDE9F2"/>
          </w:tcPr>
          <w:p>
            <w:pPr>
              <w:ind w:left="120"/>
              <w:spacing w:after="0"/>
              <w:rPr>
                <w:sz w:val="20"/>
                <w:szCs w:val="20"/>
                <w:color w:val="auto"/>
              </w:rPr>
            </w:pPr>
            <w:r>
              <w:rPr>
                <w:rFonts w:ascii="Arial" w:cs="Arial" w:eastAsia="Arial" w:hAnsi="Arial"/>
                <w:sz w:val="14"/>
                <w:szCs w:val="14"/>
                <w:b w:val="1"/>
                <w:bCs w:val="1"/>
                <w:color w:val="0B2E44"/>
              </w:rPr>
              <w:t>Gary Merrill</w:t>
            </w:r>
          </w:p>
        </w:tc>
        <w:tc>
          <w:tcPr>
            <w:tcW w:w="1160" w:type="dxa"/>
            <w:vAlign w:val="bottom"/>
            <w:shd w:val="clear" w:color="auto" w:fill="DDE9F2"/>
          </w:tcPr>
          <w:p>
            <w:pPr>
              <w:jc w:val="right"/>
              <w:ind w:right="48"/>
              <w:spacing w:after="0"/>
              <w:rPr>
                <w:sz w:val="20"/>
                <w:szCs w:val="20"/>
                <w:color w:val="auto"/>
              </w:rPr>
            </w:pPr>
            <w:r>
              <w:rPr>
                <w:rFonts w:ascii="Arial" w:cs="Arial" w:eastAsia="Arial" w:hAnsi="Arial"/>
                <w:sz w:val="14"/>
                <w:szCs w:val="14"/>
                <w:color w:val="0B2E44"/>
              </w:rPr>
              <w:t>—</w:t>
            </w:r>
          </w:p>
        </w:tc>
        <w:tc>
          <w:tcPr>
            <w:tcW w:w="10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123,000</w:t>
            </w:r>
          </w:p>
        </w:tc>
        <w:tc>
          <w:tcPr>
            <w:tcW w:w="1220" w:type="dxa"/>
            <w:vAlign w:val="bottom"/>
            <w:shd w:val="clear" w:color="auto" w:fill="DDE9F2"/>
          </w:tcPr>
          <w:p>
            <w:pPr>
              <w:jc w:val="right"/>
              <w:ind w:right="148"/>
              <w:spacing w:after="0"/>
              <w:rPr>
                <w:sz w:val="20"/>
                <w:szCs w:val="20"/>
                <w:color w:val="auto"/>
              </w:rPr>
            </w:pPr>
            <w:r>
              <w:rPr>
                <w:rFonts w:ascii="Arial" w:cs="Arial" w:eastAsia="Arial" w:hAnsi="Arial"/>
                <w:sz w:val="14"/>
                <w:szCs w:val="14"/>
                <w:color w:val="0B2E44"/>
              </w:rPr>
              <w:t>246,000</w:t>
            </w:r>
          </w:p>
        </w:tc>
        <w:tc>
          <w:tcPr>
            <w:tcW w:w="11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492,000</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shd w:val="clear" w:color="auto" w:fill="DDE9F2"/>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shd w:val="clear" w:color="auto" w:fill="DDE9F2"/>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shd w:val="clear" w:color="auto" w:fill="DDE9F2"/>
          </w:tcPr>
          <w:p>
            <w:pPr>
              <w:jc w:val="right"/>
              <w:ind w:right="8"/>
              <w:spacing w:after="0"/>
              <w:rPr>
                <w:sz w:val="20"/>
                <w:szCs w:val="20"/>
                <w:color w:val="auto"/>
              </w:rPr>
            </w:pPr>
            <w:r>
              <w:rPr>
                <w:rFonts w:ascii="Arial" w:cs="Arial" w:eastAsia="Arial" w:hAnsi="Arial"/>
                <w:sz w:val="14"/>
                <w:szCs w:val="14"/>
                <w:color w:val="0B2E44"/>
              </w:rPr>
              <w:t>—</w:t>
            </w:r>
          </w:p>
        </w:tc>
      </w:tr>
      <w:tr>
        <w:trPr>
          <w:trHeight w:val="190"/>
        </w:trPr>
        <w:tc>
          <w:tcPr>
            <w:tcW w:w="1800" w:type="dxa"/>
            <w:vAlign w:val="bottom"/>
            <w:shd w:val="clear" w:color="auto" w:fill="DDE9F2"/>
          </w:tcPr>
          <w:p>
            <w:pPr>
              <w:spacing w:after="0"/>
              <w:rPr>
                <w:sz w:val="16"/>
                <w:szCs w:val="16"/>
                <w:color w:val="auto"/>
              </w:rPr>
            </w:pPr>
          </w:p>
        </w:tc>
        <w:tc>
          <w:tcPr>
            <w:tcW w:w="1160" w:type="dxa"/>
            <w:vAlign w:val="bottom"/>
            <w:shd w:val="clear" w:color="auto" w:fill="DDE9F2"/>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1220" w:type="dxa"/>
            <w:vAlign w:val="bottom"/>
            <w:shd w:val="clear" w:color="auto" w:fill="DDE9F2"/>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shd w:val="clear" w:color="auto" w:fill="DDE9F2"/>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shd w:val="clear" w:color="auto" w:fill="DDE9F2"/>
          </w:tcPr>
          <w:p>
            <w:pPr>
              <w:jc w:val="right"/>
              <w:ind w:right="108"/>
              <w:spacing w:after="0"/>
              <w:rPr>
                <w:sz w:val="20"/>
                <w:szCs w:val="20"/>
                <w:color w:val="auto"/>
              </w:rPr>
            </w:pPr>
            <w:r>
              <w:rPr>
                <w:rFonts w:ascii="Arial" w:cs="Arial" w:eastAsia="Arial" w:hAnsi="Arial"/>
                <w:sz w:val="14"/>
                <w:szCs w:val="14"/>
                <w:color w:val="0B2E44"/>
              </w:rPr>
              <w:t>15,114</w:t>
            </w:r>
          </w:p>
        </w:tc>
        <w:tc>
          <w:tcPr>
            <w:tcW w:w="920" w:type="dxa"/>
            <w:vAlign w:val="bottom"/>
            <w:shd w:val="clear" w:color="auto" w:fill="DDE9F2"/>
          </w:tcPr>
          <w:p>
            <w:pPr>
              <w:jc w:val="right"/>
              <w:ind w:right="8"/>
              <w:spacing w:after="0"/>
              <w:rPr>
                <w:sz w:val="20"/>
                <w:szCs w:val="20"/>
                <w:color w:val="auto"/>
              </w:rPr>
            </w:pPr>
            <w:r>
              <w:rPr>
                <w:rFonts w:ascii="Arial" w:cs="Arial" w:eastAsia="Arial" w:hAnsi="Arial"/>
                <w:sz w:val="14"/>
                <w:szCs w:val="14"/>
                <w:color w:val="0B2E44"/>
              </w:rPr>
              <w:t>874,949</w:t>
            </w:r>
          </w:p>
        </w:tc>
      </w:tr>
      <w:tr>
        <w:trPr>
          <w:trHeight w:val="203"/>
        </w:trPr>
        <w:tc>
          <w:tcPr>
            <w:tcW w:w="1800" w:type="dxa"/>
            <w:vAlign w:val="bottom"/>
            <w:shd w:val="clear" w:color="auto" w:fill="DDE9F2"/>
          </w:tcPr>
          <w:p>
            <w:pPr>
              <w:spacing w:after="0"/>
              <w:rPr>
                <w:sz w:val="17"/>
                <w:szCs w:val="17"/>
                <w:color w:val="auto"/>
              </w:rPr>
            </w:pPr>
          </w:p>
        </w:tc>
        <w:tc>
          <w:tcPr>
            <w:tcW w:w="1160" w:type="dxa"/>
            <w:vAlign w:val="bottom"/>
            <w:shd w:val="clear" w:color="auto" w:fill="DDE9F2"/>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1220" w:type="dxa"/>
            <w:vAlign w:val="bottom"/>
            <w:shd w:val="clear" w:color="auto" w:fill="DDE9F2"/>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3,778</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7,557</w:t>
            </w:r>
          </w:p>
        </w:tc>
        <w:tc>
          <w:tcPr>
            <w:tcW w:w="1000" w:type="dxa"/>
            <w:vAlign w:val="bottom"/>
            <w:shd w:val="clear" w:color="auto" w:fill="DDE9F2"/>
          </w:tcPr>
          <w:p>
            <w:pPr>
              <w:jc w:val="right"/>
              <w:ind w:right="168"/>
              <w:spacing w:after="0"/>
              <w:rPr>
                <w:sz w:val="20"/>
                <w:szCs w:val="20"/>
                <w:color w:val="auto"/>
              </w:rPr>
            </w:pPr>
            <w:r>
              <w:rPr>
                <w:rFonts w:ascii="Arial" w:cs="Arial" w:eastAsia="Arial" w:hAnsi="Arial"/>
                <w:sz w:val="14"/>
                <w:szCs w:val="14"/>
                <w:color w:val="0B2E44"/>
              </w:rPr>
              <w:t>15,114</w:t>
            </w:r>
          </w:p>
        </w:tc>
        <w:tc>
          <w:tcPr>
            <w:tcW w:w="860" w:type="dxa"/>
            <w:vAlign w:val="bottom"/>
            <w:shd w:val="clear" w:color="auto" w:fill="DDE9F2"/>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shd w:val="clear" w:color="auto" w:fill="DDE9F2"/>
          </w:tcPr>
          <w:p>
            <w:pPr>
              <w:jc w:val="right"/>
              <w:ind w:right="8"/>
              <w:spacing w:after="0"/>
              <w:rPr>
                <w:sz w:val="20"/>
                <w:szCs w:val="20"/>
                <w:color w:val="auto"/>
              </w:rPr>
            </w:pPr>
            <w:r>
              <w:rPr>
                <w:rFonts w:ascii="Arial" w:cs="Arial" w:eastAsia="Arial" w:hAnsi="Arial"/>
                <w:sz w:val="14"/>
                <w:szCs w:val="14"/>
                <w:color w:val="0B2E44"/>
              </w:rPr>
              <w:t>577,959</w:t>
            </w:r>
          </w:p>
        </w:tc>
      </w:tr>
      <w:tr>
        <w:trPr>
          <w:trHeight w:val="201"/>
        </w:trPr>
        <w:tc>
          <w:tcPr>
            <w:tcW w:w="1800" w:type="dxa"/>
            <w:vAlign w:val="bottom"/>
            <w:shd w:val="clear" w:color="auto" w:fill="DDE9F2"/>
          </w:tcPr>
          <w:p>
            <w:pPr>
              <w:spacing w:after="0"/>
              <w:rPr>
                <w:sz w:val="17"/>
                <w:szCs w:val="17"/>
                <w:color w:val="auto"/>
              </w:rPr>
            </w:pPr>
          </w:p>
        </w:tc>
        <w:tc>
          <w:tcPr>
            <w:tcW w:w="1160" w:type="dxa"/>
            <w:vAlign w:val="bottom"/>
            <w:shd w:val="clear" w:color="auto" w:fill="DDE9F2"/>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1220" w:type="dxa"/>
            <w:vAlign w:val="bottom"/>
            <w:shd w:val="clear" w:color="auto" w:fill="DDE9F2"/>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3,778</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7,557</w:t>
            </w:r>
          </w:p>
        </w:tc>
        <w:tc>
          <w:tcPr>
            <w:tcW w:w="1000" w:type="dxa"/>
            <w:vAlign w:val="bottom"/>
            <w:shd w:val="clear" w:color="auto" w:fill="DDE9F2"/>
          </w:tcPr>
          <w:p>
            <w:pPr>
              <w:jc w:val="right"/>
              <w:ind w:right="168"/>
              <w:spacing w:after="0"/>
              <w:rPr>
                <w:sz w:val="20"/>
                <w:szCs w:val="20"/>
                <w:color w:val="auto"/>
              </w:rPr>
            </w:pPr>
            <w:r>
              <w:rPr>
                <w:rFonts w:ascii="Arial" w:cs="Arial" w:eastAsia="Arial" w:hAnsi="Arial"/>
                <w:sz w:val="14"/>
                <w:szCs w:val="14"/>
                <w:color w:val="0B2E44"/>
              </w:rPr>
              <w:t>15,114</w:t>
            </w:r>
          </w:p>
        </w:tc>
        <w:tc>
          <w:tcPr>
            <w:tcW w:w="860" w:type="dxa"/>
            <w:vAlign w:val="bottom"/>
            <w:shd w:val="clear" w:color="auto" w:fill="DDE9F2"/>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shd w:val="clear" w:color="auto" w:fill="DDE9F2"/>
          </w:tcPr>
          <w:p>
            <w:pPr>
              <w:jc w:val="right"/>
              <w:ind w:right="8"/>
              <w:spacing w:after="0"/>
              <w:rPr>
                <w:sz w:val="20"/>
                <w:szCs w:val="20"/>
                <w:color w:val="auto"/>
              </w:rPr>
            </w:pPr>
            <w:r>
              <w:rPr>
                <w:rFonts w:ascii="Arial" w:cs="Arial" w:eastAsia="Arial" w:hAnsi="Arial"/>
                <w:sz w:val="14"/>
                <w:szCs w:val="14"/>
                <w:color w:val="0B2E44"/>
              </w:rPr>
              <w:t>437,475</w:t>
            </w:r>
          </w:p>
        </w:tc>
      </w:tr>
      <w:tr>
        <w:trPr>
          <w:trHeight w:val="200"/>
        </w:trPr>
        <w:tc>
          <w:tcPr>
            <w:tcW w:w="1800" w:type="dxa"/>
            <w:vAlign w:val="bottom"/>
          </w:tcPr>
          <w:p>
            <w:pPr>
              <w:ind w:left="120"/>
              <w:spacing w:after="0"/>
              <w:rPr>
                <w:sz w:val="20"/>
                <w:szCs w:val="20"/>
                <w:color w:val="auto"/>
              </w:rPr>
            </w:pPr>
            <w:r>
              <w:rPr>
                <w:rFonts w:ascii="Arial" w:cs="Arial" w:eastAsia="Arial" w:hAnsi="Arial"/>
                <w:sz w:val="14"/>
                <w:szCs w:val="14"/>
                <w:b w:val="1"/>
                <w:bCs w:val="1"/>
                <w:color w:val="0B2E44"/>
              </w:rPr>
              <w:t>Riccardo Di Blasio</w:t>
            </w:r>
          </w:p>
        </w:tc>
        <w:tc>
          <w:tcPr>
            <w:tcW w:w="1160" w:type="dxa"/>
            <w:vAlign w:val="bottom"/>
          </w:tcPr>
          <w:p>
            <w:pPr>
              <w:jc w:val="right"/>
              <w:ind w:right="48"/>
              <w:spacing w:after="0"/>
              <w:rPr>
                <w:sz w:val="20"/>
                <w:szCs w:val="20"/>
                <w:color w:val="auto"/>
              </w:rPr>
            </w:pPr>
            <w:r>
              <w:rPr>
                <w:rFonts w:ascii="Arial" w:cs="Arial" w:eastAsia="Arial" w:hAnsi="Arial"/>
                <w:sz w:val="14"/>
                <w:szCs w:val="14"/>
                <w:color w:val="0B2E44"/>
              </w:rPr>
              <w:t>—</w:t>
            </w:r>
          </w:p>
        </w:tc>
        <w:tc>
          <w:tcPr>
            <w:tcW w:w="1000" w:type="dxa"/>
            <w:vAlign w:val="bottom"/>
          </w:tcPr>
          <w:p>
            <w:pPr>
              <w:jc w:val="right"/>
              <w:spacing w:after="0"/>
              <w:rPr>
                <w:sz w:val="20"/>
                <w:szCs w:val="20"/>
                <w:color w:val="auto"/>
              </w:rPr>
            </w:pPr>
            <w:r>
              <w:rPr>
                <w:rFonts w:ascii="Arial" w:cs="Arial" w:eastAsia="Arial" w:hAnsi="Arial"/>
                <w:sz w:val="14"/>
                <w:szCs w:val="14"/>
                <w:color w:val="0B2E44"/>
              </w:rPr>
              <w:t>237,500</w:t>
            </w:r>
          </w:p>
        </w:tc>
        <w:tc>
          <w:tcPr>
            <w:tcW w:w="1220" w:type="dxa"/>
            <w:vAlign w:val="bottom"/>
          </w:tcPr>
          <w:p>
            <w:pPr>
              <w:jc w:val="right"/>
              <w:ind w:right="148"/>
              <w:spacing w:after="0"/>
              <w:rPr>
                <w:sz w:val="20"/>
                <w:szCs w:val="20"/>
                <w:color w:val="auto"/>
              </w:rPr>
            </w:pPr>
            <w:r>
              <w:rPr>
                <w:rFonts w:ascii="Arial" w:cs="Arial" w:eastAsia="Arial" w:hAnsi="Arial"/>
                <w:sz w:val="14"/>
                <w:szCs w:val="14"/>
                <w:color w:val="0B2E44"/>
              </w:rPr>
              <w:t>475,000</w:t>
            </w:r>
          </w:p>
        </w:tc>
        <w:tc>
          <w:tcPr>
            <w:tcW w:w="1140" w:type="dxa"/>
            <w:vAlign w:val="bottom"/>
          </w:tcPr>
          <w:p>
            <w:pPr>
              <w:jc w:val="right"/>
              <w:ind w:right="228"/>
              <w:spacing w:after="0"/>
              <w:rPr>
                <w:sz w:val="20"/>
                <w:szCs w:val="20"/>
                <w:color w:val="auto"/>
              </w:rPr>
            </w:pPr>
            <w:r>
              <w:rPr>
                <w:rFonts w:ascii="Arial" w:cs="Arial" w:eastAsia="Arial" w:hAnsi="Arial"/>
                <w:sz w:val="14"/>
                <w:szCs w:val="14"/>
                <w:color w:val="0B2E44"/>
              </w:rPr>
              <w:t>950,000</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B2E44"/>
              </w:rPr>
              <w:t>—</w:t>
            </w:r>
          </w:p>
        </w:tc>
      </w:tr>
      <w:tr>
        <w:trPr>
          <w:trHeight w:val="193"/>
        </w:trPr>
        <w:tc>
          <w:tcPr>
            <w:tcW w:w="18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tcPr>
          <w:p>
            <w:pPr>
              <w:jc w:val="right"/>
              <w:spacing w:after="0"/>
              <w:rPr>
                <w:sz w:val="20"/>
                <w:szCs w:val="20"/>
                <w:color w:val="auto"/>
              </w:rPr>
            </w:pPr>
            <w:r>
              <w:rPr>
                <w:rFonts w:ascii="Arial" w:cs="Arial" w:eastAsia="Arial" w:hAnsi="Arial"/>
                <w:sz w:val="14"/>
                <w:szCs w:val="14"/>
                <w:color w:val="0B2E44"/>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0B2E44"/>
              </w:rPr>
              <w:t>24,183</w:t>
            </w:r>
          </w:p>
        </w:tc>
        <w:tc>
          <w:tcPr>
            <w:tcW w:w="920" w:type="dxa"/>
            <w:vAlign w:val="bottom"/>
          </w:tcPr>
          <w:p>
            <w:pPr>
              <w:jc w:val="right"/>
              <w:ind w:right="8"/>
              <w:spacing w:after="0"/>
              <w:rPr>
                <w:sz w:val="20"/>
                <w:szCs w:val="20"/>
                <w:color w:val="auto"/>
              </w:rPr>
            </w:pPr>
            <w:r>
              <w:rPr>
                <w:rFonts w:ascii="Arial" w:cs="Arial" w:eastAsia="Arial" w:hAnsi="Arial"/>
                <w:sz w:val="14"/>
                <w:szCs w:val="14"/>
                <w:color w:val="0B2E44"/>
              </w:rPr>
              <w:t>1,399,954</w:t>
            </w:r>
          </w:p>
        </w:tc>
      </w:tr>
      <w:tr>
        <w:trPr>
          <w:trHeight w:val="203"/>
        </w:trPr>
        <w:tc>
          <w:tcPr>
            <w:tcW w:w="18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tcPr>
          <w:p>
            <w:pPr>
              <w:jc w:val="right"/>
              <w:spacing w:after="0"/>
              <w:rPr>
                <w:sz w:val="20"/>
                <w:szCs w:val="20"/>
                <w:color w:val="auto"/>
              </w:rPr>
            </w:pPr>
            <w:r>
              <w:rPr>
                <w:rFonts w:ascii="Arial" w:cs="Arial" w:eastAsia="Arial" w:hAnsi="Arial"/>
                <w:sz w:val="14"/>
                <w:szCs w:val="14"/>
                <w:color w:val="0B2E44"/>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6,045</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12,091</w:t>
            </w:r>
          </w:p>
        </w:tc>
        <w:tc>
          <w:tcPr>
            <w:tcW w:w="1000" w:type="dxa"/>
            <w:vAlign w:val="bottom"/>
          </w:tcPr>
          <w:p>
            <w:pPr>
              <w:jc w:val="right"/>
              <w:ind w:right="188"/>
              <w:spacing w:after="0"/>
              <w:rPr>
                <w:sz w:val="20"/>
                <w:szCs w:val="20"/>
                <w:color w:val="auto"/>
              </w:rPr>
            </w:pPr>
            <w:r>
              <w:rPr>
                <w:rFonts w:ascii="Arial" w:cs="Arial" w:eastAsia="Arial" w:hAnsi="Arial"/>
                <w:sz w:val="14"/>
                <w:szCs w:val="14"/>
                <w:color w:val="0B2E44"/>
              </w:rPr>
              <w:t>24,182</w:t>
            </w:r>
          </w:p>
        </w:tc>
        <w:tc>
          <w:tcPr>
            <w:tcW w:w="860" w:type="dxa"/>
            <w:vAlign w:val="bottom"/>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B2E44"/>
              </w:rPr>
              <w:t>924,720</w:t>
            </w:r>
          </w:p>
        </w:tc>
      </w:tr>
      <w:tr>
        <w:trPr>
          <w:trHeight w:val="195"/>
        </w:trPr>
        <w:tc>
          <w:tcPr>
            <w:tcW w:w="18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0B2E44"/>
              </w:rPr>
              <w:t>05/16/22</w:t>
            </w:r>
          </w:p>
        </w:tc>
        <w:tc>
          <w:tcPr>
            <w:tcW w:w="1000" w:type="dxa"/>
            <w:vAlign w:val="bottom"/>
          </w:tcPr>
          <w:p>
            <w:pPr>
              <w:jc w:val="right"/>
              <w:spacing w:after="0"/>
              <w:rPr>
                <w:sz w:val="20"/>
                <w:szCs w:val="20"/>
                <w:color w:val="auto"/>
              </w:rPr>
            </w:pPr>
            <w:r>
              <w:rPr>
                <w:rFonts w:ascii="Arial" w:cs="Arial" w:eastAsia="Arial" w:hAnsi="Arial"/>
                <w:sz w:val="14"/>
                <w:szCs w:val="14"/>
                <w:color w:val="0B2E44"/>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6,045</w:t>
            </w:r>
          </w:p>
        </w:tc>
        <w:tc>
          <w:tcPr>
            <w:tcW w:w="1040" w:type="dxa"/>
            <w:vAlign w:val="bottom"/>
          </w:tcPr>
          <w:p>
            <w:pPr>
              <w:jc w:val="right"/>
              <w:ind w:right="228"/>
              <w:spacing w:after="0"/>
              <w:rPr>
                <w:sz w:val="20"/>
                <w:szCs w:val="20"/>
                <w:color w:val="auto"/>
              </w:rPr>
            </w:pPr>
            <w:r>
              <w:rPr>
                <w:rFonts w:ascii="Arial" w:cs="Arial" w:eastAsia="Arial" w:hAnsi="Arial"/>
                <w:sz w:val="14"/>
                <w:szCs w:val="14"/>
                <w:color w:val="0B2E44"/>
              </w:rPr>
              <w:t>12,091</w:t>
            </w:r>
          </w:p>
        </w:tc>
        <w:tc>
          <w:tcPr>
            <w:tcW w:w="1000" w:type="dxa"/>
            <w:vAlign w:val="bottom"/>
          </w:tcPr>
          <w:p>
            <w:pPr>
              <w:jc w:val="right"/>
              <w:ind w:right="188"/>
              <w:spacing w:after="0"/>
              <w:rPr>
                <w:sz w:val="20"/>
                <w:szCs w:val="20"/>
                <w:color w:val="auto"/>
              </w:rPr>
            </w:pPr>
            <w:r>
              <w:rPr>
                <w:rFonts w:ascii="Arial" w:cs="Arial" w:eastAsia="Arial" w:hAnsi="Arial"/>
                <w:sz w:val="14"/>
                <w:szCs w:val="14"/>
                <w:color w:val="0B2E44"/>
              </w:rPr>
              <w:t>24,182</w:t>
            </w:r>
          </w:p>
        </w:tc>
        <w:tc>
          <w:tcPr>
            <w:tcW w:w="860" w:type="dxa"/>
            <w:vAlign w:val="bottom"/>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B2E44"/>
              </w:rPr>
              <w:t>699,948</w:t>
            </w:r>
          </w:p>
        </w:tc>
      </w:tr>
      <w:tr>
        <w:trPr>
          <w:trHeight w:val="207"/>
        </w:trPr>
        <w:tc>
          <w:tcPr>
            <w:tcW w:w="1800" w:type="dxa"/>
            <w:vAlign w:val="bottom"/>
            <w:shd w:val="clear" w:color="auto" w:fill="DDE9F2"/>
          </w:tcPr>
          <w:p>
            <w:pPr>
              <w:ind w:left="120"/>
              <w:spacing w:after="0"/>
              <w:rPr>
                <w:sz w:val="20"/>
                <w:szCs w:val="20"/>
                <w:color w:val="auto"/>
              </w:rPr>
            </w:pPr>
            <w:r>
              <w:rPr>
                <w:rFonts w:ascii="Arial" w:cs="Arial" w:eastAsia="Arial" w:hAnsi="Arial"/>
                <w:sz w:val="14"/>
                <w:szCs w:val="14"/>
                <w:b w:val="1"/>
                <w:bCs w:val="1"/>
                <w:color w:val="0B2E44"/>
              </w:rPr>
              <w:t>Brian Carolan</w:t>
            </w:r>
          </w:p>
        </w:tc>
        <w:tc>
          <w:tcPr>
            <w:tcW w:w="1160" w:type="dxa"/>
            <w:vAlign w:val="bottom"/>
            <w:shd w:val="clear" w:color="auto" w:fill="DDE9F2"/>
          </w:tcPr>
          <w:p>
            <w:pPr>
              <w:jc w:val="right"/>
              <w:ind w:right="48"/>
              <w:spacing w:after="0"/>
              <w:rPr>
                <w:sz w:val="20"/>
                <w:szCs w:val="20"/>
                <w:color w:val="auto"/>
              </w:rPr>
            </w:pPr>
            <w:r>
              <w:rPr>
                <w:rFonts w:ascii="Arial" w:cs="Arial" w:eastAsia="Arial" w:hAnsi="Arial"/>
                <w:sz w:val="14"/>
                <w:szCs w:val="14"/>
                <w:color w:val="0B2E44"/>
              </w:rPr>
              <w:t>—</w:t>
            </w:r>
          </w:p>
        </w:tc>
        <w:tc>
          <w:tcPr>
            <w:tcW w:w="10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123,000</w:t>
            </w:r>
          </w:p>
        </w:tc>
        <w:tc>
          <w:tcPr>
            <w:tcW w:w="1220" w:type="dxa"/>
            <w:vAlign w:val="bottom"/>
            <w:shd w:val="clear" w:color="auto" w:fill="DDE9F2"/>
          </w:tcPr>
          <w:p>
            <w:pPr>
              <w:jc w:val="right"/>
              <w:ind w:right="148"/>
              <w:spacing w:after="0"/>
              <w:rPr>
                <w:sz w:val="20"/>
                <w:szCs w:val="20"/>
                <w:color w:val="auto"/>
              </w:rPr>
            </w:pPr>
            <w:r>
              <w:rPr>
                <w:rFonts w:ascii="Arial" w:cs="Arial" w:eastAsia="Arial" w:hAnsi="Arial"/>
                <w:sz w:val="14"/>
                <w:szCs w:val="14"/>
                <w:color w:val="0B2E44"/>
              </w:rPr>
              <w:t>246,000</w:t>
            </w:r>
          </w:p>
        </w:tc>
        <w:tc>
          <w:tcPr>
            <w:tcW w:w="11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492,000</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shd w:val="clear" w:color="auto" w:fill="DDE9F2"/>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shd w:val="clear" w:color="auto" w:fill="DDE9F2"/>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shd w:val="clear" w:color="auto" w:fill="DDE9F2"/>
          </w:tcPr>
          <w:p>
            <w:pPr>
              <w:jc w:val="right"/>
              <w:ind w:right="8"/>
              <w:spacing w:after="0"/>
              <w:rPr>
                <w:sz w:val="20"/>
                <w:szCs w:val="20"/>
                <w:color w:val="auto"/>
              </w:rPr>
            </w:pPr>
            <w:r>
              <w:rPr>
                <w:rFonts w:ascii="Arial" w:cs="Arial" w:eastAsia="Arial" w:hAnsi="Arial"/>
                <w:sz w:val="14"/>
                <w:szCs w:val="14"/>
                <w:color w:val="0B2E44"/>
              </w:rPr>
              <w:t>—</w:t>
            </w:r>
          </w:p>
        </w:tc>
      </w:tr>
      <w:tr>
        <w:trPr>
          <w:trHeight w:val="191"/>
        </w:trPr>
        <w:tc>
          <w:tcPr>
            <w:tcW w:w="1800" w:type="dxa"/>
            <w:vAlign w:val="bottom"/>
            <w:shd w:val="clear" w:color="auto" w:fill="DDE9F2"/>
          </w:tcPr>
          <w:p>
            <w:pPr>
              <w:spacing w:after="0"/>
              <w:rPr>
                <w:sz w:val="16"/>
                <w:szCs w:val="16"/>
                <w:color w:val="auto"/>
              </w:rPr>
            </w:pPr>
          </w:p>
        </w:tc>
        <w:tc>
          <w:tcPr>
            <w:tcW w:w="1160" w:type="dxa"/>
            <w:vAlign w:val="bottom"/>
            <w:shd w:val="clear" w:color="auto" w:fill="DDE9F2"/>
          </w:tcPr>
          <w:p>
            <w:pPr>
              <w:jc w:val="right"/>
              <w:ind w:right="48"/>
              <w:spacing w:after="0"/>
              <w:rPr>
                <w:sz w:val="20"/>
                <w:szCs w:val="20"/>
                <w:color w:val="auto"/>
              </w:rPr>
            </w:pPr>
            <w:r>
              <w:rPr>
                <w:rFonts w:ascii="Arial" w:cs="Arial" w:eastAsia="Arial" w:hAnsi="Arial"/>
                <w:sz w:val="14"/>
                <w:szCs w:val="14"/>
                <w:color w:val="0B2E44"/>
              </w:rPr>
              <w:t>04/28/22(9)</w:t>
            </w:r>
          </w:p>
        </w:tc>
        <w:tc>
          <w:tcPr>
            <w:tcW w:w="10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1220" w:type="dxa"/>
            <w:vAlign w:val="bottom"/>
            <w:shd w:val="clear" w:color="auto" w:fill="DDE9F2"/>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shd w:val="clear" w:color="auto" w:fill="DDE9F2"/>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shd w:val="clear" w:color="auto" w:fill="DDE9F2"/>
          </w:tcPr>
          <w:p>
            <w:pPr>
              <w:jc w:val="right"/>
              <w:ind w:right="108"/>
              <w:spacing w:after="0"/>
              <w:rPr>
                <w:sz w:val="20"/>
                <w:szCs w:val="20"/>
                <w:color w:val="auto"/>
              </w:rPr>
            </w:pPr>
            <w:r>
              <w:rPr>
                <w:rFonts w:ascii="Arial" w:cs="Arial" w:eastAsia="Arial" w:hAnsi="Arial"/>
                <w:sz w:val="14"/>
                <w:szCs w:val="14"/>
                <w:color w:val="0B2E44"/>
              </w:rPr>
              <w:t>19,621</w:t>
            </w:r>
          </w:p>
        </w:tc>
        <w:tc>
          <w:tcPr>
            <w:tcW w:w="920" w:type="dxa"/>
            <w:vAlign w:val="bottom"/>
            <w:shd w:val="clear" w:color="auto" w:fill="DDE9F2"/>
          </w:tcPr>
          <w:p>
            <w:pPr>
              <w:jc w:val="right"/>
              <w:ind w:right="8"/>
              <w:spacing w:after="0"/>
              <w:rPr>
                <w:sz w:val="20"/>
                <w:szCs w:val="20"/>
                <w:color w:val="auto"/>
              </w:rPr>
            </w:pPr>
            <w:r>
              <w:rPr>
                <w:rFonts w:ascii="Arial" w:cs="Arial" w:eastAsia="Arial" w:hAnsi="Arial"/>
                <w:sz w:val="14"/>
                <w:szCs w:val="14"/>
                <w:color w:val="0B2E44"/>
              </w:rPr>
              <w:t>1,247,111</w:t>
            </w:r>
          </w:p>
        </w:tc>
      </w:tr>
      <w:tr>
        <w:trPr>
          <w:trHeight w:val="190"/>
        </w:trPr>
        <w:tc>
          <w:tcPr>
            <w:tcW w:w="1800" w:type="dxa"/>
            <w:vAlign w:val="bottom"/>
            <w:shd w:val="clear" w:color="auto" w:fill="DDE9F2"/>
          </w:tcPr>
          <w:p>
            <w:pPr>
              <w:spacing w:after="0"/>
              <w:rPr>
                <w:sz w:val="16"/>
                <w:szCs w:val="16"/>
                <w:color w:val="auto"/>
              </w:rPr>
            </w:pPr>
          </w:p>
        </w:tc>
        <w:tc>
          <w:tcPr>
            <w:tcW w:w="1160" w:type="dxa"/>
            <w:vAlign w:val="bottom"/>
            <w:shd w:val="clear" w:color="auto" w:fill="DDE9F2"/>
          </w:tcPr>
          <w:p>
            <w:pPr>
              <w:jc w:val="right"/>
              <w:ind w:right="48"/>
              <w:spacing w:after="0"/>
              <w:rPr>
                <w:sz w:val="20"/>
                <w:szCs w:val="20"/>
                <w:color w:val="auto"/>
              </w:rPr>
            </w:pPr>
            <w:r>
              <w:rPr>
                <w:rFonts w:ascii="Arial" w:cs="Arial" w:eastAsia="Arial" w:hAnsi="Arial"/>
                <w:sz w:val="14"/>
                <w:szCs w:val="14"/>
                <w:color w:val="0B2E44"/>
              </w:rPr>
              <w:t>04/28/22(9)</w:t>
            </w:r>
          </w:p>
        </w:tc>
        <w:tc>
          <w:tcPr>
            <w:tcW w:w="10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1220" w:type="dxa"/>
            <w:vAlign w:val="bottom"/>
            <w:shd w:val="clear" w:color="auto" w:fill="DDE9F2"/>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00" w:type="dxa"/>
            <w:vAlign w:val="bottom"/>
            <w:shd w:val="clear" w:color="auto" w:fill="DDE9F2"/>
          </w:tcPr>
          <w:p>
            <w:pPr>
              <w:jc w:val="right"/>
              <w:ind w:right="168"/>
              <w:spacing w:after="0"/>
              <w:rPr>
                <w:sz w:val="20"/>
                <w:szCs w:val="20"/>
                <w:color w:val="auto"/>
              </w:rPr>
            </w:pPr>
            <w:r>
              <w:rPr>
                <w:rFonts w:ascii="Arial" w:cs="Arial" w:eastAsia="Arial" w:hAnsi="Arial"/>
                <w:sz w:val="14"/>
                <w:szCs w:val="14"/>
                <w:color w:val="0B2E44"/>
              </w:rPr>
              <w:t>—</w:t>
            </w:r>
          </w:p>
        </w:tc>
        <w:tc>
          <w:tcPr>
            <w:tcW w:w="860" w:type="dxa"/>
            <w:vAlign w:val="bottom"/>
            <w:shd w:val="clear" w:color="auto" w:fill="DDE9F2"/>
          </w:tcPr>
          <w:p>
            <w:pPr>
              <w:jc w:val="right"/>
              <w:ind w:right="108"/>
              <w:spacing w:after="0"/>
              <w:rPr>
                <w:sz w:val="20"/>
                <w:szCs w:val="20"/>
                <w:color w:val="auto"/>
              </w:rPr>
            </w:pPr>
            <w:r>
              <w:rPr>
                <w:rFonts w:ascii="Arial" w:cs="Arial" w:eastAsia="Arial" w:hAnsi="Arial"/>
                <w:sz w:val="14"/>
                <w:szCs w:val="14"/>
                <w:color w:val="0B2E44"/>
              </w:rPr>
              <w:t>7,811</w:t>
            </w:r>
          </w:p>
        </w:tc>
        <w:tc>
          <w:tcPr>
            <w:tcW w:w="920" w:type="dxa"/>
            <w:vAlign w:val="bottom"/>
            <w:shd w:val="clear" w:color="auto" w:fill="DDE9F2"/>
          </w:tcPr>
          <w:p>
            <w:pPr>
              <w:jc w:val="right"/>
              <w:ind w:right="8"/>
              <w:spacing w:after="0"/>
              <w:rPr>
                <w:sz w:val="20"/>
                <w:szCs w:val="20"/>
                <w:color w:val="auto"/>
              </w:rPr>
            </w:pPr>
            <w:r>
              <w:rPr>
                <w:rFonts w:ascii="Arial" w:cs="Arial" w:eastAsia="Arial" w:hAnsi="Arial"/>
                <w:sz w:val="14"/>
                <w:szCs w:val="14"/>
                <w:color w:val="0B2E44"/>
              </w:rPr>
              <w:t>496,514</w:t>
            </w:r>
          </w:p>
        </w:tc>
      </w:tr>
      <w:tr>
        <w:trPr>
          <w:trHeight w:val="209"/>
        </w:trPr>
        <w:tc>
          <w:tcPr>
            <w:tcW w:w="1800" w:type="dxa"/>
            <w:vAlign w:val="bottom"/>
            <w:tcBorders>
              <w:bottom w:val="single" w:sz="8" w:color="auto"/>
            </w:tcBorders>
            <w:shd w:val="clear" w:color="auto" w:fill="DDE9F2"/>
          </w:tcPr>
          <w:p>
            <w:pPr>
              <w:spacing w:after="0"/>
              <w:rPr>
                <w:sz w:val="18"/>
                <w:szCs w:val="18"/>
                <w:color w:val="auto"/>
              </w:rPr>
            </w:pPr>
          </w:p>
        </w:tc>
        <w:tc>
          <w:tcPr>
            <w:tcW w:w="1160" w:type="dxa"/>
            <w:vAlign w:val="bottom"/>
            <w:tcBorders>
              <w:bottom w:val="single" w:sz="8" w:color="auto"/>
            </w:tcBorders>
            <w:shd w:val="clear" w:color="auto" w:fill="DDE9F2"/>
          </w:tcPr>
          <w:p>
            <w:pPr>
              <w:jc w:val="right"/>
              <w:ind w:right="48"/>
              <w:spacing w:after="0"/>
              <w:rPr>
                <w:sz w:val="20"/>
                <w:szCs w:val="20"/>
                <w:color w:val="auto"/>
              </w:rPr>
            </w:pPr>
            <w:r>
              <w:rPr>
                <w:rFonts w:ascii="Arial" w:cs="Arial" w:eastAsia="Arial" w:hAnsi="Arial"/>
                <w:sz w:val="14"/>
                <w:szCs w:val="14"/>
                <w:color w:val="0B2E44"/>
              </w:rPr>
              <w:t>04/28/22(9)</w:t>
            </w:r>
          </w:p>
        </w:tc>
        <w:tc>
          <w:tcPr>
            <w:tcW w:w="1000" w:type="dxa"/>
            <w:vAlign w:val="bottom"/>
            <w:tcBorders>
              <w:bottom w:val="single" w:sz="8" w:color="auto"/>
            </w:tcBorders>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1220" w:type="dxa"/>
            <w:vAlign w:val="bottom"/>
            <w:tcBorders>
              <w:bottom w:val="single" w:sz="8" w:color="auto"/>
            </w:tcBorders>
            <w:shd w:val="clear" w:color="auto" w:fill="DDE9F2"/>
          </w:tcPr>
          <w:p>
            <w:pPr>
              <w:jc w:val="right"/>
              <w:ind w:right="148"/>
              <w:spacing w:after="0"/>
              <w:rPr>
                <w:sz w:val="20"/>
                <w:szCs w:val="20"/>
                <w:color w:val="auto"/>
              </w:rPr>
            </w:pPr>
            <w:r>
              <w:rPr>
                <w:rFonts w:ascii="Arial" w:cs="Arial" w:eastAsia="Arial" w:hAnsi="Arial"/>
                <w:sz w:val="14"/>
                <w:szCs w:val="14"/>
                <w:color w:val="0B2E44"/>
              </w:rPr>
              <w:t>—</w:t>
            </w:r>
          </w:p>
        </w:tc>
        <w:tc>
          <w:tcPr>
            <w:tcW w:w="1140" w:type="dxa"/>
            <w:vAlign w:val="bottom"/>
            <w:tcBorders>
              <w:bottom w:val="single" w:sz="8" w:color="auto"/>
            </w:tcBorders>
            <w:shd w:val="clear" w:color="auto" w:fill="DDE9F2"/>
          </w:tcPr>
          <w:p>
            <w:pPr>
              <w:jc w:val="right"/>
              <w:ind w:right="228"/>
              <w:spacing w:after="0"/>
              <w:rPr>
                <w:sz w:val="20"/>
                <w:szCs w:val="20"/>
                <w:color w:val="auto"/>
              </w:rPr>
            </w:pPr>
            <w:r>
              <w:rPr>
                <w:rFonts w:ascii="Arial" w:cs="Arial" w:eastAsia="Arial" w:hAnsi="Arial"/>
                <w:sz w:val="14"/>
                <w:szCs w:val="14"/>
                <w:color w:val="0B2E44"/>
              </w:rPr>
              <w:t>—</w:t>
            </w:r>
          </w:p>
        </w:tc>
        <w:tc>
          <w:tcPr>
            <w:tcW w:w="1040" w:type="dxa"/>
            <w:vAlign w:val="bottom"/>
            <w:tcBorders>
              <w:bottom w:val="single" w:sz="8" w:color="auto"/>
            </w:tcBorders>
            <w:shd w:val="clear" w:color="auto" w:fill="DDE9F2"/>
          </w:tcPr>
          <w:p>
            <w:pPr>
              <w:jc w:val="right"/>
              <w:ind w:right="228"/>
              <w:spacing w:after="0"/>
              <w:rPr>
                <w:sz w:val="20"/>
                <w:szCs w:val="20"/>
                <w:color w:val="auto"/>
              </w:rPr>
            </w:pPr>
            <w:r>
              <w:rPr>
                <w:rFonts w:ascii="Arial" w:cs="Arial" w:eastAsia="Arial" w:hAnsi="Arial"/>
                <w:sz w:val="14"/>
                <w:szCs w:val="14"/>
                <w:color w:val="0B2E44"/>
              </w:rPr>
              <w:t>7,302</w:t>
            </w:r>
          </w:p>
        </w:tc>
        <w:tc>
          <w:tcPr>
            <w:tcW w:w="1040" w:type="dxa"/>
            <w:vAlign w:val="bottom"/>
            <w:tcBorders>
              <w:bottom w:val="single" w:sz="8" w:color="auto"/>
            </w:tcBorders>
            <w:shd w:val="clear" w:color="auto" w:fill="DDE9F2"/>
          </w:tcPr>
          <w:p>
            <w:pPr>
              <w:jc w:val="right"/>
              <w:ind w:right="228"/>
              <w:spacing w:after="0"/>
              <w:rPr>
                <w:sz w:val="20"/>
                <w:szCs w:val="20"/>
                <w:color w:val="auto"/>
              </w:rPr>
            </w:pPr>
            <w:r>
              <w:rPr>
                <w:rFonts w:ascii="Arial" w:cs="Arial" w:eastAsia="Arial" w:hAnsi="Arial"/>
                <w:sz w:val="14"/>
                <w:szCs w:val="14"/>
                <w:color w:val="0B2E44"/>
              </w:rPr>
              <w:t>14,605</w:t>
            </w:r>
          </w:p>
        </w:tc>
        <w:tc>
          <w:tcPr>
            <w:tcW w:w="1000" w:type="dxa"/>
            <w:vAlign w:val="bottom"/>
            <w:tcBorders>
              <w:bottom w:val="single" w:sz="8" w:color="auto"/>
            </w:tcBorders>
            <w:shd w:val="clear" w:color="auto" w:fill="DDE9F2"/>
          </w:tcPr>
          <w:p>
            <w:pPr>
              <w:jc w:val="right"/>
              <w:ind w:right="188"/>
              <w:spacing w:after="0"/>
              <w:rPr>
                <w:sz w:val="20"/>
                <w:szCs w:val="20"/>
                <w:color w:val="auto"/>
              </w:rPr>
            </w:pPr>
            <w:r>
              <w:rPr>
                <w:rFonts w:ascii="Arial" w:cs="Arial" w:eastAsia="Arial" w:hAnsi="Arial"/>
                <w:sz w:val="14"/>
                <w:szCs w:val="14"/>
                <w:color w:val="0B2E44"/>
              </w:rPr>
              <w:t>29,210</w:t>
            </w:r>
          </w:p>
        </w:tc>
        <w:tc>
          <w:tcPr>
            <w:tcW w:w="860" w:type="dxa"/>
            <w:vAlign w:val="bottom"/>
            <w:tcBorders>
              <w:bottom w:val="single" w:sz="8" w:color="auto"/>
            </w:tcBorders>
            <w:shd w:val="clear" w:color="auto" w:fill="DDE9F2"/>
          </w:tcPr>
          <w:p>
            <w:pPr>
              <w:jc w:val="right"/>
              <w:ind w:right="108"/>
              <w:spacing w:after="0"/>
              <w:rPr>
                <w:sz w:val="20"/>
                <w:szCs w:val="20"/>
                <w:color w:val="auto"/>
              </w:rPr>
            </w:pPr>
            <w:r>
              <w:rPr>
                <w:rFonts w:ascii="Arial" w:cs="Arial" w:eastAsia="Arial" w:hAnsi="Arial"/>
                <w:sz w:val="14"/>
                <w:szCs w:val="14"/>
                <w:color w:val="0B2E44"/>
              </w:rPr>
              <w:t>—</w:t>
            </w:r>
          </w:p>
        </w:tc>
        <w:tc>
          <w:tcPr>
            <w:tcW w:w="920" w:type="dxa"/>
            <w:vAlign w:val="bottom"/>
            <w:tcBorders>
              <w:bottom w:val="single" w:sz="8" w:color="auto"/>
            </w:tcBorders>
            <w:shd w:val="clear" w:color="auto" w:fill="DDE9F2"/>
          </w:tcPr>
          <w:p>
            <w:pPr>
              <w:jc w:val="right"/>
              <w:ind w:right="8"/>
              <w:spacing w:after="0"/>
              <w:rPr>
                <w:sz w:val="20"/>
                <w:szCs w:val="20"/>
                <w:color w:val="auto"/>
              </w:rPr>
            </w:pPr>
            <w:r>
              <w:rPr>
                <w:rFonts w:ascii="Arial" w:cs="Arial" w:eastAsia="Arial" w:hAnsi="Arial"/>
                <w:sz w:val="14"/>
                <w:szCs w:val="14"/>
                <w:color w:val="0B2E44"/>
              </w:rPr>
              <w:t>1,019,715</w:t>
            </w:r>
          </w:p>
        </w:tc>
      </w:tr>
    </w:tbl>
    <w:p>
      <w:pPr>
        <w:spacing w:after="0" w:line="121" w:lineRule="exact"/>
        <w:rPr>
          <w:sz w:val="20"/>
          <w:szCs w:val="20"/>
          <w:color w:val="auto"/>
        </w:rPr>
      </w:pPr>
    </w:p>
    <w:p>
      <w:pPr>
        <w:ind w:left="340" w:hanging="332"/>
        <w:spacing w:after="0" w:line="249" w:lineRule="auto"/>
        <w:tabs>
          <w:tab w:leader="none" w:pos="255" w:val="left"/>
        </w:tabs>
        <w:numPr>
          <w:ilvl w:val="0"/>
          <w:numId w:val="44"/>
        </w:numPr>
        <w:rPr>
          <w:rFonts w:ascii="Arial" w:cs="Arial" w:eastAsia="Arial" w:hAnsi="Arial"/>
          <w:sz w:val="13"/>
          <w:szCs w:val="13"/>
          <w:color w:val="0B2E44"/>
        </w:rPr>
      </w:pPr>
      <w:r>
        <w:rPr>
          <w:rFonts w:ascii="Arial" w:cs="Arial" w:eastAsia="Arial" w:hAnsi="Arial"/>
          <w:sz w:val="13"/>
          <w:szCs w:val="13"/>
          <w:color w:val="0B2E44"/>
        </w:rPr>
        <w:t>Represents the threshold amount with respect to each applicable metric under the Fiscal 2023 AIP for each named executive officer. Actual total payouts may be less than the threshold amounts shown if threshold performance goals are not attained. See “Annual Incentive Plan” above for more information on the Fiscal 2023 AIP and performance objectives for each of our named executive officers.</w:t>
      </w:r>
    </w:p>
    <w:p>
      <w:pPr>
        <w:spacing w:after="0" w:line="1" w:lineRule="exact"/>
        <w:rPr>
          <w:rFonts w:ascii="Arial" w:cs="Arial" w:eastAsia="Arial" w:hAnsi="Arial"/>
          <w:sz w:val="13"/>
          <w:szCs w:val="13"/>
          <w:color w:val="0B2E44"/>
        </w:rPr>
      </w:pPr>
    </w:p>
    <w:p>
      <w:pPr>
        <w:ind w:left="260" w:hanging="252"/>
        <w:spacing w:after="0"/>
        <w:tabs>
          <w:tab w:leader="none" w:pos="260" w:val="left"/>
        </w:tabs>
        <w:numPr>
          <w:ilvl w:val="0"/>
          <w:numId w:val="44"/>
        </w:numPr>
        <w:rPr>
          <w:rFonts w:ascii="Arial" w:cs="Arial" w:eastAsia="Arial" w:hAnsi="Arial"/>
          <w:sz w:val="12"/>
          <w:szCs w:val="12"/>
          <w:color w:val="0B2E44"/>
        </w:rPr>
      </w:pPr>
      <w:r>
        <w:rPr>
          <w:rFonts w:ascii="Arial" w:cs="Arial" w:eastAsia="Arial" w:hAnsi="Arial"/>
          <w:sz w:val="12"/>
          <w:szCs w:val="12"/>
          <w:color w:val="0B2E44"/>
        </w:rPr>
        <w:t>Represents the total target amount with respect to each applicable metric under the Fiscal 2023 AIP for each named executive officer. See “Annual Incentive Plan” above for more information.</w:t>
      </w:r>
    </w:p>
    <w:p>
      <w:pPr>
        <w:spacing w:after="0" w:line="10" w:lineRule="exact"/>
        <w:rPr>
          <w:rFonts w:ascii="Arial" w:cs="Arial" w:eastAsia="Arial" w:hAnsi="Arial"/>
          <w:sz w:val="12"/>
          <w:szCs w:val="12"/>
          <w:color w:val="0B2E44"/>
        </w:rPr>
      </w:pPr>
    </w:p>
    <w:p>
      <w:pPr>
        <w:ind w:left="260" w:hanging="252"/>
        <w:spacing w:after="0"/>
        <w:tabs>
          <w:tab w:leader="none" w:pos="260" w:val="left"/>
        </w:tabs>
        <w:numPr>
          <w:ilvl w:val="0"/>
          <w:numId w:val="44"/>
        </w:numPr>
        <w:rPr>
          <w:rFonts w:ascii="Arial" w:cs="Arial" w:eastAsia="Arial" w:hAnsi="Arial"/>
          <w:sz w:val="13"/>
          <w:szCs w:val="13"/>
          <w:color w:val="0B2E44"/>
        </w:rPr>
      </w:pPr>
      <w:r>
        <w:rPr>
          <w:rFonts w:ascii="Arial" w:cs="Arial" w:eastAsia="Arial" w:hAnsi="Arial"/>
          <w:sz w:val="13"/>
          <w:szCs w:val="13"/>
          <w:color w:val="0B2E44"/>
        </w:rPr>
        <w:t>Represents the maximum amount with respect to each applicable metric under the Fiscal 2023 AIP for each named executive officer. See “Annual Incentive Plan” above for more information.</w:t>
      </w:r>
    </w:p>
    <w:p>
      <w:pPr>
        <w:ind w:left="340" w:right="160" w:hanging="332"/>
        <w:spacing w:after="0" w:line="263" w:lineRule="auto"/>
        <w:tabs>
          <w:tab w:leader="none" w:pos="255" w:val="left"/>
        </w:tabs>
        <w:numPr>
          <w:ilvl w:val="0"/>
          <w:numId w:val="44"/>
        </w:numPr>
        <w:rPr>
          <w:rFonts w:ascii="Arial" w:cs="Arial" w:eastAsia="Arial" w:hAnsi="Arial"/>
          <w:sz w:val="12"/>
          <w:szCs w:val="12"/>
          <w:color w:val="0B2E44"/>
        </w:rPr>
      </w:pPr>
      <w:r>
        <w:rPr>
          <w:rFonts w:ascii="Arial" w:cs="Arial" w:eastAsia="Arial" w:hAnsi="Arial"/>
          <w:sz w:val="12"/>
          <w:szCs w:val="12"/>
          <w:color w:val="0B2E44"/>
        </w:rPr>
        <w:t>Represents the threshold amount for performance stock units granted, or 50% of the target amount, for each named executive officer under our 2016 Incentive Plan. If the threshold conditions for these awards are not met, the award value will be zero. See “Long-Term Equity Incentive Awards” above for more information on the plan and the related performance objectives.</w:t>
      </w:r>
    </w:p>
    <w:p>
      <w:pPr>
        <w:ind w:left="340" w:right="460" w:hanging="332"/>
        <w:spacing w:after="0" w:line="244" w:lineRule="auto"/>
        <w:tabs>
          <w:tab w:leader="none" w:pos="255" w:val="left"/>
        </w:tabs>
        <w:numPr>
          <w:ilvl w:val="0"/>
          <w:numId w:val="44"/>
        </w:numPr>
        <w:rPr>
          <w:rFonts w:ascii="Arial" w:cs="Arial" w:eastAsia="Arial" w:hAnsi="Arial"/>
          <w:sz w:val="13"/>
          <w:szCs w:val="13"/>
          <w:color w:val="0B2E44"/>
        </w:rPr>
      </w:pPr>
      <w:r>
        <w:rPr>
          <w:rFonts w:ascii="Arial" w:cs="Arial" w:eastAsia="Arial" w:hAnsi="Arial"/>
          <w:sz w:val="13"/>
          <w:szCs w:val="13"/>
          <w:color w:val="0B2E44"/>
        </w:rPr>
        <w:t>Represents the target amount for performance stock units granted for each named executive officer under our 2016 Incentive Plan. See “Long-Term Equity Incentive Awards” above for more information.</w:t>
      </w:r>
    </w:p>
    <w:p>
      <w:pPr>
        <w:spacing w:after="0" w:line="1" w:lineRule="exact"/>
        <w:rPr>
          <w:rFonts w:ascii="Arial" w:cs="Arial" w:eastAsia="Arial" w:hAnsi="Arial"/>
          <w:sz w:val="13"/>
          <w:szCs w:val="13"/>
          <w:color w:val="0B2E44"/>
        </w:rPr>
      </w:pPr>
    </w:p>
    <w:p>
      <w:pPr>
        <w:ind w:left="340" w:right="80" w:hanging="332"/>
        <w:spacing w:after="0" w:line="238" w:lineRule="auto"/>
        <w:tabs>
          <w:tab w:leader="none" w:pos="255" w:val="left"/>
        </w:tabs>
        <w:numPr>
          <w:ilvl w:val="0"/>
          <w:numId w:val="44"/>
        </w:numPr>
        <w:rPr>
          <w:rFonts w:ascii="Arial" w:cs="Arial" w:eastAsia="Arial" w:hAnsi="Arial"/>
          <w:sz w:val="13"/>
          <w:szCs w:val="13"/>
          <w:color w:val="0B2E44"/>
        </w:rPr>
      </w:pPr>
      <w:r>
        <w:rPr>
          <w:rFonts w:ascii="Arial" w:cs="Arial" w:eastAsia="Arial" w:hAnsi="Arial"/>
          <w:sz w:val="13"/>
          <w:szCs w:val="13"/>
          <w:color w:val="0B2E44"/>
        </w:rPr>
        <w:t>Represents the maximum amount for performance stock units granted. The maximum payout opportunity for PSUs is 200% for all of the named executive officers. See “Long-Term Equity Incentive Awards” above for more information.</w:t>
      </w:r>
    </w:p>
    <w:p>
      <w:pPr>
        <w:ind w:left="260" w:hanging="252"/>
        <w:spacing w:after="0"/>
        <w:tabs>
          <w:tab w:leader="none" w:pos="260" w:val="left"/>
        </w:tabs>
        <w:numPr>
          <w:ilvl w:val="0"/>
          <w:numId w:val="44"/>
        </w:numPr>
        <w:rPr>
          <w:rFonts w:ascii="Arial" w:cs="Arial" w:eastAsia="Arial" w:hAnsi="Arial"/>
          <w:sz w:val="13"/>
          <w:szCs w:val="13"/>
          <w:color w:val="0B2E44"/>
        </w:rPr>
      </w:pPr>
      <w:r>
        <w:rPr>
          <w:rFonts w:ascii="Arial" w:cs="Arial" w:eastAsia="Arial" w:hAnsi="Arial"/>
          <w:sz w:val="13"/>
          <w:szCs w:val="13"/>
          <w:color w:val="0B2E44"/>
        </w:rPr>
        <w:t>Amounts in this column reflect time-based restricted stock unit awards granted during fiscal 2023 to our named executive officers under our 2016 Incentive Plan.</w:t>
      </w:r>
    </w:p>
    <w:p>
      <w:pPr>
        <w:spacing w:after="0" w:line="4" w:lineRule="exact"/>
        <w:rPr>
          <w:rFonts w:ascii="Arial" w:cs="Arial" w:eastAsia="Arial" w:hAnsi="Arial"/>
          <w:sz w:val="13"/>
          <w:szCs w:val="13"/>
          <w:color w:val="0B2E44"/>
        </w:rPr>
      </w:pPr>
    </w:p>
    <w:p>
      <w:pPr>
        <w:ind w:left="340" w:right="20" w:hanging="332"/>
        <w:spacing w:after="0" w:line="241" w:lineRule="auto"/>
        <w:tabs>
          <w:tab w:leader="none" w:pos="255" w:val="left"/>
        </w:tabs>
        <w:numPr>
          <w:ilvl w:val="0"/>
          <w:numId w:val="44"/>
        </w:numPr>
        <w:rPr>
          <w:rFonts w:ascii="Arial" w:cs="Arial" w:eastAsia="Arial" w:hAnsi="Arial"/>
          <w:sz w:val="13"/>
          <w:szCs w:val="13"/>
          <w:color w:val="0B2E44"/>
        </w:rPr>
      </w:pPr>
      <w:r>
        <w:rPr>
          <w:rFonts w:ascii="Arial" w:cs="Arial" w:eastAsia="Arial" w:hAnsi="Arial"/>
          <w:sz w:val="13"/>
          <w:szCs w:val="13"/>
          <w:color w:val="0B2E44"/>
        </w:rPr>
        <w:t>The amounts reported in this column represent the grant date fair value of the restricted stock unit awards and performance stock unit awards (shown at target) granted during the fiscal year indicated as computed in accordance with FASB ASC Topic 718. The amounts shown disregard estimated forfeitures related to service-based vesting conditions. See Note 11 of our consolidated financial statements contained in our Annual Report on Form 10-K for the year ended March 31, 2023, for a discussion of the assumptions we made in determining the grant date fair value of such awards.</w:t>
      </w:r>
    </w:p>
    <w:p>
      <w:pPr>
        <w:spacing w:after="0" w:line="1" w:lineRule="exact"/>
        <w:rPr>
          <w:rFonts w:ascii="Arial" w:cs="Arial" w:eastAsia="Arial" w:hAnsi="Arial"/>
          <w:sz w:val="13"/>
          <w:szCs w:val="13"/>
          <w:color w:val="0B2E44"/>
        </w:rPr>
      </w:pPr>
    </w:p>
    <w:p>
      <w:pPr>
        <w:ind w:left="340" w:right="100" w:hanging="332"/>
        <w:spacing w:after="0" w:line="270" w:lineRule="auto"/>
        <w:tabs>
          <w:tab w:leader="none" w:pos="290" w:val="left"/>
        </w:tabs>
        <w:numPr>
          <w:ilvl w:val="0"/>
          <w:numId w:val="44"/>
        </w:numPr>
        <w:rPr>
          <w:rFonts w:ascii="Arial" w:cs="Arial" w:eastAsia="Arial" w:hAnsi="Arial"/>
          <w:sz w:val="12"/>
          <w:szCs w:val="12"/>
          <w:color w:val="0B2E44"/>
        </w:rPr>
      </w:pPr>
      <w:r>
        <w:rPr>
          <w:rFonts w:ascii="Arial" w:cs="Arial" w:eastAsia="Arial" w:hAnsi="Arial"/>
          <w:sz w:val="12"/>
          <w:szCs w:val="12"/>
          <w:color w:val="0B2E44"/>
        </w:rPr>
        <w:t>In connection with Mr. Carolan’s Agreement and General Release dated April 28, 2022, all unvested equity shares shall continue to vest in accordance with the plan agreement in which the equity grants were made. The shares included within represent the modified awards and do not reflect new grants. The amount herein represents the accounting charge associated with the incremental fair value in accordance with FASB ASC Topic 718. Mr. Carolan is entitled to 27,432 time-based RSUs, of which 7,811 stock units were previously performance awards where achievement was known at time of modification. Mr. Carolan remains entitled to 14,605 relative TSR PSUs at target which have a threshold amount of 50% and a maximum payout opportunity of 200%. If the threshold conditions for these awards are not met, the award value will be zero. Refer to the “Modification of Former CFO Equity Awards” above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43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2023 OUTSTANDING EQUITY AWARDS AT FISCAL YEAR END TABLE</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Fiscal 2023 Outstanding Equity Awards at Fiscal Year End Table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0B2E44"/>
        </w:rPr>
        <w:t>The following table reflects all outstanding equity awards held by our named executive officers as of March 31, 2023.</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20" w:type="dxa"/>
            <w:vAlign w:val="bottom"/>
            <w:gridSpan w:val="2"/>
          </w:tcPr>
          <w:p>
            <w:pPr>
              <w:jc w:val="right"/>
              <w:ind w:right="250"/>
              <w:spacing w:after="0"/>
              <w:rPr>
                <w:sz w:val="20"/>
                <w:szCs w:val="20"/>
                <w:color w:val="auto"/>
              </w:rPr>
            </w:pPr>
            <w:r>
              <w:rPr>
                <w:rFonts w:ascii="Arial" w:cs="Arial" w:eastAsia="Arial" w:hAnsi="Arial"/>
                <w:sz w:val="13"/>
                <w:szCs w:val="13"/>
                <w:color w:val="auto"/>
              </w:rPr>
              <w:t>Option Awards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0" w:type="dxa"/>
            <w:vAlign w:val="bottom"/>
            <w:gridSpan w:val="2"/>
          </w:tcPr>
          <w:p>
            <w:pPr>
              <w:jc w:val="right"/>
              <w:ind w:right="971"/>
              <w:spacing w:after="0"/>
              <w:rPr>
                <w:sz w:val="20"/>
                <w:szCs w:val="20"/>
                <w:color w:val="auto"/>
              </w:rPr>
            </w:pPr>
            <w:r>
              <w:rPr>
                <w:rFonts w:ascii="Arial" w:cs="Arial" w:eastAsia="Arial" w:hAnsi="Arial"/>
                <w:sz w:val="13"/>
                <w:szCs w:val="13"/>
                <w:color w:val="auto"/>
              </w:rPr>
              <w:t>Stock Awards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20" w:type="dxa"/>
            <w:vAlign w:val="bottom"/>
            <w:vMerge w:val="restart"/>
          </w:tcPr>
          <w:p>
            <w:pPr>
              <w:jc w:val="right"/>
              <w:ind w:right="231"/>
              <w:spacing w:after="0"/>
              <w:rPr>
                <w:sz w:val="20"/>
                <w:szCs w:val="20"/>
                <w:color w:val="auto"/>
              </w:rPr>
            </w:pPr>
            <w:r>
              <w:rPr>
                <w:rFonts w:ascii="Arial" w:cs="Arial" w:eastAsia="Arial" w:hAnsi="Arial"/>
                <w:sz w:val="13"/>
                <w:szCs w:val="13"/>
                <w:color w:val="0B2E44"/>
              </w:rPr>
              <w:t>Equity Incentive</w:t>
            </w:r>
          </w:p>
        </w:tc>
        <w:tc>
          <w:tcPr>
            <w:tcW w:w="1200" w:type="dxa"/>
            <w:vAlign w:val="bottom"/>
          </w:tcPr>
          <w:p>
            <w:pPr>
              <w:jc w:val="right"/>
              <w:spacing w:after="0" w:line="115" w:lineRule="exact"/>
              <w:rPr>
                <w:sz w:val="20"/>
                <w:szCs w:val="20"/>
                <w:color w:val="auto"/>
              </w:rPr>
            </w:pPr>
            <w:r>
              <w:rPr>
                <w:rFonts w:ascii="Arial" w:cs="Arial" w:eastAsia="Arial" w:hAnsi="Arial"/>
                <w:sz w:val="13"/>
                <w:szCs w:val="13"/>
                <w:color w:val="0B2E44"/>
              </w:rPr>
              <w:t>Equity Incentive</w:t>
            </w: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restart"/>
          </w:tcPr>
          <w:p>
            <w:pPr>
              <w:jc w:val="right"/>
              <w:ind w:right="131"/>
              <w:spacing w:after="0"/>
              <w:rPr>
                <w:sz w:val="20"/>
                <w:szCs w:val="20"/>
                <w:color w:val="auto"/>
              </w:rPr>
            </w:pPr>
            <w:r>
              <w:rPr>
                <w:rFonts w:ascii="Arial" w:cs="Arial" w:eastAsia="Arial" w:hAnsi="Arial"/>
                <w:sz w:val="13"/>
                <w:szCs w:val="13"/>
                <w:color w:val="0B2E44"/>
              </w:rPr>
              <w:t>Number of</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80" w:type="dxa"/>
            <w:vAlign w:val="bottom"/>
            <w:vMerge w:val="restart"/>
          </w:tcPr>
          <w:p>
            <w:pPr>
              <w:jc w:val="right"/>
              <w:ind w:right="171"/>
              <w:spacing w:after="0"/>
              <w:rPr>
                <w:sz w:val="20"/>
                <w:szCs w:val="20"/>
                <w:color w:val="auto"/>
              </w:rPr>
            </w:pPr>
            <w:r>
              <w:rPr>
                <w:rFonts w:ascii="Arial" w:cs="Arial" w:eastAsia="Arial" w:hAnsi="Arial"/>
                <w:sz w:val="13"/>
                <w:szCs w:val="13"/>
                <w:color w:val="0B2E44"/>
              </w:rPr>
              <w:t>Market Value</w:t>
            </w:r>
          </w:p>
        </w:tc>
        <w:tc>
          <w:tcPr>
            <w:tcW w:w="1420" w:type="dxa"/>
            <w:vAlign w:val="bottom"/>
            <w:vMerge w:val="continue"/>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Plan Awards: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20" w:type="dxa"/>
            <w:vAlign w:val="bottom"/>
          </w:tcPr>
          <w:p>
            <w:pPr>
              <w:jc w:val="right"/>
              <w:ind w:right="231"/>
              <w:spacing w:after="0" w:line="134" w:lineRule="exact"/>
              <w:rPr>
                <w:sz w:val="20"/>
                <w:szCs w:val="20"/>
                <w:color w:val="auto"/>
              </w:rPr>
            </w:pPr>
            <w:r>
              <w:rPr>
                <w:rFonts w:ascii="Arial" w:cs="Arial" w:eastAsia="Arial" w:hAnsi="Arial"/>
                <w:sz w:val="13"/>
                <w:szCs w:val="13"/>
                <w:color w:val="0B2E44"/>
              </w:rPr>
              <w:t>Plan Awards:</w:t>
            </w:r>
          </w:p>
        </w:tc>
        <w:tc>
          <w:tcPr>
            <w:tcW w:w="1200" w:type="dxa"/>
            <w:vAlign w:val="bottom"/>
          </w:tcPr>
          <w:p>
            <w:pPr>
              <w:jc w:val="right"/>
              <w:spacing w:after="0" w:line="134" w:lineRule="exact"/>
              <w:rPr>
                <w:sz w:val="20"/>
                <w:szCs w:val="20"/>
                <w:color w:val="auto"/>
              </w:rPr>
            </w:pPr>
            <w:r>
              <w:rPr>
                <w:rFonts w:ascii="Arial" w:cs="Arial" w:eastAsia="Arial" w:hAnsi="Arial"/>
                <w:sz w:val="13"/>
                <w:szCs w:val="13"/>
                <w:color w:val="0B2E44"/>
              </w:rPr>
              <w:t>Market or</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jc w:val="right"/>
              <w:ind w:right="131"/>
              <w:spacing w:after="0" w:line="122" w:lineRule="exact"/>
              <w:rPr>
                <w:sz w:val="20"/>
                <w:szCs w:val="20"/>
                <w:color w:val="auto"/>
              </w:rPr>
            </w:pPr>
            <w:r>
              <w:rPr>
                <w:rFonts w:ascii="Arial" w:cs="Arial" w:eastAsia="Arial" w:hAnsi="Arial"/>
                <w:sz w:val="13"/>
                <w:szCs w:val="13"/>
                <w:color w:val="0B2E44"/>
              </w:rPr>
              <w:t>Securities</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vMerge w:val="restart"/>
          </w:tcPr>
          <w:p>
            <w:pPr>
              <w:jc w:val="right"/>
              <w:ind w:right="150"/>
              <w:spacing w:after="0"/>
              <w:rPr>
                <w:sz w:val="20"/>
                <w:szCs w:val="20"/>
                <w:color w:val="auto"/>
              </w:rPr>
            </w:pPr>
            <w:r>
              <w:rPr>
                <w:rFonts w:ascii="Arial" w:cs="Arial" w:eastAsia="Arial" w:hAnsi="Arial"/>
                <w:sz w:val="13"/>
                <w:szCs w:val="13"/>
                <w:color w:val="0B2E44"/>
              </w:rPr>
              <w:t>Number of</w:t>
            </w:r>
          </w:p>
        </w:tc>
        <w:tc>
          <w:tcPr>
            <w:tcW w:w="1180" w:type="dxa"/>
            <w:vAlign w:val="bottom"/>
          </w:tcPr>
          <w:p>
            <w:pPr>
              <w:jc w:val="right"/>
              <w:ind w:right="171"/>
              <w:spacing w:after="0" w:line="122" w:lineRule="exact"/>
              <w:rPr>
                <w:sz w:val="20"/>
                <w:szCs w:val="20"/>
                <w:color w:val="auto"/>
              </w:rPr>
            </w:pPr>
            <w:r>
              <w:rPr>
                <w:rFonts w:ascii="Arial" w:cs="Arial" w:eastAsia="Arial" w:hAnsi="Arial"/>
                <w:sz w:val="13"/>
                <w:szCs w:val="13"/>
                <w:color w:val="0B2E44"/>
              </w:rPr>
              <w:t>of Unearned</w:t>
            </w:r>
          </w:p>
        </w:tc>
        <w:tc>
          <w:tcPr>
            <w:tcW w:w="1420" w:type="dxa"/>
            <w:vAlign w:val="bottom"/>
          </w:tcPr>
          <w:p>
            <w:pPr>
              <w:jc w:val="right"/>
              <w:ind w:right="231"/>
              <w:spacing w:after="0" w:line="122" w:lineRule="exact"/>
              <w:rPr>
                <w:sz w:val="20"/>
                <w:szCs w:val="20"/>
                <w:color w:val="auto"/>
              </w:rPr>
            </w:pPr>
            <w:r>
              <w:rPr>
                <w:rFonts w:ascii="Arial" w:cs="Arial" w:eastAsia="Arial" w:hAnsi="Arial"/>
                <w:sz w:val="13"/>
                <w:szCs w:val="13"/>
                <w:color w:val="0B2E44"/>
              </w:rPr>
              <w:t>Number of</w:t>
            </w: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Payout Value of</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jc w:val="right"/>
              <w:ind w:right="131"/>
              <w:spacing w:after="0" w:line="122" w:lineRule="exact"/>
              <w:rPr>
                <w:sz w:val="20"/>
                <w:szCs w:val="20"/>
                <w:color w:val="auto"/>
              </w:rPr>
            </w:pPr>
            <w:r>
              <w:rPr>
                <w:rFonts w:ascii="Arial" w:cs="Arial" w:eastAsia="Arial" w:hAnsi="Arial"/>
                <w:sz w:val="13"/>
                <w:szCs w:val="13"/>
                <w:color w:val="0B2E44"/>
              </w:rPr>
              <w:t>Underlying</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80" w:type="dxa"/>
            <w:vAlign w:val="bottom"/>
          </w:tcPr>
          <w:p>
            <w:pPr>
              <w:jc w:val="right"/>
              <w:ind w:right="171"/>
              <w:spacing w:after="0" w:line="122" w:lineRule="exact"/>
              <w:rPr>
                <w:sz w:val="20"/>
                <w:szCs w:val="20"/>
                <w:color w:val="auto"/>
              </w:rPr>
            </w:pPr>
            <w:r>
              <w:rPr>
                <w:rFonts w:ascii="Arial" w:cs="Arial" w:eastAsia="Arial" w:hAnsi="Arial"/>
                <w:sz w:val="13"/>
                <w:szCs w:val="13"/>
                <w:color w:val="0B2E44"/>
              </w:rPr>
              <w:t>Shares or</w:t>
            </w:r>
          </w:p>
        </w:tc>
        <w:tc>
          <w:tcPr>
            <w:tcW w:w="1420" w:type="dxa"/>
            <w:vAlign w:val="bottom"/>
          </w:tcPr>
          <w:p>
            <w:pPr>
              <w:jc w:val="right"/>
              <w:ind w:right="231"/>
              <w:spacing w:after="0" w:line="122" w:lineRule="exact"/>
              <w:rPr>
                <w:sz w:val="20"/>
                <w:szCs w:val="20"/>
                <w:color w:val="auto"/>
              </w:rPr>
            </w:pPr>
            <w:r>
              <w:rPr>
                <w:rFonts w:ascii="Arial" w:cs="Arial" w:eastAsia="Arial" w:hAnsi="Arial"/>
                <w:sz w:val="13"/>
                <w:szCs w:val="13"/>
                <w:color w:val="0B2E44"/>
              </w:rPr>
              <w:t>Unearned</w:t>
            </w: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Unearned</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jc w:val="right"/>
              <w:ind w:right="131"/>
              <w:spacing w:after="0" w:line="134" w:lineRule="exact"/>
              <w:rPr>
                <w:sz w:val="20"/>
                <w:szCs w:val="20"/>
                <w:color w:val="auto"/>
              </w:rPr>
            </w:pPr>
            <w:r>
              <w:rPr>
                <w:rFonts w:ascii="Arial" w:cs="Arial" w:eastAsia="Arial" w:hAnsi="Arial"/>
                <w:sz w:val="13"/>
                <w:szCs w:val="13"/>
                <w:color w:val="0B2E44"/>
              </w:rPr>
              <w:t>Unexercised</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jc w:val="right"/>
              <w:ind w:right="150"/>
              <w:spacing w:after="0" w:line="134" w:lineRule="exact"/>
              <w:rPr>
                <w:sz w:val="20"/>
                <w:szCs w:val="20"/>
                <w:color w:val="auto"/>
              </w:rPr>
            </w:pPr>
            <w:r>
              <w:rPr>
                <w:rFonts w:ascii="Arial" w:cs="Arial" w:eastAsia="Arial" w:hAnsi="Arial"/>
                <w:sz w:val="13"/>
                <w:szCs w:val="13"/>
                <w:color w:val="0B2E44"/>
              </w:rPr>
              <w:t>Shares or</w:t>
            </w:r>
          </w:p>
        </w:tc>
        <w:tc>
          <w:tcPr>
            <w:tcW w:w="1180" w:type="dxa"/>
            <w:vAlign w:val="bottom"/>
          </w:tcPr>
          <w:p>
            <w:pPr>
              <w:jc w:val="right"/>
              <w:ind w:right="171"/>
              <w:spacing w:after="0" w:line="134" w:lineRule="exact"/>
              <w:rPr>
                <w:sz w:val="20"/>
                <w:szCs w:val="20"/>
                <w:color w:val="auto"/>
              </w:rPr>
            </w:pPr>
            <w:r>
              <w:rPr>
                <w:rFonts w:ascii="Arial" w:cs="Arial" w:eastAsia="Arial" w:hAnsi="Arial"/>
                <w:sz w:val="13"/>
                <w:szCs w:val="13"/>
                <w:color w:val="0B2E44"/>
              </w:rPr>
              <w:t>Units of</w:t>
            </w:r>
          </w:p>
        </w:tc>
        <w:tc>
          <w:tcPr>
            <w:tcW w:w="1420" w:type="dxa"/>
            <w:vAlign w:val="bottom"/>
          </w:tcPr>
          <w:p>
            <w:pPr>
              <w:jc w:val="right"/>
              <w:ind w:right="231"/>
              <w:spacing w:after="0" w:line="134" w:lineRule="exact"/>
              <w:rPr>
                <w:sz w:val="20"/>
                <w:szCs w:val="20"/>
                <w:color w:val="auto"/>
              </w:rPr>
            </w:pPr>
            <w:r>
              <w:rPr>
                <w:rFonts w:ascii="Arial" w:cs="Arial" w:eastAsia="Arial" w:hAnsi="Arial"/>
                <w:sz w:val="13"/>
                <w:szCs w:val="13"/>
                <w:color w:val="0B2E44"/>
              </w:rPr>
              <w:t>Shares, Units or</w:t>
            </w:r>
          </w:p>
        </w:tc>
        <w:tc>
          <w:tcPr>
            <w:tcW w:w="1200" w:type="dxa"/>
            <w:vAlign w:val="bottom"/>
          </w:tcPr>
          <w:p>
            <w:pPr>
              <w:jc w:val="right"/>
              <w:spacing w:after="0" w:line="134" w:lineRule="exact"/>
              <w:rPr>
                <w:sz w:val="20"/>
                <w:szCs w:val="20"/>
                <w:color w:val="auto"/>
              </w:rPr>
            </w:pPr>
            <w:r>
              <w:rPr>
                <w:rFonts w:ascii="Arial" w:cs="Arial" w:eastAsia="Arial" w:hAnsi="Arial"/>
                <w:sz w:val="13"/>
                <w:szCs w:val="13"/>
                <w:color w:val="0B2E44"/>
              </w:rPr>
              <w:t>Shares, Units or</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0B2E44"/>
              </w:rPr>
              <w:t>Grant</w:t>
            </w:r>
          </w:p>
        </w:tc>
        <w:tc>
          <w:tcPr>
            <w:tcW w:w="1340" w:type="dxa"/>
            <w:vAlign w:val="bottom"/>
          </w:tcPr>
          <w:p>
            <w:pPr>
              <w:jc w:val="right"/>
              <w:ind w:right="131"/>
              <w:spacing w:after="0" w:line="122" w:lineRule="exact"/>
              <w:rPr>
                <w:sz w:val="20"/>
                <w:szCs w:val="20"/>
                <w:color w:val="auto"/>
              </w:rPr>
            </w:pPr>
            <w:r>
              <w:rPr>
                <w:rFonts w:ascii="Arial" w:cs="Arial" w:eastAsia="Arial" w:hAnsi="Arial"/>
                <w:sz w:val="13"/>
                <w:szCs w:val="13"/>
                <w:color w:val="0B2E44"/>
              </w:rPr>
              <w:t>Options</w:t>
            </w:r>
          </w:p>
        </w:tc>
        <w:tc>
          <w:tcPr>
            <w:tcW w:w="880" w:type="dxa"/>
            <w:vAlign w:val="bottom"/>
          </w:tcPr>
          <w:p>
            <w:pPr>
              <w:jc w:val="right"/>
              <w:ind w:right="150"/>
              <w:spacing w:after="0" w:line="122" w:lineRule="exact"/>
              <w:rPr>
                <w:sz w:val="20"/>
                <w:szCs w:val="20"/>
                <w:color w:val="auto"/>
              </w:rPr>
            </w:pPr>
            <w:r>
              <w:rPr>
                <w:rFonts w:ascii="Arial" w:cs="Arial" w:eastAsia="Arial" w:hAnsi="Arial"/>
                <w:sz w:val="13"/>
                <w:szCs w:val="13"/>
                <w:color w:val="0B2E44"/>
              </w:rPr>
              <w:t>Option</w:t>
            </w:r>
          </w:p>
        </w:tc>
        <w:tc>
          <w:tcPr>
            <w:tcW w:w="980" w:type="dxa"/>
            <w:vAlign w:val="bottom"/>
          </w:tcPr>
          <w:p>
            <w:pPr>
              <w:jc w:val="right"/>
              <w:ind w:right="150"/>
              <w:spacing w:after="0" w:line="122" w:lineRule="exact"/>
              <w:rPr>
                <w:sz w:val="20"/>
                <w:szCs w:val="20"/>
                <w:color w:val="auto"/>
              </w:rPr>
            </w:pPr>
            <w:r>
              <w:rPr>
                <w:rFonts w:ascii="Arial" w:cs="Arial" w:eastAsia="Arial" w:hAnsi="Arial"/>
                <w:sz w:val="13"/>
                <w:szCs w:val="13"/>
                <w:color w:val="0B2E44"/>
              </w:rPr>
              <w:t>Option</w:t>
            </w:r>
          </w:p>
        </w:tc>
        <w:tc>
          <w:tcPr>
            <w:tcW w:w="1240" w:type="dxa"/>
            <w:vAlign w:val="bottom"/>
          </w:tcPr>
          <w:p>
            <w:pPr>
              <w:jc w:val="right"/>
              <w:ind w:right="150"/>
              <w:spacing w:after="0" w:line="122" w:lineRule="exact"/>
              <w:rPr>
                <w:sz w:val="20"/>
                <w:szCs w:val="20"/>
                <w:color w:val="auto"/>
              </w:rPr>
            </w:pPr>
            <w:r>
              <w:rPr>
                <w:rFonts w:ascii="Arial" w:cs="Arial" w:eastAsia="Arial" w:hAnsi="Arial"/>
                <w:sz w:val="13"/>
                <w:szCs w:val="13"/>
                <w:color w:val="0B2E44"/>
              </w:rPr>
              <w:t>Units of Stock</w:t>
            </w:r>
          </w:p>
        </w:tc>
        <w:tc>
          <w:tcPr>
            <w:tcW w:w="1180" w:type="dxa"/>
            <w:vAlign w:val="bottom"/>
          </w:tcPr>
          <w:p>
            <w:pPr>
              <w:jc w:val="right"/>
              <w:ind w:right="171"/>
              <w:spacing w:after="0" w:line="122" w:lineRule="exact"/>
              <w:rPr>
                <w:sz w:val="20"/>
                <w:szCs w:val="20"/>
                <w:color w:val="auto"/>
              </w:rPr>
            </w:pPr>
            <w:r>
              <w:rPr>
                <w:rFonts w:ascii="Arial" w:cs="Arial" w:eastAsia="Arial" w:hAnsi="Arial"/>
                <w:sz w:val="13"/>
                <w:szCs w:val="13"/>
                <w:color w:val="0B2E44"/>
              </w:rPr>
              <w:t>Stock That</w:t>
            </w:r>
          </w:p>
        </w:tc>
        <w:tc>
          <w:tcPr>
            <w:tcW w:w="1420" w:type="dxa"/>
            <w:vAlign w:val="bottom"/>
          </w:tcPr>
          <w:p>
            <w:pPr>
              <w:jc w:val="right"/>
              <w:ind w:right="231"/>
              <w:spacing w:after="0" w:line="122" w:lineRule="exact"/>
              <w:rPr>
                <w:sz w:val="20"/>
                <w:szCs w:val="20"/>
                <w:color w:val="auto"/>
              </w:rPr>
            </w:pPr>
            <w:r>
              <w:rPr>
                <w:rFonts w:ascii="Arial" w:cs="Arial" w:eastAsia="Arial" w:hAnsi="Arial"/>
                <w:sz w:val="13"/>
                <w:szCs w:val="13"/>
                <w:color w:val="0B2E44"/>
              </w:rPr>
              <w:t>Other Rights</w:t>
            </w: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Other Rights</w:t>
            </w:r>
          </w:p>
        </w:tc>
        <w:tc>
          <w:tcPr>
            <w:tcW w:w="0" w:type="dxa"/>
            <w:vAlign w:val="bottom"/>
          </w:tcPr>
          <w:p>
            <w:pPr>
              <w:spacing w:after="0"/>
              <w:rPr>
                <w:sz w:val="1"/>
                <w:szCs w:val="1"/>
                <w:color w:val="auto"/>
              </w:rPr>
            </w:pPr>
          </w:p>
        </w:tc>
      </w:tr>
      <w:tr>
        <w:trPr>
          <w:trHeight w:val="122"/>
        </w:trPr>
        <w:tc>
          <w:tcPr>
            <w:tcW w:w="1860" w:type="dxa"/>
            <w:vAlign w:val="bottom"/>
            <w:vMerge w:val="restart"/>
          </w:tcPr>
          <w:p>
            <w:pPr>
              <w:ind w:left="140"/>
              <w:spacing w:after="0"/>
              <w:rPr>
                <w:sz w:val="20"/>
                <w:szCs w:val="20"/>
                <w:color w:val="auto"/>
              </w:rPr>
            </w:pPr>
            <w:r>
              <w:rPr>
                <w:rFonts w:ascii="Arial" w:cs="Arial" w:eastAsia="Arial" w:hAnsi="Arial"/>
                <w:sz w:val="13"/>
                <w:szCs w:val="13"/>
                <w:color w:val="0B2E44"/>
              </w:rPr>
              <w:t>Name</w:t>
            </w:r>
          </w:p>
        </w:tc>
        <w:tc>
          <w:tcPr>
            <w:tcW w:w="1100" w:type="dxa"/>
            <w:vAlign w:val="bottom"/>
            <w:vMerge w:val="continue"/>
          </w:tcPr>
          <w:p>
            <w:pPr>
              <w:spacing w:after="0"/>
              <w:rPr>
                <w:sz w:val="10"/>
                <w:szCs w:val="10"/>
                <w:color w:val="auto"/>
              </w:rPr>
            </w:pPr>
          </w:p>
        </w:tc>
        <w:tc>
          <w:tcPr>
            <w:tcW w:w="1340" w:type="dxa"/>
            <w:vAlign w:val="bottom"/>
          </w:tcPr>
          <w:p>
            <w:pPr>
              <w:jc w:val="right"/>
              <w:ind w:right="131"/>
              <w:spacing w:after="0" w:line="122" w:lineRule="exact"/>
              <w:rPr>
                <w:sz w:val="20"/>
                <w:szCs w:val="20"/>
                <w:color w:val="auto"/>
              </w:rPr>
            </w:pPr>
            <w:r>
              <w:rPr>
                <w:rFonts w:ascii="Arial" w:cs="Arial" w:eastAsia="Arial" w:hAnsi="Arial"/>
                <w:sz w:val="13"/>
                <w:szCs w:val="13"/>
                <w:color w:val="0B2E44"/>
              </w:rPr>
              <w:t>(Exercisable)</w:t>
            </w:r>
          </w:p>
        </w:tc>
        <w:tc>
          <w:tcPr>
            <w:tcW w:w="880" w:type="dxa"/>
            <w:vAlign w:val="bottom"/>
          </w:tcPr>
          <w:p>
            <w:pPr>
              <w:jc w:val="right"/>
              <w:ind w:right="150"/>
              <w:spacing w:after="0" w:line="122" w:lineRule="exact"/>
              <w:rPr>
                <w:sz w:val="20"/>
                <w:szCs w:val="20"/>
                <w:color w:val="auto"/>
              </w:rPr>
            </w:pPr>
            <w:r>
              <w:rPr>
                <w:rFonts w:ascii="Arial" w:cs="Arial" w:eastAsia="Arial" w:hAnsi="Arial"/>
                <w:sz w:val="13"/>
                <w:szCs w:val="13"/>
                <w:color w:val="0B2E44"/>
              </w:rPr>
              <w:t>Exercise</w:t>
            </w:r>
          </w:p>
        </w:tc>
        <w:tc>
          <w:tcPr>
            <w:tcW w:w="980" w:type="dxa"/>
            <w:vAlign w:val="bottom"/>
          </w:tcPr>
          <w:p>
            <w:pPr>
              <w:jc w:val="right"/>
              <w:ind w:right="150"/>
              <w:spacing w:after="0" w:line="122" w:lineRule="exact"/>
              <w:rPr>
                <w:sz w:val="20"/>
                <w:szCs w:val="20"/>
                <w:color w:val="auto"/>
              </w:rPr>
            </w:pPr>
            <w:r>
              <w:rPr>
                <w:rFonts w:ascii="Arial" w:cs="Arial" w:eastAsia="Arial" w:hAnsi="Arial"/>
                <w:sz w:val="13"/>
                <w:szCs w:val="13"/>
                <w:color w:val="0B2E44"/>
              </w:rPr>
              <w:t>Expiration</w:t>
            </w:r>
          </w:p>
        </w:tc>
        <w:tc>
          <w:tcPr>
            <w:tcW w:w="1240" w:type="dxa"/>
            <w:vAlign w:val="bottom"/>
          </w:tcPr>
          <w:p>
            <w:pPr>
              <w:jc w:val="right"/>
              <w:ind w:right="150"/>
              <w:spacing w:after="0" w:line="122" w:lineRule="exact"/>
              <w:rPr>
                <w:sz w:val="20"/>
                <w:szCs w:val="20"/>
                <w:color w:val="auto"/>
              </w:rPr>
            </w:pPr>
            <w:r>
              <w:rPr>
                <w:rFonts w:ascii="Arial" w:cs="Arial" w:eastAsia="Arial" w:hAnsi="Arial"/>
                <w:sz w:val="13"/>
                <w:szCs w:val="13"/>
                <w:color w:val="0B2E44"/>
              </w:rPr>
              <w:t>That Have Not</w:t>
            </w:r>
          </w:p>
        </w:tc>
        <w:tc>
          <w:tcPr>
            <w:tcW w:w="1180" w:type="dxa"/>
            <w:vAlign w:val="bottom"/>
          </w:tcPr>
          <w:p>
            <w:pPr>
              <w:jc w:val="right"/>
              <w:ind w:right="171"/>
              <w:spacing w:after="0" w:line="122" w:lineRule="exact"/>
              <w:rPr>
                <w:sz w:val="20"/>
                <w:szCs w:val="20"/>
                <w:color w:val="auto"/>
              </w:rPr>
            </w:pPr>
            <w:r>
              <w:rPr>
                <w:rFonts w:ascii="Arial" w:cs="Arial" w:eastAsia="Arial" w:hAnsi="Arial"/>
                <w:sz w:val="13"/>
                <w:szCs w:val="13"/>
                <w:color w:val="0B2E44"/>
              </w:rPr>
              <w:t>Have Not</w:t>
            </w:r>
          </w:p>
        </w:tc>
        <w:tc>
          <w:tcPr>
            <w:tcW w:w="1420" w:type="dxa"/>
            <w:vAlign w:val="bottom"/>
          </w:tcPr>
          <w:p>
            <w:pPr>
              <w:jc w:val="right"/>
              <w:ind w:right="231"/>
              <w:spacing w:after="0" w:line="122" w:lineRule="exact"/>
              <w:rPr>
                <w:sz w:val="20"/>
                <w:szCs w:val="20"/>
                <w:color w:val="auto"/>
              </w:rPr>
            </w:pPr>
            <w:r>
              <w:rPr>
                <w:rFonts w:ascii="Arial" w:cs="Arial" w:eastAsia="Arial" w:hAnsi="Arial"/>
                <w:sz w:val="13"/>
                <w:szCs w:val="13"/>
                <w:color w:val="0B2E44"/>
              </w:rPr>
              <w:t>That Have Not</w:t>
            </w: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That Have Not</w:t>
            </w: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0B2E44"/>
              </w:rPr>
              <w:t>Date(1)</w:t>
            </w:r>
          </w:p>
        </w:tc>
        <w:tc>
          <w:tcPr>
            <w:tcW w:w="1340" w:type="dxa"/>
            <w:vAlign w:val="bottom"/>
          </w:tcPr>
          <w:p>
            <w:pPr>
              <w:jc w:val="right"/>
              <w:ind w:right="131"/>
              <w:spacing w:after="0"/>
              <w:rPr>
                <w:sz w:val="20"/>
                <w:szCs w:val="20"/>
                <w:color w:val="auto"/>
              </w:rPr>
            </w:pPr>
            <w:r>
              <w:rPr>
                <w:rFonts w:ascii="Arial" w:cs="Arial" w:eastAsia="Arial" w:hAnsi="Arial"/>
                <w:sz w:val="13"/>
                <w:szCs w:val="13"/>
                <w:color w:val="0B2E44"/>
              </w:rPr>
              <w:t>(#)</w:t>
            </w:r>
          </w:p>
        </w:tc>
        <w:tc>
          <w:tcPr>
            <w:tcW w:w="880" w:type="dxa"/>
            <w:vAlign w:val="bottom"/>
          </w:tcPr>
          <w:p>
            <w:pPr>
              <w:jc w:val="right"/>
              <w:ind w:right="150"/>
              <w:spacing w:after="0"/>
              <w:rPr>
                <w:sz w:val="20"/>
                <w:szCs w:val="20"/>
                <w:color w:val="auto"/>
              </w:rPr>
            </w:pPr>
            <w:r>
              <w:rPr>
                <w:rFonts w:ascii="Arial" w:cs="Arial" w:eastAsia="Arial" w:hAnsi="Arial"/>
                <w:sz w:val="13"/>
                <w:szCs w:val="13"/>
                <w:color w:val="0B2E44"/>
              </w:rPr>
              <w:t>Price($)</w:t>
            </w:r>
          </w:p>
        </w:tc>
        <w:tc>
          <w:tcPr>
            <w:tcW w:w="980" w:type="dxa"/>
            <w:vAlign w:val="bottom"/>
          </w:tcPr>
          <w:p>
            <w:pPr>
              <w:jc w:val="center"/>
              <w:ind w:left="210"/>
              <w:spacing w:after="0"/>
              <w:rPr>
                <w:sz w:val="20"/>
                <w:szCs w:val="20"/>
                <w:color w:val="auto"/>
              </w:rPr>
            </w:pPr>
            <w:r>
              <w:rPr>
                <w:rFonts w:ascii="Arial" w:cs="Arial" w:eastAsia="Arial" w:hAnsi="Arial"/>
                <w:sz w:val="13"/>
                <w:szCs w:val="13"/>
                <w:color w:val="0B2E44"/>
                <w:w w:val="94"/>
              </w:rPr>
              <w:t>Date</w:t>
            </w:r>
          </w:p>
        </w:tc>
        <w:tc>
          <w:tcPr>
            <w:tcW w:w="1240" w:type="dxa"/>
            <w:vAlign w:val="bottom"/>
          </w:tcPr>
          <w:p>
            <w:pPr>
              <w:jc w:val="right"/>
              <w:ind w:right="150"/>
              <w:spacing w:after="0"/>
              <w:rPr>
                <w:sz w:val="20"/>
                <w:szCs w:val="20"/>
                <w:color w:val="auto"/>
              </w:rPr>
            </w:pPr>
            <w:r>
              <w:rPr>
                <w:rFonts w:ascii="Arial" w:cs="Arial" w:eastAsia="Arial" w:hAnsi="Arial"/>
                <w:sz w:val="13"/>
                <w:szCs w:val="13"/>
                <w:color w:val="0B2E44"/>
              </w:rPr>
              <w:t>Vested(#)(2)</w:t>
            </w:r>
          </w:p>
        </w:tc>
        <w:tc>
          <w:tcPr>
            <w:tcW w:w="1180" w:type="dxa"/>
            <w:vAlign w:val="bottom"/>
          </w:tcPr>
          <w:p>
            <w:pPr>
              <w:jc w:val="right"/>
              <w:ind w:right="171"/>
              <w:spacing w:after="0"/>
              <w:rPr>
                <w:sz w:val="20"/>
                <w:szCs w:val="20"/>
                <w:color w:val="auto"/>
              </w:rPr>
            </w:pPr>
            <w:r>
              <w:rPr>
                <w:rFonts w:ascii="Arial" w:cs="Arial" w:eastAsia="Arial" w:hAnsi="Arial"/>
                <w:sz w:val="13"/>
                <w:szCs w:val="13"/>
                <w:color w:val="0B2E44"/>
              </w:rPr>
              <w:t>Vested($)</w:t>
            </w:r>
          </w:p>
        </w:tc>
        <w:tc>
          <w:tcPr>
            <w:tcW w:w="1420" w:type="dxa"/>
            <w:vAlign w:val="bottom"/>
          </w:tcPr>
          <w:p>
            <w:pPr>
              <w:jc w:val="right"/>
              <w:ind w:right="231"/>
              <w:spacing w:after="0"/>
              <w:rPr>
                <w:sz w:val="20"/>
                <w:szCs w:val="20"/>
                <w:color w:val="auto"/>
              </w:rPr>
            </w:pPr>
            <w:r>
              <w:rPr>
                <w:rFonts w:ascii="Arial" w:cs="Arial" w:eastAsia="Arial" w:hAnsi="Arial"/>
                <w:sz w:val="13"/>
                <w:szCs w:val="13"/>
                <w:color w:val="0B2E44"/>
              </w:rPr>
              <w:t>Vested(#)(3)</w:t>
            </w:r>
          </w:p>
        </w:tc>
        <w:tc>
          <w:tcPr>
            <w:tcW w:w="1200" w:type="dxa"/>
            <w:vAlign w:val="bottom"/>
          </w:tcPr>
          <w:p>
            <w:pPr>
              <w:jc w:val="right"/>
              <w:spacing w:after="0"/>
              <w:rPr>
                <w:sz w:val="20"/>
                <w:szCs w:val="20"/>
                <w:color w:val="auto"/>
              </w:rPr>
            </w:pPr>
            <w:r>
              <w:rPr>
                <w:rFonts w:ascii="Arial" w:cs="Arial" w:eastAsia="Arial" w:hAnsi="Arial"/>
                <w:sz w:val="13"/>
                <w:szCs w:val="13"/>
                <w:color w:val="0B2E44"/>
              </w:rPr>
              <w:t>Vested($)</w:t>
            </w:r>
          </w:p>
        </w:tc>
        <w:tc>
          <w:tcPr>
            <w:tcW w:w="0" w:type="dxa"/>
            <w:vAlign w:val="bottom"/>
          </w:tcPr>
          <w:p>
            <w:pPr>
              <w:spacing w:after="0"/>
              <w:rPr>
                <w:sz w:val="1"/>
                <w:szCs w:val="1"/>
                <w:color w:val="auto"/>
              </w:rPr>
            </w:pPr>
          </w:p>
        </w:tc>
      </w:tr>
      <w:tr>
        <w:trPr>
          <w:trHeight w:val="43"/>
        </w:trPr>
        <w:tc>
          <w:tcPr>
            <w:tcW w:w="1860" w:type="dxa"/>
            <w:vAlign w:val="bottom"/>
            <w:tcBorders>
              <w:bottom w:val="single" w:sz="8" w:color="E14A6A"/>
            </w:tcBorders>
          </w:tcPr>
          <w:p>
            <w:pPr>
              <w:spacing w:after="0"/>
              <w:rPr>
                <w:sz w:val="3"/>
                <w:szCs w:val="3"/>
                <w:color w:val="auto"/>
              </w:rPr>
            </w:pPr>
          </w:p>
        </w:tc>
        <w:tc>
          <w:tcPr>
            <w:tcW w:w="1100" w:type="dxa"/>
            <w:vAlign w:val="bottom"/>
            <w:tcBorders>
              <w:bottom w:val="single" w:sz="8" w:color="E14A6A"/>
            </w:tcBorders>
          </w:tcPr>
          <w:p>
            <w:pPr>
              <w:spacing w:after="0"/>
              <w:rPr>
                <w:sz w:val="3"/>
                <w:szCs w:val="3"/>
                <w:color w:val="auto"/>
              </w:rPr>
            </w:pPr>
          </w:p>
        </w:tc>
        <w:tc>
          <w:tcPr>
            <w:tcW w:w="1340" w:type="dxa"/>
            <w:vAlign w:val="bottom"/>
            <w:tcBorders>
              <w:bottom w:val="single" w:sz="8" w:color="E14A6A"/>
            </w:tcBorders>
          </w:tcPr>
          <w:p>
            <w:pPr>
              <w:spacing w:after="0"/>
              <w:rPr>
                <w:sz w:val="3"/>
                <w:szCs w:val="3"/>
                <w:color w:val="auto"/>
              </w:rPr>
            </w:pPr>
          </w:p>
        </w:tc>
        <w:tc>
          <w:tcPr>
            <w:tcW w:w="880" w:type="dxa"/>
            <w:vAlign w:val="bottom"/>
            <w:tcBorders>
              <w:bottom w:val="single" w:sz="8" w:color="E14A6A"/>
            </w:tcBorders>
          </w:tcPr>
          <w:p>
            <w:pPr>
              <w:spacing w:after="0"/>
              <w:rPr>
                <w:sz w:val="3"/>
                <w:szCs w:val="3"/>
                <w:color w:val="auto"/>
              </w:rPr>
            </w:pPr>
          </w:p>
        </w:tc>
        <w:tc>
          <w:tcPr>
            <w:tcW w:w="980" w:type="dxa"/>
            <w:vAlign w:val="bottom"/>
            <w:tcBorders>
              <w:bottom w:val="single" w:sz="8" w:color="E14A6A"/>
            </w:tcBorders>
          </w:tcPr>
          <w:p>
            <w:pPr>
              <w:spacing w:after="0"/>
              <w:rPr>
                <w:sz w:val="3"/>
                <w:szCs w:val="3"/>
                <w:color w:val="auto"/>
              </w:rPr>
            </w:pPr>
          </w:p>
        </w:tc>
        <w:tc>
          <w:tcPr>
            <w:tcW w:w="1240" w:type="dxa"/>
            <w:vAlign w:val="bottom"/>
            <w:tcBorders>
              <w:bottom w:val="single" w:sz="8" w:color="E14A6A"/>
            </w:tcBorders>
          </w:tcPr>
          <w:p>
            <w:pPr>
              <w:spacing w:after="0"/>
              <w:rPr>
                <w:sz w:val="3"/>
                <w:szCs w:val="3"/>
                <w:color w:val="auto"/>
              </w:rPr>
            </w:pPr>
          </w:p>
        </w:tc>
        <w:tc>
          <w:tcPr>
            <w:tcW w:w="1180" w:type="dxa"/>
            <w:vAlign w:val="bottom"/>
            <w:tcBorders>
              <w:bottom w:val="single" w:sz="8" w:color="E14A6A"/>
            </w:tcBorders>
          </w:tcPr>
          <w:p>
            <w:pPr>
              <w:spacing w:after="0"/>
              <w:rPr>
                <w:sz w:val="3"/>
                <w:szCs w:val="3"/>
                <w:color w:val="auto"/>
              </w:rPr>
            </w:pPr>
          </w:p>
        </w:tc>
        <w:tc>
          <w:tcPr>
            <w:tcW w:w="1420" w:type="dxa"/>
            <w:vAlign w:val="bottom"/>
            <w:tcBorders>
              <w:bottom w:val="single" w:sz="8" w:color="E14A6A"/>
            </w:tcBorders>
          </w:tcPr>
          <w:p>
            <w:pPr>
              <w:spacing w:after="0"/>
              <w:rPr>
                <w:sz w:val="3"/>
                <w:szCs w:val="3"/>
                <w:color w:val="auto"/>
              </w:rPr>
            </w:pPr>
          </w:p>
        </w:tc>
        <w:tc>
          <w:tcPr>
            <w:tcW w:w="1200" w:type="dxa"/>
            <w:vAlign w:val="bottom"/>
            <w:tcBorders>
              <w:bottom w:val="single" w:sz="8" w:color="E14A6A"/>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860" w:type="dxa"/>
            <w:vAlign w:val="bottom"/>
          </w:tcPr>
          <w:p>
            <w:pPr>
              <w:ind w:left="120"/>
              <w:spacing w:after="0"/>
              <w:rPr>
                <w:sz w:val="20"/>
                <w:szCs w:val="20"/>
                <w:color w:val="auto"/>
              </w:rPr>
            </w:pPr>
            <w:r>
              <w:rPr>
                <w:rFonts w:ascii="Arial" w:cs="Arial" w:eastAsia="Arial" w:hAnsi="Arial"/>
                <w:sz w:val="14"/>
                <w:szCs w:val="14"/>
                <w:b w:val="1"/>
                <w:bCs w:val="1"/>
                <w:color w:val="0B2E44"/>
              </w:rPr>
              <w:t>Sanjay Mirchandani</w:t>
            </w:r>
          </w:p>
        </w:tc>
        <w:tc>
          <w:tcPr>
            <w:tcW w:w="1100" w:type="dxa"/>
            <w:vAlign w:val="bottom"/>
          </w:tcPr>
          <w:p>
            <w:pPr>
              <w:jc w:val="right"/>
              <w:ind w:right="29"/>
              <w:spacing w:after="0"/>
              <w:rPr>
                <w:sz w:val="20"/>
                <w:szCs w:val="20"/>
                <w:color w:val="auto"/>
              </w:rPr>
            </w:pPr>
            <w:r>
              <w:rPr>
                <w:rFonts w:ascii="Arial" w:cs="Arial" w:eastAsia="Arial" w:hAnsi="Arial"/>
                <w:sz w:val="14"/>
                <w:szCs w:val="14"/>
                <w:color w:val="0B2E44"/>
              </w:rPr>
              <w:t>05/22/20</w:t>
            </w:r>
          </w:p>
        </w:tc>
        <w:tc>
          <w:tcPr>
            <w:tcW w:w="1340" w:type="dxa"/>
            <w:vAlign w:val="bottom"/>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tcPr>
          <w:p>
            <w:pPr>
              <w:jc w:val="right"/>
              <w:ind w:right="210"/>
              <w:spacing w:after="0"/>
              <w:rPr>
                <w:sz w:val="20"/>
                <w:szCs w:val="20"/>
                <w:color w:val="auto"/>
              </w:rPr>
            </w:pPr>
            <w:r>
              <w:rPr>
                <w:rFonts w:ascii="Arial" w:cs="Arial" w:eastAsia="Arial" w:hAnsi="Arial"/>
                <w:sz w:val="14"/>
                <w:szCs w:val="14"/>
                <w:color w:val="0B2E44"/>
              </w:rPr>
              <w:t>7,281</w:t>
            </w:r>
          </w:p>
        </w:tc>
        <w:tc>
          <w:tcPr>
            <w:tcW w:w="1180" w:type="dxa"/>
            <w:vAlign w:val="bottom"/>
          </w:tcPr>
          <w:p>
            <w:pPr>
              <w:jc w:val="right"/>
              <w:ind w:right="211"/>
              <w:spacing w:after="0"/>
              <w:rPr>
                <w:sz w:val="20"/>
                <w:szCs w:val="20"/>
                <w:color w:val="auto"/>
              </w:rPr>
            </w:pPr>
            <w:r>
              <w:rPr>
                <w:rFonts w:ascii="Arial" w:cs="Arial" w:eastAsia="Arial" w:hAnsi="Arial"/>
                <w:sz w:val="14"/>
                <w:szCs w:val="14"/>
                <w:color w:val="0B2E44"/>
              </w:rPr>
              <w:t>413,124</w:t>
            </w:r>
          </w:p>
        </w:tc>
        <w:tc>
          <w:tcPr>
            <w:tcW w:w="1420" w:type="dxa"/>
            <w:vAlign w:val="bottom"/>
          </w:tcPr>
          <w:p>
            <w:pPr>
              <w:jc w:val="right"/>
              <w:ind w:right="271"/>
              <w:spacing w:after="0"/>
              <w:rPr>
                <w:sz w:val="20"/>
                <w:szCs w:val="20"/>
                <w:color w:val="auto"/>
              </w:rPr>
            </w:pPr>
            <w:r>
              <w:rPr>
                <w:rFonts w:ascii="Arial" w:cs="Arial" w:eastAsia="Arial" w:hAnsi="Arial"/>
                <w:sz w:val="14"/>
                <w:szCs w:val="14"/>
                <w:color w:val="0B2E44"/>
              </w:rPr>
              <w:t>29,121</w:t>
            </w:r>
          </w:p>
        </w:tc>
        <w:tc>
          <w:tcPr>
            <w:tcW w:w="1200" w:type="dxa"/>
            <w:vAlign w:val="bottom"/>
          </w:tcPr>
          <w:p>
            <w:pPr>
              <w:jc w:val="right"/>
              <w:spacing w:after="0"/>
              <w:rPr>
                <w:sz w:val="20"/>
                <w:szCs w:val="20"/>
                <w:color w:val="auto"/>
              </w:rPr>
            </w:pPr>
            <w:r>
              <w:rPr>
                <w:rFonts w:ascii="Arial" w:cs="Arial" w:eastAsia="Arial" w:hAnsi="Arial"/>
                <w:sz w:val="14"/>
                <w:szCs w:val="14"/>
                <w:color w:val="0B2E44"/>
              </w:rPr>
              <w:t>1,652,326</w:t>
            </w: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0B2E44"/>
              </w:rPr>
              <w:t>05/17/21</w:t>
            </w:r>
          </w:p>
        </w:tc>
        <w:tc>
          <w:tcPr>
            <w:tcW w:w="1340" w:type="dxa"/>
            <w:vAlign w:val="bottom"/>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tcPr>
          <w:p>
            <w:pPr>
              <w:jc w:val="right"/>
              <w:ind w:right="210"/>
              <w:spacing w:after="0"/>
              <w:rPr>
                <w:sz w:val="20"/>
                <w:szCs w:val="20"/>
                <w:color w:val="auto"/>
              </w:rPr>
            </w:pPr>
            <w:r>
              <w:rPr>
                <w:rFonts w:ascii="Arial" w:cs="Arial" w:eastAsia="Arial" w:hAnsi="Arial"/>
                <w:sz w:val="14"/>
                <w:szCs w:val="14"/>
                <w:color w:val="0B2E44"/>
              </w:rPr>
              <w:t>46,735</w:t>
            </w:r>
          </w:p>
        </w:tc>
        <w:tc>
          <w:tcPr>
            <w:tcW w:w="1180" w:type="dxa"/>
            <w:vAlign w:val="bottom"/>
          </w:tcPr>
          <w:p>
            <w:pPr>
              <w:jc w:val="right"/>
              <w:ind w:right="211"/>
              <w:spacing w:after="0"/>
              <w:rPr>
                <w:sz w:val="20"/>
                <w:szCs w:val="20"/>
                <w:color w:val="auto"/>
              </w:rPr>
            </w:pPr>
            <w:r>
              <w:rPr>
                <w:rFonts w:ascii="Arial" w:cs="Arial" w:eastAsia="Arial" w:hAnsi="Arial"/>
                <w:sz w:val="14"/>
                <w:szCs w:val="14"/>
                <w:color w:val="0B2E44"/>
              </w:rPr>
              <w:t>2,651,744</w:t>
            </w:r>
          </w:p>
        </w:tc>
        <w:tc>
          <w:tcPr>
            <w:tcW w:w="1420" w:type="dxa"/>
            <w:vAlign w:val="bottom"/>
          </w:tcPr>
          <w:p>
            <w:pPr>
              <w:jc w:val="right"/>
              <w:ind w:right="271"/>
              <w:spacing w:after="0"/>
              <w:rPr>
                <w:sz w:val="20"/>
                <w:szCs w:val="20"/>
                <w:color w:val="auto"/>
              </w:rPr>
            </w:pPr>
            <w:r>
              <w:rPr>
                <w:rFonts w:ascii="Arial" w:cs="Arial" w:eastAsia="Arial" w:hAnsi="Arial"/>
                <w:sz w:val="14"/>
                <w:szCs w:val="14"/>
                <w:color w:val="0B2E44"/>
              </w:rPr>
              <w:t>21,320</w:t>
            </w:r>
          </w:p>
        </w:tc>
        <w:tc>
          <w:tcPr>
            <w:tcW w:w="1200" w:type="dxa"/>
            <w:vAlign w:val="bottom"/>
          </w:tcPr>
          <w:p>
            <w:pPr>
              <w:jc w:val="right"/>
              <w:spacing w:after="0"/>
              <w:rPr>
                <w:sz w:val="20"/>
                <w:szCs w:val="20"/>
                <w:color w:val="auto"/>
              </w:rPr>
            </w:pPr>
            <w:r>
              <w:rPr>
                <w:rFonts w:ascii="Arial" w:cs="Arial" w:eastAsia="Arial" w:hAnsi="Arial"/>
                <w:sz w:val="14"/>
                <w:szCs w:val="14"/>
                <w:color w:val="0B2E44"/>
              </w:rPr>
              <w:t>1,209,697</w:t>
            </w: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0B2E44"/>
              </w:rPr>
              <w:t>05/16/22</w:t>
            </w: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jc w:val="right"/>
              <w:ind w:right="210"/>
              <w:spacing w:after="0"/>
              <w:rPr>
                <w:sz w:val="20"/>
                <w:szCs w:val="20"/>
                <w:color w:val="auto"/>
              </w:rPr>
            </w:pPr>
            <w:r>
              <w:rPr>
                <w:rFonts w:ascii="Arial" w:cs="Arial" w:eastAsia="Arial" w:hAnsi="Arial"/>
                <w:sz w:val="14"/>
                <w:szCs w:val="14"/>
                <w:color w:val="0B2E44"/>
              </w:rPr>
              <w:t>127,478</w:t>
            </w:r>
          </w:p>
        </w:tc>
        <w:tc>
          <w:tcPr>
            <w:tcW w:w="1180" w:type="dxa"/>
            <w:vAlign w:val="bottom"/>
          </w:tcPr>
          <w:p>
            <w:pPr>
              <w:jc w:val="right"/>
              <w:ind w:right="211"/>
              <w:spacing w:after="0"/>
              <w:rPr>
                <w:sz w:val="20"/>
                <w:szCs w:val="20"/>
                <w:color w:val="auto"/>
              </w:rPr>
            </w:pPr>
            <w:r>
              <w:rPr>
                <w:rFonts w:ascii="Arial" w:cs="Arial" w:eastAsia="Arial" w:hAnsi="Arial"/>
                <w:sz w:val="14"/>
                <w:szCs w:val="14"/>
                <w:color w:val="0B2E44"/>
              </w:rPr>
              <w:t>7,233,102</w:t>
            </w:r>
          </w:p>
        </w:tc>
        <w:tc>
          <w:tcPr>
            <w:tcW w:w="1420" w:type="dxa"/>
            <w:vAlign w:val="bottom"/>
          </w:tcPr>
          <w:p>
            <w:pPr>
              <w:jc w:val="right"/>
              <w:ind w:right="271"/>
              <w:spacing w:after="0"/>
              <w:rPr>
                <w:sz w:val="20"/>
                <w:szCs w:val="20"/>
                <w:color w:val="auto"/>
              </w:rPr>
            </w:pPr>
            <w:r>
              <w:rPr>
                <w:rFonts w:ascii="Arial" w:cs="Arial" w:eastAsia="Arial" w:hAnsi="Arial"/>
                <w:sz w:val="14"/>
                <w:szCs w:val="14"/>
                <w:color w:val="0B2E44"/>
              </w:rPr>
              <w:t>38,866</w:t>
            </w:r>
          </w:p>
        </w:tc>
        <w:tc>
          <w:tcPr>
            <w:tcW w:w="1200" w:type="dxa"/>
            <w:vAlign w:val="bottom"/>
          </w:tcPr>
          <w:p>
            <w:pPr>
              <w:jc w:val="right"/>
              <w:spacing w:after="0"/>
              <w:rPr>
                <w:sz w:val="20"/>
                <w:szCs w:val="20"/>
                <w:color w:val="auto"/>
              </w:rPr>
            </w:pPr>
            <w:r>
              <w:rPr>
                <w:rFonts w:ascii="Arial" w:cs="Arial" w:eastAsia="Arial" w:hAnsi="Arial"/>
                <w:sz w:val="14"/>
                <w:szCs w:val="14"/>
                <w:color w:val="0B2E44"/>
              </w:rPr>
              <w:t>2,205,257</w:t>
            </w:r>
          </w:p>
        </w:tc>
        <w:tc>
          <w:tcPr>
            <w:tcW w:w="0" w:type="dxa"/>
            <w:vAlign w:val="bottom"/>
          </w:tcPr>
          <w:p>
            <w:pPr>
              <w:spacing w:after="0"/>
              <w:rPr>
                <w:sz w:val="1"/>
                <w:szCs w:val="1"/>
                <w:color w:val="auto"/>
              </w:rPr>
            </w:pPr>
          </w:p>
        </w:tc>
      </w:tr>
      <w:tr>
        <w:trPr>
          <w:trHeight w:val="207"/>
        </w:trPr>
        <w:tc>
          <w:tcPr>
            <w:tcW w:w="1860" w:type="dxa"/>
            <w:vAlign w:val="bottom"/>
            <w:shd w:val="clear" w:color="auto" w:fill="DDE9F2"/>
          </w:tcPr>
          <w:p>
            <w:pPr>
              <w:ind w:left="120"/>
              <w:spacing w:after="0"/>
              <w:rPr>
                <w:sz w:val="20"/>
                <w:szCs w:val="20"/>
                <w:color w:val="auto"/>
              </w:rPr>
            </w:pPr>
            <w:r>
              <w:rPr>
                <w:rFonts w:ascii="Arial" w:cs="Arial" w:eastAsia="Arial" w:hAnsi="Arial"/>
                <w:sz w:val="14"/>
                <w:szCs w:val="14"/>
                <w:b w:val="1"/>
                <w:bCs w:val="1"/>
                <w:color w:val="0B2E44"/>
              </w:rPr>
              <w:t>Gary Merrill</w:t>
            </w:r>
          </w:p>
        </w:tc>
        <w:tc>
          <w:tcPr>
            <w:tcW w:w="110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10/14/13</w:t>
            </w:r>
          </w:p>
        </w:tc>
        <w:tc>
          <w:tcPr>
            <w:tcW w:w="134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22,566</w:t>
            </w:r>
          </w:p>
        </w:tc>
        <w:tc>
          <w:tcPr>
            <w:tcW w:w="880" w:type="dxa"/>
            <w:vAlign w:val="bottom"/>
            <w:shd w:val="clear" w:color="auto" w:fill="DDE9F2"/>
          </w:tcPr>
          <w:p>
            <w:pPr>
              <w:jc w:val="right"/>
              <w:ind w:right="190"/>
              <w:spacing w:after="0"/>
              <w:rPr>
                <w:sz w:val="20"/>
                <w:szCs w:val="20"/>
                <w:color w:val="auto"/>
              </w:rPr>
            </w:pPr>
            <w:r>
              <w:rPr>
                <w:rFonts w:ascii="Arial" w:cs="Arial" w:eastAsia="Arial" w:hAnsi="Arial"/>
                <w:sz w:val="14"/>
                <w:szCs w:val="14"/>
                <w:color w:val="0B2E44"/>
              </w:rPr>
              <w:t>87.20</w:t>
            </w:r>
          </w:p>
        </w:tc>
        <w:tc>
          <w:tcPr>
            <w:tcW w:w="980" w:type="dxa"/>
            <w:vAlign w:val="bottom"/>
            <w:shd w:val="clear" w:color="auto" w:fill="DDE9F2"/>
          </w:tcPr>
          <w:p>
            <w:pPr>
              <w:jc w:val="right"/>
              <w:ind w:right="150"/>
              <w:spacing w:after="0"/>
              <w:rPr>
                <w:sz w:val="20"/>
                <w:szCs w:val="20"/>
                <w:color w:val="auto"/>
              </w:rPr>
            </w:pPr>
            <w:r>
              <w:rPr>
                <w:rFonts w:ascii="Arial" w:cs="Arial" w:eastAsia="Arial" w:hAnsi="Arial"/>
                <w:sz w:val="14"/>
                <w:szCs w:val="14"/>
                <w:color w:val="0B2E44"/>
              </w:rPr>
              <w:t>10/14/23</w:t>
            </w:r>
          </w:p>
        </w:tc>
        <w:tc>
          <w:tcPr>
            <w:tcW w:w="1240" w:type="dxa"/>
            <w:vAlign w:val="bottom"/>
            <w:shd w:val="clear" w:color="auto" w:fill="DDE9F2"/>
          </w:tcPr>
          <w:p>
            <w:pPr>
              <w:jc w:val="right"/>
              <w:ind w:right="210"/>
              <w:spacing w:after="0"/>
              <w:rPr>
                <w:sz w:val="20"/>
                <w:szCs w:val="20"/>
                <w:color w:val="auto"/>
              </w:rPr>
            </w:pPr>
            <w:r>
              <w:rPr>
                <w:rFonts w:ascii="Arial" w:cs="Arial" w:eastAsia="Arial" w:hAnsi="Arial"/>
                <w:sz w:val="14"/>
                <w:szCs w:val="14"/>
                <w:color w:val="0B2E44"/>
              </w:rPr>
              <w:t>—</w:t>
            </w:r>
          </w:p>
        </w:tc>
        <w:tc>
          <w:tcPr>
            <w:tcW w:w="1180" w:type="dxa"/>
            <w:vAlign w:val="bottom"/>
            <w:shd w:val="clear" w:color="auto" w:fill="DDE9F2"/>
          </w:tcPr>
          <w:p>
            <w:pPr>
              <w:jc w:val="right"/>
              <w:ind w:right="211"/>
              <w:spacing w:after="0"/>
              <w:rPr>
                <w:sz w:val="20"/>
                <w:szCs w:val="20"/>
                <w:color w:val="auto"/>
              </w:rPr>
            </w:pPr>
            <w:r>
              <w:rPr>
                <w:rFonts w:ascii="Arial" w:cs="Arial" w:eastAsia="Arial" w:hAnsi="Arial"/>
                <w:sz w:val="14"/>
                <w:szCs w:val="14"/>
                <w:color w:val="0B2E44"/>
              </w:rPr>
              <w:t>—</w:t>
            </w:r>
          </w:p>
        </w:tc>
        <w:tc>
          <w:tcPr>
            <w:tcW w:w="1420" w:type="dxa"/>
            <w:vAlign w:val="bottom"/>
            <w:shd w:val="clear" w:color="auto" w:fill="DDE9F2"/>
          </w:tcPr>
          <w:p>
            <w:pPr>
              <w:jc w:val="right"/>
              <w:ind w:right="271"/>
              <w:spacing w:after="0"/>
              <w:rPr>
                <w:sz w:val="20"/>
                <w:szCs w:val="20"/>
                <w:color w:val="auto"/>
              </w:rPr>
            </w:pPr>
            <w:r>
              <w:rPr>
                <w:rFonts w:ascii="Arial" w:cs="Arial" w:eastAsia="Arial" w:hAnsi="Arial"/>
                <w:sz w:val="14"/>
                <w:szCs w:val="14"/>
                <w:color w:val="0B2E44"/>
              </w:rPr>
              <w:t>—</w:t>
            </w:r>
          </w:p>
        </w:tc>
        <w:tc>
          <w:tcPr>
            <w:tcW w:w="12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0" w:type="dxa"/>
            <w:vAlign w:val="bottom"/>
          </w:tcPr>
          <w:p>
            <w:pPr>
              <w:spacing w:after="0"/>
              <w:rPr>
                <w:sz w:val="1"/>
                <w:szCs w:val="1"/>
                <w:color w:val="auto"/>
              </w:rPr>
            </w:pPr>
          </w:p>
        </w:tc>
      </w:tr>
      <w:tr>
        <w:trPr>
          <w:trHeight w:val="191"/>
        </w:trPr>
        <w:tc>
          <w:tcPr>
            <w:tcW w:w="1860" w:type="dxa"/>
            <w:vAlign w:val="bottom"/>
            <w:shd w:val="clear" w:color="auto" w:fill="DDE9F2"/>
          </w:tcPr>
          <w:p>
            <w:pPr>
              <w:spacing w:after="0"/>
              <w:rPr>
                <w:sz w:val="16"/>
                <w:szCs w:val="16"/>
                <w:color w:val="auto"/>
              </w:rPr>
            </w:pPr>
          </w:p>
        </w:tc>
        <w:tc>
          <w:tcPr>
            <w:tcW w:w="110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05/22/20</w:t>
            </w:r>
          </w:p>
        </w:tc>
        <w:tc>
          <w:tcPr>
            <w:tcW w:w="134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shd w:val="clear" w:color="auto" w:fill="DDE9F2"/>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shd w:val="clear" w:color="auto" w:fill="DDE9F2"/>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shd w:val="clear" w:color="auto" w:fill="DDE9F2"/>
          </w:tcPr>
          <w:p>
            <w:pPr>
              <w:jc w:val="right"/>
              <w:ind w:right="210"/>
              <w:spacing w:after="0"/>
              <w:rPr>
                <w:sz w:val="20"/>
                <w:szCs w:val="20"/>
                <w:color w:val="auto"/>
              </w:rPr>
            </w:pPr>
            <w:r>
              <w:rPr>
                <w:rFonts w:ascii="Arial" w:cs="Arial" w:eastAsia="Arial" w:hAnsi="Arial"/>
                <w:sz w:val="14"/>
                <w:szCs w:val="14"/>
                <w:color w:val="0B2E44"/>
              </w:rPr>
              <w:t>858</w:t>
            </w:r>
          </w:p>
        </w:tc>
        <w:tc>
          <w:tcPr>
            <w:tcW w:w="1180" w:type="dxa"/>
            <w:vAlign w:val="bottom"/>
            <w:shd w:val="clear" w:color="auto" w:fill="DDE9F2"/>
          </w:tcPr>
          <w:p>
            <w:pPr>
              <w:jc w:val="right"/>
              <w:ind w:right="211"/>
              <w:spacing w:after="0"/>
              <w:rPr>
                <w:sz w:val="20"/>
                <w:szCs w:val="20"/>
                <w:color w:val="auto"/>
              </w:rPr>
            </w:pPr>
            <w:r>
              <w:rPr>
                <w:rFonts w:ascii="Arial" w:cs="Arial" w:eastAsia="Arial" w:hAnsi="Arial"/>
                <w:sz w:val="14"/>
                <w:szCs w:val="14"/>
                <w:color w:val="0B2E44"/>
              </w:rPr>
              <w:t>48,683</w:t>
            </w:r>
          </w:p>
        </w:tc>
        <w:tc>
          <w:tcPr>
            <w:tcW w:w="1420" w:type="dxa"/>
            <w:vAlign w:val="bottom"/>
            <w:shd w:val="clear" w:color="auto" w:fill="DDE9F2"/>
          </w:tcPr>
          <w:p>
            <w:pPr>
              <w:jc w:val="right"/>
              <w:ind w:right="271"/>
              <w:spacing w:after="0"/>
              <w:rPr>
                <w:sz w:val="20"/>
                <w:szCs w:val="20"/>
                <w:color w:val="auto"/>
              </w:rPr>
            </w:pPr>
            <w:r>
              <w:rPr>
                <w:rFonts w:ascii="Arial" w:cs="Arial" w:eastAsia="Arial" w:hAnsi="Arial"/>
                <w:sz w:val="14"/>
                <w:szCs w:val="14"/>
                <w:color w:val="0B2E44"/>
              </w:rPr>
              <w:t>3,429</w:t>
            </w:r>
          </w:p>
        </w:tc>
        <w:tc>
          <w:tcPr>
            <w:tcW w:w="12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194,561</w:t>
            </w:r>
          </w:p>
        </w:tc>
        <w:tc>
          <w:tcPr>
            <w:tcW w:w="0" w:type="dxa"/>
            <w:vAlign w:val="bottom"/>
          </w:tcPr>
          <w:p>
            <w:pPr>
              <w:spacing w:after="0"/>
              <w:rPr>
                <w:sz w:val="1"/>
                <w:szCs w:val="1"/>
                <w:color w:val="auto"/>
              </w:rPr>
            </w:pPr>
          </w:p>
        </w:tc>
      </w:tr>
      <w:tr>
        <w:trPr>
          <w:trHeight w:val="190"/>
        </w:trPr>
        <w:tc>
          <w:tcPr>
            <w:tcW w:w="1860" w:type="dxa"/>
            <w:vAlign w:val="bottom"/>
            <w:shd w:val="clear" w:color="auto" w:fill="DDE9F2"/>
          </w:tcPr>
          <w:p>
            <w:pPr>
              <w:spacing w:after="0"/>
              <w:rPr>
                <w:sz w:val="16"/>
                <w:szCs w:val="16"/>
                <w:color w:val="auto"/>
              </w:rPr>
            </w:pPr>
          </w:p>
        </w:tc>
        <w:tc>
          <w:tcPr>
            <w:tcW w:w="110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05/17/21</w:t>
            </w:r>
          </w:p>
        </w:tc>
        <w:tc>
          <w:tcPr>
            <w:tcW w:w="134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shd w:val="clear" w:color="auto" w:fill="DDE9F2"/>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shd w:val="clear" w:color="auto" w:fill="DDE9F2"/>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shd w:val="clear" w:color="auto" w:fill="DDE9F2"/>
          </w:tcPr>
          <w:p>
            <w:pPr>
              <w:jc w:val="right"/>
              <w:ind w:right="210"/>
              <w:spacing w:after="0"/>
              <w:rPr>
                <w:sz w:val="20"/>
                <w:szCs w:val="20"/>
                <w:color w:val="auto"/>
              </w:rPr>
            </w:pPr>
            <w:r>
              <w:rPr>
                <w:rFonts w:ascii="Arial" w:cs="Arial" w:eastAsia="Arial" w:hAnsi="Arial"/>
                <w:sz w:val="14"/>
                <w:szCs w:val="14"/>
                <w:color w:val="0B2E44"/>
              </w:rPr>
              <w:t>5,495</w:t>
            </w:r>
          </w:p>
        </w:tc>
        <w:tc>
          <w:tcPr>
            <w:tcW w:w="1180" w:type="dxa"/>
            <w:vAlign w:val="bottom"/>
            <w:shd w:val="clear" w:color="auto" w:fill="DDE9F2"/>
          </w:tcPr>
          <w:p>
            <w:pPr>
              <w:jc w:val="right"/>
              <w:ind w:right="211"/>
              <w:spacing w:after="0"/>
              <w:rPr>
                <w:sz w:val="20"/>
                <w:szCs w:val="20"/>
                <w:color w:val="auto"/>
              </w:rPr>
            </w:pPr>
            <w:r>
              <w:rPr>
                <w:rFonts w:ascii="Arial" w:cs="Arial" w:eastAsia="Arial" w:hAnsi="Arial"/>
                <w:sz w:val="14"/>
                <w:szCs w:val="14"/>
                <w:color w:val="0B2E44"/>
              </w:rPr>
              <w:t>311,786</w:t>
            </w:r>
          </w:p>
        </w:tc>
        <w:tc>
          <w:tcPr>
            <w:tcW w:w="1420" w:type="dxa"/>
            <w:vAlign w:val="bottom"/>
            <w:shd w:val="clear" w:color="auto" w:fill="DDE9F2"/>
          </w:tcPr>
          <w:p>
            <w:pPr>
              <w:jc w:val="right"/>
              <w:ind w:right="271"/>
              <w:spacing w:after="0"/>
              <w:rPr>
                <w:sz w:val="20"/>
                <w:szCs w:val="20"/>
                <w:color w:val="auto"/>
              </w:rPr>
            </w:pPr>
            <w:r>
              <w:rPr>
                <w:rFonts w:ascii="Arial" w:cs="Arial" w:eastAsia="Arial" w:hAnsi="Arial"/>
                <w:sz w:val="14"/>
                <w:szCs w:val="14"/>
                <w:color w:val="0B2E44"/>
              </w:rPr>
              <w:t>2,508</w:t>
            </w:r>
          </w:p>
        </w:tc>
        <w:tc>
          <w:tcPr>
            <w:tcW w:w="12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142,304</w:t>
            </w:r>
          </w:p>
        </w:tc>
        <w:tc>
          <w:tcPr>
            <w:tcW w:w="0" w:type="dxa"/>
            <w:vAlign w:val="bottom"/>
          </w:tcPr>
          <w:p>
            <w:pPr>
              <w:spacing w:after="0"/>
              <w:rPr>
                <w:sz w:val="1"/>
                <w:szCs w:val="1"/>
                <w:color w:val="auto"/>
              </w:rPr>
            </w:pPr>
          </w:p>
        </w:tc>
      </w:tr>
      <w:tr>
        <w:trPr>
          <w:trHeight w:val="215"/>
        </w:trPr>
        <w:tc>
          <w:tcPr>
            <w:tcW w:w="1860" w:type="dxa"/>
            <w:vAlign w:val="bottom"/>
            <w:shd w:val="clear" w:color="auto" w:fill="DDE9F2"/>
          </w:tcPr>
          <w:p>
            <w:pPr>
              <w:spacing w:after="0"/>
              <w:rPr>
                <w:sz w:val="18"/>
                <w:szCs w:val="18"/>
                <w:color w:val="auto"/>
              </w:rPr>
            </w:pPr>
          </w:p>
        </w:tc>
        <w:tc>
          <w:tcPr>
            <w:tcW w:w="110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05/16/22</w:t>
            </w:r>
          </w:p>
        </w:tc>
        <w:tc>
          <w:tcPr>
            <w:tcW w:w="134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shd w:val="clear" w:color="auto" w:fill="DDE9F2"/>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shd w:val="clear" w:color="auto" w:fill="DDE9F2"/>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shd w:val="clear" w:color="auto" w:fill="DDE9F2"/>
          </w:tcPr>
          <w:p>
            <w:pPr>
              <w:jc w:val="right"/>
              <w:ind w:right="210"/>
              <w:spacing w:after="0"/>
              <w:rPr>
                <w:sz w:val="20"/>
                <w:szCs w:val="20"/>
                <w:color w:val="auto"/>
              </w:rPr>
            </w:pPr>
            <w:r>
              <w:rPr>
                <w:rFonts w:ascii="Arial" w:cs="Arial" w:eastAsia="Arial" w:hAnsi="Arial"/>
                <w:sz w:val="14"/>
                <w:szCs w:val="14"/>
                <w:color w:val="0B2E44"/>
              </w:rPr>
              <w:t>24,784</w:t>
            </w:r>
          </w:p>
        </w:tc>
        <w:tc>
          <w:tcPr>
            <w:tcW w:w="1180" w:type="dxa"/>
            <w:vAlign w:val="bottom"/>
            <w:shd w:val="clear" w:color="auto" w:fill="DDE9F2"/>
          </w:tcPr>
          <w:p>
            <w:pPr>
              <w:jc w:val="right"/>
              <w:ind w:right="211"/>
              <w:spacing w:after="0"/>
              <w:rPr>
                <w:sz w:val="20"/>
                <w:szCs w:val="20"/>
                <w:color w:val="auto"/>
              </w:rPr>
            </w:pPr>
            <w:r>
              <w:rPr>
                <w:rFonts w:ascii="Arial" w:cs="Arial" w:eastAsia="Arial" w:hAnsi="Arial"/>
                <w:sz w:val="14"/>
                <w:szCs w:val="14"/>
                <w:color w:val="0B2E44"/>
              </w:rPr>
              <w:t>1,406,244</w:t>
            </w:r>
          </w:p>
        </w:tc>
        <w:tc>
          <w:tcPr>
            <w:tcW w:w="1420" w:type="dxa"/>
            <w:vAlign w:val="bottom"/>
            <w:shd w:val="clear" w:color="auto" w:fill="DDE9F2"/>
          </w:tcPr>
          <w:p>
            <w:pPr>
              <w:jc w:val="right"/>
              <w:ind w:right="271"/>
              <w:spacing w:after="0"/>
              <w:rPr>
                <w:sz w:val="20"/>
                <w:szCs w:val="20"/>
                <w:color w:val="auto"/>
              </w:rPr>
            </w:pPr>
            <w:r>
              <w:rPr>
                <w:rFonts w:ascii="Arial" w:cs="Arial" w:eastAsia="Arial" w:hAnsi="Arial"/>
                <w:sz w:val="14"/>
                <w:szCs w:val="14"/>
                <w:color w:val="0B2E44"/>
              </w:rPr>
              <w:t>7,557</w:t>
            </w:r>
          </w:p>
        </w:tc>
        <w:tc>
          <w:tcPr>
            <w:tcW w:w="12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428,784</w:t>
            </w:r>
          </w:p>
        </w:tc>
        <w:tc>
          <w:tcPr>
            <w:tcW w:w="0" w:type="dxa"/>
            <w:vAlign w:val="bottom"/>
          </w:tcPr>
          <w:p>
            <w:pPr>
              <w:spacing w:after="0"/>
              <w:rPr>
                <w:sz w:val="1"/>
                <w:szCs w:val="1"/>
                <w:color w:val="auto"/>
              </w:rPr>
            </w:pPr>
          </w:p>
        </w:tc>
      </w:tr>
      <w:tr>
        <w:trPr>
          <w:trHeight w:val="197"/>
        </w:trPr>
        <w:tc>
          <w:tcPr>
            <w:tcW w:w="1860" w:type="dxa"/>
            <w:vAlign w:val="bottom"/>
          </w:tcPr>
          <w:p>
            <w:pPr>
              <w:ind w:left="120"/>
              <w:spacing w:after="0"/>
              <w:rPr>
                <w:sz w:val="20"/>
                <w:szCs w:val="20"/>
                <w:color w:val="auto"/>
              </w:rPr>
            </w:pPr>
            <w:r>
              <w:rPr>
                <w:rFonts w:ascii="Arial" w:cs="Arial" w:eastAsia="Arial" w:hAnsi="Arial"/>
                <w:sz w:val="14"/>
                <w:szCs w:val="14"/>
                <w:b w:val="1"/>
                <w:bCs w:val="1"/>
                <w:color w:val="0B2E44"/>
              </w:rPr>
              <w:t>Riccardo Di Blasio</w:t>
            </w:r>
          </w:p>
        </w:tc>
        <w:tc>
          <w:tcPr>
            <w:tcW w:w="1100" w:type="dxa"/>
            <w:vAlign w:val="bottom"/>
          </w:tcPr>
          <w:p>
            <w:pPr>
              <w:jc w:val="right"/>
              <w:ind w:right="29"/>
              <w:spacing w:after="0"/>
              <w:rPr>
                <w:sz w:val="20"/>
                <w:szCs w:val="20"/>
                <w:color w:val="auto"/>
              </w:rPr>
            </w:pPr>
            <w:r>
              <w:rPr>
                <w:rFonts w:ascii="Arial" w:cs="Arial" w:eastAsia="Arial" w:hAnsi="Arial"/>
                <w:sz w:val="14"/>
                <w:szCs w:val="14"/>
                <w:color w:val="0B2E44"/>
              </w:rPr>
              <w:t>05/22/20</w:t>
            </w:r>
          </w:p>
        </w:tc>
        <w:tc>
          <w:tcPr>
            <w:tcW w:w="1340" w:type="dxa"/>
            <w:vAlign w:val="bottom"/>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tcPr>
          <w:p>
            <w:pPr>
              <w:jc w:val="right"/>
              <w:ind w:right="210"/>
              <w:spacing w:after="0"/>
              <w:rPr>
                <w:sz w:val="20"/>
                <w:szCs w:val="20"/>
                <w:color w:val="auto"/>
              </w:rPr>
            </w:pPr>
            <w:r>
              <w:rPr>
                <w:rFonts w:ascii="Arial" w:cs="Arial" w:eastAsia="Arial" w:hAnsi="Arial"/>
                <w:sz w:val="14"/>
                <w:szCs w:val="14"/>
                <w:color w:val="0B2E44"/>
              </w:rPr>
              <w:t>1,759</w:t>
            </w:r>
          </w:p>
        </w:tc>
        <w:tc>
          <w:tcPr>
            <w:tcW w:w="1180" w:type="dxa"/>
            <w:vAlign w:val="bottom"/>
          </w:tcPr>
          <w:p>
            <w:pPr>
              <w:jc w:val="right"/>
              <w:ind w:right="211"/>
              <w:spacing w:after="0"/>
              <w:rPr>
                <w:sz w:val="20"/>
                <w:szCs w:val="20"/>
                <w:color w:val="auto"/>
              </w:rPr>
            </w:pPr>
            <w:r>
              <w:rPr>
                <w:rFonts w:ascii="Arial" w:cs="Arial" w:eastAsia="Arial" w:hAnsi="Arial"/>
                <w:sz w:val="14"/>
                <w:szCs w:val="14"/>
                <w:color w:val="0B2E44"/>
              </w:rPr>
              <w:t>99,806</w:t>
            </w:r>
          </w:p>
        </w:tc>
        <w:tc>
          <w:tcPr>
            <w:tcW w:w="1420" w:type="dxa"/>
            <w:vAlign w:val="bottom"/>
          </w:tcPr>
          <w:p>
            <w:pPr>
              <w:jc w:val="right"/>
              <w:ind w:right="271"/>
              <w:spacing w:after="0"/>
              <w:rPr>
                <w:sz w:val="20"/>
                <w:szCs w:val="20"/>
                <w:color w:val="auto"/>
              </w:rPr>
            </w:pPr>
            <w:r>
              <w:rPr>
                <w:rFonts w:ascii="Arial" w:cs="Arial" w:eastAsia="Arial" w:hAnsi="Arial"/>
                <w:sz w:val="14"/>
                <w:szCs w:val="14"/>
                <w:color w:val="0B2E44"/>
              </w:rPr>
              <w:t>7,036</w:t>
            </w:r>
          </w:p>
        </w:tc>
        <w:tc>
          <w:tcPr>
            <w:tcW w:w="1200" w:type="dxa"/>
            <w:vAlign w:val="bottom"/>
          </w:tcPr>
          <w:p>
            <w:pPr>
              <w:jc w:val="right"/>
              <w:spacing w:after="0"/>
              <w:rPr>
                <w:sz w:val="20"/>
                <w:szCs w:val="20"/>
                <w:color w:val="auto"/>
              </w:rPr>
            </w:pPr>
            <w:r>
              <w:rPr>
                <w:rFonts w:ascii="Arial" w:cs="Arial" w:eastAsia="Arial" w:hAnsi="Arial"/>
                <w:sz w:val="14"/>
                <w:szCs w:val="14"/>
                <w:color w:val="0B2E44"/>
              </w:rPr>
              <w:t>399,223</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0B2E44"/>
              </w:rPr>
              <w:t>05/17/21</w:t>
            </w:r>
          </w:p>
        </w:tc>
        <w:tc>
          <w:tcPr>
            <w:tcW w:w="1340" w:type="dxa"/>
            <w:vAlign w:val="bottom"/>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tcPr>
          <w:p>
            <w:pPr>
              <w:jc w:val="right"/>
              <w:ind w:right="210"/>
              <w:spacing w:after="0"/>
              <w:rPr>
                <w:sz w:val="20"/>
                <w:szCs w:val="20"/>
                <w:color w:val="auto"/>
              </w:rPr>
            </w:pPr>
            <w:r>
              <w:rPr>
                <w:rFonts w:ascii="Arial" w:cs="Arial" w:eastAsia="Arial" w:hAnsi="Arial"/>
                <w:sz w:val="14"/>
                <w:szCs w:val="14"/>
                <w:color w:val="0B2E44"/>
              </w:rPr>
              <w:t>13,750</w:t>
            </w:r>
          </w:p>
        </w:tc>
        <w:tc>
          <w:tcPr>
            <w:tcW w:w="1180" w:type="dxa"/>
            <w:vAlign w:val="bottom"/>
          </w:tcPr>
          <w:p>
            <w:pPr>
              <w:jc w:val="right"/>
              <w:ind w:right="211"/>
              <w:spacing w:after="0"/>
              <w:rPr>
                <w:sz w:val="20"/>
                <w:szCs w:val="20"/>
                <w:color w:val="auto"/>
              </w:rPr>
            </w:pPr>
            <w:r>
              <w:rPr>
                <w:rFonts w:ascii="Arial" w:cs="Arial" w:eastAsia="Arial" w:hAnsi="Arial"/>
                <w:sz w:val="14"/>
                <w:szCs w:val="14"/>
                <w:color w:val="0B2E44"/>
              </w:rPr>
              <w:t>780,175</w:t>
            </w:r>
          </w:p>
        </w:tc>
        <w:tc>
          <w:tcPr>
            <w:tcW w:w="1420" w:type="dxa"/>
            <w:vAlign w:val="bottom"/>
          </w:tcPr>
          <w:p>
            <w:pPr>
              <w:jc w:val="right"/>
              <w:ind w:right="271"/>
              <w:spacing w:after="0"/>
              <w:rPr>
                <w:sz w:val="20"/>
                <w:szCs w:val="20"/>
                <w:color w:val="auto"/>
              </w:rPr>
            </w:pPr>
            <w:r>
              <w:rPr>
                <w:rFonts w:ascii="Arial" w:cs="Arial" w:eastAsia="Arial" w:hAnsi="Arial"/>
                <w:sz w:val="14"/>
                <w:szCs w:val="14"/>
                <w:color w:val="0B2E44"/>
              </w:rPr>
              <w:t>6,270</w:t>
            </w:r>
          </w:p>
        </w:tc>
        <w:tc>
          <w:tcPr>
            <w:tcW w:w="1200" w:type="dxa"/>
            <w:vAlign w:val="bottom"/>
          </w:tcPr>
          <w:p>
            <w:pPr>
              <w:jc w:val="right"/>
              <w:spacing w:after="0"/>
              <w:rPr>
                <w:sz w:val="20"/>
                <w:szCs w:val="20"/>
                <w:color w:val="auto"/>
              </w:rPr>
            </w:pPr>
            <w:r>
              <w:rPr>
                <w:rFonts w:ascii="Arial" w:cs="Arial" w:eastAsia="Arial" w:hAnsi="Arial"/>
                <w:sz w:val="14"/>
                <w:szCs w:val="14"/>
                <w:color w:val="0B2E44"/>
              </w:rPr>
              <w:t>355,760</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0B2E44"/>
              </w:rPr>
              <w:t>05/16/22</w:t>
            </w:r>
          </w:p>
        </w:tc>
        <w:tc>
          <w:tcPr>
            <w:tcW w:w="1340" w:type="dxa"/>
            <w:vAlign w:val="bottom"/>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tcPr>
          <w:p>
            <w:pPr>
              <w:jc w:val="right"/>
              <w:ind w:right="210"/>
              <w:spacing w:after="0"/>
              <w:rPr>
                <w:sz w:val="20"/>
                <w:szCs w:val="20"/>
                <w:color w:val="auto"/>
              </w:rPr>
            </w:pPr>
            <w:r>
              <w:rPr>
                <w:rFonts w:ascii="Arial" w:cs="Arial" w:eastAsia="Arial" w:hAnsi="Arial"/>
                <w:sz w:val="14"/>
                <w:szCs w:val="14"/>
                <w:color w:val="0B2E44"/>
              </w:rPr>
              <w:t>39,655</w:t>
            </w:r>
          </w:p>
        </w:tc>
        <w:tc>
          <w:tcPr>
            <w:tcW w:w="1180" w:type="dxa"/>
            <w:vAlign w:val="bottom"/>
          </w:tcPr>
          <w:p>
            <w:pPr>
              <w:jc w:val="right"/>
              <w:ind w:right="211"/>
              <w:spacing w:after="0"/>
              <w:rPr>
                <w:sz w:val="20"/>
                <w:szCs w:val="20"/>
                <w:color w:val="auto"/>
              </w:rPr>
            </w:pPr>
            <w:r>
              <w:rPr>
                <w:rFonts w:ascii="Arial" w:cs="Arial" w:eastAsia="Arial" w:hAnsi="Arial"/>
                <w:sz w:val="14"/>
                <w:szCs w:val="14"/>
                <w:color w:val="0B2E44"/>
              </w:rPr>
              <w:t>2,250,025</w:t>
            </w:r>
          </w:p>
        </w:tc>
        <w:tc>
          <w:tcPr>
            <w:tcW w:w="1420" w:type="dxa"/>
            <w:vAlign w:val="bottom"/>
          </w:tcPr>
          <w:p>
            <w:pPr>
              <w:jc w:val="right"/>
              <w:ind w:right="271"/>
              <w:spacing w:after="0"/>
              <w:rPr>
                <w:sz w:val="20"/>
                <w:szCs w:val="20"/>
                <w:color w:val="auto"/>
              </w:rPr>
            </w:pPr>
            <w:r>
              <w:rPr>
                <w:rFonts w:ascii="Arial" w:cs="Arial" w:eastAsia="Arial" w:hAnsi="Arial"/>
                <w:sz w:val="14"/>
                <w:szCs w:val="14"/>
                <w:color w:val="0B2E44"/>
              </w:rPr>
              <w:t>12,091</w:t>
            </w:r>
          </w:p>
        </w:tc>
        <w:tc>
          <w:tcPr>
            <w:tcW w:w="1200" w:type="dxa"/>
            <w:vAlign w:val="bottom"/>
          </w:tcPr>
          <w:p>
            <w:pPr>
              <w:jc w:val="right"/>
              <w:spacing w:after="0"/>
              <w:rPr>
                <w:sz w:val="20"/>
                <w:szCs w:val="20"/>
                <w:color w:val="auto"/>
              </w:rPr>
            </w:pPr>
            <w:r>
              <w:rPr>
                <w:rFonts w:ascii="Arial" w:cs="Arial" w:eastAsia="Arial" w:hAnsi="Arial"/>
                <w:sz w:val="14"/>
                <w:szCs w:val="14"/>
                <w:color w:val="0B2E44"/>
              </w:rPr>
              <w:t>686,043</w:t>
            </w:r>
          </w:p>
        </w:tc>
        <w:tc>
          <w:tcPr>
            <w:tcW w:w="0" w:type="dxa"/>
            <w:vAlign w:val="bottom"/>
          </w:tcPr>
          <w:p>
            <w:pPr>
              <w:spacing w:after="0"/>
              <w:rPr>
                <w:sz w:val="1"/>
                <w:szCs w:val="1"/>
                <w:color w:val="auto"/>
              </w:rPr>
            </w:pPr>
          </w:p>
        </w:tc>
      </w:tr>
      <w:tr>
        <w:trPr>
          <w:trHeight w:val="195"/>
        </w:trPr>
        <w:tc>
          <w:tcPr>
            <w:tcW w:w="1860" w:type="dxa"/>
            <w:vAlign w:val="bottom"/>
            <w:shd w:val="clear" w:color="auto" w:fill="DDE9F2"/>
          </w:tcPr>
          <w:p>
            <w:pPr>
              <w:ind w:left="120"/>
              <w:spacing w:after="0"/>
              <w:rPr>
                <w:sz w:val="20"/>
                <w:szCs w:val="20"/>
                <w:color w:val="auto"/>
              </w:rPr>
            </w:pPr>
            <w:r>
              <w:rPr>
                <w:rFonts w:ascii="Arial" w:cs="Arial" w:eastAsia="Arial" w:hAnsi="Arial"/>
                <w:sz w:val="14"/>
                <w:szCs w:val="14"/>
                <w:b w:val="1"/>
                <w:bCs w:val="1"/>
                <w:color w:val="0B2E44"/>
              </w:rPr>
              <w:t>Brian Carolan(4)</w:t>
            </w:r>
          </w:p>
        </w:tc>
        <w:tc>
          <w:tcPr>
            <w:tcW w:w="110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10/14/13</w:t>
            </w:r>
          </w:p>
        </w:tc>
        <w:tc>
          <w:tcPr>
            <w:tcW w:w="134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45,132</w:t>
            </w:r>
          </w:p>
        </w:tc>
        <w:tc>
          <w:tcPr>
            <w:tcW w:w="880" w:type="dxa"/>
            <w:vAlign w:val="bottom"/>
            <w:shd w:val="clear" w:color="auto" w:fill="DDE9F2"/>
          </w:tcPr>
          <w:p>
            <w:pPr>
              <w:jc w:val="right"/>
              <w:ind w:right="190"/>
              <w:spacing w:after="0"/>
              <w:rPr>
                <w:sz w:val="20"/>
                <w:szCs w:val="20"/>
                <w:color w:val="auto"/>
              </w:rPr>
            </w:pPr>
            <w:r>
              <w:rPr>
                <w:rFonts w:ascii="Arial" w:cs="Arial" w:eastAsia="Arial" w:hAnsi="Arial"/>
                <w:sz w:val="14"/>
                <w:szCs w:val="14"/>
                <w:color w:val="0B2E44"/>
              </w:rPr>
              <w:t>87.20</w:t>
            </w:r>
          </w:p>
        </w:tc>
        <w:tc>
          <w:tcPr>
            <w:tcW w:w="980" w:type="dxa"/>
            <w:vAlign w:val="bottom"/>
            <w:shd w:val="clear" w:color="auto" w:fill="DDE9F2"/>
          </w:tcPr>
          <w:p>
            <w:pPr>
              <w:jc w:val="right"/>
              <w:ind w:right="150"/>
              <w:spacing w:after="0"/>
              <w:rPr>
                <w:sz w:val="20"/>
                <w:szCs w:val="20"/>
                <w:color w:val="auto"/>
              </w:rPr>
            </w:pPr>
            <w:r>
              <w:rPr>
                <w:rFonts w:ascii="Arial" w:cs="Arial" w:eastAsia="Arial" w:hAnsi="Arial"/>
                <w:sz w:val="14"/>
                <w:szCs w:val="14"/>
                <w:color w:val="0B2E44"/>
              </w:rPr>
              <w:t>10/14/23</w:t>
            </w:r>
          </w:p>
        </w:tc>
        <w:tc>
          <w:tcPr>
            <w:tcW w:w="1240" w:type="dxa"/>
            <w:vAlign w:val="bottom"/>
            <w:shd w:val="clear" w:color="auto" w:fill="DDE9F2"/>
          </w:tcPr>
          <w:p>
            <w:pPr>
              <w:jc w:val="right"/>
              <w:ind w:right="210"/>
              <w:spacing w:after="0"/>
              <w:rPr>
                <w:sz w:val="20"/>
                <w:szCs w:val="20"/>
                <w:color w:val="auto"/>
              </w:rPr>
            </w:pPr>
            <w:r>
              <w:rPr>
                <w:rFonts w:ascii="Arial" w:cs="Arial" w:eastAsia="Arial" w:hAnsi="Arial"/>
                <w:sz w:val="14"/>
                <w:szCs w:val="14"/>
                <w:color w:val="0B2E44"/>
              </w:rPr>
              <w:t>—</w:t>
            </w:r>
          </w:p>
        </w:tc>
        <w:tc>
          <w:tcPr>
            <w:tcW w:w="1180" w:type="dxa"/>
            <w:vAlign w:val="bottom"/>
            <w:shd w:val="clear" w:color="auto" w:fill="DDE9F2"/>
          </w:tcPr>
          <w:p>
            <w:pPr>
              <w:jc w:val="right"/>
              <w:ind w:right="211"/>
              <w:spacing w:after="0"/>
              <w:rPr>
                <w:sz w:val="20"/>
                <w:szCs w:val="20"/>
                <w:color w:val="auto"/>
              </w:rPr>
            </w:pPr>
            <w:r>
              <w:rPr>
                <w:rFonts w:ascii="Arial" w:cs="Arial" w:eastAsia="Arial" w:hAnsi="Arial"/>
                <w:sz w:val="14"/>
                <w:szCs w:val="14"/>
                <w:color w:val="0B2E44"/>
              </w:rPr>
              <w:t>—</w:t>
            </w:r>
          </w:p>
        </w:tc>
        <w:tc>
          <w:tcPr>
            <w:tcW w:w="1420" w:type="dxa"/>
            <w:vAlign w:val="bottom"/>
            <w:shd w:val="clear" w:color="auto" w:fill="DDE9F2"/>
          </w:tcPr>
          <w:p>
            <w:pPr>
              <w:jc w:val="right"/>
              <w:ind w:right="271"/>
              <w:spacing w:after="0"/>
              <w:rPr>
                <w:sz w:val="20"/>
                <w:szCs w:val="20"/>
                <w:color w:val="auto"/>
              </w:rPr>
            </w:pPr>
            <w:r>
              <w:rPr>
                <w:rFonts w:ascii="Arial" w:cs="Arial" w:eastAsia="Arial" w:hAnsi="Arial"/>
                <w:sz w:val="14"/>
                <w:szCs w:val="14"/>
                <w:color w:val="0B2E44"/>
              </w:rPr>
              <w:t>—</w:t>
            </w:r>
          </w:p>
        </w:tc>
        <w:tc>
          <w:tcPr>
            <w:tcW w:w="12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0" w:type="dxa"/>
            <w:vAlign w:val="bottom"/>
          </w:tcPr>
          <w:p>
            <w:pPr>
              <w:spacing w:after="0"/>
              <w:rPr>
                <w:sz w:val="1"/>
                <w:szCs w:val="1"/>
                <w:color w:val="auto"/>
              </w:rPr>
            </w:pPr>
          </w:p>
        </w:tc>
      </w:tr>
      <w:tr>
        <w:trPr>
          <w:trHeight w:val="190"/>
        </w:trPr>
        <w:tc>
          <w:tcPr>
            <w:tcW w:w="1860" w:type="dxa"/>
            <w:vAlign w:val="bottom"/>
            <w:shd w:val="clear" w:color="auto" w:fill="DDE9F2"/>
          </w:tcPr>
          <w:p>
            <w:pPr>
              <w:spacing w:after="0"/>
              <w:rPr>
                <w:sz w:val="16"/>
                <w:szCs w:val="16"/>
                <w:color w:val="auto"/>
              </w:rPr>
            </w:pPr>
          </w:p>
        </w:tc>
        <w:tc>
          <w:tcPr>
            <w:tcW w:w="110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10/14/14</w:t>
            </w:r>
          </w:p>
        </w:tc>
        <w:tc>
          <w:tcPr>
            <w:tcW w:w="134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11,324</w:t>
            </w:r>
          </w:p>
        </w:tc>
        <w:tc>
          <w:tcPr>
            <w:tcW w:w="880" w:type="dxa"/>
            <w:vAlign w:val="bottom"/>
            <w:shd w:val="clear" w:color="auto" w:fill="DDE9F2"/>
          </w:tcPr>
          <w:p>
            <w:pPr>
              <w:jc w:val="right"/>
              <w:ind w:right="190"/>
              <w:spacing w:after="0"/>
              <w:rPr>
                <w:sz w:val="20"/>
                <w:szCs w:val="20"/>
                <w:color w:val="auto"/>
              </w:rPr>
            </w:pPr>
            <w:r>
              <w:rPr>
                <w:rFonts w:ascii="Arial" w:cs="Arial" w:eastAsia="Arial" w:hAnsi="Arial"/>
                <w:sz w:val="14"/>
                <w:szCs w:val="14"/>
                <w:color w:val="0B2E44"/>
              </w:rPr>
              <w:t>45.44</w:t>
            </w:r>
          </w:p>
        </w:tc>
        <w:tc>
          <w:tcPr>
            <w:tcW w:w="980" w:type="dxa"/>
            <w:vAlign w:val="bottom"/>
            <w:shd w:val="clear" w:color="auto" w:fill="DDE9F2"/>
          </w:tcPr>
          <w:p>
            <w:pPr>
              <w:jc w:val="right"/>
              <w:ind w:right="150"/>
              <w:spacing w:after="0"/>
              <w:rPr>
                <w:sz w:val="20"/>
                <w:szCs w:val="20"/>
                <w:color w:val="auto"/>
              </w:rPr>
            </w:pPr>
            <w:r>
              <w:rPr>
                <w:rFonts w:ascii="Arial" w:cs="Arial" w:eastAsia="Arial" w:hAnsi="Arial"/>
                <w:sz w:val="14"/>
                <w:szCs w:val="14"/>
                <w:color w:val="0B2E44"/>
              </w:rPr>
              <w:t>10/14/24</w:t>
            </w:r>
          </w:p>
        </w:tc>
        <w:tc>
          <w:tcPr>
            <w:tcW w:w="1240" w:type="dxa"/>
            <w:vAlign w:val="bottom"/>
            <w:shd w:val="clear" w:color="auto" w:fill="DDE9F2"/>
          </w:tcPr>
          <w:p>
            <w:pPr>
              <w:jc w:val="right"/>
              <w:ind w:right="210"/>
              <w:spacing w:after="0"/>
              <w:rPr>
                <w:sz w:val="20"/>
                <w:szCs w:val="20"/>
                <w:color w:val="auto"/>
              </w:rPr>
            </w:pPr>
            <w:r>
              <w:rPr>
                <w:rFonts w:ascii="Arial" w:cs="Arial" w:eastAsia="Arial" w:hAnsi="Arial"/>
                <w:sz w:val="14"/>
                <w:szCs w:val="14"/>
                <w:color w:val="0B2E44"/>
              </w:rPr>
              <w:t>—</w:t>
            </w:r>
          </w:p>
        </w:tc>
        <w:tc>
          <w:tcPr>
            <w:tcW w:w="1180" w:type="dxa"/>
            <w:vAlign w:val="bottom"/>
            <w:shd w:val="clear" w:color="auto" w:fill="DDE9F2"/>
          </w:tcPr>
          <w:p>
            <w:pPr>
              <w:jc w:val="right"/>
              <w:ind w:right="211"/>
              <w:spacing w:after="0"/>
              <w:rPr>
                <w:sz w:val="20"/>
                <w:szCs w:val="20"/>
                <w:color w:val="auto"/>
              </w:rPr>
            </w:pPr>
            <w:r>
              <w:rPr>
                <w:rFonts w:ascii="Arial" w:cs="Arial" w:eastAsia="Arial" w:hAnsi="Arial"/>
                <w:sz w:val="14"/>
                <w:szCs w:val="14"/>
                <w:color w:val="0B2E44"/>
              </w:rPr>
              <w:t>—</w:t>
            </w:r>
          </w:p>
        </w:tc>
        <w:tc>
          <w:tcPr>
            <w:tcW w:w="1420" w:type="dxa"/>
            <w:vAlign w:val="bottom"/>
            <w:shd w:val="clear" w:color="auto" w:fill="DDE9F2"/>
          </w:tcPr>
          <w:p>
            <w:pPr>
              <w:jc w:val="right"/>
              <w:ind w:right="271"/>
              <w:spacing w:after="0"/>
              <w:rPr>
                <w:sz w:val="20"/>
                <w:szCs w:val="20"/>
                <w:color w:val="auto"/>
              </w:rPr>
            </w:pPr>
            <w:r>
              <w:rPr>
                <w:rFonts w:ascii="Arial" w:cs="Arial" w:eastAsia="Arial" w:hAnsi="Arial"/>
                <w:sz w:val="14"/>
                <w:szCs w:val="14"/>
                <w:color w:val="0B2E44"/>
              </w:rPr>
              <w:t>—</w:t>
            </w:r>
          </w:p>
        </w:tc>
        <w:tc>
          <w:tcPr>
            <w:tcW w:w="12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w:t>
            </w:r>
          </w:p>
        </w:tc>
        <w:tc>
          <w:tcPr>
            <w:tcW w:w="0" w:type="dxa"/>
            <w:vAlign w:val="bottom"/>
          </w:tcPr>
          <w:p>
            <w:pPr>
              <w:spacing w:after="0"/>
              <w:rPr>
                <w:sz w:val="1"/>
                <w:szCs w:val="1"/>
                <w:color w:val="auto"/>
              </w:rPr>
            </w:pPr>
          </w:p>
        </w:tc>
      </w:tr>
      <w:tr>
        <w:trPr>
          <w:trHeight w:val="203"/>
        </w:trPr>
        <w:tc>
          <w:tcPr>
            <w:tcW w:w="1860" w:type="dxa"/>
            <w:vAlign w:val="bottom"/>
            <w:shd w:val="clear" w:color="auto" w:fill="DDE9F2"/>
          </w:tcPr>
          <w:p>
            <w:pPr>
              <w:spacing w:after="0"/>
              <w:rPr>
                <w:sz w:val="17"/>
                <w:szCs w:val="17"/>
                <w:color w:val="auto"/>
              </w:rPr>
            </w:pPr>
          </w:p>
        </w:tc>
        <w:tc>
          <w:tcPr>
            <w:tcW w:w="110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05/22/20</w:t>
            </w:r>
          </w:p>
        </w:tc>
        <w:tc>
          <w:tcPr>
            <w:tcW w:w="1340" w:type="dxa"/>
            <w:vAlign w:val="bottom"/>
            <w:shd w:val="clear" w:color="auto" w:fill="DDE9F2"/>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shd w:val="clear" w:color="auto" w:fill="DDE9F2"/>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shd w:val="clear" w:color="auto" w:fill="DDE9F2"/>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shd w:val="clear" w:color="auto" w:fill="DDE9F2"/>
          </w:tcPr>
          <w:p>
            <w:pPr>
              <w:jc w:val="right"/>
              <w:ind w:right="210"/>
              <w:spacing w:after="0"/>
              <w:rPr>
                <w:sz w:val="20"/>
                <w:szCs w:val="20"/>
                <w:color w:val="auto"/>
              </w:rPr>
            </w:pPr>
            <w:r>
              <w:rPr>
                <w:rFonts w:ascii="Arial" w:cs="Arial" w:eastAsia="Arial" w:hAnsi="Arial"/>
                <w:sz w:val="14"/>
                <w:szCs w:val="14"/>
                <w:color w:val="0B2E44"/>
              </w:rPr>
              <w:t>2,398</w:t>
            </w:r>
          </w:p>
        </w:tc>
        <w:tc>
          <w:tcPr>
            <w:tcW w:w="1180" w:type="dxa"/>
            <w:vAlign w:val="bottom"/>
            <w:shd w:val="clear" w:color="auto" w:fill="DDE9F2"/>
          </w:tcPr>
          <w:p>
            <w:pPr>
              <w:jc w:val="right"/>
              <w:ind w:right="211"/>
              <w:spacing w:after="0"/>
              <w:rPr>
                <w:sz w:val="20"/>
                <w:szCs w:val="20"/>
                <w:color w:val="auto"/>
              </w:rPr>
            </w:pPr>
            <w:r>
              <w:rPr>
                <w:rFonts w:ascii="Arial" w:cs="Arial" w:eastAsia="Arial" w:hAnsi="Arial"/>
                <w:sz w:val="14"/>
                <w:szCs w:val="14"/>
                <w:color w:val="0B2E44"/>
              </w:rPr>
              <w:t>136,063</w:t>
            </w:r>
          </w:p>
        </w:tc>
        <w:tc>
          <w:tcPr>
            <w:tcW w:w="1420" w:type="dxa"/>
            <w:vAlign w:val="bottom"/>
            <w:shd w:val="clear" w:color="auto" w:fill="DDE9F2"/>
          </w:tcPr>
          <w:p>
            <w:pPr>
              <w:jc w:val="right"/>
              <w:ind w:right="271"/>
              <w:spacing w:after="0"/>
              <w:rPr>
                <w:sz w:val="20"/>
                <w:szCs w:val="20"/>
                <w:color w:val="auto"/>
              </w:rPr>
            </w:pPr>
            <w:r>
              <w:rPr>
                <w:rFonts w:ascii="Arial" w:cs="Arial" w:eastAsia="Arial" w:hAnsi="Arial"/>
                <w:sz w:val="14"/>
                <w:szCs w:val="14"/>
                <w:color w:val="0B2E44"/>
              </w:rPr>
              <w:t>9,589</w:t>
            </w:r>
          </w:p>
        </w:tc>
        <w:tc>
          <w:tcPr>
            <w:tcW w:w="1200" w:type="dxa"/>
            <w:vAlign w:val="bottom"/>
            <w:shd w:val="clear" w:color="auto" w:fill="DDE9F2"/>
          </w:tcPr>
          <w:p>
            <w:pPr>
              <w:jc w:val="right"/>
              <w:spacing w:after="0"/>
              <w:rPr>
                <w:sz w:val="20"/>
                <w:szCs w:val="20"/>
                <w:color w:val="auto"/>
              </w:rPr>
            </w:pPr>
            <w:r>
              <w:rPr>
                <w:rFonts w:ascii="Arial" w:cs="Arial" w:eastAsia="Arial" w:hAnsi="Arial"/>
                <w:sz w:val="14"/>
                <w:szCs w:val="14"/>
                <w:color w:val="0B2E44"/>
              </w:rPr>
              <w:t>544,080</w:t>
            </w:r>
          </w:p>
        </w:tc>
        <w:tc>
          <w:tcPr>
            <w:tcW w:w="0" w:type="dxa"/>
            <w:vAlign w:val="bottom"/>
          </w:tcPr>
          <w:p>
            <w:pPr>
              <w:spacing w:after="0"/>
              <w:rPr>
                <w:sz w:val="1"/>
                <w:szCs w:val="1"/>
                <w:color w:val="auto"/>
              </w:rPr>
            </w:pPr>
          </w:p>
        </w:tc>
      </w:tr>
      <w:tr>
        <w:trPr>
          <w:trHeight w:val="201"/>
        </w:trPr>
        <w:tc>
          <w:tcPr>
            <w:tcW w:w="1860" w:type="dxa"/>
            <w:vAlign w:val="bottom"/>
            <w:tcBorders>
              <w:bottom w:val="single" w:sz="8" w:color="0B2E44"/>
            </w:tcBorders>
            <w:shd w:val="clear" w:color="auto" w:fill="DDE9F2"/>
          </w:tcPr>
          <w:p>
            <w:pPr>
              <w:spacing w:after="0"/>
              <w:rPr>
                <w:sz w:val="17"/>
                <w:szCs w:val="17"/>
                <w:color w:val="auto"/>
              </w:rPr>
            </w:pPr>
          </w:p>
        </w:tc>
        <w:tc>
          <w:tcPr>
            <w:tcW w:w="1100" w:type="dxa"/>
            <w:vAlign w:val="bottom"/>
            <w:tcBorders>
              <w:bottom w:val="single" w:sz="8" w:color="0B2E44"/>
            </w:tcBorders>
            <w:shd w:val="clear" w:color="auto" w:fill="DDE9F2"/>
          </w:tcPr>
          <w:p>
            <w:pPr>
              <w:jc w:val="right"/>
              <w:ind w:right="29"/>
              <w:spacing w:after="0"/>
              <w:rPr>
                <w:sz w:val="20"/>
                <w:szCs w:val="20"/>
                <w:color w:val="auto"/>
              </w:rPr>
            </w:pPr>
            <w:r>
              <w:rPr>
                <w:rFonts w:ascii="Arial" w:cs="Arial" w:eastAsia="Arial" w:hAnsi="Arial"/>
                <w:sz w:val="14"/>
                <w:szCs w:val="14"/>
                <w:color w:val="0B2E44"/>
              </w:rPr>
              <w:t>05/17/21</w:t>
            </w:r>
          </w:p>
        </w:tc>
        <w:tc>
          <w:tcPr>
            <w:tcW w:w="1340" w:type="dxa"/>
            <w:vAlign w:val="bottom"/>
            <w:tcBorders>
              <w:bottom w:val="single" w:sz="8" w:color="0B2E44"/>
            </w:tcBorders>
            <w:shd w:val="clear" w:color="auto" w:fill="DDE9F2"/>
          </w:tcPr>
          <w:p>
            <w:pPr>
              <w:jc w:val="right"/>
              <w:ind w:right="171"/>
              <w:spacing w:after="0"/>
              <w:rPr>
                <w:sz w:val="20"/>
                <w:szCs w:val="20"/>
                <w:color w:val="auto"/>
              </w:rPr>
            </w:pPr>
            <w:r>
              <w:rPr>
                <w:rFonts w:ascii="Arial" w:cs="Arial" w:eastAsia="Arial" w:hAnsi="Arial"/>
                <w:sz w:val="14"/>
                <w:szCs w:val="14"/>
                <w:color w:val="0B2E44"/>
              </w:rPr>
              <w:t>—</w:t>
            </w:r>
          </w:p>
        </w:tc>
        <w:tc>
          <w:tcPr>
            <w:tcW w:w="880" w:type="dxa"/>
            <w:vAlign w:val="bottom"/>
            <w:tcBorders>
              <w:bottom w:val="single" w:sz="8" w:color="0B2E44"/>
            </w:tcBorders>
            <w:shd w:val="clear" w:color="auto" w:fill="DDE9F2"/>
          </w:tcPr>
          <w:p>
            <w:pPr>
              <w:jc w:val="right"/>
              <w:ind w:right="190"/>
              <w:spacing w:after="0"/>
              <w:rPr>
                <w:sz w:val="20"/>
                <w:szCs w:val="20"/>
                <w:color w:val="auto"/>
              </w:rPr>
            </w:pPr>
            <w:r>
              <w:rPr>
                <w:rFonts w:ascii="Arial" w:cs="Arial" w:eastAsia="Arial" w:hAnsi="Arial"/>
                <w:sz w:val="14"/>
                <w:szCs w:val="14"/>
                <w:color w:val="0B2E44"/>
              </w:rPr>
              <w:t>—</w:t>
            </w:r>
          </w:p>
        </w:tc>
        <w:tc>
          <w:tcPr>
            <w:tcW w:w="980" w:type="dxa"/>
            <w:vAlign w:val="bottom"/>
            <w:tcBorders>
              <w:bottom w:val="single" w:sz="8" w:color="0B2E44"/>
            </w:tcBorders>
            <w:shd w:val="clear" w:color="auto" w:fill="DDE9F2"/>
          </w:tcPr>
          <w:p>
            <w:pPr>
              <w:jc w:val="center"/>
              <w:ind w:left="210"/>
              <w:spacing w:after="0"/>
              <w:rPr>
                <w:sz w:val="20"/>
                <w:szCs w:val="20"/>
                <w:color w:val="auto"/>
              </w:rPr>
            </w:pPr>
            <w:r>
              <w:rPr>
                <w:rFonts w:ascii="Arial" w:cs="Arial" w:eastAsia="Arial" w:hAnsi="Arial"/>
                <w:sz w:val="14"/>
                <w:szCs w:val="14"/>
                <w:color w:val="0B2E44"/>
                <w:w w:val="99"/>
              </w:rPr>
              <w:t>—</w:t>
            </w:r>
          </w:p>
        </w:tc>
        <w:tc>
          <w:tcPr>
            <w:tcW w:w="1240" w:type="dxa"/>
            <w:vAlign w:val="bottom"/>
            <w:tcBorders>
              <w:bottom w:val="single" w:sz="8" w:color="0B2E44"/>
            </w:tcBorders>
            <w:shd w:val="clear" w:color="auto" w:fill="DDE9F2"/>
          </w:tcPr>
          <w:p>
            <w:pPr>
              <w:jc w:val="right"/>
              <w:ind w:right="210"/>
              <w:spacing w:after="0"/>
              <w:rPr>
                <w:sz w:val="20"/>
                <w:szCs w:val="20"/>
                <w:color w:val="auto"/>
              </w:rPr>
            </w:pPr>
            <w:r>
              <w:rPr>
                <w:rFonts w:ascii="Arial" w:cs="Arial" w:eastAsia="Arial" w:hAnsi="Arial"/>
                <w:sz w:val="14"/>
                <w:szCs w:val="14"/>
                <w:color w:val="0B2E44"/>
              </w:rPr>
              <w:t>10,995</w:t>
            </w:r>
          </w:p>
        </w:tc>
        <w:tc>
          <w:tcPr>
            <w:tcW w:w="1180" w:type="dxa"/>
            <w:vAlign w:val="bottom"/>
            <w:tcBorders>
              <w:bottom w:val="single" w:sz="8" w:color="0B2E44"/>
            </w:tcBorders>
            <w:shd w:val="clear" w:color="auto" w:fill="DDE9F2"/>
          </w:tcPr>
          <w:p>
            <w:pPr>
              <w:jc w:val="right"/>
              <w:ind w:right="211"/>
              <w:spacing w:after="0"/>
              <w:rPr>
                <w:sz w:val="20"/>
                <w:szCs w:val="20"/>
                <w:color w:val="auto"/>
              </w:rPr>
            </w:pPr>
            <w:r>
              <w:rPr>
                <w:rFonts w:ascii="Arial" w:cs="Arial" w:eastAsia="Arial" w:hAnsi="Arial"/>
                <w:sz w:val="14"/>
                <w:szCs w:val="14"/>
                <w:color w:val="0B2E44"/>
              </w:rPr>
              <w:t>623,856</w:t>
            </w:r>
          </w:p>
        </w:tc>
        <w:tc>
          <w:tcPr>
            <w:tcW w:w="1420" w:type="dxa"/>
            <w:vAlign w:val="bottom"/>
            <w:tcBorders>
              <w:bottom w:val="single" w:sz="8" w:color="0B2E44"/>
            </w:tcBorders>
            <w:shd w:val="clear" w:color="auto" w:fill="DDE9F2"/>
          </w:tcPr>
          <w:p>
            <w:pPr>
              <w:jc w:val="right"/>
              <w:ind w:right="271"/>
              <w:spacing w:after="0"/>
              <w:rPr>
                <w:sz w:val="20"/>
                <w:szCs w:val="20"/>
                <w:color w:val="auto"/>
              </w:rPr>
            </w:pPr>
            <w:r>
              <w:rPr>
                <w:rFonts w:ascii="Arial" w:cs="Arial" w:eastAsia="Arial" w:hAnsi="Arial"/>
                <w:sz w:val="14"/>
                <w:szCs w:val="14"/>
                <w:color w:val="0B2E44"/>
              </w:rPr>
              <w:t>5,016</w:t>
            </w:r>
          </w:p>
        </w:tc>
        <w:tc>
          <w:tcPr>
            <w:tcW w:w="1200" w:type="dxa"/>
            <w:vAlign w:val="bottom"/>
            <w:tcBorders>
              <w:bottom w:val="single" w:sz="8" w:color="0B2E44"/>
            </w:tcBorders>
            <w:shd w:val="clear" w:color="auto" w:fill="DDE9F2"/>
          </w:tcPr>
          <w:p>
            <w:pPr>
              <w:jc w:val="right"/>
              <w:spacing w:after="0"/>
              <w:rPr>
                <w:sz w:val="20"/>
                <w:szCs w:val="20"/>
                <w:color w:val="auto"/>
              </w:rPr>
            </w:pPr>
            <w:r>
              <w:rPr>
                <w:rFonts w:ascii="Arial" w:cs="Arial" w:eastAsia="Arial" w:hAnsi="Arial"/>
                <w:sz w:val="14"/>
                <w:szCs w:val="14"/>
                <w:color w:val="0B2E44"/>
              </w:rPr>
              <w:t>284,608</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40" w:right="100" w:hanging="332"/>
        <w:spacing w:after="0" w:line="247" w:lineRule="auto"/>
        <w:tabs>
          <w:tab w:leader="none" w:pos="255" w:val="left"/>
        </w:tabs>
        <w:numPr>
          <w:ilvl w:val="0"/>
          <w:numId w:val="45"/>
        </w:numPr>
        <w:rPr>
          <w:rFonts w:ascii="Arial" w:cs="Arial" w:eastAsia="Arial" w:hAnsi="Arial"/>
          <w:sz w:val="13"/>
          <w:szCs w:val="13"/>
          <w:color w:val="0B2E44"/>
        </w:rPr>
      </w:pPr>
      <w:r>
        <w:rPr>
          <w:rFonts w:ascii="Arial" w:cs="Arial" w:eastAsia="Arial" w:hAnsi="Arial"/>
          <w:sz w:val="13"/>
          <w:szCs w:val="13"/>
          <w:color w:val="0B2E44"/>
        </w:rPr>
        <w:t>Unless otherwise indicated, all restricted stock unit awards granted to our named executive officers vest over three years, with 33.3% vesting on the first anniversary of the grant date and 8.375% vesting quarterly thereafter, subject, in each case, to continued employment or service through the applicable vesting date. Financial performance awards follow the same vesting schedule, but at their respective achievement rates. Relative TSR-based awards vest equally on an annual basis over three years, subject to continued employment or service through the applicable vesting date. The vesting commencement date for all restricted stock unit awards and performance stock unit awards is the grant date.</w:t>
      </w:r>
    </w:p>
    <w:p>
      <w:pPr>
        <w:ind w:left="340" w:right="20" w:hanging="332"/>
        <w:spacing w:after="0" w:line="239" w:lineRule="auto"/>
        <w:tabs>
          <w:tab w:leader="none" w:pos="255" w:val="left"/>
        </w:tabs>
        <w:numPr>
          <w:ilvl w:val="0"/>
          <w:numId w:val="45"/>
        </w:numPr>
        <w:rPr>
          <w:rFonts w:ascii="Arial" w:cs="Arial" w:eastAsia="Arial" w:hAnsi="Arial"/>
          <w:sz w:val="13"/>
          <w:szCs w:val="13"/>
          <w:color w:val="0B2E44"/>
        </w:rPr>
      </w:pPr>
      <w:r>
        <w:rPr>
          <w:rFonts w:ascii="Arial" w:cs="Arial" w:eastAsia="Arial" w:hAnsi="Arial"/>
          <w:sz w:val="13"/>
          <w:szCs w:val="13"/>
          <w:color w:val="0B2E44"/>
        </w:rPr>
        <w:t>Time-based awards include time-vesting restricted stock unit awards and financial performance stock unit awards at the rate achieved for the respective fiscal year. The May 2021 financial performance stock unit awards achieved at 150% and the May 2022 financial performance stock unit awards achieved at 128%. There were no financial performance stock unit awards granted in fiscal 2021. The value is computed based on the number of achieved unvested shares multiplied by the closing market price of our common stock at the end of fiscal 2023. The actual value (if any) to be realized by the named executive officer depends on whether the shares vest and the future performance of our common stock. On March 31, 2023, the closing price of our common stock was $56.74 per share. See “Long-Term Equity Incentive Awards” above for more information on the plan and the related performance objectives.</w:t>
      </w:r>
    </w:p>
    <w:p>
      <w:pPr>
        <w:spacing w:after="0" w:line="3" w:lineRule="exact"/>
        <w:rPr>
          <w:rFonts w:ascii="Arial" w:cs="Arial" w:eastAsia="Arial" w:hAnsi="Arial"/>
          <w:sz w:val="13"/>
          <w:szCs w:val="13"/>
          <w:color w:val="0B2E44"/>
        </w:rPr>
      </w:pPr>
    </w:p>
    <w:p>
      <w:pPr>
        <w:ind w:left="340" w:hanging="332"/>
        <w:spacing w:after="0" w:line="242" w:lineRule="auto"/>
        <w:tabs>
          <w:tab w:leader="none" w:pos="255" w:val="left"/>
        </w:tabs>
        <w:numPr>
          <w:ilvl w:val="0"/>
          <w:numId w:val="45"/>
        </w:numPr>
        <w:rPr>
          <w:rFonts w:ascii="Arial" w:cs="Arial" w:eastAsia="Arial" w:hAnsi="Arial"/>
          <w:sz w:val="13"/>
          <w:szCs w:val="13"/>
          <w:color w:val="0B2E44"/>
        </w:rPr>
      </w:pPr>
      <w:r>
        <w:rPr>
          <w:rFonts w:ascii="Arial" w:cs="Arial" w:eastAsia="Arial" w:hAnsi="Arial"/>
          <w:sz w:val="13"/>
          <w:szCs w:val="13"/>
          <w:color w:val="0B2E44"/>
        </w:rPr>
        <w:t>Performance-based awards include Relative TSR performance stock unit awards at the March 31, 2023 payout rate based on Commvault’s TSR measured relative to the components of the Russell 3000 Index. The May 2020, May 2021 and May 2022 awards are calculated at an estimated 100% payout (target). The value is computed based on the number of achieved unvested shares multiplied by the closing market price of our common stock at the end of fiscal 2023. The actual value (if any) to be realized by the named executive officer depends on whether the shares vest and the future performance of our common stock. On March 31, 2023, the closing price of our common stock was $56.74 per share. See “Long-Term Equity Incentive Awards” above for more information on the plan and the related performance objectives.</w:t>
      </w:r>
    </w:p>
    <w:p>
      <w:pPr>
        <w:spacing w:after="0" w:line="2" w:lineRule="exact"/>
        <w:rPr>
          <w:rFonts w:ascii="Arial" w:cs="Arial" w:eastAsia="Arial" w:hAnsi="Arial"/>
          <w:sz w:val="13"/>
          <w:szCs w:val="13"/>
          <w:color w:val="0B2E44"/>
        </w:rPr>
      </w:pPr>
    </w:p>
    <w:p>
      <w:pPr>
        <w:ind w:left="340" w:right="180" w:hanging="332"/>
        <w:spacing w:after="0" w:line="255" w:lineRule="auto"/>
        <w:tabs>
          <w:tab w:leader="none" w:pos="255" w:val="left"/>
        </w:tabs>
        <w:numPr>
          <w:ilvl w:val="0"/>
          <w:numId w:val="45"/>
        </w:numPr>
        <w:rPr>
          <w:rFonts w:ascii="Arial" w:cs="Arial" w:eastAsia="Arial" w:hAnsi="Arial"/>
          <w:sz w:val="13"/>
          <w:szCs w:val="13"/>
          <w:color w:val="0B2E44"/>
        </w:rPr>
      </w:pPr>
      <w:r>
        <w:rPr>
          <w:rFonts w:ascii="Arial" w:cs="Arial" w:eastAsia="Arial" w:hAnsi="Arial"/>
          <w:sz w:val="13"/>
          <w:szCs w:val="13"/>
          <w:color w:val="0B2E44"/>
        </w:rPr>
        <w:t>In connection with Mr. Carolan's Agreement and General Release dated April 28, 2022, all unvested equity shares shall continue to vest in accordance with the plan agreement in which the equity grants were made. Refer to “Modification of Former CFO Equity Awards” above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44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line="191" w:lineRule="auto"/>
        <w:framePr w:w="4360" w:h="147" w:wrap="auto" w:vAnchor="page" w:hAnchor="page" w:x="4780" w:y="6743"/>
        <w:rPr>
          <w:rFonts w:ascii="Arial" w:cs="Arial" w:eastAsia="Arial" w:hAnsi="Arial"/>
          <w:sz w:val="16"/>
          <w:szCs w:val="16"/>
          <w:color w:val="0B2E44"/>
        </w:rPr>
      </w:pPr>
      <w:r>
        <w:rPr>
          <w:rFonts w:ascii="Arial" w:cs="Arial" w:eastAsia="Arial" w:hAnsi="Arial"/>
          <w:sz w:val="16"/>
          <w:szCs w:val="16"/>
          <w:color w:val="0B2E44"/>
        </w:rPr>
        <w:t>•  eligible for an annual cash  •  eligible to participate in a</w:t>
      </w:r>
    </w:p>
    <w:p>
      <w:pPr>
        <w:spacing w:after="0" w:line="191" w:lineRule="auto"/>
        <w:framePr w:w="520" w:h="147" w:wrap="auto" w:vAnchor="page" w:hAnchor="page" w:x="5020" w:y="6932"/>
        <w:rPr>
          <w:rFonts w:ascii="Arial" w:cs="Arial" w:eastAsia="Arial" w:hAnsi="Arial"/>
          <w:sz w:val="16"/>
          <w:szCs w:val="16"/>
          <w:color w:val="0B2E44"/>
        </w:rPr>
      </w:pPr>
      <w:r>
        <w:rPr>
          <w:rFonts w:ascii="Arial" w:cs="Arial" w:eastAsia="Arial" w:hAnsi="Arial"/>
          <w:sz w:val="16"/>
          <w:szCs w:val="16"/>
          <w:color w:val="0B2E44"/>
        </w:rPr>
        <w:t>bonus</w:t>
      </w:r>
    </w:p>
    <w:p>
      <w:pPr>
        <w:spacing w:after="0" w:line="191" w:lineRule="auto"/>
        <w:framePr w:w="1140" w:h="147" w:wrap="auto" w:vAnchor="page" w:hAnchor="page" w:x="7280" w:y="6932"/>
        <w:rPr>
          <w:rFonts w:ascii="Arial" w:cs="Arial" w:eastAsia="Arial" w:hAnsi="Arial"/>
          <w:sz w:val="16"/>
          <w:szCs w:val="16"/>
          <w:color w:val="0B2E44"/>
        </w:rPr>
      </w:pPr>
      <w:r>
        <w:rPr>
          <w:rFonts w:ascii="Arial" w:cs="Arial" w:eastAsia="Arial" w:hAnsi="Arial"/>
          <w:sz w:val="16"/>
          <w:szCs w:val="16"/>
          <w:color w:val="0B2E44"/>
        </w:rPr>
        <w:t>sales incentive</w:t>
      </w: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rFonts w:ascii="Arial" w:cs="Arial" w:eastAsia="Arial" w:hAnsi="Arial"/>
          <w:sz w:val="16"/>
          <w:szCs w:val="16"/>
          <w:color w:val="0B2E44"/>
        </w:rPr>
      </w:pPr>
    </w:p>
    <w:p>
      <w:pPr>
        <w:spacing w:after="0" w:line="253" w:lineRule="exact"/>
        <w:rPr>
          <w:rFonts w:ascii="Arial" w:cs="Arial" w:eastAsia="Arial" w:hAnsi="Arial"/>
          <w:sz w:val="16"/>
          <w:szCs w:val="16"/>
          <w:color w:val="0B2E44"/>
        </w:rPr>
      </w:pPr>
    </w:p>
    <w:p>
      <w:pPr>
        <w:ind w:left="40"/>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2023 STOCK VESTED TABLE</w:t>
      </w:r>
    </w:p>
    <w:p>
      <w:pPr>
        <w:spacing w:after="0" w:line="128" w:lineRule="exact"/>
        <w:rPr>
          <w:rFonts w:ascii="Arial" w:cs="Arial" w:eastAsia="Arial" w:hAnsi="Arial"/>
          <w:sz w:val="16"/>
          <w:szCs w:val="16"/>
          <w:color w:val="0B2E44"/>
        </w:rPr>
      </w:pPr>
    </w:p>
    <w:p>
      <w:pPr>
        <w:spacing w:after="0"/>
        <w:rPr>
          <w:sz w:val="20"/>
          <w:szCs w:val="20"/>
          <w:color w:val="auto"/>
        </w:rPr>
      </w:pPr>
      <w:r>
        <w:rPr>
          <w:rFonts w:ascii="Arial" w:cs="Arial" w:eastAsia="Arial" w:hAnsi="Arial"/>
          <w:sz w:val="25"/>
          <w:szCs w:val="25"/>
          <w:b w:val="1"/>
          <w:bCs w:val="1"/>
          <w:color w:val="E14A6A"/>
        </w:rPr>
        <w:t>Fiscal 2023 Stock Vested Table</w:t>
      </w:r>
    </w:p>
    <w:p>
      <w:pPr>
        <w:spacing w:after="0" w:line="97" w:lineRule="exact"/>
        <w:rPr>
          <w:rFonts w:ascii="Arial" w:cs="Arial" w:eastAsia="Arial" w:hAnsi="Arial"/>
          <w:sz w:val="16"/>
          <w:szCs w:val="16"/>
          <w:color w:val="0B2E44"/>
        </w:rPr>
      </w:pPr>
    </w:p>
    <w:p>
      <w:pPr>
        <w:spacing w:after="0"/>
        <w:rPr>
          <w:sz w:val="20"/>
          <w:szCs w:val="20"/>
          <w:color w:val="auto"/>
        </w:rPr>
      </w:pPr>
      <w:r>
        <w:rPr>
          <w:rFonts w:ascii="Arial" w:cs="Arial" w:eastAsia="Arial" w:hAnsi="Arial"/>
          <w:sz w:val="16"/>
          <w:szCs w:val="16"/>
          <w:color w:val="0B2E44"/>
        </w:rPr>
        <w:t>The following table sets forth information on the number and value of restricted stock units vested during fiscal 2023 for our named executive officers.</w:t>
      </w:r>
    </w:p>
    <w:p>
      <w:pPr>
        <w:spacing w:after="0" w:line="320" w:lineRule="exact"/>
        <w:rPr>
          <w:rFonts w:ascii="Arial" w:cs="Arial" w:eastAsia="Arial" w:hAnsi="Arial"/>
          <w:sz w:val="16"/>
          <w:szCs w:val="16"/>
          <w:color w:val="0B2E44"/>
        </w:rPr>
      </w:pPr>
    </w:p>
    <w:tbl>
      <w:tblPr>
        <w:tblLayout w:type="fixed"/>
        <w:tblInd w:w="40" w:type="dxa"/>
        <w:tblCellMar>
          <w:top w:w="0" w:type="dxa"/>
          <w:left w:w="0" w:type="dxa"/>
          <w:bottom w:w="0" w:type="dxa"/>
          <w:right w:w="0" w:type="dxa"/>
        </w:tblCellMar>
      </w:tblPr>
      <w:tr>
        <w:trPr>
          <w:trHeight w:val="182"/>
        </w:trPr>
        <w:tc>
          <w:tcPr>
            <w:tcW w:w="7160" w:type="dxa"/>
            <w:vAlign w:val="bottom"/>
          </w:tcPr>
          <w:p>
            <w:pPr>
              <w:spacing w:after="0"/>
              <w:rPr>
                <w:sz w:val="15"/>
                <w:szCs w:val="15"/>
                <w:color w:val="auto"/>
              </w:rPr>
            </w:pPr>
          </w:p>
        </w:tc>
        <w:tc>
          <w:tcPr>
            <w:tcW w:w="2680" w:type="dxa"/>
            <w:vAlign w:val="bottom"/>
          </w:tcPr>
          <w:p>
            <w:pPr>
              <w:jc w:val="right"/>
              <w:ind w:right="163"/>
              <w:spacing w:after="0"/>
              <w:rPr>
                <w:sz w:val="20"/>
                <w:szCs w:val="20"/>
                <w:color w:val="auto"/>
              </w:rPr>
            </w:pPr>
            <w:r>
              <w:rPr>
                <w:rFonts w:ascii="Arial" w:cs="Arial" w:eastAsia="Arial" w:hAnsi="Arial"/>
                <w:sz w:val="14"/>
                <w:szCs w:val="14"/>
                <w:color w:val="auto"/>
              </w:rPr>
              <w:t>Stock Awards</w:t>
            </w:r>
          </w:p>
        </w:tc>
        <w:tc>
          <w:tcPr>
            <w:tcW w:w="1320" w:type="dxa"/>
            <w:vAlign w:val="bottom"/>
          </w:tcPr>
          <w:p>
            <w:pPr>
              <w:spacing w:after="0"/>
              <w:rPr>
                <w:sz w:val="15"/>
                <w:szCs w:val="15"/>
                <w:color w:val="auto"/>
              </w:rPr>
            </w:pPr>
          </w:p>
        </w:tc>
      </w:tr>
      <w:tr>
        <w:trPr>
          <w:trHeight w:val="26"/>
        </w:trPr>
        <w:tc>
          <w:tcPr>
            <w:tcW w:w="71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50"/>
        </w:trPr>
        <w:tc>
          <w:tcPr>
            <w:tcW w:w="7160" w:type="dxa"/>
            <w:vAlign w:val="bottom"/>
          </w:tcPr>
          <w:p>
            <w:pPr>
              <w:spacing w:after="0"/>
              <w:rPr>
                <w:sz w:val="13"/>
                <w:szCs w:val="13"/>
                <w:color w:val="auto"/>
              </w:rPr>
            </w:pPr>
          </w:p>
        </w:tc>
        <w:tc>
          <w:tcPr>
            <w:tcW w:w="2680" w:type="dxa"/>
            <w:vAlign w:val="bottom"/>
          </w:tcPr>
          <w:p>
            <w:pPr>
              <w:jc w:val="right"/>
              <w:ind w:right="623"/>
              <w:spacing w:after="0" w:line="151" w:lineRule="exact"/>
              <w:rPr>
                <w:sz w:val="20"/>
                <w:szCs w:val="20"/>
                <w:color w:val="auto"/>
              </w:rPr>
            </w:pPr>
            <w:r>
              <w:rPr>
                <w:rFonts w:ascii="Arial" w:cs="Arial" w:eastAsia="Arial" w:hAnsi="Arial"/>
                <w:sz w:val="14"/>
                <w:szCs w:val="14"/>
                <w:color w:val="0B2E44"/>
              </w:rPr>
              <w:t>Number of Shares</w:t>
            </w:r>
          </w:p>
        </w:tc>
        <w:tc>
          <w:tcPr>
            <w:tcW w:w="1320" w:type="dxa"/>
            <w:vAlign w:val="bottom"/>
          </w:tcPr>
          <w:p>
            <w:pPr>
              <w:jc w:val="right"/>
              <w:spacing w:after="0" w:line="151" w:lineRule="exact"/>
              <w:rPr>
                <w:sz w:val="20"/>
                <w:szCs w:val="20"/>
                <w:color w:val="auto"/>
              </w:rPr>
            </w:pPr>
            <w:r>
              <w:rPr>
                <w:rFonts w:ascii="Arial" w:cs="Arial" w:eastAsia="Arial" w:hAnsi="Arial"/>
                <w:sz w:val="14"/>
                <w:szCs w:val="14"/>
                <w:color w:val="0B2E44"/>
              </w:rPr>
              <w:t>Value Realized</w:t>
            </w:r>
          </w:p>
        </w:tc>
      </w:tr>
      <w:tr>
        <w:trPr>
          <w:trHeight w:val="182"/>
        </w:trPr>
        <w:tc>
          <w:tcPr>
            <w:tcW w:w="7160" w:type="dxa"/>
            <w:vAlign w:val="bottom"/>
          </w:tcPr>
          <w:p>
            <w:pPr>
              <w:ind w:left="140"/>
              <w:spacing w:after="0"/>
              <w:rPr>
                <w:sz w:val="20"/>
                <w:szCs w:val="20"/>
                <w:color w:val="auto"/>
              </w:rPr>
            </w:pPr>
            <w:r>
              <w:rPr>
                <w:rFonts w:ascii="Arial" w:cs="Arial" w:eastAsia="Arial" w:hAnsi="Arial"/>
                <w:sz w:val="14"/>
                <w:szCs w:val="14"/>
                <w:color w:val="0B2E44"/>
              </w:rPr>
              <w:t>Name</w:t>
            </w:r>
          </w:p>
        </w:tc>
        <w:tc>
          <w:tcPr>
            <w:tcW w:w="2680" w:type="dxa"/>
            <w:vAlign w:val="bottom"/>
          </w:tcPr>
          <w:p>
            <w:pPr>
              <w:jc w:val="right"/>
              <w:ind w:right="623"/>
              <w:spacing w:after="0"/>
              <w:rPr>
                <w:sz w:val="20"/>
                <w:szCs w:val="20"/>
                <w:color w:val="auto"/>
              </w:rPr>
            </w:pPr>
            <w:r>
              <w:rPr>
                <w:rFonts w:ascii="Arial" w:cs="Arial" w:eastAsia="Arial" w:hAnsi="Arial"/>
                <w:sz w:val="14"/>
                <w:szCs w:val="14"/>
                <w:color w:val="0B2E44"/>
              </w:rPr>
              <w:t>Acquired on Vesting(#)</w:t>
            </w:r>
          </w:p>
        </w:tc>
        <w:tc>
          <w:tcPr>
            <w:tcW w:w="1320" w:type="dxa"/>
            <w:vAlign w:val="bottom"/>
          </w:tcPr>
          <w:p>
            <w:pPr>
              <w:jc w:val="right"/>
              <w:spacing w:after="0"/>
              <w:rPr>
                <w:sz w:val="20"/>
                <w:szCs w:val="20"/>
                <w:color w:val="auto"/>
              </w:rPr>
            </w:pPr>
            <w:r>
              <w:rPr>
                <w:rFonts w:ascii="Arial" w:cs="Arial" w:eastAsia="Arial" w:hAnsi="Arial"/>
                <w:sz w:val="14"/>
                <w:szCs w:val="14"/>
                <w:color w:val="0B2E44"/>
              </w:rPr>
              <w:t>On Vesting($)(1)</w:t>
            </w:r>
          </w:p>
        </w:tc>
      </w:tr>
      <w:tr>
        <w:trPr>
          <w:trHeight w:val="26"/>
        </w:trPr>
        <w:tc>
          <w:tcPr>
            <w:tcW w:w="7160" w:type="dxa"/>
            <w:vAlign w:val="bottom"/>
            <w:tcBorders>
              <w:bottom w:val="single" w:sz="8" w:color="E14A6A"/>
            </w:tcBorders>
          </w:tcPr>
          <w:p>
            <w:pPr>
              <w:spacing w:after="0"/>
              <w:rPr>
                <w:sz w:val="2"/>
                <w:szCs w:val="2"/>
                <w:color w:val="auto"/>
              </w:rPr>
            </w:pPr>
          </w:p>
        </w:tc>
        <w:tc>
          <w:tcPr>
            <w:tcW w:w="2680" w:type="dxa"/>
            <w:vAlign w:val="bottom"/>
            <w:tcBorders>
              <w:bottom w:val="single" w:sz="8" w:color="E14A6A"/>
            </w:tcBorders>
          </w:tcPr>
          <w:p>
            <w:pPr>
              <w:spacing w:after="0"/>
              <w:rPr>
                <w:sz w:val="2"/>
                <w:szCs w:val="2"/>
                <w:color w:val="auto"/>
              </w:rPr>
            </w:pPr>
          </w:p>
        </w:tc>
        <w:tc>
          <w:tcPr>
            <w:tcW w:w="1320" w:type="dxa"/>
            <w:vAlign w:val="bottom"/>
            <w:tcBorders>
              <w:bottom w:val="single" w:sz="8" w:color="E14A6A"/>
            </w:tcBorders>
          </w:tcPr>
          <w:p>
            <w:pPr>
              <w:spacing w:after="0"/>
              <w:rPr>
                <w:sz w:val="2"/>
                <w:szCs w:val="2"/>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b w:val="1"/>
                <w:bCs w:val="1"/>
                <w:color w:val="0B2E44"/>
              </w:rPr>
              <w:t>Sanjay Mirchandani</w:t>
            </w:r>
          </w:p>
        </w:tc>
        <w:tc>
          <w:tcPr>
            <w:tcW w:w="2680" w:type="dxa"/>
            <w:vAlign w:val="bottom"/>
          </w:tcPr>
          <w:p>
            <w:pPr>
              <w:jc w:val="right"/>
              <w:ind w:right="703"/>
              <w:spacing w:after="0"/>
              <w:rPr>
                <w:sz w:val="20"/>
                <w:szCs w:val="20"/>
                <w:color w:val="auto"/>
              </w:rPr>
            </w:pPr>
            <w:r>
              <w:rPr>
                <w:rFonts w:ascii="Arial" w:cs="Arial" w:eastAsia="Arial" w:hAnsi="Arial"/>
                <w:sz w:val="16"/>
                <w:szCs w:val="16"/>
                <w:color w:val="0B2E44"/>
              </w:rPr>
              <w:t>146,634</w:t>
            </w:r>
          </w:p>
        </w:tc>
        <w:tc>
          <w:tcPr>
            <w:tcW w:w="1320" w:type="dxa"/>
            <w:vAlign w:val="bottom"/>
          </w:tcPr>
          <w:p>
            <w:pPr>
              <w:jc w:val="right"/>
              <w:ind w:right="22"/>
              <w:spacing w:after="0"/>
              <w:rPr>
                <w:sz w:val="20"/>
                <w:szCs w:val="20"/>
                <w:color w:val="auto"/>
              </w:rPr>
            </w:pPr>
            <w:r>
              <w:rPr>
                <w:rFonts w:ascii="Arial" w:cs="Arial" w:eastAsia="Arial" w:hAnsi="Arial"/>
                <w:sz w:val="16"/>
                <w:szCs w:val="16"/>
                <w:color w:val="0B2E44"/>
              </w:rPr>
              <w:t>8,867,972</w:t>
            </w:r>
          </w:p>
        </w:tc>
      </w:tr>
      <w:tr>
        <w:trPr>
          <w:trHeight w:val="216"/>
        </w:trPr>
        <w:tc>
          <w:tcPr>
            <w:tcW w:w="7160" w:type="dxa"/>
            <w:vAlign w:val="bottom"/>
            <w:shd w:val="clear" w:color="auto" w:fill="DDE9F2"/>
          </w:tcPr>
          <w:p>
            <w:pPr>
              <w:ind w:left="120"/>
              <w:spacing w:after="0"/>
              <w:rPr>
                <w:sz w:val="20"/>
                <w:szCs w:val="20"/>
                <w:color w:val="auto"/>
              </w:rPr>
            </w:pPr>
            <w:r>
              <w:rPr>
                <w:rFonts w:ascii="Arial" w:cs="Arial" w:eastAsia="Arial" w:hAnsi="Arial"/>
                <w:sz w:val="16"/>
                <w:szCs w:val="16"/>
                <w:b w:val="1"/>
                <w:bCs w:val="1"/>
                <w:color w:val="0B2E44"/>
              </w:rPr>
              <w:t>Gary Merrill</w:t>
            </w:r>
          </w:p>
        </w:tc>
        <w:tc>
          <w:tcPr>
            <w:tcW w:w="2680" w:type="dxa"/>
            <w:vAlign w:val="bottom"/>
            <w:shd w:val="clear" w:color="auto" w:fill="DDE9F2"/>
          </w:tcPr>
          <w:p>
            <w:pPr>
              <w:jc w:val="right"/>
              <w:ind w:right="703"/>
              <w:spacing w:after="0"/>
              <w:rPr>
                <w:sz w:val="20"/>
                <w:szCs w:val="20"/>
                <w:color w:val="auto"/>
              </w:rPr>
            </w:pPr>
            <w:r>
              <w:rPr>
                <w:rFonts w:ascii="Arial" w:cs="Arial" w:eastAsia="Arial" w:hAnsi="Arial"/>
                <w:sz w:val="16"/>
                <w:szCs w:val="16"/>
                <w:color w:val="0B2E44"/>
              </w:rPr>
              <w:t>17,288</w:t>
            </w:r>
          </w:p>
        </w:tc>
        <w:tc>
          <w:tcPr>
            <w:tcW w:w="1320" w:type="dxa"/>
            <w:vAlign w:val="bottom"/>
            <w:shd w:val="clear" w:color="auto" w:fill="DDE9F2"/>
          </w:tcPr>
          <w:p>
            <w:pPr>
              <w:jc w:val="right"/>
              <w:ind w:right="22"/>
              <w:spacing w:after="0"/>
              <w:rPr>
                <w:sz w:val="20"/>
                <w:szCs w:val="20"/>
                <w:color w:val="auto"/>
              </w:rPr>
            </w:pPr>
            <w:r>
              <w:rPr>
                <w:rFonts w:ascii="Arial" w:cs="Arial" w:eastAsia="Arial" w:hAnsi="Arial"/>
                <w:sz w:val="16"/>
                <w:szCs w:val="16"/>
                <w:color w:val="0B2E44"/>
              </w:rPr>
              <w:t>1,045,721</w:t>
            </w:r>
          </w:p>
        </w:tc>
      </w:tr>
      <w:tr>
        <w:trPr>
          <w:trHeight w:val="216"/>
        </w:trPr>
        <w:tc>
          <w:tcPr>
            <w:tcW w:w="7160" w:type="dxa"/>
            <w:vAlign w:val="bottom"/>
          </w:tcPr>
          <w:p>
            <w:pPr>
              <w:ind w:left="120"/>
              <w:spacing w:after="0"/>
              <w:rPr>
                <w:sz w:val="20"/>
                <w:szCs w:val="20"/>
                <w:color w:val="auto"/>
              </w:rPr>
            </w:pPr>
            <w:r>
              <w:rPr>
                <w:rFonts w:ascii="Arial" w:cs="Arial" w:eastAsia="Arial" w:hAnsi="Arial"/>
                <w:sz w:val="16"/>
                <w:szCs w:val="16"/>
                <w:b w:val="1"/>
                <w:bCs w:val="1"/>
                <w:color w:val="0B2E44"/>
              </w:rPr>
              <w:t>Riccardo Di Blasio</w:t>
            </w:r>
          </w:p>
        </w:tc>
        <w:tc>
          <w:tcPr>
            <w:tcW w:w="2680" w:type="dxa"/>
            <w:vAlign w:val="bottom"/>
          </w:tcPr>
          <w:p>
            <w:pPr>
              <w:jc w:val="right"/>
              <w:ind w:right="703"/>
              <w:spacing w:after="0"/>
              <w:rPr>
                <w:sz w:val="20"/>
                <w:szCs w:val="20"/>
                <w:color w:val="auto"/>
              </w:rPr>
            </w:pPr>
            <w:r>
              <w:rPr>
                <w:rFonts w:ascii="Arial" w:cs="Arial" w:eastAsia="Arial" w:hAnsi="Arial"/>
                <w:sz w:val="16"/>
                <w:szCs w:val="16"/>
                <w:color w:val="0B2E44"/>
              </w:rPr>
              <w:t>39,528</w:t>
            </w:r>
          </w:p>
        </w:tc>
        <w:tc>
          <w:tcPr>
            <w:tcW w:w="1320" w:type="dxa"/>
            <w:vAlign w:val="bottom"/>
          </w:tcPr>
          <w:p>
            <w:pPr>
              <w:jc w:val="right"/>
              <w:ind w:right="22"/>
              <w:spacing w:after="0"/>
              <w:rPr>
                <w:sz w:val="20"/>
                <w:szCs w:val="20"/>
                <w:color w:val="auto"/>
              </w:rPr>
            </w:pPr>
            <w:r>
              <w:rPr>
                <w:rFonts w:ascii="Arial" w:cs="Arial" w:eastAsia="Arial" w:hAnsi="Arial"/>
                <w:sz w:val="16"/>
                <w:szCs w:val="16"/>
                <w:color w:val="0B2E44"/>
              </w:rPr>
              <w:t>2,395,676</w:t>
            </w:r>
          </w:p>
        </w:tc>
      </w:tr>
      <w:tr>
        <w:trPr>
          <w:trHeight w:val="216"/>
        </w:trPr>
        <w:tc>
          <w:tcPr>
            <w:tcW w:w="7160" w:type="dxa"/>
            <w:vAlign w:val="bottom"/>
            <w:tcBorders>
              <w:bottom w:val="single" w:sz="8" w:color="0B2E44"/>
            </w:tcBorders>
            <w:shd w:val="clear" w:color="auto" w:fill="DDE9F2"/>
          </w:tcPr>
          <w:p>
            <w:pPr>
              <w:ind w:left="120"/>
              <w:spacing w:after="0"/>
              <w:rPr>
                <w:sz w:val="20"/>
                <w:szCs w:val="20"/>
                <w:color w:val="auto"/>
              </w:rPr>
            </w:pPr>
            <w:r>
              <w:rPr>
                <w:rFonts w:ascii="Arial" w:cs="Arial" w:eastAsia="Arial" w:hAnsi="Arial"/>
                <w:sz w:val="16"/>
                <w:szCs w:val="16"/>
                <w:b w:val="1"/>
                <w:bCs w:val="1"/>
                <w:color w:val="0B2E44"/>
              </w:rPr>
              <w:t>Brian Carolan(2)</w:t>
            </w:r>
          </w:p>
        </w:tc>
        <w:tc>
          <w:tcPr>
            <w:tcW w:w="2680" w:type="dxa"/>
            <w:vAlign w:val="bottom"/>
            <w:tcBorders>
              <w:bottom w:val="single" w:sz="8" w:color="0B2E44"/>
            </w:tcBorders>
            <w:shd w:val="clear" w:color="auto" w:fill="DDE9F2"/>
          </w:tcPr>
          <w:p>
            <w:pPr>
              <w:jc w:val="right"/>
              <w:ind w:right="703"/>
              <w:spacing w:after="0"/>
              <w:rPr>
                <w:sz w:val="20"/>
                <w:szCs w:val="20"/>
                <w:color w:val="auto"/>
              </w:rPr>
            </w:pPr>
            <w:r>
              <w:rPr>
                <w:rFonts w:ascii="Arial" w:cs="Arial" w:eastAsia="Arial" w:hAnsi="Arial"/>
                <w:sz w:val="16"/>
                <w:szCs w:val="16"/>
                <w:color w:val="0B2E44"/>
              </w:rPr>
              <w:t>41,673</w:t>
            </w:r>
          </w:p>
        </w:tc>
        <w:tc>
          <w:tcPr>
            <w:tcW w:w="1320" w:type="dxa"/>
            <w:vAlign w:val="bottom"/>
            <w:tcBorders>
              <w:bottom w:val="single" w:sz="8" w:color="0B2E44"/>
            </w:tcBorders>
            <w:shd w:val="clear" w:color="auto" w:fill="DDE9F2"/>
          </w:tcPr>
          <w:p>
            <w:pPr>
              <w:jc w:val="right"/>
              <w:ind w:right="22"/>
              <w:spacing w:after="0"/>
              <w:rPr>
                <w:sz w:val="20"/>
                <w:szCs w:val="20"/>
                <w:color w:val="auto"/>
              </w:rPr>
            </w:pPr>
            <w:r>
              <w:rPr>
                <w:rFonts w:ascii="Arial" w:cs="Arial" w:eastAsia="Arial" w:hAnsi="Arial"/>
                <w:sz w:val="16"/>
                <w:szCs w:val="16"/>
                <w:color w:val="0B2E44"/>
              </w:rPr>
              <w:t>2,512,624</w:t>
            </w:r>
          </w:p>
        </w:tc>
      </w:tr>
    </w:tbl>
    <w:p>
      <w:pPr>
        <w:spacing w:after="0" w:line="121" w:lineRule="exact"/>
        <w:rPr>
          <w:rFonts w:ascii="Arial" w:cs="Arial" w:eastAsia="Arial" w:hAnsi="Arial"/>
          <w:sz w:val="16"/>
          <w:szCs w:val="16"/>
          <w:color w:val="0B2E44"/>
        </w:rPr>
      </w:pPr>
    </w:p>
    <w:p>
      <w:pPr>
        <w:ind w:left="340" w:hanging="332"/>
        <w:spacing w:after="0" w:line="255" w:lineRule="auto"/>
        <w:tabs>
          <w:tab w:leader="none" w:pos="255" w:val="left"/>
        </w:tabs>
        <w:numPr>
          <w:ilvl w:val="0"/>
          <w:numId w:val="46"/>
        </w:numPr>
        <w:rPr>
          <w:rFonts w:ascii="Arial" w:cs="Arial" w:eastAsia="Arial" w:hAnsi="Arial"/>
          <w:sz w:val="13"/>
          <w:szCs w:val="13"/>
          <w:color w:val="0B2E44"/>
        </w:rPr>
      </w:pPr>
      <w:r>
        <w:rPr>
          <w:rFonts w:ascii="Arial" w:cs="Arial" w:eastAsia="Arial" w:hAnsi="Arial"/>
          <w:sz w:val="13"/>
          <w:szCs w:val="13"/>
          <w:color w:val="0B2E44"/>
        </w:rPr>
        <w:t>The value realized on the vesting of the restricted stock unit awards is based on the market price of our common stock on the vesting date. See “Long-Term Equity Incentive Awards” above for more information on the plan and the related performance objectives.</w:t>
      </w:r>
    </w:p>
    <w:p>
      <w:pPr>
        <w:ind w:left="340" w:right="280" w:hanging="332"/>
        <w:spacing w:after="0" w:line="242" w:lineRule="auto"/>
        <w:tabs>
          <w:tab w:leader="none" w:pos="255" w:val="left"/>
        </w:tabs>
        <w:numPr>
          <w:ilvl w:val="0"/>
          <w:numId w:val="46"/>
        </w:numPr>
        <w:rPr>
          <w:rFonts w:ascii="Arial" w:cs="Arial" w:eastAsia="Arial" w:hAnsi="Arial"/>
          <w:sz w:val="13"/>
          <w:szCs w:val="13"/>
          <w:color w:val="0B2E44"/>
        </w:rPr>
      </w:pPr>
      <w:r>
        <w:rPr>
          <w:rFonts w:ascii="Arial" w:cs="Arial" w:eastAsia="Arial" w:hAnsi="Arial"/>
          <w:sz w:val="13"/>
          <w:szCs w:val="13"/>
          <w:color w:val="0B2E44"/>
        </w:rPr>
        <w:t>As part of Mr. Carolan's Agreement and General Release dated April 28, 2022, all unvested equity shares shall continue to vest in accordance with the terms of the plan agreement in which the equity grants were made.</w:t>
      </w:r>
    </w:p>
    <w:p>
      <w:pPr>
        <w:spacing w:after="0" w:line="295" w:lineRule="exact"/>
        <w:rPr>
          <w:rFonts w:ascii="Arial" w:cs="Arial" w:eastAsia="Arial" w:hAnsi="Arial"/>
          <w:sz w:val="16"/>
          <w:szCs w:val="16"/>
          <w:color w:val="0B2E44"/>
        </w:rPr>
      </w:pPr>
    </w:p>
    <w:p>
      <w:pPr>
        <w:spacing w:after="0"/>
        <w:rPr>
          <w:sz w:val="20"/>
          <w:szCs w:val="20"/>
          <w:color w:val="auto"/>
        </w:rPr>
      </w:pPr>
      <w:r>
        <w:rPr>
          <w:rFonts w:ascii="Arial" w:cs="Arial" w:eastAsia="Arial" w:hAnsi="Arial"/>
          <w:sz w:val="25"/>
          <w:szCs w:val="25"/>
          <w:b w:val="1"/>
          <w:bCs w:val="1"/>
          <w:color w:val="E14A6A"/>
        </w:rPr>
        <w:t>Pension Benefits and Deferred Compensation</w:t>
      </w:r>
    </w:p>
    <w:p>
      <w:pPr>
        <w:spacing w:after="0" w:line="97" w:lineRule="exact"/>
        <w:rPr>
          <w:rFonts w:ascii="Arial" w:cs="Arial" w:eastAsia="Arial" w:hAnsi="Arial"/>
          <w:sz w:val="16"/>
          <w:szCs w:val="16"/>
          <w:color w:val="0B2E44"/>
        </w:rPr>
      </w:pPr>
    </w:p>
    <w:p>
      <w:pPr>
        <w:ind w:right="20"/>
        <w:spacing w:after="0" w:line="276" w:lineRule="auto"/>
        <w:rPr>
          <w:sz w:val="20"/>
          <w:szCs w:val="20"/>
          <w:color w:val="auto"/>
        </w:rPr>
      </w:pPr>
      <w:r>
        <w:rPr>
          <w:rFonts w:ascii="Arial" w:cs="Arial" w:eastAsia="Arial" w:hAnsi="Arial"/>
          <w:sz w:val="16"/>
          <w:szCs w:val="16"/>
          <w:color w:val="0B2E44"/>
        </w:rPr>
        <w:t>None of our named executive officers during fiscal 2023 participated in or had account balances in qualified or non-qualified defined benefit plans sponsored by Commvault or in non-qualified defined contribution plans maintained by Commvault.</w:t>
      </w:r>
    </w:p>
    <w:p>
      <w:pPr>
        <w:spacing w:after="0" w:line="231" w:lineRule="exact"/>
        <w:rPr>
          <w:rFonts w:ascii="Arial" w:cs="Arial" w:eastAsia="Arial" w:hAnsi="Arial"/>
          <w:sz w:val="16"/>
          <w:szCs w:val="16"/>
          <w:color w:val="0B2E44"/>
        </w:rPr>
      </w:pPr>
    </w:p>
    <w:p>
      <w:pPr>
        <w:spacing w:after="0"/>
        <w:rPr>
          <w:sz w:val="20"/>
          <w:szCs w:val="20"/>
          <w:color w:val="auto"/>
        </w:rPr>
      </w:pPr>
      <w:r>
        <w:rPr>
          <w:rFonts w:ascii="Arial" w:cs="Arial" w:eastAsia="Arial" w:hAnsi="Arial"/>
          <w:sz w:val="25"/>
          <w:szCs w:val="25"/>
          <w:b w:val="1"/>
          <w:bCs w:val="1"/>
          <w:color w:val="E14A6A"/>
        </w:rPr>
        <w:t>Individual Agreements</w:t>
      </w:r>
    </w:p>
    <w:p>
      <w:pPr>
        <w:spacing w:after="0" w:line="67" w:lineRule="exact"/>
        <w:rPr>
          <w:rFonts w:ascii="Arial" w:cs="Arial" w:eastAsia="Arial" w:hAnsi="Arial"/>
          <w:sz w:val="16"/>
          <w:szCs w:val="16"/>
          <w:color w:val="0B2E44"/>
        </w:rPr>
      </w:pPr>
    </w:p>
    <w:p>
      <w:pPr>
        <w:spacing w:after="0"/>
        <w:rPr>
          <w:sz w:val="20"/>
          <w:szCs w:val="20"/>
          <w:color w:val="auto"/>
        </w:rPr>
      </w:pPr>
      <w:r>
        <w:rPr>
          <w:rFonts w:ascii="Arial" w:cs="Arial" w:eastAsia="Arial" w:hAnsi="Arial"/>
          <w:sz w:val="16"/>
          <w:szCs w:val="16"/>
          <w:color w:val="0B2E44"/>
        </w:rPr>
        <w:t>The following table summarizes the individual agreements between Commvault and the named executive officers.</w:t>
      </w:r>
    </w:p>
    <w:p>
      <w:pPr>
        <w:spacing w:after="0" w:line="243" w:lineRule="exact"/>
        <w:rPr>
          <w:rFonts w:ascii="Arial" w:cs="Arial" w:eastAsia="Arial" w:hAnsi="Arial"/>
          <w:sz w:val="16"/>
          <w:szCs w:val="16"/>
          <w:color w:val="0B2E44"/>
        </w:rPr>
      </w:pPr>
    </w:p>
    <w:p>
      <w:pPr>
        <w:ind w:left="2340"/>
        <w:spacing w:after="0"/>
        <w:tabs>
          <w:tab w:leader="none" w:pos="4560" w:val="left"/>
          <w:tab w:leader="none" w:pos="6820" w:val="left"/>
          <w:tab w:leader="none" w:pos="9060" w:val="left"/>
        </w:tabs>
        <w:rPr>
          <w:sz w:val="20"/>
          <w:szCs w:val="20"/>
          <w:color w:val="auto"/>
        </w:rPr>
      </w:pPr>
      <w:r>
        <w:rPr>
          <w:rFonts w:ascii="Arial" w:cs="Arial" w:eastAsia="Arial" w:hAnsi="Arial"/>
          <w:sz w:val="14"/>
          <w:szCs w:val="14"/>
          <w:color w:val="0B2E44"/>
        </w:rPr>
        <w:t>Sanjay Mirchandani</w:t>
      </w:r>
      <w:r>
        <w:rPr>
          <w:sz w:val="20"/>
          <w:szCs w:val="20"/>
          <w:color w:val="auto"/>
        </w:rPr>
        <w:tab/>
      </w:r>
      <w:r>
        <w:rPr>
          <w:rFonts w:ascii="Arial" w:cs="Arial" w:eastAsia="Arial" w:hAnsi="Arial"/>
          <w:sz w:val="14"/>
          <w:szCs w:val="14"/>
          <w:color w:val="0B2E44"/>
        </w:rPr>
        <w:t>Gary Merrill</w:t>
      </w:r>
      <w:r>
        <w:rPr>
          <w:sz w:val="20"/>
          <w:szCs w:val="20"/>
          <w:color w:val="auto"/>
        </w:rPr>
        <w:tab/>
      </w:r>
      <w:r>
        <w:rPr>
          <w:rFonts w:ascii="Arial" w:cs="Arial" w:eastAsia="Arial" w:hAnsi="Arial"/>
          <w:sz w:val="14"/>
          <w:szCs w:val="14"/>
          <w:color w:val="0B2E44"/>
        </w:rPr>
        <w:t>Riccardo Di Blasio</w:t>
      </w:r>
      <w:r>
        <w:rPr>
          <w:sz w:val="20"/>
          <w:szCs w:val="20"/>
          <w:color w:val="auto"/>
        </w:rPr>
        <w:tab/>
      </w:r>
      <w:r>
        <w:rPr>
          <w:rFonts w:ascii="Arial" w:cs="Arial" w:eastAsia="Arial" w:hAnsi="Arial"/>
          <w:sz w:val="14"/>
          <w:szCs w:val="14"/>
          <w:color w:val="0B2E44"/>
        </w:rPr>
        <w:t>Brian Carolan(1)</w:t>
      </w:r>
    </w:p>
    <w:p>
      <w:pPr>
        <w:spacing w:after="0" w:line="20" w:lineRule="exact"/>
        <w:rPr>
          <w:rFonts w:ascii="Arial" w:cs="Arial" w:eastAsia="Arial" w:hAnsi="Arial"/>
          <w:sz w:val="16"/>
          <w:szCs w:val="16"/>
          <w:color w:val="0B2E44"/>
        </w:rPr>
      </w:pPr>
      <w:r>
        <w:rPr>
          <w:rFonts w:ascii="Arial" w:cs="Arial" w:eastAsia="Arial" w:hAnsi="Arial"/>
          <w:sz w:val="16"/>
          <w:szCs w:val="16"/>
          <w:color w:val="0B2E44"/>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p>
      <w:pPr>
        <w:spacing w:after="0" w:line="42" w:lineRule="exact"/>
        <w:rPr>
          <w:rFonts w:ascii="Arial" w:cs="Arial" w:eastAsia="Arial" w:hAnsi="Arial"/>
          <w:sz w:val="16"/>
          <w:szCs w:val="16"/>
          <w:color w:val="0B2E44"/>
        </w:rPr>
      </w:pPr>
    </w:p>
    <w:p>
      <w:pPr>
        <w:ind w:left="120" w:right="280"/>
        <w:spacing w:after="0" w:line="266" w:lineRule="auto"/>
        <w:rPr>
          <w:sz w:val="20"/>
          <w:szCs w:val="20"/>
          <w:color w:val="auto"/>
        </w:rPr>
      </w:pPr>
      <w:r>
        <w:rPr>
          <w:rFonts w:ascii="Arial" w:cs="Arial" w:eastAsia="Arial" w:hAnsi="Arial"/>
          <w:sz w:val="16"/>
          <w:szCs w:val="16"/>
          <w:b w:val="1"/>
          <w:bCs w:val="1"/>
          <w:color w:val="0B2E44"/>
        </w:rPr>
        <w:t>Compensation arrangements</w:t>
      </w:r>
    </w:p>
    <w:p>
      <w:pPr>
        <w:spacing w:after="0" w:line="20" w:lineRule="exact"/>
        <w:rPr>
          <w:rFonts w:ascii="Arial" w:cs="Arial" w:eastAsia="Arial" w:hAnsi="Arial"/>
          <w:sz w:val="16"/>
          <w:szCs w:val="16"/>
          <w:color w:val="0B2E44"/>
        </w:rPr>
      </w:pPr>
      <w:r>
        <w:rPr>
          <w:rFonts w:ascii="Arial" w:cs="Arial" w:eastAsia="Arial" w:hAnsi="Arial"/>
          <w:sz w:val="16"/>
          <w:szCs w:val="16"/>
          <w:color w:val="0B2E44"/>
        </w:rPr>
        <w:br w:type="column"/>
      </w:r>
    </w:p>
    <w:p>
      <w:pPr>
        <w:spacing w:after="0" w:line="49" w:lineRule="exact"/>
        <w:rPr>
          <w:rFonts w:ascii="Arial" w:cs="Arial" w:eastAsia="Arial" w:hAnsi="Arial"/>
          <w:sz w:val="16"/>
          <w:szCs w:val="16"/>
          <w:color w:val="0B2E44"/>
        </w:rPr>
      </w:pPr>
    </w:p>
    <w:p>
      <w:pPr>
        <w:spacing w:after="0" w:line="1" w:lineRule="exact"/>
        <w:rPr>
          <w:rFonts w:ascii="Arial" w:cs="Arial" w:eastAsia="Arial" w:hAnsi="Arial"/>
          <w:sz w:val="1"/>
          <w:szCs w:val="1"/>
          <w:color w:val="0B2E44"/>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Arial" w:cs="Arial" w:eastAsia="Arial" w:hAnsi="Arial"/>
                <w:sz w:val="16"/>
                <w:szCs w:val="16"/>
                <w:color w:val="0B2E44"/>
              </w:rPr>
              <w:t>•  annual base salary subject</w:t>
            </w:r>
          </w:p>
        </w:tc>
        <w:tc>
          <w:tcPr>
            <w:tcW w:w="200" w:type="dxa"/>
            <w:vAlign w:val="bottom"/>
          </w:tcPr>
          <w:p>
            <w:pPr>
              <w:ind w:left="40"/>
              <w:spacing w:after="0"/>
              <w:rPr>
                <w:sz w:val="20"/>
                <w:szCs w:val="20"/>
                <w:color w:val="auto"/>
              </w:rPr>
            </w:pPr>
            <w:r>
              <w:rPr>
                <w:rFonts w:ascii="Arial" w:cs="Arial" w:eastAsia="Arial" w:hAnsi="Arial"/>
                <w:sz w:val="16"/>
                <w:szCs w:val="16"/>
                <w:color w:val="0B2E44"/>
              </w:rPr>
              <w:t>•</w:t>
            </w:r>
          </w:p>
        </w:tc>
        <w:tc>
          <w:tcPr>
            <w:tcW w:w="2020" w:type="dxa"/>
            <w:vAlign w:val="bottom"/>
          </w:tcPr>
          <w:p>
            <w:pPr>
              <w:ind w:left="80"/>
              <w:spacing w:after="0"/>
              <w:rPr>
                <w:sz w:val="20"/>
                <w:szCs w:val="20"/>
                <w:color w:val="auto"/>
              </w:rPr>
            </w:pPr>
            <w:r>
              <w:rPr>
                <w:rFonts w:ascii="Arial" w:cs="Arial" w:eastAsia="Arial" w:hAnsi="Arial"/>
                <w:sz w:val="16"/>
                <w:szCs w:val="16"/>
                <w:color w:val="0B2E44"/>
              </w:rPr>
              <w:t>annual base salary</w:t>
            </w:r>
          </w:p>
        </w:tc>
        <w:tc>
          <w:tcPr>
            <w:tcW w:w="0" w:type="dxa"/>
            <w:vAlign w:val="bottom"/>
          </w:tcPr>
          <w:p>
            <w:pPr>
              <w:spacing w:after="0"/>
              <w:rPr>
                <w:sz w:val="1"/>
                <w:szCs w:val="1"/>
                <w:color w:val="auto"/>
              </w:rPr>
            </w:pPr>
          </w:p>
        </w:tc>
      </w:tr>
      <w:tr>
        <w:trPr>
          <w:trHeight w:val="189"/>
        </w:trPr>
        <w:tc>
          <w:tcPr>
            <w:tcW w:w="2220" w:type="dxa"/>
            <w:vAlign w:val="bottom"/>
          </w:tcPr>
          <w:p>
            <w:pPr>
              <w:ind w:left="260"/>
              <w:spacing w:after="0"/>
              <w:rPr>
                <w:sz w:val="20"/>
                <w:szCs w:val="20"/>
                <w:color w:val="auto"/>
              </w:rPr>
            </w:pPr>
            <w:r>
              <w:rPr>
                <w:rFonts w:ascii="Arial" w:cs="Arial" w:eastAsia="Arial" w:hAnsi="Arial"/>
                <w:sz w:val="16"/>
                <w:szCs w:val="16"/>
                <w:color w:val="0B2E44"/>
              </w:rPr>
              <w:t>to annual review by our</w:t>
            </w: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20" w:type="dxa"/>
            <w:vAlign w:val="bottom"/>
          </w:tcPr>
          <w:p>
            <w:pPr>
              <w:ind w:left="260"/>
              <w:spacing w:after="0"/>
              <w:rPr>
                <w:sz w:val="20"/>
                <w:szCs w:val="20"/>
                <w:color w:val="auto"/>
              </w:rPr>
            </w:pPr>
            <w:r>
              <w:rPr>
                <w:rFonts w:ascii="Arial" w:cs="Arial" w:eastAsia="Arial" w:hAnsi="Arial"/>
                <w:sz w:val="16"/>
                <w:szCs w:val="16"/>
                <w:color w:val="0B2E44"/>
              </w:rPr>
              <w:t>Board of Directors</w:t>
            </w: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0"/>
                <w:szCs w:val="20"/>
                <w:color w:val="auto"/>
              </w:rPr>
            </w:pPr>
            <w:r>
              <w:rPr>
                <w:rFonts w:ascii="Arial" w:cs="Arial" w:eastAsia="Arial" w:hAnsi="Arial"/>
                <w:sz w:val="16"/>
                <w:szCs w:val="16"/>
                <w:color w:val="0B2E44"/>
              </w:rPr>
              <w:t>•  eligible for an annual cash</w:t>
            </w:r>
          </w:p>
        </w:tc>
        <w:tc>
          <w:tcPr>
            <w:tcW w:w="200" w:type="dxa"/>
            <w:vAlign w:val="bottom"/>
          </w:tcPr>
          <w:p>
            <w:pPr>
              <w:ind w:left="40"/>
              <w:spacing w:after="0"/>
              <w:rPr>
                <w:sz w:val="20"/>
                <w:szCs w:val="20"/>
                <w:color w:val="auto"/>
              </w:rPr>
            </w:pPr>
            <w:r>
              <w:rPr>
                <w:rFonts w:ascii="Arial" w:cs="Arial" w:eastAsia="Arial" w:hAnsi="Arial"/>
                <w:sz w:val="16"/>
                <w:szCs w:val="16"/>
                <w:color w:val="0B2E44"/>
              </w:rPr>
              <w:t>•</w:t>
            </w:r>
          </w:p>
        </w:tc>
        <w:tc>
          <w:tcPr>
            <w:tcW w:w="2020" w:type="dxa"/>
            <w:vAlign w:val="bottom"/>
          </w:tcPr>
          <w:p>
            <w:pPr>
              <w:ind w:left="80"/>
              <w:spacing w:after="0"/>
              <w:rPr>
                <w:sz w:val="20"/>
                <w:szCs w:val="20"/>
                <w:color w:val="auto"/>
              </w:rPr>
            </w:pPr>
            <w:r>
              <w:rPr>
                <w:rFonts w:ascii="Arial" w:cs="Arial" w:eastAsia="Arial" w:hAnsi="Arial"/>
                <w:sz w:val="16"/>
                <w:szCs w:val="16"/>
                <w:color w:val="0B2E44"/>
              </w:rPr>
              <w:t>entitled to participate in the</w:t>
            </w:r>
          </w:p>
        </w:tc>
        <w:tc>
          <w:tcPr>
            <w:tcW w:w="0" w:type="dxa"/>
            <w:vAlign w:val="bottom"/>
          </w:tcPr>
          <w:p>
            <w:pPr>
              <w:spacing w:after="0"/>
              <w:rPr>
                <w:sz w:val="1"/>
                <w:szCs w:val="1"/>
                <w:color w:val="auto"/>
              </w:rPr>
            </w:pPr>
          </w:p>
        </w:tc>
      </w:tr>
      <w:tr>
        <w:trPr>
          <w:trHeight w:val="189"/>
        </w:trPr>
        <w:tc>
          <w:tcPr>
            <w:tcW w:w="2220" w:type="dxa"/>
            <w:vAlign w:val="bottom"/>
          </w:tcPr>
          <w:p>
            <w:pPr>
              <w:ind w:left="260"/>
              <w:spacing w:after="0"/>
              <w:rPr>
                <w:sz w:val="20"/>
                <w:szCs w:val="20"/>
                <w:color w:val="auto"/>
              </w:rPr>
            </w:pPr>
            <w:r>
              <w:rPr>
                <w:rFonts w:ascii="Arial" w:cs="Arial" w:eastAsia="Arial" w:hAnsi="Arial"/>
                <w:sz w:val="16"/>
                <w:szCs w:val="16"/>
                <w:color w:val="0B2E44"/>
              </w:rPr>
              <w:t>bonus</w:t>
            </w:r>
          </w:p>
        </w:tc>
        <w:tc>
          <w:tcPr>
            <w:tcW w:w="200" w:type="dxa"/>
            <w:vAlign w:val="bottom"/>
          </w:tcPr>
          <w:p>
            <w:pPr>
              <w:spacing w:after="0"/>
              <w:rPr>
                <w:sz w:val="16"/>
                <w:szCs w:val="16"/>
                <w:color w:val="auto"/>
              </w:rPr>
            </w:pPr>
          </w:p>
        </w:tc>
        <w:tc>
          <w:tcPr>
            <w:tcW w:w="2020" w:type="dxa"/>
            <w:vAlign w:val="bottom"/>
            <w:vMerge w:val="restart"/>
          </w:tcPr>
          <w:p>
            <w:pPr>
              <w:ind w:left="80"/>
              <w:spacing w:after="0"/>
              <w:rPr>
                <w:sz w:val="20"/>
                <w:szCs w:val="20"/>
                <w:color w:val="auto"/>
              </w:rPr>
            </w:pPr>
            <w:r>
              <w:rPr>
                <w:rFonts w:ascii="Arial" w:cs="Arial" w:eastAsia="Arial" w:hAnsi="Arial"/>
                <w:sz w:val="16"/>
                <w:szCs w:val="16"/>
                <w:color w:val="0B2E44"/>
              </w:rPr>
              <w:t>employee benefits plans in</w:t>
            </w:r>
          </w:p>
        </w:tc>
        <w:tc>
          <w:tcPr>
            <w:tcW w:w="0" w:type="dxa"/>
            <w:vAlign w:val="bottom"/>
          </w:tcPr>
          <w:p>
            <w:pPr>
              <w:spacing w:after="0"/>
              <w:rPr>
                <w:sz w:val="1"/>
                <w:szCs w:val="1"/>
                <w:color w:val="auto"/>
              </w:rPr>
            </w:pPr>
          </w:p>
        </w:tc>
      </w:tr>
      <w:tr>
        <w:trPr>
          <w:trHeight w:val="44"/>
        </w:trPr>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6"/>
                <w:szCs w:val="16"/>
                <w:color w:val="0B2E44"/>
              </w:rPr>
              <w:t>•  entitled to participate in the</w:t>
            </w:r>
          </w:p>
        </w:tc>
        <w:tc>
          <w:tcPr>
            <w:tcW w:w="200" w:type="dxa"/>
            <w:vAlign w:val="bottom"/>
          </w:tcPr>
          <w:p>
            <w:pPr>
              <w:spacing w:after="0"/>
              <w:rPr>
                <w:sz w:val="16"/>
                <w:szCs w:val="16"/>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which our other executives</w:t>
            </w:r>
          </w:p>
        </w:tc>
        <w:tc>
          <w:tcPr>
            <w:tcW w:w="0" w:type="dxa"/>
            <w:vAlign w:val="bottom"/>
          </w:tcPr>
          <w:p>
            <w:pPr>
              <w:spacing w:after="0"/>
              <w:rPr>
                <w:sz w:val="1"/>
                <w:szCs w:val="1"/>
                <w:color w:val="auto"/>
              </w:rPr>
            </w:pPr>
          </w:p>
        </w:tc>
      </w:tr>
      <w:tr>
        <w:trPr>
          <w:trHeight w:val="189"/>
        </w:trPr>
        <w:tc>
          <w:tcPr>
            <w:tcW w:w="2220" w:type="dxa"/>
            <w:vAlign w:val="bottom"/>
          </w:tcPr>
          <w:p>
            <w:pPr>
              <w:ind w:left="260"/>
              <w:spacing w:after="0"/>
              <w:rPr>
                <w:sz w:val="20"/>
                <w:szCs w:val="20"/>
                <w:color w:val="auto"/>
              </w:rPr>
            </w:pPr>
            <w:r>
              <w:rPr>
                <w:rFonts w:ascii="Arial" w:cs="Arial" w:eastAsia="Arial" w:hAnsi="Arial"/>
                <w:sz w:val="16"/>
                <w:szCs w:val="16"/>
                <w:color w:val="0B2E44"/>
              </w:rPr>
              <w:t>employee benefits plans in</w:t>
            </w:r>
          </w:p>
        </w:tc>
        <w:tc>
          <w:tcPr>
            <w:tcW w:w="200" w:type="dxa"/>
            <w:vAlign w:val="bottom"/>
          </w:tcPr>
          <w:p>
            <w:pPr>
              <w:spacing w:after="0"/>
              <w:rPr>
                <w:sz w:val="16"/>
                <w:szCs w:val="16"/>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may participate</w:t>
            </w:r>
          </w:p>
        </w:tc>
        <w:tc>
          <w:tcPr>
            <w:tcW w:w="0" w:type="dxa"/>
            <w:vAlign w:val="bottom"/>
          </w:tcPr>
          <w:p>
            <w:pPr>
              <w:spacing w:after="0"/>
              <w:rPr>
                <w:sz w:val="1"/>
                <w:szCs w:val="1"/>
                <w:color w:val="auto"/>
              </w:rPr>
            </w:pPr>
          </w:p>
        </w:tc>
      </w:tr>
      <w:tr>
        <w:trPr>
          <w:trHeight w:val="213"/>
        </w:trPr>
        <w:tc>
          <w:tcPr>
            <w:tcW w:w="2220" w:type="dxa"/>
            <w:vAlign w:val="bottom"/>
          </w:tcPr>
          <w:p>
            <w:pPr>
              <w:ind w:left="260"/>
              <w:spacing w:after="0"/>
              <w:rPr>
                <w:sz w:val="20"/>
                <w:szCs w:val="20"/>
                <w:color w:val="auto"/>
              </w:rPr>
            </w:pPr>
            <w:r>
              <w:rPr>
                <w:rFonts w:ascii="Arial" w:cs="Arial" w:eastAsia="Arial" w:hAnsi="Arial"/>
                <w:sz w:val="16"/>
                <w:szCs w:val="16"/>
                <w:color w:val="0B2E44"/>
              </w:rPr>
              <w:t>which our other executives</w:t>
            </w:r>
          </w:p>
        </w:tc>
        <w:tc>
          <w:tcPr>
            <w:tcW w:w="200" w:type="dxa"/>
            <w:vAlign w:val="bottom"/>
          </w:tcPr>
          <w:p>
            <w:pPr>
              <w:ind w:left="40"/>
              <w:spacing w:after="0"/>
              <w:rPr>
                <w:sz w:val="20"/>
                <w:szCs w:val="20"/>
                <w:color w:val="auto"/>
              </w:rPr>
            </w:pPr>
            <w:r>
              <w:rPr>
                <w:rFonts w:ascii="Arial" w:cs="Arial" w:eastAsia="Arial" w:hAnsi="Arial"/>
                <w:sz w:val="16"/>
                <w:szCs w:val="16"/>
                <w:color w:val="0B2E44"/>
              </w:rPr>
              <w:t>•</w:t>
            </w:r>
          </w:p>
        </w:tc>
        <w:tc>
          <w:tcPr>
            <w:tcW w:w="2020" w:type="dxa"/>
            <w:vAlign w:val="bottom"/>
          </w:tcPr>
          <w:p>
            <w:pPr>
              <w:ind w:left="80"/>
              <w:spacing w:after="0"/>
              <w:rPr>
                <w:sz w:val="20"/>
                <w:szCs w:val="20"/>
                <w:color w:val="auto"/>
              </w:rPr>
            </w:pPr>
            <w:r>
              <w:rPr>
                <w:rFonts w:ascii="Arial" w:cs="Arial" w:eastAsia="Arial" w:hAnsi="Arial"/>
                <w:sz w:val="16"/>
                <w:szCs w:val="16"/>
                <w:color w:val="0B2E44"/>
              </w:rPr>
              <w:t>entitled to annual equity</w:t>
            </w: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rPr>
                <w:sz w:val="20"/>
                <w:szCs w:val="20"/>
                <w:color w:val="auto"/>
              </w:rPr>
            </w:pPr>
            <w:r>
              <w:rPr>
                <w:rFonts w:ascii="Arial" w:cs="Arial" w:eastAsia="Arial" w:hAnsi="Arial"/>
                <w:sz w:val="16"/>
                <w:szCs w:val="16"/>
                <w:color w:val="0B2E44"/>
              </w:rPr>
              <w:t>may participate</w:t>
            </w:r>
          </w:p>
        </w:tc>
        <w:tc>
          <w:tcPr>
            <w:tcW w:w="200" w:type="dxa"/>
            <w:vAlign w:val="bottom"/>
          </w:tcPr>
          <w:p>
            <w:pPr>
              <w:spacing w:after="0"/>
              <w:rPr>
                <w:sz w:val="17"/>
                <w:szCs w:val="17"/>
                <w:color w:val="auto"/>
              </w:rPr>
            </w:pPr>
          </w:p>
        </w:tc>
        <w:tc>
          <w:tcPr>
            <w:tcW w:w="2020" w:type="dxa"/>
            <w:vAlign w:val="bottom"/>
            <w:vMerge w:val="restart"/>
          </w:tcPr>
          <w:p>
            <w:pPr>
              <w:ind w:left="80"/>
              <w:spacing w:after="0"/>
              <w:rPr>
                <w:sz w:val="20"/>
                <w:szCs w:val="20"/>
                <w:color w:val="auto"/>
              </w:rPr>
            </w:pPr>
            <w:r>
              <w:rPr>
                <w:rFonts w:ascii="Arial" w:cs="Arial" w:eastAsia="Arial" w:hAnsi="Arial"/>
                <w:sz w:val="16"/>
                <w:szCs w:val="16"/>
                <w:color w:val="0B2E44"/>
              </w:rPr>
              <w:t>awards</w:t>
            </w:r>
          </w:p>
        </w:tc>
        <w:tc>
          <w:tcPr>
            <w:tcW w:w="0" w:type="dxa"/>
            <w:vAlign w:val="bottom"/>
          </w:tcPr>
          <w:p>
            <w:pPr>
              <w:spacing w:after="0"/>
              <w:rPr>
                <w:sz w:val="1"/>
                <w:szCs w:val="1"/>
                <w:color w:val="auto"/>
              </w:rPr>
            </w:pPr>
          </w:p>
        </w:tc>
      </w:tr>
      <w:tr>
        <w:trPr>
          <w:trHeight w:val="48"/>
        </w:trPr>
        <w:tc>
          <w:tcPr>
            <w:tcW w:w="2220" w:type="dxa"/>
            <w:vAlign w:val="bottom"/>
            <w:vMerge w:val="restart"/>
          </w:tcPr>
          <w:p>
            <w:pPr>
              <w:spacing w:after="0"/>
              <w:rPr>
                <w:sz w:val="20"/>
                <w:szCs w:val="20"/>
                <w:color w:val="auto"/>
              </w:rPr>
            </w:pPr>
            <w:r>
              <w:rPr>
                <w:rFonts w:ascii="Arial" w:cs="Arial" w:eastAsia="Arial" w:hAnsi="Arial"/>
                <w:sz w:val="16"/>
                <w:szCs w:val="16"/>
                <w:color w:val="0B2E44"/>
              </w:rPr>
              <w:t>•  entitled to annual equity</w:t>
            </w:r>
          </w:p>
        </w:tc>
        <w:tc>
          <w:tcPr>
            <w:tcW w:w="20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260"/>
              <w:spacing w:after="0"/>
              <w:rPr>
                <w:sz w:val="20"/>
                <w:szCs w:val="20"/>
                <w:color w:val="auto"/>
              </w:rPr>
            </w:pPr>
            <w:r>
              <w:rPr>
                <w:rFonts w:ascii="Arial" w:cs="Arial" w:eastAsia="Arial" w:hAnsi="Arial"/>
                <w:sz w:val="16"/>
                <w:szCs w:val="16"/>
                <w:color w:val="0B2E44"/>
              </w:rPr>
              <w:t>awards and a one-time</w:t>
            </w: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20" w:type="dxa"/>
            <w:vAlign w:val="bottom"/>
          </w:tcPr>
          <w:p>
            <w:pPr>
              <w:ind w:left="260"/>
              <w:spacing w:after="0"/>
              <w:rPr>
                <w:sz w:val="20"/>
                <w:szCs w:val="20"/>
                <w:color w:val="auto"/>
              </w:rPr>
            </w:pPr>
            <w:r>
              <w:rPr>
                <w:rFonts w:ascii="Arial" w:cs="Arial" w:eastAsia="Arial" w:hAnsi="Arial"/>
                <w:sz w:val="16"/>
                <w:szCs w:val="16"/>
                <w:color w:val="0B2E44"/>
              </w:rPr>
              <w:t>new hire award</w:t>
            </w: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0B2E44"/>
        </w:rPr>
      </w:pPr>
      <w:r>
        <w:rPr>
          <w:rFonts w:ascii="Arial" w:cs="Arial" w:eastAsia="Arial" w:hAnsi="Arial"/>
          <w:sz w:val="16"/>
          <w:szCs w:val="16"/>
          <w:color w:val="0B2E44"/>
        </w:rPr>
        <w:drawing>
          <wp:anchor simplePos="0" relativeHeight="251657728" behindDoc="1" locked="0" layoutInCell="0" allowOverlap="1">
            <wp:simplePos x="0" y="0"/>
            <wp:positionH relativeFrom="column">
              <wp:posOffset>-1416685</wp:posOffset>
            </wp:positionH>
            <wp:positionV relativeFrom="paragraph">
              <wp:posOffset>149860</wp:posOffset>
            </wp:positionV>
            <wp:extent cx="7132320" cy="1671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71320"/>
                    </a:xfrm>
                    <a:prstGeom prst="rect">
                      <a:avLst/>
                    </a:prstGeom>
                    <a:noFill/>
                  </pic:spPr>
                </pic:pic>
              </a:graphicData>
            </a:graphic>
          </wp:anchor>
        </w:drawing>
      </w:r>
    </w:p>
    <w:p>
      <w:pPr>
        <w:spacing w:after="0" w:line="20" w:lineRule="exact"/>
        <w:rPr>
          <w:rFonts w:ascii="Arial" w:cs="Arial" w:eastAsia="Arial" w:hAnsi="Arial"/>
          <w:sz w:val="16"/>
          <w:szCs w:val="16"/>
          <w:color w:val="0B2E44"/>
        </w:rPr>
      </w:pPr>
      <w:r>
        <w:rPr>
          <w:rFonts w:ascii="Arial" w:cs="Arial" w:eastAsia="Arial" w:hAnsi="Arial"/>
          <w:sz w:val="16"/>
          <w:szCs w:val="16"/>
          <w:color w:val="0B2E44"/>
        </w:rPr>
        <w:br w:type="column"/>
      </w:r>
    </w:p>
    <w:p>
      <w:pPr>
        <w:spacing w:after="0" w:line="56" w:lineRule="exact"/>
        <w:rPr>
          <w:rFonts w:ascii="Arial" w:cs="Arial" w:eastAsia="Arial" w:hAnsi="Arial"/>
          <w:sz w:val="16"/>
          <w:szCs w:val="16"/>
          <w:color w:val="0B2E44"/>
        </w:rPr>
      </w:pPr>
    </w:p>
    <w:p>
      <w:pPr>
        <w:spacing w:after="0" w:line="1" w:lineRule="exact"/>
        <w:rPr>
          <w:rFonts w:ascii="Arial" w:cs="Arial" w:eastAsia="Arial" w:hAnsi="Arial"/>
          <w:sz w:val="1"/>
          <w:szCs w:val="1"/>
          <w:color w:val="0B2E44"/>
        </w:rPr>
      </w:pPr>
    </w:p>
    <w:tbl>
      <w:tblPr>
        <w:tblLayout w:type="fixed"/>
        <w:tblInd w:w="0" w:type="dxa"/>
        <w:tblCellMar>
          <w:top w:w="0" w:type="dxa"/>
          <w:left w:w="0" w:type="dxa"/>
          <w:bottom w:w="0" w:type="dxa"/>
          <w:right w:w="0" w:type="dxa"/>
        </w:tblCellMar>
      </w:tblPr>
      <w:tr>
        <w:trPr>
          <w:trHeight w:val="231"/>
        </w:trPr>
        <w:tc>
          <w:tcPr>
            <w:tcW w:w="140" w:type="dxa"/>
            <w:vAlign w:val="bottom"/>
          </w:tcPr>
          <w:p>
            <w:pPr>
              <w:spacing w:after="0"/>
              <w:rPr>
                <w:sz w:val="20"/>
                <w:szCs w:val="20"/>
                <w:color w:val="auto"/>
              </w:rPr>
            </w:pPr>
            <w:r>
              <w:rPr>
                <w:rFonts w:ascii="Arial" w:cs="Arial" w:eastAsia="Arial" w:hAnsi="Arial"/>
                <w:sz w:val="16"/>
                <w:szCs w:val="16"/>
                <w:color w:val="0B2E44"/>
              </w:rPr>
              <w:t>•</w:t>
            </w:r>
          </w:p>
        </w:tc>
        <w:tc>
          <w:tcPr>
            <w:tcW w:w="2060" w:type="dxa"/>
            <w:vAlign w:val="bottom"/>
          </w:tcPr>
          <w:p>
            <w:pPr>
              <w:ind w:left="100"/>
              <w:spacing w:after="0"/>
              <w:rPr>
                <w:sz w:val="20"/>
                <w:szCs w:val="20"/>
                <w:color w:val="auto"/>
              </w:rPr>
            </w:pPr>
            <w:r>
              <w:rPr>
                <w:rFonts w:ascii="Arial" w:cs="Arial" w:eastAsia="Arial" w:hAnsi="Arial"/>
                <w:sz w:val="16"/>
                <w:szCs w:val="16"/>
                <w:color w:val="0B2E44"/>
              </w:rPr>
              <w:t>annual base salary</w:t>
            </w:r>
          </w:p>
        </w:tc>
        <w:tc>
          <w:tcPr>
            <w:tcW w:w="200" w:type="dxa"/>
            <w:vAlign w:val="bottom"/>
          </w:tcPr>
          <w:p>
            <w:pPr>
              <w:ind w:left="40"/>
              <w:spacing w:after="0"/>
              <w:rPr>
                <w:sz w:val="20"/>
                <w:szCs w:val="20"/>
                <w:color w:val="auto"/>
              </w:rPr>
            </w:pPr>
            <w:r>
              <w:rPr>
                <w:rFonts w:ascii="Arial" w:cs="Arial" w:eastAsia="Arial" w:hAnsi="Arial"/>
                <w:sz w:val="16"/>
                <w:szCs w:val="16"/>
                <w:color w:val="0B2E44"/>
              </w:rPr>
              <w:t>•</w:t>
            </w:r>
          </w:p>
        </w:tc>
        <w:tc>
          <w:tcPr>
            <w:tcW w:w="2020" w:type="dxa"/>
            <w:vAlign w:val="bottom"/>
          </w:tcPr>
          <w:p>
            <w:pPr>
              <w:ind w:left="80"/>
              <w:spacing w:after="0"/>
              <w:rPr>
                <w:sz w:val="20"/>
                <w:szCs w:val="20"/>
                <w:color w:val="auto"/>
              </w:rPr>
            </w:pPr>
            <w:r>
              <w:rPr>
                <w:rFonts w:ascii="Arial" w:cs="Arial" w:eastAsia="Arial" w:hAnsi="Arial"/>
                <w:sz w:val="16"/>
                <w:szCs w:val="16"/>
                <w:color w:val="0B2E44"/>
              </w:rPr>
              <w:t>annual base salary</w:t>
            </w:r>
          </w:p>
        </w:tc>
      </w:tr>
      <w:tr>
        <w:trPr>
          <w:trHeight w:val="189"/>
        </w:trPr>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0B2E44"/>
              </w:rPr>
              <w:t>•</w:t>
            </w:r>
          </w:p>
        </w:tc>
        <w:tc>
          <w:tcPr>
            <w:tcW w:w="2020" w:type="dxa"/>
            <w:vAlign w:val="bottom"/>
          </w:tcPr>
          <w:p>
            <w:pPr>
              <w:ind w:left="80"/>
              <w:spacing w:after="0"/>
              <w:rPr>
                <w:sz w:val="20"/>
                <w:szCs w:val="20"/>
                <w:color w:val="auto"/>
              </w:rPr>
            </w:pPr>
            <w:r>
              <w:rPr>
                <w:rFonts w:ascii="Arial" w:cs="Arial" w:eastAsia="Arial" w:hAnsi="Arial"/>
                <w:sz w:val="16"/>
                <w:szCs w:val="16"/>
                <w:color w:val="0B2E44"/>
              </w:rPr>
              <w:t>eligible to participate in a</w:t>
            </w:r>
          </w:p>
        </w:tc>
      </w:tr>
      <w:tr>
        <w:trPr>
          <w:trHeight w:val="203"/>
        </w:trPr>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sales incentive</w:t>
            </w:r>
          </w:p>
        </w:tc>
      </w:tr>
      <w:tr>
        <w:trPr>
          <w:trHeight w:val="189"/>
        </w:trPr>
        <w:tc>
          <w:tcPr>
            <w:tcW w:w="14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6"/>
                <w:szCs w:val="16"/>
                <w:color w:val="0B2E44"/>
              </w:rPr>
              <w:t>compensation plan that</w:t>
            </w:r>
          </w:p>
        </w:tc>
        <w:tc>
          <w:tcPr>
            <w:tcW w:w="200" w:type="dxa"/>
            <w:vAlign w:val="bottom"/>
          </w:tcPr>
          <w:p>
            <w:pPr>
              <w:spacing w:after="0"/>
              <w:rPr>
                <w:sz w:val="16"/>
                <w:szCs w:val="16"/>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compensation plan that</w:t>
            </w:r>
          </w:p>
        </w:tc>
      </w:tr>
      <w:tr>
        <w:trPr>
          <w:trHeight w:val="203"/>
        </w:trPr>
        <w:tc>
          <w:tcPr>
            <w:tcW w:w="140" w:type="dxa"/>
            <w:vAlign w:val="bottom"/>
          </w:tcPr>
          <w:p>
            <w:pPr>
              <w:spacing w:after="0"/>
              <w:rPr>
                <w:sz w:val="17"/>
                <w:szCs w:val="17"/>
                <w:color w:val="auto"/>
              </w:rPr>
            </w:pPr>
          </w:p>
        </w:tc>
        <w:tc>
          <w:tcPr>
            <w:tcW w:w="2060" w:type="dxa"/>
            <w:vAlign w:val="bottom"/>
          </w:tcPr>
          <w:p>
            <w:pPr>
              <w:ind w:left="100"/>
              <w:spacing w:after="0"/>
              <w:rPr>
                <w:sz w:val="20"/>
                <w:szCs w:val="20"/>
                <w:color w:val="auto"/>
              </w:rPr>
            </w:pPr>
            <w:r>
              <w:rPr>
                <w:rFonts w:ascii="Arial" w:cs="Arial" w:eastAsia="Arial" w:hAnsi="Arial"/>
                <w:sz w:val="16"/>
                <w:szCs w:val="16"/>
                <w:color w:val="0B2E44"/>
              </w:rPr>
              <w:t>provides a cash bonus</w:t>
            </w:r>
          </w:p>
        </w:tc>
        <w:tc>
          <w:tcPr>
            <w:tcW w:w="200" w:type="dxa"/>
            <w:vAlign w:val="bottom"/>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provides a cash bonus</w:t>
            </w:r>
          </w:p>
        </w:tc>
      </w:tr>
      <w:tr>
        <w:trPr>
          <w:trHeight w:val="207"/>
        </w:trPr>
        <w:tc>
          <w:tcPr>
            <w:tcW w:w="140" w:type="dxa"/>
            <w:vAlign w:val="bottom"/>
          </w:tcPr>
          <w:p>
            <w:pPr>
              <w:spacing w:after="0"/>
              <w:rPr>
                <w:sz w:val="17"/>
                <w:szCs w:val="17"/>
                <w:color w:val="auto"/>
              </w:rPr>
            </w:pPr>
          </w:p>
        </w:tc>
        <w:tc>
          <w:tcPr>
            <w:tcW w:w="2060" w:type="dxa"/>
            <w:vAlign w:val="bottom"/>
          </w:tcPr>
          <w:p>
            <w:pPr>
              <w:ind w:left="100"/>
              <w:spacing w:after="0"/>
              <w:rPr>
                <w:sz w:val="20"/>
                <w:szCs w:val="20"/>
                <w:color w:val="auto"/>
              </w:rPr>
            </w:pPr>
            <w:r>
              <w:rPr>
                <w:rFonts w:ascii="Arial" w:cs="Arial" w:eastAsia="Arial" w:hAnsi="Arial"/>
                <w:sz w:val="16"/>
                <w:szCs w:val="16"/>
                <w:color w:val="0B2E44"/>
              </w:rPr>
              <w:t>opportunity</w:t>
            </w:r>
          </w:p>
        </w:tc>
        <w:tc>
          <w:tcPr>
            <w:tcW w:w="200" w:type="dxa"/>
            <w:vAlign w:val="bottom"/>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opportunity</w:t>
            </w:r>
          </w:p>
        </w:tc>
      </w:tr>
      <w:tr>
        <w:trPr>
          <w:trHeight w:val="225"/>
        </w:trPr>
        <w:tc>
          <w:tcPr>
            <w:tcW w:w="140" w:type="dxa"/>
            <w:vAlign w:val="bottom"/>
          </w:tcPr>
          <w:p>
            <w:pPr>
              <w:spacing w:after="0"/>
              <w:rPr>
                <w:sz w:val="20"/>
                <w:szCs w:val="20"/>
                <w:color w:val="auto"/>
              </w:rPr>
            </w:pPr>
            <w:r>
              <w:rPr>
                <w:rFonts w:ascii="Arial" w:cs="Arial" w:eastAsia="Arial" w:hAnsi="Arial"/>
                <w:sz w:val="16"/>
                <w:szCs w:val="16"/>
                <w:color w:val="0B2E44"/>
              </w:rPr>
              <w:t>•</w:t>
            </w:r>
          </w:p>
        </w:tc>
        <w:tc>
          <w:tcPr>
            <w:tcW w:w="2260" w:type="dxa"/>
            <w:vAlign w:val="bottom"/>
            <w:gridSpan w:val="2"/>
          </w:tcPr>
          <w:p>
            <w:pPr>
              <w:ind w:left="100"/>
              <w:spacing w:after="0"/>
              <w:rPr>
                <w:sz w:val="20"/>
                <w:szCs w:val="20"/>
                <w:color w:val="auto"/>
              </w:rPr>
            </w:pPr>
            <w:r>
              <w:rPr>
                <w:rFonts w:ascii="Arial" w:cs="Arial" w:eastAsia="Arial" w:hAnsi="Arial"/>
                <w:sz w:val="16"/>
                <w:szCs w:val="16"/>
                <w:color w:val="0B2E44"/>
              </w:rPr>
              <w:t>entitled to participate in the •</w:t>
            </w:r>
          </w:p>
        </w:tc>
        <w:tc>
          <w:tcPr>
            <w:tcW w:w="2020" w:type="dxa"/>
            <w:vAlign w:val="bottom"/>
          </w:tcPr>
          <w:p>
            <w:pPr>
              <w:ind w:left="80"/>
              <w:spacing w:after="0"/>
              <w:rPr>
                <w:sz w:val="20"/>
                <w:szCs w:val="20"/>
                <w:color w:val="auto"/>
              </w:rPr>
            </w:pPr>
            <w:r>
              <w:rPr>
                <w:rFonts w:ascii="Arial" w:cs="Arial" w:eastAsia="Arial" w:hAnsi="Arial"/>
                <w:sz w:val="16"/>
                <w:szCs w:val="16"/>
                <w:color w:val="0B2E44"/>
              </w:rPr>
              <w:t>entitled to participate in the</w:t>
            </w:r>
          </w:p>
        </w:tc>
      </w:tr>
      <w:tr>
        <w:trPr>
          <w:trHeight w:val="203"/>
        </w:trPr>
        <w:tc>
          <w:tcPr>
            <w:tcW w:w="140" w:type="dxa"/>
            <w:vAlign w:val="bottom"/>
          </w:tcPr>
          <w:p>
            <w:pPr>
              <w:spacing w:after="0"/>
              <w:rPr>
                <w:sz w:val="17"/>
                <w:szCs w:val="17"/>
                <w:color w:val="auto"/>
              </w:rPr>
            </w:pPr>
          </w:p>
        </w:tc>
        <w:tc>
          <w:tcPr>
            <w:tcW w:w="2060" w:type="dxa"/>
            <w:vAlign w:val="bottom"/>
          </w:tcPr>
          <w:p>
            <w:pPr>
              <w:ind w:left="100"/>
              <w:spacing w:after="0"/>
              <w:rPr>
                <w:sz w:val="20"/>
                <w:szCs w:val="20"/>
                <w:color w:val="auto"/>
              </w:rPr>
            </w:pPr>
            <w:r>
              <w:rPr>
                <w:rFonts w:ascii="Arial" w:cs="Arial" w:eastAsia="Arial" w:hAnsi="Arial"/>
                <w:sz w:val="16"/>
                <w:szCs w:val="16"/>
                <w:color w:val="0B2E44"/>
              </w:rPr>
              <w:t>employee benefits plans in</w:t>
            </w:r>
          </w:p>
        </w:tc>
        <w:tc>
          <w:tcPr>
            <w:tcW w:w="200" w:type="dxa"/>
            <w:vAlign w:val="bottom"/>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employee benefits plans in</w:t>
            </w:r>
          </w:p>
        </w:tc>
      </w:tr>
      <w:tr>
        <w:trPr>
          <w:trHeight w:val="189"/>
        </w:trPr>
        <w:tc>
          <w:tcPr>
            <w:tcW w:w="14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6"/>
                <w:szCs w:val="16"/>
                <w:color w:val="0B2E44"/>
              </w:rPr>
              <w:t>which our other executives</w:t>
            </w:r>
          </w:p>
        </w:tc>
        <w:tc>
          <w:tcPr>
            <w:tcW w:w="200" w:type="dxa"/>
            <w:vAlign w:val="bottom"/>
          </w:tcPr>
          <w:p>
            <w:pPr>
              <w:spacing w:after="0"/>
              <w:rPr>
                <w:sz w:val="16"/>
                <w:szCs w:val="16"/>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which our other executives</w:t>
            </w:r>
          </w:p>
        </w:tc>
      </w:tr>
      <w:tr>
        <w:trPr>
          <w:trHeight w:val="207"/>
        </w:trPr>
        <w:tc>
          <w:tcPr>
            <w:tcW w:w="140" w:type="dxa"/>
            <w:vAlign w:val="bottom"/>
          </w:tcPr>
          <w:p>
            <w:pPr>
              <w:spacing w:after="0"/>
              <w:rPr>
                <w:sz w:val="17"/>
                <w:szCs w:val="17"/>
                <w:color w:val="auto"/>
              </w:rPr>
            </w:pPr>
          </w:p>
        </w:tc>
        <w:tc>
          <w:tcPr>
            <w:tcW w:w="2060" w:type="dxa"/>
            <w:vAlign w:val="bottom"/>
          </w:tcPr>
          <w:p>
            <w:pPr>
              <w:ind w:left="100"/>
              <w:spacing w:after="0"/>
              <w:rPr>
                <w:sz w:val="20"/>
                <w:szCs w:val="20"/>
                <w:color w:val="auto"/>
              </w:rPr>
            </w:pPr>
            <w:r>
              <w:rPr>
                <w:rFonts w:ascii="Arial" w:cs="Arial" w:eastAsia="Arial" w:hAnsi="Arial"/>
                <w:sz w:val="16"/>
                <w:szCs w:val="16"/>
                <w:color w:val="0B2E44"/>
              </w:rPr>
              <w:t>may participate</w:t>
            </w:r>
          </w:p>
        </w:tc>
        <w:tc>
          <w:tcPr>
            <w:tcW w:w="200" w:type="dxa"/>
            <w:vAlign w:val="bottom"/>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may participate</w:t>
            </w:r>
          </w:p>
        </w:tc>
      </w:tr>
      <w:tr>
        <w:trPr>
          <w:trHeight w:val="239"/>
        </w:trPr>
        <w:tc>
          <w:tcPr>
            <w:tcW w:w="140" w:type="dxa"/>
            <w:vAlign w:val="bottom"/>
          </w:tcPr>
          <w:p>
            <w:pPr>
              <w:spacing w:after="0"/>
              <w:rPr>
                <w:sz w:val="20"/>
                <w:szCs w:val="20"/>
                <w:color w:val="auto"/>
              </w:rPr>
            </w:pPr>
            <w:r>
              <w:rPr>
                <w:rFonts w:ascii="Arial" w:cs="Arial" w:eastAsia="Arial" w:hAnsi="Arial"/>
                <w:sz w:val="16"/>
                <w:szCs w:val="16"/>
                <w:color w:val="0B2E44"/>
              </w:rPr>
              <w:t>•</w:t>
            </w:r>
          </w:p>
        </w:tc>
        <w:tc>
          <w:tcPr>
            <w:tcW w:w="2060" w:type="dxa"/>
            <w:vAlign w:val="bottom"/>
          </w:tcPr>
          <w:p>
            <w:pPr>
              <w:ind w:left="100"/>
              <w:spacing w:after="0"/>
              <w:rPr>
                <w:sz w:val="20"/>
                <w:szCs w:val="20"/>
                <w:color w:val="auto"/>
              </w:rPr>
            </w:pPr>
            <w:r>
              <w:rPr>
                <w:rFonts w:ascii="Arial" w:cs="Arial" w:eastAsia="Arial" w:hAnsi="Arial"/>
                <w:sz w:val="16"/>
                <w:szCs w:val="16"/>
                <w:color w:val="0B2E44"/>
              </w:rPr>
              <w:t>entitled to annual equity</w:t>
            </w:r>
          </w:p>
        </w:tc>
        <w:tc>
          <w:tcPr>
            <w:tcW w:w="200" w:type="dxa"/>
            <w:vAlign w:val="bottom"/>
          </w:tcPr>
          <w:p>
            <w:pPr>
              <w:ind w:left="40"/>
              <w:spacing w:after="0"/>
              <w:rPr>
                <w:sz w:val="20"/>
                <w:szCs w:val="20"/>
                <w:color w:val="auto"/>
              </w:rPr>
            </w:pPr>
            <w:r>
              <w:rPr>
                <w:rFonts w:ascii="Arial" w:cs="Arial" w:eastAsia="Arial" w:hAnsi="Arial"/>
                <w:sz w:val="16"/>
                <w:szCs w:val="16"/>
                <w:color w:val="0B2E44"/>
              </w:rPr>
              <w:t>•</w:t>
            </w:r>
          </w:p>
        </w:tc>
        <w:tc>
          <w:tcPr>
            <w:tcW w:w="2020" w:type="dxa"/>
            <w:vAlign w:val="bottom"/>
          </w:tcPr>
          <w:p>
            <w:pPr>
              <w:ind w:left="80"/>
              <w:spacing w:after="0"/>
              <w:rPr>
                <w:sz w:val="20"/>
                <w:szCs w:val="20"/>
                <w:color w:val="auto"/>
              </w:rPr>
            </w:pPr>
            <w:r>
              <w:rPr>
                <w:rFonts w:ascii="Arial" w:cs="Arial" w:eastAsia="Arial" w:hAnsi="Arial"/>
                <w:sz w:val="16"/>
                <w:szCs w:val="16"/>
                <w:color w:val="0B2E44"/>
              </w:rPr>
              <w:t>entitled to annual equity</w:t>
            </w:r>
          </w:p>
        </w:tc>
      </w:tr>
      <w:tr>
        <w:trPr>
          <w:trHeight w:val="189"/>
        </w:trPr>
        <w:tc>
          <w:tcPr>
            <w:tcW w:w="14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6"/>
                <w:szCs w:val="16"/>
                <w:color w:val="0B2E44"/>
              </w:rPr>
              <w:t>awards and a one-time</w:t>
            </w:r>
          </w:p>
        </w:tc>
        <w:tc>
          <w:tcPr>
            <w:tcW w:w="200" w:type="dxa"/>
            <w:vAlign w:val="bottom"/>
          </w:tcPr>
          <w:p>
            <w:pPr>
              <w:spacing w:after="0"/>
              <w:rPr>
                <w:sz w:val="16"/>
                <w:szCs w:val="16"/>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0B2E44"/>
              </w:rPr>
              <w:t>awards</w:t>
            </w:r>
          </w:p>
        </w:tc>
      </w:tr>
      <w:tr>
        <w:trPr>
          <w:trHeight w:val="207"/>
        </w:trPr>
        <w:tc>
          <w:tcPr>
            <w:tcW w:w="140" w:type="dxa"/>
            <w:vAlign w:val="bottom"/>
          </w:tcPr>
          <w:p>
            <w:pPr>
              <w:spacing w:after="0"/>
              <w:rPr>
                <w:sz w:val="17"/>
                <w:szCs w:val="17"/>
                <w:color w:val="auto"/>
              </w:rPr>
            </w:pPr>
          </w:p>
        </w:tc>
        <w:tc>
          <w:tcPr>
            <w:tcW w:w="2060" w:type="dxa"/>
            <w:vAlign w:val="bottom"/>
          </w:tcPr>
          <w:p>
            <w:pPr>
              <w:ind w:left="100"/>
              <w:spacing w:after="0"/>
              <w:rPr>
                <w:sz w:val="20"/>
                <w:szCs w:val="20"/>
                <w:color w:val="auto"/>
              </w:rPr>
            </w:pPr>
            <w:r>
              <w:rPr>
                <w:rFonts w:ascii="Arial" w:cs="Arial" w:eastAsia="Arial" w:hAnsi="Arial"/>
                <w:sz w:val="16"/>
                <w:szCs w:val="16"/>
                <w:color w:val="0B2E44"/>
              </w:rPr>
              <w:t>new hire award</w:t>
            </w: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55" w:lineRule="exact"/>
        <w:rPr>
          <w:rFonts w:ascii="Arial" w:cs="Arial" w:eastAsia="Arial" w:hAnsi="Arial"/>
          <w:sz w:val="16"/>
          <w:szCs w:val="16"/>
          <w:color w:val="0B2E44"/>
        </w:rPr>
      </w:pPr>
    </w:p>
    <w:p>
      <w:pPr>
        <w:sectPr>
          <w:pgSz w:w="11900" w:h="16838" w:orient="portrait"/>
          <w:cols w:equalWidth="0" w:num="3">
            <w:col w:w="1520" w:space="720"/>
            <w:col w:w="4440" w:space="80"/>
            <w:col w:w="4440"/>
          </w:cols>
          <w:pgMar w:left="320" w:top="126" w:right="37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Arial" w:cs="Arial" w:eastAsia="Arial" w:hAnsi="Arial"/>
                <w:sz w:val="16"/>
                <w:szCs w:val="16"/>
                <w:b w:val="1"/>
                <w:bCs w:val="1"/>
                <w:color w:val="0B2E44"/>
              </w:rPr>
              <w:t xml:space="preserve">Compensation in the event </w:t>
            </w:r>
            <w:r>
              <w:rPr>
                <w:rFonts w:ascii="Arial" w:cs="Arial" w:eastAsia="Arial" w:hAnsi="Arial"/>
                <w:sz w:val="16"/>
                <w:szCs w:val="16"/>
                <w:color w:val="0B2E44"/>
              </w:rPr>
              <w:t>•</w:t>
            </w:r>
          </w:p>
        </w:tc>
        <w:tc>
          <w:tcPr>
            <w:tcW w:w="2260" w:type="dxa"/>
            <w:vAlign w:val="bottom"/>
          </w:tcPr>
          <w:p>
            <w:pPr>
              <w:ind w:left="100"/>
              <w:spacing w:after="0"/>
              <w:rPr>
                <w:sz w:val="20"/>
                <w:szCs w:val="20"/>
                <w:color w:val="auto"/>
              </w:rPr>
            </w:pPr>
            <w:r>
              <w:rPr>
                <w:rFonts w:ascii="Arial" w:cs="Arial" w:eastAsia="Arial" w:hAnsi="Arial"/>
                <w:sz w:val="16"/>
                <w:szCs w:val="16"/>
                <w:color w:val="0B2E44"/>
              </w:rPr>
              <w:t>lump sum payment equal   •</w:t>
            </w:r>
          </w:p>
        </w:tc>
        <w:tc>
          <w:tcPr>
            <w:tcW w:w="6460" w:type="dxa"/>
            <w:vAlign w:val="bottom"/>
          </w:tcPr>
          <w:p>
            <w:pPr>
              <w:ind w:left="80"/>
              <w:spacing w:after="0"/>
              <w:rPr>
                <w:sz w:val="20"/>
                <w:szCs w:val="20"/>
                <w:color w:val="auto"/>
              </w:rPr>
            </w:pPr>
            <w:r>
              <w:rPr>
                <w:rFonts w:ascii="Arial" w:cs="Arial" w:eastAsia="Arial" w:hAnsi="Arial"/>
                <w:sz w:val="16"/>
                <w:szCs w:val="16"/>
                <w:color w:val="0B2E44"/>
              </w:rPr>
              <w:t>12 months of his then-current base salary</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Arial" w:cs="Arial" w:eastAsia="Arial" w:hAnsi="Arial"/>
                <w:sz w:val="16"/>
                <w:szCs w:val="16"/>
                <w:b w:val="1"/>
                <w:bCs w:val="1"/>
                <w:color w:val="0B2E44"/>
              </w:rPr>
              <w:t>of a termination without</w:t>
            </w:r>
          </w:p>
        </w:tc>
        <w:tc>
          <w:tcPr>
            <w:tcW w:w="2260" w:type="dxa"/>
            <w:vAlign w:val="bottom"/>
          </w:tcPr>
          <w:p>
            <w:pPr>
              <w:ind w:left="100"/>
              <w:spacing w:after="0" w:line="221" w:lineRule="exact"/>
              <w:rPr>
                <w:sz w:val="20"/>
                <w:szCs w:val="20"/>
                <w:color w:val="auto"/>
              </w:rPr>
            </w:pPr>
            <w:r>
              <w:rPr>
                <w:rFonts w:ascii="Arial" w:cs="Arial" w:eastAsia="Arial" w:hAnsi="Arial"/>
                <w:sz w:val="14"/>
                <w:szCs w:val="14"/>
                <w:color w:val="0B2E44"/>
              </w:rPr>
              <w:t xml:space="preserve">to (i) 12 months of his then- </w:t>
            </w:r>
            <w:r>
              <w:rPr>
                <w:rFonts w:ascii="Arial" w:cs="Arial" w:eastAsia="Arial" w:hAnsi="Arial"/>
                <w:sz w:val="25"/>
                <w:szCs w:val="25"/>
                <w:color w:val="0B2E44"/>
                <w:vertAlign w:val="subscript"/>
              </w:rPr>
              <w:t>•</w:t>
            </w:r>
          </w:p>
        </w:tc>
        <w:tc>
          <w:tcPr>
            <w:tcW w:w="6460" w:type="dxa"/>
            <w:vAlign w:val="bottom"/>
          </w:tcPr>
          <w:p>
            <w:pPr>
              <w:ind w:left="80"/>
              <w:spacing w:after="0"/>
              <w:rPr>
                <w:sz w:val="20"/>
                <w:szCs w:val="20"/>
                <w:color w:val="auto"/>
              </w:rPr>
            </w:pPr>
            <w:r>
              <w:rPr>
                <w:rFonts w:ascii="Arial" w:cs="Arial" w:eastAsia="Arial" w:hAnsi="Arial"/>
                <w:sz w:val="16"/>
                <w:szCs w:val="16"/>
                <w:color w:val="0B2E44"/>
              </w:rPr>
              <w:t>an immediate lump sum payment equal to the amount he would have to pay for twelve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b w:val="1"/>
                <w:bCs w:val="1"/>
                <w:color w:val="0B2E44"/>
              </w:rPr>
              <w:t>“cause” or for “good</w:t>
            </w:r>
          </w:p>
        </w:tc>
        <w:tc>
          <w:tcPr>
            <w:tcW w:w="2260" w:type="dxa"/>
            <w:vAlign w:val="bottom"/>
          </w:tcPr>
          <w:p>
            <w:pPr>
              <w:ind w:left="100"/>
              <w:spacing w:after="0"/>
              <w:rPr>
                <w:sz w:val="20"/>
                <w:szCs w:val="20"/>
                <w:color w:val="auto"/>
              </w:rPr>
            </w:pPr>
            <w:r>
              <w:rPr>
                <w:rFonts w:ascii="Arial" w:cs="Arial" w:eastAsia="Arial" w:hAnsi="Arial"/>
                <w:sz w:val="16"/>
                <w:szCs w:val="16"/>
                <w:color w:val="0B2E44"/>
              </w:rPr>
              <w:t>current base salary and</w:t>
            </w:r>
          </w:p>
        </w:tc>
        <w:tc>
          <w:tcPr>
            <w:tcW w:w="6460" w:type="dxa"/>
            <w:vAlign w:val="bottom"/>
          </w:tcPr>
          <w:p>
            <w:pPr>
              <w:ind w:left="80"/>
              <w:spacing w:after="0"/>
              <w:rPr>
                <w:sz w:val="20"/>
                <w:szCs w:val="20"/>
                <w:color w:val="auto"/>
              </w:rPr>
            </w:pPr>
            <w:r>
              <w:rPr>
                <w:rFonts w:ascii="Arial" w:cs="Arial" w:eastAsia="Arial" w:hAnsi="Arial"/>
                <w:sz w:val="16"/>
                <w:szCs w:val="16"/>
                <w:color w:val="0B2E44"/>
              </w:rPr>
              <w:t>months of continued group health coverage under the Company’s group health plan as in</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6"/>
                <w:szCs w:val="16"/>
                <w:b w:val="1"/>
                <w:bCs w:val="1"/>
                <w:color w:val="0B2E44"/>
              </w:rPr>
              <w:t>reason” and other than</w:t>
            </w:r>
          </w:p>
        </w:tc>
        <w:tc>
          <w:tcPr>
            <w:tcW w:w="2260" w:type="dxa"/>
            <w:vAlign w:val="bottom"/>
          </w:tcPr>
          <w:p>
            <w:pPr>
              <w:ind w:left="100"/>
              <w:spacing w:after="0"/>
              <w:rPr>
                <w:sz w:val="20"/>
                <w:szCs w:val="20"/>
                <w:color w:val="auto"/>
              </w:rPr>
            </w:pPr>
            <w:r>
              <w:rPr>
                <w:rFonts w:ascii="Arial" w:cs="Arial" w:eastAsia="Arial" w:hAnsi="Arial"/>
                <w:sz w:val="16"/>
                <w:szCs w:val="16"/>
                <w:color w:val="0B2E44"/>
              </w:rPr>
              <w:t>(ii) his target cash incentive</w:t>
            </w:r>
          </w:p>
        </w:tc>
        <w:tc>
          <w:tcPr>
            <w:tcW w:w="6460" w:type="dxa"/>
            <w:vAlign w:val="bottom"/>
          </w:tcPr>
          <w:p>
            <w:pPr>
              <w:ind w:left="80"/>
              <w:spacing w:after="0"/>
              <w:rPr>
                <w:sz w:val="20"/>
                <w:szCs w:val="20"/>
                <w:color w:val="auto"/>
              </w:rPr>
            </w:pPr>
            <w:r>
              <w:rPr>
                <w:rFonts w:ascii="Arial" w:cs="Arial" w:eastAsia="Arial" w:hAnsi="Arial"/>
                <w:sz w:val="16"/>
                <w:szCs w:val="16"/>
                <w:color w:val="0B2E44"/>
              </w:rPr>
              <w:t>effect for himself and his dependents immediately prior to his termination of employment</w:t>
            </w:r>
          </w:p>
        </w:tc>
        <w:tc>
          <w:tcPr>
            <w:tcW w:w="0" w:type="dxa"/>
            <w:vAlign w:val="bottom"/>
          </w:tcPr>
          <w:p>
            <w:pPr>
              <w:spacing w:after="0"/>
              <w:rPr>
                <w:sz w:val="1"/>
                <w:szCs w:val="1"/>
                <w:color w:val="auto"/>
              </w:rPr>
            </w:pPr>
          </w:p>
        </w:tc>
      </w:tr>
      <w:tr>
        <w:trPr>
          <w:trHeight w:val="171"/>
        </w:trPr>
        <w:tc>
          <w:tcPr>
            <w:tcW w:w="2280" w:type="dxa"/>
            <w:vAlign w:val="bottom"/>
          </w:tcPr>
          <w:p>
            <w:pPr>
              <w:spacing w:after="0" w:line="171" w:lineRule="exact"/>
              <w:rPr>
                <w:sz w:val="20"/>
                <w:szCs w:val="20"/>
                <w:color w:val="auto"/>
              </w:rPr>
            </w:pPr>
            <w:r>
              <w:rPr>
                <w:rFonts w:ascii="Arial" w:cs="Arial" w:eastAsia="Arial" w:hAnsi="Arial"/>
                <w:sz w:val="16"/>
                <w:szCs w:val="16"/>
                <w:b w:val="1"/>
                <w:bCs w:val="1"/>
                <w:color w:val="0B2E44"/>
              </w:rPr>
              <w:t>within 24 months following</w:t>
            </w:r>
          </w:p>
        </w:tc>
        <w:tc>
          <w:tcPr>
            <w:tcW w:w="2260" w:type="dxa"/>
            <w:vAlign w:val="bottom"/>
          </w:tcPr>
          <w:p>
            <w:pPr>
              <w:ind w:left="100"/>
              <w:spacing w:after="0" w:line="171" w:lineRule="exact"/>
              <w:rPr>
                <w:sz w:val="20"/>
                <w:szCs w:val="20"/>
                <w:color w:val="auto"/>
              </w:rPr>
            </w:pPr>
            <w:r>
              <w:rPr>
                <w:rFonts w:ascii="Arial" w:cs="Arial" w:eastAsia="Arial" w:hAnsi="Arial"/>
                <w:sz w:val="16"/>
                <w:szCs w:val="16"/>
                <w:color w:val="0B2E44"/>
              </w:rPr>
              <w:t>bonus for the year in which</w:t>
            </w: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b w:val="1"/>
                <w:bCs w:val="1"/>
                <w:color w:val="0B2E44"/>
              </w:rPr>
              <w:t>a “change in control”(2)</w:t>
            </w:r>
          </w:p>
        </w:tc>
        <w:tc>
          <w:tcPr>
            <w:tcW w:w="2260" w:type="dxa"/>
            <w:vAlign w:val="bottom"/>
          </w:tcPr>
          <w:p>
            <w:pPr>
              <w:ind w:left="100"/>
              <w:spacing w:after="0"/>
              <w:rPr>
                <w:sz w:val="20"/>
                <w:szCs w:val="20"/>
                <w:color w:val="auto"/>
              </w:rPr>
            </w:pPr>
            <w:r>
              <w:rPr>
                <w:rFonts w:ascii="Arial" w:cs="Arial" w:eastAsia="Arial" w:hAnsi="Arial"/>
                <w:sz w:val="16"/>
                <w:szCs w:val="16"/>
                <w:color w:val="0B2E44"/>
              </w:rPr>
              <w:t>termination of employment</w:t>
            </w:r>
          </w:p>
        </w:tc>
        <w:tc>
          <w:tcPr>
            <w:tcW w:w="6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80" w:type="dxa"/>
            <w:vAlign w:val="bottom"/>
            <w:vMerge w:val="restart"/>
          </w:tcPr>
          <w:p>
            <w:pPr>
              <w:spacing w:after="0"/>
              <w:rPr>
                <w:sz w:val="20"/>
                <w:szCs w:val="20"/>
                <w:color w:val="auto"/>
              </w:rPr>
            </w:pPr>
            <w:r>
              <w:rPr>
                <w:rFonts w:ascii="Arial" w:cs="Arial" w:eastAsia="Arial" w:hAnsi="Arial"/>
                <w:sz w:val="16"/>
                <w:szCs w:val="16"/>
                <w:b w:val="1"/>
                <w:bCs w:val="1"/>
                <w:color w:val="0B2E44"/>
              </w:rPr>
              <w:t>(subject to execution of a</w:t>
            </w:r>
          </w:p>
        </w:tc>
        <w:tc>
          <w:tcPr>
            <w:tcW w:w="2260" w:type="dxa"/>
            <w:vAlign w:val="bottom"/>
          </w:tcPr>
          <w:p>
            <w:pPr>
              <w:ind w:left="100"/>
              <w:spacing w:after="0"/>
              <w:rPr>
                <w:sz w:val="20"/>
                <w:szCs w:val="20"/>
                <w:color w:val="auto"/>
              </w:rPr>
            </w:pPr>
            <w:r>
              <w:rPr>
                <w:rFonts w:ascii="Arial" w:cs="Arial" w:eastAsia="Arial" w:hAnsi="Arial"/>
                <w:sz w:val="16"/>
                <w:szCs w:val="16"/>
                <w:color w:val="0B2E44"/>
              </w:rPr>
              <w:t>occurs</w:t>
            </w:r>
          </w:p>
        </w:tc>
        <w:tc>
          <w:tcPr>
            <w:tcW w:w="6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280" w:type="dxa"/>
            <w:vAlign w:val="bottom"/>
            <w:vMerge w:val="continue"/>
          </w:tcPr>
          <w:p>
            <w:pPr>
              <w:spacing w:after="0"/>
              <w:rPr>
                <w:sz w:val="5"/>
                <w:szCs w:val="5"/>
                <w:color w:val="auto"/>
              </w:rPr>
            </w:pPr>
          </w:p>
        </w:tc>
        <w:tc>
          <w:tcPr>
            <w:tcW w:w="2260" w:type="dxa"/>
            <w:vAlign w:val="bottom"/>
          </w:tcPr>
          <w:p>
            <w:pPr>
              <w:spacing w:after="0"/>
              <w:rPr>
                <w:sz w:val="5"/>
                <w:szCs w:val="5"/>
                <w:color w:val="auto"/>
              </w:rPr>
            </w:pPr>
          </w:p>
        </w:tc>
        <w:tc>
          <w:tcPr>
            <w:tcW w:w="6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3"/>
                <w:szCs w:val="13"/>
                <w:b w:val="1"/>
                <w:bCs w:val="1"/>
                <w:color w:val="0B2E44"/>
              </w:rPr>
              <w:t xml:space="preserve">release of claims in favor  </w:t>
            </w:r>
            <w:r>
              <w:rPr>
                <w:rFonts w:ascii="Arial" w:cs="Arial" w:eastAsia="Arial" w:hAnsi="Arial"/>
                <w:sz w:val="23"/>
                <w:szCs w:val="23"/>
                <w:color w:val="0B2E44"/>
                <w:vertAlign w:val="superscript"/>
              </w:rPr>
              <w:t>•</w:t>
            </w:r>
          </w:p>
        </w:tc>
        <w:tc>
          <w:tcPr>
            <w:tcW w:w="2260" w:type="dxa"/>
            <w:vAlign w:val="bottom"/>
          </w:tcPr>
          <w:p>
            <w:pPr>
              <w:ind w:left="100"/>
              <w:spacing w:after="0"/>
              <w:rPr>
                <w:sz w:val="20"/>
                <w:szCs w:val="20"/>
                <w:color w:val="auto"/>
              </w:rPr>
            </w:pPr>
            <w:r>
              <w:rPr>
                <w:rFonts w:ascii="Arial" w:cs="Arial" w:eastAsia="Arial" w:hAnsi="Arial"/>
                <w:sz w:val="16"/>
                <w:szCs w:val="16"/>
                <w:color w:val="0B2E44"/>
              </w:rPr>
              <w:t>continued payment of</w:t>
            </w:r>
          </w:p>
        </w:tc>
        <w:tc>
          <w:tcPr>
            <w:tcW w:w="6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280" w:type="dxa"/>
            <w:vAlign w:val="bottom"/>
          </w:tcPr>
          <w:p>
            <w:pPr>
              <w:spacing w:after="0"/>
              <w:rPr>
                <w:sz w:val="20"/>
                <w:szCs w:val="20"/>
                <w:color w:val="auto"/>
              </w:rPr>
            </w:pPr>
            <w:r>
              <w:rPr>
                <w:rFonts w:ascii="Arial" w:cs="Arial" w:eastAsia="Arial" w:hAnsi="Arial"/>
                <w:sz w:val="16"/>
                <w:szCs w:val="16"/>
                <w:b w:val="1"/>
                <w:bCs w:val="1"/>
                <w:color w:val="0B2E44"/>
              </w:rPr>
              <w:t>of the Company)</w:t>
            </w:r>
          </w:p>
        </w:tc>
        <w:tc>
          <w:tcPr>
            <w:tcW w:w="2260" w:type="dxa"/>
            <w:vAlign w:val="bottom"/>
          </w:tcPr>
          <w:p>
            <w:pPr>
              <w:ind w:left="100"/>
              <w:spacing w:after="0"/>
              <w:rPr>
                <w:sz w:val="20"/>
                <w:szCs w:val="20"/>
                <w:color w:val="auto"/>
              </w:rPr>
            </w:pPr>
            <w:r>
              <w:rPr>
                <w:rFonts w:ascii="Arial" w:cs="Arial" w:eastAsia="Arial" w:hAnsi="Arial"/>
                <w:sz w:val="16"/>
                <w:szCs w:val="16"/>
                <w:color w:val="0B2E44"/>
              </w:rPr>
              <w:t>premiums for health</w:t>
            </w:r>
          </w:p>
        </w:tc>
        <w:tc>
          <w:tcPr>
            <w:tcW w:w="6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Arial" w:cs="Arial" w:eastAsia="Arial" w:hAnsi="Arial"/>
          <w:sz w:val="16"/>
          <w:szCs w:val="16"/>
          <w:color w:val="0B2E44"/>
        </w:rPr>
        <w:t>insurance for</w:t>
      </w:r>
    </w:p>
    <w:p>
      <w:pPr>
        <w:spacing w:after="0" w:line="5" w:lineRule="exact"/>
        <w:rPr>
          <w:rFonts w:ascii="Arial" w:cs="Arial" w:eastAsia="Arial" w:hAnsi="Arial"/>
          <w:sz w:val="16"/>
          <w:szCs w:val="16"/>
          <w:color w:val="0B2E44"/>
        </w:rPr>
      </w:pPr>
    </w:p>
    <w:p>
      <w:pPr>
        <w:ind w:left="2500"/>
        <w:spacing w:after="0"/>
        <w:rPr>
          <w:sz w:val="20"/>
          <w:szCs w:val="20"/>
          <w:color w:val="auto"/>
        </w:rPr>
      </w:pPr>
      <w:r>
        <w:rPr>
          <w:rFonts w:ascii="Arial" w:cs="Arial" w:eastAsia="Arial" w:hAnsi="Arial"/>
          <w:sz w:val="16"/>
          <w:szCs w:val="16"/>
          <w:color w:val="0B2E44"/>
        </w:rPr>
        <w:t>Mr. Mirchandani and his</w:t>
      </w:r>
    </w:p>
    <w:p>
      <w:pPr>
        <w:spacing w:after="0" w:line="5" w:lineRule="exact"/>
        <w:rPr>
          <w:rFonts w:ascii="Arial" w:cs="Arial" w:eastAsia="Arial" w:hAnsi="Arial"/>
          <w:sz w:val="16"/>
          <w:szCs w:val="16"/>
          <w:color w:val="0B2E44"/>
        </w:rPr>
      </w:pPr>
    </w:p>
    <w:p>
      <w:pPr>
        <w:ind w:left="2500"/>
        <w:spacing w:after="0"/>
        <w:rPr>
          <w:sz w:val="20"/>
          <w:szCs w:val="20"/>
          <w:color w:val="auto"/>
        </w:rPr>
      </w:pPr>
      <w:r>
        <w:rPr>
          <w:rFonts w:ascii="Arial" w:cs="Arial" w:eastAsia="Arial" w:hAnsi="Arial"/>
          <w:sz w:val="16"/>
          <w:szCs w:val="16"/>
          <w:color w:val="0B2E44"/>
        </w:rPr>
        <w:t>dependents for a period of</w:t>
      </w:r>
    </w:p>
    <w:p>
      <w:pPr>
        <w:spacing w:after="0" w:line="11" w:lineRule="exact"/>
        <w:rPr>
          <w:rFonts w:ascii="Arial" w:cs="Arial" w:eastAsia="Arial" w:hAnsi="Arial"/>
          <w:sz w:val="16"/>
          <w:szCs w:val="16"/>
          <w:color w:val="0B2E44"/>
        </w:rPr>
      </w:pPr>
    </w:p>
    <w:p>
      <w:pPr>
        <w:ind w:left="2500"/>
        <w:spacing w:after="0"/>
        <w:rPr>
          <w:sz w:val="20"/>
          <w:szCs w:val="20"/>
          <w:color w:val="auto"/>
        </w:rPr>
      </w:pPr>
      <w:r>
        <w:rPr>
          <w:rFonts w:ascii="Arial" w:cs="Arial" w:eastAsia="Arial" w:hAnsi="Arial"/>
          <w:sz w:val="16"/>
          <w:szCs w:val="16"/>
          <w:color w:val="0B2E44"/>
        </w:rPr>
        <w:t>18 months</w:t>
      </w:r>
    </w:p>
    <w:p>
      <w:pPr>
        <w:spacing w:after="0" w:line="200" w:lineRule="exact"/>
        <w:rPr>
          <w:rFonts w:ascii="Arial" w:cs="Arial" w:eastAsia="Arial" w:hAnsi="Arial"/>
          <w:sz w:val="16"/>
          <w:szCs w:val="16"/>
          <w:color w:val="0B2E44"/>
        </w:rPr>
      </w:pPr>
    </w:p>
    <w:p>
      <w:pPr>
        <w:spacing w:after="0" w:line="200" w:lineRule="exact"/>
        <w:rPr>
          <w:rFonts w:ascii="Arial" w:cs="Arial" w:eastAsia="Arial" w:hAnsi="Arial"/>
          <w:sz w:val="16"/>
          <w:szCs w:val="16"/>
          <w:color w:val="0B2E44"/>
        </w:rPr>
      </w:pPr>
    </w:p>
    <w:p>
      <w:pPr>
        <w:spacing w:after="0" w:line="200" w:lineRule="exact"/>
        <w:rPr>
          <w:rFonts w:ascii="Arial" w:cs="Arial" w:eastAsia="Arial" w:hAnsi="Arial"/>
          <w:sz w:val="16"/>
          <w:szCs w:val="16"/>
          <w:color w:val="0B2E44"/>
        </w:rPr>
      </w:pPr>
    </w:p>
    <w:p>
      <w:pPr>
        <w:spacing w:after="0" w:line="200" w:lineRule="exact"/>
        <w:rPr>
          <w:rFonts w:ascii="Arial" w:cs="Arial" w:eastAsia="Arial" w:hAnsi="Arial"/>
          <w:sz w:val="16"/>
          <w:szCs w:val="16"/>
          <w:color w:val="0B2E44"/>
        </w:rPr>
      </w:pPr>
    </w:p>
    <w:p>
      <w:pPr>
        <w:spacing w:after="0" w:line="289" w:lineRule="exact"/>
        <w:rPr>
          <w:rFonts w:ascii="Arial" w:cs="Arial" w:eastAsia="Arial" w:hAnsi="Arial"/>
          <w:sz w:val="16"/>
          <w:szCs w:val="16"/>
          <w:color w:val="0B2E44"/>
        </w:rPr>
      </w:pPr>
    </w:p>
    <w:p>
      <w:pPr>
        <w:spacing w:after="0"/>
        <w:rPr>
          <w:sz w:val="20"/>
          <w:szCs w:val="20"/>
          <w:color w:val="auto"/>
        </w:rPr>
      </w:pPr>
      <w:r>
        <w:rPr>
          <w:rFonts w:ascii="Arial" w:cs="Arial" w:eastAsia="Arial" w:hAnsi="Arial"/>
          <w:sz w:val="11"/>
          <w:szCs w:val="11"/>
          <w:color w:val="0B2E44"/>
        </w:rPr>
        <w:t xml:space="preserve">45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rFonts w:ascii="Arial" w:cs="Arial" w:eastAsia="Arial" w:hAnsi="Arial"/>
          <w:sz w:val="16"/>
          <w:szCs w:val="16"/>
          <w:color w:val="0B2E44"/>
        </w:rPr>
      </w:pPr>
      <w:r>
        <w:rPr>
          <w:rFonts w:ascii="Arial" w:cs="Arial" w:eastAsia="Arial" w:hAnsi="Arial"/>
          <w:sz w:val="16"/>
          <w:szCs w:val="16"/>
          <w:color w:val="0B2E44"/>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B2E44"/>
        </w:rPr>
        <w:t xml:space="preserve">COMPENSATION TABLES | </w:t>
      </w:r>
      <w:r>
        <w:rPr>
          <w:rFonts w:ascii="Arial" w:cs="Arial" w:eastAsia="Arial" w:hAnsi="Arial"/>
          <w:sz w:val="11"/>
          <w:szCs w:val="11"/>
          <w:b w:val="1"/>
          <w:bCs w:val="1"/>
          <w:color w:val="0B2E44"/>
        </w:rPr>
        <w:t>INDIVIDUAL AGREEMENTS</w:t>
      </w:r>
    </w:p>
    <w:p>
      <w:pPr>
        <w:spacing w:after="0" w:line="194" w:lineRule="exact"/>
        <w:rPr>
          <w:sz w:val="20"/>
          <w:szCs w:val="20"/>
          <w:color w:val="auto"/>
        </w:rPr>
      </w:pPr>
    </w:p>
    <w:p>
      <w:pPr>
        <w:jc w:val="right"/>
        <w:ind w:right="1060"/>
        <w:spacing w:after="0"/>
        <w:tabs>
          <w:tab w:leader="none" w:pos="5520" w:val="left"/>
          <w:tab w:leader="none" w:pos="3280" w:val="left"/>
          <w:tab w:leader="none" w:pos="1040" w:val="left"/>
        </w:tabs>
        <w:rPr>
          <w:sz w:val="20"/>
          <w:szCs w:val="20"/>
          <w:color w:val="auto"/>
        </w:rPr>
      </w:pPr>
      <w:r>
        <w:rPr>
          <w:rFonts w:ascii="Arial" w:cs="Arial" w:eastAsia="Arial" w:hAnsi="Arial"/>
          <w:sz w:val="14"/>
          <w:szCs w:val="14"/>
          <w:color w:val="0B2E44"/>
        </w:rPr>
        <w:t>Sanjay Mirchandani</w:t>
      </w:r>
      <w:r>
        <w:rPr>
          <w:sz w:val="20"/>
          <w:szCs w:val="20"/>
          <w:color w:val="auto"/>
        </w:rPr>
        <w:tab/>
      </w:r>
      <w:r>
        <w:rPr>
          <w:rFonts w:ascii="Arial" w:cs="Arial" w:eastAsia="Arial" w:hAnsi="Arial"/>
          <w:sz w:val="14"/>
          <w:szCs w:val="14"/>
          <w:color w:val="0B2E44"/>
        </w:rPr>
        <w:t>Gary Merrill</w:t>
      </w:r>
      <w:r>
        <w:rPr>
          <w:sz w:val="20"/>
          <w:szCs w:val="20"/>
          <w:color w:val="auto"/>
        </w:rPr>
        <w:tab/>
      </w:r>
      <w:r>
        <w:rPr>
          <w:rFonts w:ascii="Arial" w:cs="Arial" w:eastAsia="Arial" w:hAnsi="Arial"/>
          <w:sz w:val="14"/>
          <w:szCs w:val="14"/>
          <w:color w:val="0B2E44"/>
        </w:rPr>
        <w:t>Riccardo Di Blasio</w:t>
      </w:r>
      <w:r>
        <w:rPr>
          <w:sz w:val="20"/>
          <w:szCs w:val="20"/>
          <w:color w:val="auto"/>
        </w:rPr>
        <w:tab/>
      </w:r>
      <w:r>
        <w:rPr>
          <w:rFonts w:ascii="Arial" w:cs="Arial" w:eastAsia="Arial" w:hAnsi="Arial"/>
          <w:sz w:val="14"/>
          <w:szCs w:val="14"/>
          <w:color w:val="0B2E44"/>
        </w:rPr>
        <w:t>Brian Carolan(1)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p>
      <w:pPr>
        <w:spacing w:after="0" w:line="56" w:lineRule="exact"/>
        <w:rPr>
          <w:sz w:val="20"/>
          <w:szCs w:val="20"/>
          <w:color w:val="auto"/>
        </w:rPr>
      </w:pPr>
    </w:p>
    <w:p>
      <w:pPr>
        <w:ind w:left="120"/>
        <w:spacing w:after="0" w:line="182" w:lineRule="auto"/>
        <w:rPr>
          <w:sz w:val="20"/>
          <w:szCs w:val="20"/>
          <w:color w:val="auto"/>
        </w:rPr>
      </w:pPr>
      <w:r>
        <w:rPr>
          <w:rFonts w:ascii="Arial" w:cs="Arial" w:eastAsia="Arial" w:hAnsi="Arial"/>
          <w:sz w:val="16"/>
          <w:szCs w:val="16"/>
          <w:b w:val="1"/>
          <w:bCs w:val="1"/>
          <w:color w:val="0B2E44"/>
        </w:rPr>
        <w:t xml:space="preserve">Compensation in the event </w:t>
      </w:r>
      <w:r>
        <w:rPr>
          <w:rFonts w:ascii="Arial" w:cs="Arial" w:eastAsia="Arial" w:hAnsi="Arial"/>
          <w:sz w:val="16"/>
          <w:szCs w:val="16"/>
          <w:color w:val="0B2E44"/>
        </w:rPr>
        <w:t>•</w:t>
      </w:r>
      <w:r>
        <w:rPr>
          <w:rFonts w:ascii="Arial" w:cs="Arial" w:eastAsia="Arial" w:hAnsi="Arial"/>
          <w:sz w:val="16"/>
          <w:szCs w:val="16"/>
          <w:b w:val="1"/>
          <w:bCs w:val="1"/>
          <w:color w:val="0B2E44"/>
        </w:rPr>
        <w:t xml:space="preserve"> of termination due to death </w:t>
      </w:r>
      <w:r>
        <w:rPr>
          <w:rFonts w:ascii="Arial" w:cs="Arial" w:eastAsia="Arial" w:hAnsi="Arial"/>
          <w:sz w:val="31"/>
          <w:szCs w:val="31"/>
          <w:color w:val="0B2E44"/>
          <w:vertAlign w:val="subscript"/>
        </w:rPr>
        <w:t>•</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520" w:type="dxa"/>
            <w:vAlign w:val="bottom"/>
          </w:tcPr>
          <w:p>
            <w:pPr>
              <w:spacing w:after="0"/>
              <w:rPr>
                <w:sz w:val="20"/>
                <w:szCs w:val="20"/>
                <w:color w:val="auto"/>
              </w:rPr>
            </w:pPr>
            <w:r>
              <w:rPr>
                <w:rFonts w:ascii="Arial" w:cs="Arial" w:eastAsia="Arial" w:hAnsi="Arial"/>
                <w:sz w:val="16"/>
                <w:szCs w:val="16"/>
                <w:b w:val="1"/>
                <w:bCs w:val="1"/>
                <w:color w:val="0B2E44"/>
              </w:rPr>
              <w:t>or disability</w:t>
            </w:r>
          </w:p>
        </w:tc>
        <w:tc>
          <w:tcPr>
            <w:tcW w:w="680" w:type="dxa"/>
            <w:vAlign w:val="bottom"/>
            <w:vMerge w:val="restart"/>
          </w:tcPr>
          <w:p>
            <w:pPr>
              <w:ind w:left="620"/>
              <w:spacing w:after="0"/>
              <w:rPr>
                <w:sz w:val="20"/>
                <w:szCs w:val="20"/>
                <w:color w:val="auto"/>
              </w:rPr>
            </w:pPr>
            <w:r>
              <w:rPr>
                <w:rFonts w:ascii="Arial" w:cs="Arial" w:eastAsia="Arial" w:hAnsi="Arial"/>
                <w:sz w:val="16"/>
                <w:szCs w:val="16"/>
                <w:color w:val="0B2E44"/>
                <w:w w:val="70"/>
              </w:rPr>
              <w:t>•</w:t>
            </w:r>
          </w:p>
        </w:tc>
        <w:tc>
          <w:tcPr>
            <w:tcW w:w="0" w:type="dxa"/>
            <w:vAlign w:val="bottom"/>
          </w:tcPr>
          <w:p>
            <w:pPr>
              <w:spacing w:after="0"/>
              <w:rPr>
                <w:sz w:val="1"/>
                <w:szCs w:val="1"/>
                <w:color w:val="auto"/>
              </w:rPr>
            </w:pPr>
          </w:p>
        </w:tc>
      </w:tr>
      <w:tr>
        <w:trPr>
          <w:trHeight w:val="76"/>
        </w:trPr>
        <w:tc>
          <w:tcPr>
            <w:tcW w:w="1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B2E44"/>
        </w:rPr>
        <w:t>entitled to any compensation earned but not yet paid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B2E44"/>
        </w:rPr>
        <w:t>any outstanding stock options or awards will immediately vest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0B2E44"/>
        </w:rPr>
        <w:t>any stock awards with performance conditions not yet determined will be deemed earned at 100% of target</w:t>
      </w:r>
    </w:p>
    <w:p>
      <w:pPr>
        <w:spacing w:after="0" w:line="37" w:lineRule="exact"/>
        <w:rPr>
          <w:sz w:val="20"/>
          <w:szCs w:val="20"/>
          <w:color w:val="auto"/>
        </w:rPr>
      </w:pPr>
    </w:p>
    <w:p>
      <w:pPr>
        <w:sectPr>
          <w:pgSz w:w="11900" w:h="16838" w:orient="portrait"/>
          <w:cols w:equalWidth="0" w:num="2">
            <w:col w:w="2320" w:space="180"/>
            <w:col w:w="8700"/>
          </w:cols>
          <w:pgMar w:left="320" w:top="126" w:right="379" w:bottom="1440" w:gutter="0" w:footer="0" w:header="0"/>
          <w:type w:val="continuous"/>
        </w:sectPr>
      </w:pPr>
    </w:p>
    <w:tbl>
      <w:tblPr>
        <w:tblLayout w:type="fixed"/>
        <w:tblInd w:w="120" w:type="dxa"/>
        <w:tblCellMar>
          <w:top w:w="0" w:type="dxa"/>
          <w:left w:w="0" w:type="dxa"/>
          <w:bottom w:w="0" w:type="dxa"/>
          <w:right w:w="0" w:type="dxa"/>
        </w:tblCellMar>
      </w:tblPr>
      <w:tr>
        <w:trPr>
          <w:trHeight w:val="224"/>
        </w:trPr>
        <w:tc>
          <w:tcPr>
            <w:tcW w:w="1900" w:type="dxa"/>
            <w:vAlign w:val="bottom"/>
          </w:tcPr>
          <w:p>
            <w:pPr>
              <w:spacing w:after="0"/>
              <w:rPr>
                <w:sz w:val="20"/>
                <w:szCs w:val="20"/>
                <w:color w:val="auto"/>
              </w:rPr>
            </w:pPr>
            <w:r>
              <w:rPr>
                <w:rFonts w:ascii="Arial" w:cs="Arial" w:eastAsia="Arial" w:hAnsi="Arial"/>
                <w:sz w:val="16"/>
                <w:szCs w:val="16"/>
                <w:b w:val="1"/>
                <w:bCs w:val="1"/>
                <w:color w:val="0B2E44"/>
              </w:rPr>
              <w:t>Restrictive covenants</w:t>
            </w:r>
          </w:p>
        </w:tc>
        <w:tc>
          <w:tcPr>
            <w:tcW w:w="2460" w:type="dxa"/>
            <w:vAlign w:val="bottom"/>
          </w:tcPr>
          <w:p>
            <w:pPr>
              <w:ind w:left="240"/>
              <w:spacing w:after="0"/>
              <w:rPr>
                <w:sz w:val="20"/>
                <w:szCs w:val="20"/>
                <w:color w:val="auto"/>
              </w:rPr>
            </w:pPr>
            <w:r>
              <w:rPr>
                <w:rFonts w:ascii="Arial" w:cs="Arial" w:eastAsia="Arial" w:hAnsi="Arial"/>
                <w:sz w:val="16"/>
                <w:szCs w:val="16"/>
                <w:color w:val="0B2E44"/>
              </w:rPr>
              <w:t>during his term of employment</w:t>
            </w:r>
          </w:p>
        </w:tc>
        <w:tc>
          <w:tcPr>
            <w:tcW w:w="6660" w:type="dxa"/>
            <w:vAlign w:val="bottom"/>
          </w:tcPr>
          <w:p>
            <w:pPr>
              <w:ind w:left="40"/>
              <w:spacing w:after="0"/>
              <w:rPr>
                <w:sz w:val="20"/>
                <w:szCs w:val="20"/>
                <w:color w:val="auto"/>
              </w:rPr>
            </w:pPr>
            <w:r>
              <w:rPr>
                <w:rFonts w:ascii="Arial" w:cs="Arial" w:eastAsia="Arial" w:hAnsi="Arial"/>
                <w:sz w:val="16"/>
                <w:szCs w:val="16"/>
                <w:color w:val="0B2E44"/>
              </w:rPr>
              <w:t>during his term of employment with us and for a period of one year following any termination,</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9120" w:type="dxa"/>
            <w:vAlign w:val="bottom"/>
            <w:gridSpan w:val="2"/>
          </w:tcPr>
          <w:p>
            <w:pPr>
              <w:ind w:left="240"/>
              <w:spacing w:after="0"/>
              <w:rPr>
                <w:sz w:val="20"/>
                <w:szCs w:val="20"/>
                <w:color w:val="auto"/>
              </w:rPr>
            </w:pPr>
            <w:r>
              <w:rPr>
                <w:rFonts w:ascii="Arial" w:cs="Arial" w:eastAsia="Arial" w:hAnsi="Arial"/>
                <w:sz w:val="16"/>
                <w:szCs w:val="16"/>
                <w:color w:val="0B2E44"/>
              </w:rPr>
              <w:t>with us and for a period of one the executive may not:</w:t>
            </w:r>
          </w:p>
        </w:tc>
        <w:tc>
          <w:tcPr>
            <w:tcW w:w="0" w:type="dxa"/>
            <w:vAlign w:val="bottom"/>
          </w:tcPr>
          <w:p>
            <w:pPr>
              <w:spacing w:after="0"/>
              <w:rPr>
                <w:sz w:val="1"/>
                <w:szCs w:val="1"/>
                <w:color w:val="auto"/>
              </w:rPr>
            </w:pPr>
          </w:p>
        </w:tc>
      </w:tr>
      <w:tr>
        <w:trPr>
          <w:trHeight w:val="226"/>
        </w:trPr>
        <w:tc>
          <w:tcPr>
            <w:tcW w:w="1900" w:type="dxa"/>
            <w:vAlign w:val="bottom"/>
          </w:tcPr>
          <w:p>
            <w:pPr>
              <w:spacing w:after="0"/>
              <w:rPr>
                <w:sz w:val="19"/>
                <w:szCs w:val="19"/>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0B2E44"/>
              </w:rPr>
              <w:t>year following any termination,</w:t>
            </w:r>
          </w:p>
        </w:tc>
        <w:tc>
          <w:tcPr>
            <w:tcW w:w="6660" w:type="dxa"/>
            <w:vAlign w:val="bottom"/>
          </w:tcPr>
          <w:p>
            <w:pPr>
              <w:ind w:left="40"/>
              <w:spacing w:after="0"/>
              <w:rPr>
                <w:sz w:val="20"/>
                <w:szCs w:val="20"/>
                <w:color w:val="auto"/>
              </w:rPr>
            </w:pPr>
            <w:r>
              <w:rPr>
                <w:rFonts w:ascii="Arial" w:cs="Arial" w:eastAsia="Arial" w:hAnsi="Arial"/>
                <w:sz w:val="16"/>
                <w:szCs w:val="16"/>
                <w:color w:val="0B2E44"/>
              </w:rPr>
              <w:t>•  engage in, or have any interest in, or manage or operate any business that engages in</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0B2E44"/>
              </w:rPr>
              <w:t>may not:</w:t>
            </w:r>
          </w:p>
        </w:tc>
        <w:tc>
          <w:tcPr>
            <w:tcW w:w="6660" w:type="dxa"/>
            <w:vAlign w:val="bottom"/>
            <w:vMerge w:val="restart"/>
          </w:tcPr>
          <w:p>
            <w:pPr>
              <w:ind w:left="280"/>
              <w:spacing w:after="0"/>
              <w:rPr>
                <w:sz w:val="20"/>
                <w:szCs w:val="20"/>
                <w:color w:val="auto"/>
              </w:rPr>
            </w:pPr>
            <w:r>
              <w:rPr>
                <w:rFonts w:ascii="Arial" w:cs="Arial" w:eastAsia="Arial" w:hAnsi="Arial"/>
                <w:sz w:val="16"/>
                <w:szCs w:val="16"/>
                <w:color w:val="0B2E44"/>
              </w:rPr>
              <w:t>any activity that then competes with any business of the Company or any Commvault</w:t>
            </w: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6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9799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97993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p>
      <w:pPr>
        <w:ind w:left="2500" w:hanging="245"/>
        <w:spacing w:after="0" w:line="256" w:lineRule="auto"/>
        <w:tabs>
          <w:tab w:leader="none" w:pos="2500" w:val="left"/>
        </w:tabs>
        <w:numPr>
          <w:ilvl w:val="0"/>
          <w:numId w:val="47"/>
        </w:numPr>
        <w:rPr>
          <w:rFonts w:ascii="Arial" w:cs="Arial" w:eastAsia="Arial" w:hAnsi="Arial"/>
          <w:sz w:val="16"/>
          <w:szCs w:val="16"/>
          <w:color w:val="0B2E44"/>
        </w:rPr>
      </w:pPr>
      <w:r>
        <w:rPr>
          <w:rFonts w:ascii="Arial" w:cs="Arial" w:eastAsia="Arial" w:hAnsi="Arial"/>
          <w:sz w:val="16"/>
          <w:szCs w:val="16"/>
          <w:color w:val="0B2E44"/>
        </w:rPr>
        <w:t>participate, directly or indirectly, within the United States, in a business in competition with Commvault (other than beneficial ownership of up to one percent of the outstanding stock of a publicly held company)</w:t>
      </w:r>
    </w:p>
    <w:p>
      <w:pPr>
        <w:spacing w:after="0" w:line="25" w:lineRule="exact"/>
        <w:rPr>
          <w:rFonts w:ascii="Arial" w:cs="Arial" w:eastAsia="Arial" w:hAnsi="Arial"/>
          <w:sz w:val="16"/>
          <w:szCs w:val="16"/>
          <w:color w:val="0B2E44"/>
        </w:rPr>
      </w:pPr>
    </w:p>
    <w:p>
      <w:pPr>
        <w:ind w:left="2500" w:right="220" w:hanging="245"/>
        <w:spacing w:after="0" w:line="276" w:lineRule="auto"/>
        <w:tabs>
          <w:tab w:leader="none" w:pos="2500" w:val="left"/>
        </w:tabs>
        <w:numPr>
          <w:ilvl w:val="0"/>
          <w:numId w:val="47"/>
        </w:numPr>
        <w:rPr>
          <w:rFonts w:ascii="Arial" w:cs="Arial" w:eastAsia="Arial" w:hAnsi="Arial"/>
          <w:sz w:val="16"/>
          <w:szCs w:val="16"/>
          <w:color w:val="0B2E44"/>
        </w:rPr>
      </w:pPr>
      <w:r>
        <w:rPr>
          <w:rFonts w:ascii="Arial" w:cs="Arial" w:eastAsia="Arial" w:hAnsi="Arial"/>
          <w:sz w:val="16"/>
          <w:szCs w:val="16"/>
          <w:color w:val="0B2E44"/>
        </w:rPr>
        <w:t>solicit our employees or customers</w:t>
      </w:r>
    </w:p>
    <w:p>
      <w:pPr>
        <w:spacing w:after="0" w:line="20" w:lineRule="exact"/>
        <w:rPr>
          <w:sz w:val="20"/>
          <w:szCs w:val="20"/>
          <w:color w:val="auto"/>
        </w:rPr>
      </w:pPr>
      <w:r>
        <w:rPr>
          <w:sz w:val="20"/>
          <w:szCs w:val="20"/>
          <w:color w:val="auto"/>
        </w:rPr>
        <w:br w:type="column"/>
      </w:r>
    </w:p>
    <w:p>
      <w:pPr>
        <w:ind w:left="248" w:right="120"/>
        <w:spacing w:after="0" w:line="270" w:lineRule="auto"/>
        <w:rPr>
          <w:sz w:val="20"/>
          <w:szCs w:val="20"/>
          <w:color w:val="auto"/>
        </w:rPr>
      </w:pPr>
      <w:r>
        <w:rPr>
          <w:rFonts w:ascii="Arial" w:cs="Arial" w:eastAsia="Arial" w:hAnsi="Arial"/>
          <w:sz w:val="16"/>
          <w:szCs w:val="16"/>
          <w:color w:val="0B2E44"/>
        </w:rPr>
        <w:t>subsidiary anywhere in the world (each, a “Competitor”) (other than beneficial ownership of up to 5% of the outstanding voting stock of a publicly traded company)</w:t>
      </w:r>
    </w:p>
    <w:p>
      <w:pPr>
        <w:spacing w:after="0" w:line="14" w:lineRule="exact"/>
        <w:rPr>
          <w:sz w:val="20"/>
          <w:szCs w:val="20"/>
          <w:color w:val="auto"/>
        </w:rPr>
      </w:pPr>
    </w:p>
    <w:p>
      <w:pPr>
        <w:ind w:left="248" w:right="20" w:hanging="248"/>
        <w:spacing w:after="0" w:line="290" w:lineRule="auto"/>
        <w:tabs>
          <w:tab w:leader="none" w:pos="248" w:val="left"/>
        </w:tabs>
        <w:numPr>
          <w:ilvl w:val="0"/>
          <w:numId w:val="48"/>
        </w:numPr>
        <w:rPr>
          <w:rFonts w:ascii="Arial" w:cs="Arial" w:eastAsia="Arial" w:hAnsi="Arial"/>
          <w:sz w:val="16"/>
          <w:szCs w:val="16"/>
          <w:color w:val="0B2E44"/>
        </w:rPr>
      </w:pPr>
      <w:r>
        <w:rPr>
          <w:rFonts w:ascii="Arial" w:cs="Arial" w:eastAsia="Arial" w:hAnsi="Arial"/>
          <w:sz w:val="16"/>
          <w:szCs w:val="16"/>
          <w:color w:val="0B2E44"/>
        </w:rPr>
        <w:t>induce any employee of the Company or its subsidiaries to terminate such employment or to become employed by any Competitor</w:t>
      </w:r>
    </w:p>
    <w:p>
      <w:pPr>
        <w:ind w:left="248" w:right="180" w:hanging="248"/>
        <w:spacing w:after="0" w:line="270" w:lineRule="auto"/>
        <w:tabs>
          <w:tab w:leader="none" w:pos="248" w:val="left"/>
        </w:tabs>
        <w:numPr>
          <w:ilvl w:val="0"/>
          <w:numId w:val="48"/>
        </w:numPr>
        <w:rPr>
          <w:rFonts w:ascii="Arial" w:cs="Arial" w:eastAsia="Arial" w:hAnsi="Arial"/>
          <w:sz w:val="16"/>
          <w:szCs w:val="16"/>
          <w:color w:val="0B2E44"/>
        </w:rPr>
      </w:pPr>
      <w:r>
        <w:rPr>
          <w:rFonts w:ascii="Arial" w:cs="Arial" w:eastAsia="Arial" w:hAnsi="Arial"/>
          <w:sz w:val="16"/>
          <w:szCs w:val="16"/>
          <w:color w:val="0B2E44"/>
        </w:rPr>
        <w:t>contact, induce or attempt to induce any customer or potential customer (of which the executive had actual knowledge) to purchase products or services from any entity other than the Company, or to cease being a customer of the Company</w:t>
      </w:r>
    </w:p>
    <w:p>
      <w:pPr>
        <w:spacing w:after="0" w:line="887" w:lineRule="exact"/>
        <w:rPr>
          <w:sz w:val="20"/>
          <w:szCs w:val="20"/>
          <w:color w:val="auto"/>
        </w:rPr>
      </w:pPr>
    </w:p>
    <w:p>
      <w:pPr>
        <w:sectPr>
          <w:pgSz w:w="11900" w:h="16838" w:orient="portrait"/>
          <w:cols w:equalWidth="0" w:num="2">
            <w:col w:w="4420" w:space="92"/>
            <w:col w:w="6688"/>
          </w:cols>
          <w:pgMar w:left="320" w:top="126" w:right="379" w:bottom="1440" w:gutter="0" w:footer="0" w:header="0"/>
          <w:type w:val="continuous"/>
        </w:sectPr>
      </w:pPr>
    </w:p>
    <w:p>
      <w:pPr>
        <w:ind w:left="340" w:hanging="332"/>
        <w:spacing w:after="0"/>
        <w:tabs>
          <w:tab w:leader="none" w:pos="340" w:val="left"/>
        </w:tabs>
        <w:numPr>
          <w:ilvl w:val="0"/>
          <w:numId w:val="49"/>
        </w:numPr>
        <w:rPr>
          <w:rFonts w:ascii="Arial" w:cs="Arial" w:eastAsia="Arial" w:hAnsi="Arial"/>
          <w:sz w:val="13"/>
          <w:szCs w:val="13"/>
          <w:color w:val="0B2E44"/>
        </w:rPr>
      </w:pPr>
      <w:r>
        <w:rPr>
          <w:rFonts w:ascii="Arial" w:cs="Arial" w:eastAsia="Arial" w:hAnsi="Arial"/>
          <w:sz w:val="13"/>
          <w:szCs w:val="13"/>
          <w:color w:val="0B2E44"/>
        </w:rPr>
        <w:t>Mr.Carolan departed the Company on June 30, 2022. For a further discussion of the terms of Mr.Carolan’s individual agreement, see next section, “Brian Carolan”.</w:t>
      </w:r>
    </w:p>
    <w:p>
      <w:pPr>
        <w:spacing w:after="0" w:line="7" w:lineRule="exact"/>
        <w:rPr>
          <w:rFonts w:ascii="Arial" w:cs="Arial" w:eastAsia="Arial" w:hAnsi="Arial"/>
          <w:sz w:val="13"/>
          <w:szCs w:val="13"/>
          <w:color w:val="0B2E44"/>
        </w:rPr>
      </w:pPr>
    </w:p>
    <w:p>
      <w:pPr>
        <w:ind w:left="340" w:hanging="332"/>
        <w:spacing w:after="0"/>
        <w:tabs>
          <w:tab w:leader="none" w:pos="340" w:val="left"/>
        </w:tabs>
        <w:numPr>
          <w:ilvl w:val="0"/>
          <w:numId w:val="49"/>
        </w:numPr>
        <w:rPr>
          <w:rFonts w:ascii="Arial" w:cs="Arial" w:eastAsia="Arial" w:hAnsi="Arial"/>
          <w:sz w:val="13"/>
          <w:szCs w:val="13"/>
          <w:color w:val="0B2E44"/>
        </w:rPr>
      </w:pPr>
      <w:r>
        <w:rPr>
          <w:rFonts w:ascii="Arial" w:cs="Arial" w:eastAsia="Arial" w:hAnsi="Arial"/>
          <w:sz w:val="13"/>
          <w:szCs w:val="13"/>
          <w:color w:val="0B2E44"/>
        </w:rPr>
        <w:t>Each executive’s individual agreement defines “cause” and “good reason.”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Brian Carolan</w:t>
      </w:r>
    </w:p>
    <w:p>
      <w:pPr>
        <w:spacing w:after="0" w:line="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0B2E44"/>
        </w:rPr>
        <w:t>On June 30, 2022, Mr. Carolan departed from the Company and such departure was treated as a not-for-cause separation by the Company under the terms of his individual agreement. As such, he was entitled the following benefits:</w:t>
      </w:r>
    </w:p>
    <w:p>
      <w:pPr>
        <w:spacing w:after="0" w:line="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color w:val="FF4A6A"/>
        </w:rPr>
      </w:pPr>
      <w:r>
        <w:rPr>
          <w:rFonts w:ascii="Arial" w:cs="Arial" w:eastAsia="Arial" w:hAnsi="Arial"/>
          <w:sz w:val="16"/>
          <w:szCs w:val="16"/>
          <w:color w:val="0B2E44"/>
        </w:rPr>
        <w:t>12 months of his then-current base salary in the amount of $410,000.</w:t>
      </w:r>
    </w:p>
    <w:p>
      <w:pPr>
        <w:spacing w:after="0" w:line="72" w:lineRule="exact"/>
        <w:rPr>
          <w:rFonts w:ascii="Arial" w:cs="Arial" w:eastAsia="Arial" w:hAnsi="Arial"/>
          <w:sz w:val="16"/>
          <w:szCs w:val="16"/>
          <w:color w:val="FF4A6A"/>
        </w:rPr>
      </w:pPr>
    </w:p>
    <w:p>
      <w:pPr>
        <w:ind w:left="660" w:right="360" w:hanging="328"/>
        <w:spacing w:after="0" w:line="276" w:lineRule="auto"/>
        <w:tabs>
          <w:tab w:leader="none" w:pos="660" w:val="left"/>
        </w:tabs>
        <w:numPr>
          <w:ilvl w:val="0"/>
          <w:numId w:val="50"/>
        </w:numPr>
        <w:rPr>
          <w:rFonts w:ascii="Arial" w:cs="Arial" w:eastAsia="Arial" w:hAnsi="Arial"/>
          <w:sz w:val="16"/>
          <w:szCs w:val="16"/>
          <w:color w:val="FF4A6A"/>
        </w:rPr>
      </w:pPr>
      <w:r>
        <w:rPr>
          <w:rFonts w:ascii="Arial" w:cs="Arial" w:eastAsia="Arial" w:hAnsi="Arial"/>
          <w:sz w:val="16"/>
          <w:szCs w:val="16"/>
          <w:color w:val="0B2E44"/>
        </w:rPr>
        <w:t>He was given 12 months of medical coverage in lieu of the immediate lump sum payment equal to the amount he would have to pay for twelve months of continued group health coverage under the Company’s group health plan as in effect for himself and his dependents.</w:t>
      </w:r>
    </w:p>
    <w:p>
      <w:pPr>
        <w:spacing w:after="0" w:line="8" w:lineRule="exact"/>
        <w:rPr>
          <w:rFonts w:ascii="Arial" w:cs="Arial" w:eastAsia="Arial" w:hAnsi="Arial"/>
          <w:sz w:val="16"/>
          <w:szCs w:val="16"/>
          <w:color w:val="FF4A6A"/>
        </w:rPr>
      </w:pPr>
    </w:p>
    <w:p>
      <w:pPr>
        <w:ind w:left="660" w:hanging="328"/>
        <w:spacing w:after="0"/>
        <w:tabs>
          <w:tab w:leader="none" w:pos="660" w:val="left"/>
        </w:tabs>
        <w:numPr>
          <w:ilvl w:val="0"/>
          <w:numId w:val="50"/>
        </w:numPr>
        <w:rPr>
          <w:rFonts w:ascii="Arial" w:cs="Arial" w:eastAsia="Arial" w:hAnsi="Arial"/>
          <w:sz w:val="16"/>
          <w:szCs w:val="16"/>
          <w:color w:val="FF4A6A"/>
        </w:rPr>
      </w:pPr>
      <w:r>
        <w:rPr>
          <w:rFonts w:ascii="Arial" w:cs="Arial" w:eastAsia="Arial" w:hAnsi="Arial"/>
          <w:sz w:val="16"/>
          <w:szCs w:val="16"/>
          <w:color w:val="0B2E44"/>
        </w:rPr>
        <w:t>He received a pro-rated lump sum payment equal to 25% of his annual bonus target in the amount of $61,500.</w:t>
      </w:r>
    </w:p>
    <w:p>
      <w:pPr>
        <w:spacing w:after="0" w:line="72" w:lineRule="exact"/>
        <w:rPr>
          <w:rFonts w:ascii="Arial" w:cs="Arial" w:eastAsia="Arial" w:hAnsi="Arial"/>
          <w:sz w:val="16"/>
          <w:szCs w:val="16"/>
          <w:color w:val="FF4A6A"/>
        </w:rPr>
      </w:pPr>
    </w:p>
    <w:p>
      <w:pPr>
        <w:ind w:left="660" w:hanging="328"/>
        <w:spacing w:after="0" w:line="257" w:lineRule="auto"/>
        <w:tabs>
          <w:tab w:leader="none" w:pos="660" w:val="left"/>
        </w:tabs>
        <w:numPr>
          <w:ilvl w:val="0"/>
          <w:numId w:val="50"/>
        </w:numPr>
        <w:rPr>
          <w:rFonts w:ascii="Arial" w:cs="Arial" w:eastAsia="Arial" w:hAnsi="Arial"/>
          <w:sz w:val="16"/>
          <w:szCs w:val="16"/>
          <w:color w:val="FF4A6A"/>
        </w:rPr>
      </w:pPr>
      <w:r>
        <w:rPr>
          <w:rFonts w:ascii="Arial" w:cs="Arial" w:eastAsia="Arial" w:hAnsi="Arial"/>
          <w:sz w:val="16"/>
          <w:szCs w:val="16"/>
          <w:color w:val="0B2E44"/>
        </w:rPr>
        <w:t>In lieu of the acceleration of Mr. Carolan’s equity or equity based awards, Mr. Carolan retained all of Executive’s Equity Grants and the provisions in the award documents and/or plan documentation under which the Equity Grants were made that require any additional period of employment or service after the Termination Date was waived, and the Equity Grants were valued and shall be paid out in the same manner and at the same time as would have been the case had Mr. Carolan remained in continuous employment or service with the Company through the date at which the payments or taxable benefits provided for under the Equity Grants would otherwise have been provided to Mr. Carolan. In the event of a change of control of the company (as defined in the Change of Control Agreement), Executive’s Equity Grants shall be accelerated as set forth in the Change of Control Agreement as if Mr. Carolan had resigned from his employment with “good reason.”</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Change in Control Agreements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Sanjay Mirchandani</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B2E44"/>
        </w:rPr>
        <w:t>If a change in control of our Company occurs and Mr. Mirchandani’ s employment is terminated for reasons other than for cause, Mr. Mirchandani’ s employment is terminated on account of disability, or if Mr. Mirchandani terminates his employment for good reason, in each case within two years of the change in control, then all equity awards held by Mr. Mirchandani will immediately become exercisable and vested and any equity awards with performance conditions not yet determined will be deemed earned at 100% of target. Furthermore, subject to execution of a release of claims in favor of the Company, he will be entitled to (1) a lump sum severance payment equal to 18 months of his base salary plus his target cash incentive bonus at the time of the change in control, and (2) health insurance coverage for him and his dependents for an 18-month period.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Gary Merrill and Riccardo Di Blasio</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0B2E44"/>
        </w:rPr>
        <w:t>Messrs. Merrill and Di Blasio each have Executive Retention and Severance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46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COMPENSATION TABLES | </w:t>
      </w:r>
      <w:r>
        <w:rPr>
          <w:rFonts w:ascii="Arial" w:cs="Arial" w:eastAsia="Arial" w:hAnsi="Arial"/>
          <w:sz w:val="11"/>
          <w:szCs w:val="11"/>
          <w:b w:val="1"/>
          <w:bCs w:val="1"/>
          <w:color w:val="0B2E44"/>
        </w:rPr>
        <w:t>CHANGE IN CONTROL AGREEMENTS</w:t>
      </w:r>
    </w:p>
    <w:p>
      <w:pPr>
        <w:spacing w:after="0" w:line="35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If a change in control of our Company occurs, and within two years the employment of Messrs. Merrill or Di Blasio is terminated for reasons other than for cause, or if the executive terminates his employment for good reason (as defined in the Executive Retention and Severance Agreement), then, subject to the execution of a general release of claims, all equity awards held by the executive will immediately become exercisable or vested, and that executive will be entitled to a lump sum severance payment equal to 12 months of his annual base salary at the time of the change in control and health insurance coverage for the executive and his dependents for a 12-month period.</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Estimated Payments and Benefits upon Termination or Change in Control</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0B2E44"/>
        </w:rPr>
        <w:t>The amount of compensation and benefits payable to each named executive officer has been estimated in the table below as if any termination was effective as of March 31, 2023, the last day of our fiscal year. The actual amounts to be paid out can only be determined at the time of an executive’s separation.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ind w:left="180"/>
              <w:spacing w:after="0"/>
              <w:rPr>
                <w:sz w:val="20"/>
                <w:szCs w:val="20"/>
                <w:color w:val="auto"/>
              </w:rPr>
            </w:pPr>
            <w:r>
              <w:rPr>
                <w:rFonts w:ascii="Arial" w:cs="Arial" w:eastAsia="Arial" w:hAnsi="Arial"/>
                <w:sz w:val="13"/>
                <w:szCs w:val="13"/>
                <w:color w:val="auto"/>
              </w:rPr>
              <w:t>Compensation ($)</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Arial" w:cs="Arial" w:eastAsia="Arial" w:hAnsi="Arial"/>
                <w:sz w:val="13"/>
                <w:szCs w:val="13"/>
                <w:color w:val="0B2E44"/>
              </w:rPr>
              <w:t>Accelerated</w:t>
            </w: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3"/>
                <w:szCs w:val="13"/>
                <w:color w:val="0B2E44"/>
              </w:rPr>
              <w:t>Vesting of</w:t>
            </w:r>
          </w:p>
        </w:tc>
        <w:tc>
          <w:tcPr>
            <w:tcW w:w="1600" w:type="dxa"/>
            <w:vAlign w:val="bottom"/>
            <w:vMerge w:val="restart"/>
          </w:tcPr>
          <w:p>
            <w:pPr>
              <w:jc w:val="right"/>
              <w:ind w:right="251"/>
              <w:spacing w:after="0"/>
              <w:rPr>
                <w:sz w:val="20"/>
                <w:szCs w:val="20"/>
                <w:color w:val="auto"/>
              </w:rPr>
            </w:pPr>
            <w:r>
              <w:rPr>
                <w:rFonts w:ascii="Arial" w:cs="Arial" w:eastAsia="Arial" w:hAnsi="Arial"/>
                <w:sz w:val="13"/>
                <w:szCs w:val="13"/>
                <w:color w:val="0B2E44"/>
              </w:rPr>
              <w:t>Continuation</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3"/>
                <w:szCs w:val="13"/>
                <w:color w:val="0B2E44"/>
              </w:rPr>
              <w:t>Restricted</w:t>
            </w:r>
          </w:p>
        </w:tc>
        <w:tc>
          <w:tcPr>
            <w:tcW w:w="160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0B2E44"/>
              </w:rPr>
              <w:t>Annual</w:t>
            </w:r>
          </w:p>
        </w:tc>
        <w:tc>
          <w:tcPr>
            <w:tcW w:w="1180" w:type="dxa"/>
            <w:vAlign w:val="bottom"/>
          </w:tcPr>
          <w:p>
            <w:pPr>
              <w:jc w:val="right"/>
              <w:spacing w:after="0"/>
              <w:rPr>
                <w:sz w:val="20"/>
                <w:szCs w:val="20"/>
                <w:color w:val="auto"/>
              </w:rPr>
            </w:pPr>
            <w:r>
              <w:rPr>
                <w:rFonts w:ascii="Arial" w:cs="Arial" w:eastAsia="Arial" w:hAnsi="Arial"/>
                <w:sz w:val="13"/>
                <w:szCs w:val="13"/>
                <w:color w:val="0B2E44"/>
              </w:rPr>
              <w:t>Stock &amp;</w:t>
            </w:r>
          </w:p>
        </w:tc>
        <w:tc>
          <w:tcPr>
            <w:tcW w:w="1600" w:type="dxa"/>
            <w:vAlign w:val="bottom"/>
          </w:tcPr>
          <w:p>
            <w:pPr>
              <w:jc w:val="right"/>
              <w:ind w:right="251"/>
              <w:spacing w:after="0"/>
              <w:rPr>
                <w:sz w:val="20"/>
                <w:szCs w:val="20"/>
                <w:color w:val="auto"/>
              </w:rPr>
            </w:pPr>
            <w:r>
              <w:rPr>
                <w:rFonts w:ascii="Arial" w:cs="Arial" w:eastAsia="Arial" w:hAnsi="Arial"/>
                <w:sz w:val="13"/>
                <w:szCs w:val="13"/>
                <w:color w:val="0B2E44"/>
              </w:rPr>
              <w:t>of Medical</w:t>
            </w:r>
          </w:p>
        </w:tc>
        <w:tc>
          <w:tcPr>
            <w:tcW w:w="1160" w:type="dxa"/>
            <w:vAlign w:val="bottom"/>
          </w:tcPr>
          <w:p>
            <w:pPr>
              <w:jc w:val="right"/>
              <w:spacing w:after="0"/>
              <w:rPr>
                <w:sz w:val="20"/>
                <w:szCs w:val="20"/>
                <w:color w:val="auto"/>
              </w:rPr>
            </w:pPr>
            <w:r>
              <w:rPr>
                <w:rFonts w:ascii="Arial" w:cs="Arial" w:eastAsia="Arial" w:hAnsi="Arial"/>
                <w:sz w:val="13"/>
                <w:szCs w:val="13"/>
                <w:color w:val="0B2E44"/>
              </w:rPr>
              <w:t>Total</w:t>
            </w:r>
          </w:p>
        </w:tc>
        <w:tc>
          <w:tcPr>
            <w:tcW w:w="0" w:type="dxa"/>
            <w:vAlign w:val="bottom"/>
          </w:tcPr>
          <w:p>
            <w:pPr>
              <w:spacing w:after="0"/>
              <w:rPr>
                <w:sz w:val="1"/>
                <w:szCs w:val="1"/>
                <w:color w:val="auto"/>
              </w:rPr>
            </w:pPr>
          </w:p>
        </w:tc>
      </w:tr>
      <w:tr>
        <w:trPr>
          <w:trHeight w:val="116"/>
        </w:trPr>
        <w:tc>
          <w:tcPr>
            <w:tcW w:w="4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gridSpan w:val="2"/>
          </w:tcPr>
          <w:p>
            <w:pPr>
              <w:jc w:val="right"/>
              <w:ind w:right="280"/>
              <w:spacing w:after="0" w:line="116" w:lineRule="exact"/>
              <w:rPr>
                <w:sz w:val="20"/>
                <w:szCs w:val="20"/>
                <w:color w:val="auto"/>
              </w:rPr>
            </w:pPr>
            <w:r>
              <w:rPr>
                <w:rFonts w:ascii="Arial" w:cs="Arial" w:eastAsia="Arial" w:hAnsi="Arial"/>
                <w:sz w:val="13"/>
                <w:szCs w:val="13"/>
                <w:color w:val="0B2E44"/>
              </w:rPr>
              <w:t>Cash</w:t>
            </w:r>
          </w:p>
        </w:tc>
        <w:tc>
          <w:tcPr>
            <w:tcW w:w="1180" w:type="dxa"/>
            <w:vAlign w:val="bottom"/>
          </w:tcPr>
          <w:p>
            <w:pPr>
              <w:jc w:val="right"/>
              <w:spacing w:after="0" w:line="116" w:lineRule="exact"/>
              <w:rPr>
                <w:sz w:val="20"/>
                <w:szCs w:val="20"/>
                <w:color w:val="auto"/>
              </w:rPr>
            </w:pPr>
            <w:r>
              <w:rPr>
                <w:rFonts w:ascii="Arial" w:cs="Arial" w:eastAsia="Arial" w:hAnsi="Arial"/>
                <w:sz w:val="13"/>
                <w:szCs w:val="13"/>
                <w:color w:val="0B2E44"/>
              </w:rPr>
              <w:t>Performance</w:t>
            </w:r>
          </w:p>
        </w:tc>
        <w:tc>
          <w:tcPr>
            <w:tcW w:w="1600" w:type="dxa"/>
            <w:vAlign w:val="bottom"/>
          </w:tcPr>
          <w:p>
            <w:pPr>
              <w:jc w:val="right"/>
              <w:ind w:right="251"/>
              <w:spacing w:after="0" w:line="116" w:lineRule="exact"/>
              <w:rPr>
                <w:sz w:val="20"/>
                <w:szCs w:val="20"/>
                <w:color w:val="auto"/>
              </w:rPr>
            </w:pPr>
            <w:r>
              <w:rPr>
                <w:rFonts w:ascii="Arial" w:cs="Arial" w:eastAsia="Arial" w:hAnsi="Arial"/>
                <w:sz w:val="13"/>
                <w:szCs w:val="13"/>
                <w:color w:val="0B2E44"/>
              </w:rPr>
              <w:t>Benefits</w:t>
            </w:r>
          </w:p>
        </w:tc>
        <w:tc>
          <w:tcPr>
            <w:tcW w:w="1160" w:type="dxa"/>
            <w:vAlign w:val="bottom"/>
          </w:tcPr>
          <w:p>
            <w:pPr>
              <w:jc w:val="right"/>
              <w:spacing w:after="0" w:line="116" w:lineRule="exact"/>
              <w:rPr>
                <w:sz w:val="20"/>
                <w:szCs w:val="20"/>
                <w:color w:val="auto"/>
              </w:rPr>
            </w:pPr>
            <w:r>
              <w:rPr>
                <w:rFonts w:ascii="Arial" w:cs="Arial" w:eastAsia="Arial" w:hAnsi="Arial"/>
                <w:sz w:val="13"/>
                <w:szCs w:val="13"/>
                <w:color w:val="0B2E44"/>
              </w:rPr>
              <w:t>Compensation</w:t>
            </w: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gridSpan w:val="2"/>
          </w:tcPr>
          <w:p>
            <w:pPr>
              <w:jc w:val="right"/>
              <w:ind w:right="280"/>
              <w:spacing w:after="0" w:line="128" w:lineRule="exact"/>
              <w:rPr>
                <w:sz w:val="20"/>
                <w:szCs w:val="20"/>
                <w:color w:val="auto"/>
              </w:rPr>
            </w:pPr>
            <w:r>
              <w:rPr>
                <w:rFonts w:ascii="Arial" w:cs="Arial" w:eastAsia="Arial" w:hAnsi="Arial"/>
                <w:sz w:val="13"/>
                <w:szCs w:val="13"/>
                <w:color w:val="0B2E44"/>
              </w:rPr>
              <w:t>Incentive</w:t>
            </w:r>
          </w:p>
        </w:tc>
        <w:tc>
          <w:tcPr>
            <w:tcW w:w="1180" w:type="dxa"/>
            <w:vAlign w:val="bottom"/>
          </w:tcPr>
          <w:p>
            <w:pPr>
              <w:jc w:val="right"/>
              <w:spacing w:after="0" w:line="128" w:lineRule="exact"/>
              <w:rPr>
                <w:sz w:val="20"/>
                <w:szCs w:val="20"/>
                <w:color w:val="auto"/>
              </w:rPr>
            </w:pPr>
            <w:r>
              <w:rPr>
                <w:rFonts w:ascii="Arial" w:cs="Arial" w:eastAsia="Arial" w:hAnsi="Arial"/>
                <w:sz w:val="13"/>
                <w:szCs w:val="13"/>
                <w:color w:val="0B2E44"/>
              </w:rPr>
              <w:t>Stock</w:t>
            </w:r>
          </w:p>
        </w:tc>
        <w:tc>
          <w:tcPr>
            <w:tcW w:w="1600" w:type="dxa"/>
            <w:vAlign w:val="bottom"/>
          </w:tcPr>
          <w:p>
            <w:pPr>
              <w:jc w:val="right"/>
              <w:ind w:right="251"/>
              <w:spacing w:after="0" w:line="128" w:lineRule="exact"/>
              <w:rPr>
                <w:sz w:val="20"/>
                <w:szCs w:val="20"/>
                <w:color w:val="auto"/>
              </w:rPr>
            </w:pPr>
            <w:r>
              <w:rPr>
                <w:rFonts w:ascii="Arial" w:cs="Arial" w:eastAsia="Arial" w:hAnsi="Arial"/>
                <w:sz w:val="13"/>
                <w:szCs w:val="13"/>
                <w:color w:val="0B2E44"/>
              </w:rPr>
              <w:t>(Present</w:t>
            </w:r>
          </w:p>
        </w:tc>
        <w:tc>
          <w:tcPr>
            <w:tcW w:w="1160" w:type="dxa"/>
            <w:vAlign w:val="bottom"/>
          </w:tcPr>
          <w:p>
            <w:pPr>
              <w:jc w:val="right"/>
              <w:spacing w:after="0" w:line="128" w:lineRule="exact"/>
              <w:rPr>
                <w:sz w:val="20"/>
                <w:szCs w:val="20"/>
                <w:color w:val="auto"/>
              </w:rPr>
            </w:pPr>
            <w:r>
              <w:rPr>
                <w:rFonts w:ascii="Arial" w:cs="Arial" w:eastAsia="Arial" w:hAnsi="Arial"/>
                <w:sz w:val="13"/>
                <w:szCs w:val="13"/>
                <w:color w:val="0B2E44"/>
              </w:rPr>
              <w:t>and</w:t>
            </w:r>
          </w:p>
        </w:tc>
        <w:tc>
          <w:tcPr>
            <w:tcW w:w="0" w:type="dxa"/>
            <w:vAlign w:val="bottom"/>
          </w:tcPr>
          <w:p>
            <w:pPr>
              <w:spacing w:after="0"/>
              <w:rPr>
                <w:sz w:val="1"/>
                <w:szCs w:val="1"/>
                <w:color w:val="auto"/>
              </w:rPr>
            </w:pPr>
          </w:p>
        </w:tc>
      </w:tr>
      <w:tr>
        <w:trPr>
          <w:trHeight w:val="183"/>
        </w:trPr>
        <w:tc>
          <w:tcPr>
            <w:tcW w:w="4780" w:type="dxa"/>
            <w:vAlign w:val="bottom"/>
            <w:tcBorders>
              <w:bottom w:val="single" w:sz="8" w:color="E14A6A"/>
            </w:tcBorders>
          </w:tcPr>
          <w:p>
            <w:pPr>
              <w:spacing w:after="0"/>
              <w:rPr>
                <w:sz w:val="15"/>
                <w:szCs w:val="15"/>
                <w:color w:val="auto"/>
              </w:rPr>
            </w:pPr>
          </w:p>
        </w:tc>
        <w:tc>
          <w:tcPr>
            <w:tcW w:w="1160" w:type="dxa"/>
            <w:vAlign w:val="bottom"/>
            <w:tcBorders>
              <w:bottom w:val="single" w:sz="8" w:color="E14A6A"/>
            </w:tcBorders>
          </w:tcPr>
          <w:p>
            <w:pPr>
              <w:jc w:val="right"/>
              <w:spacing w:after="0"/>
              <w:rPr>
                <w:sz w:val="20"/>
                <w:szCs w:val="20"/>
                <w:color w:val="auto"/>
              </w:rPr>
            </w:pPr>
            <w:r>
              <w:rPr>
                <w:rFonts w:ascii="Arial" w:cs="Arial" w:eastAsia="Arial" w:hAnsi="Arial"/>
                <w:sz w:val="13"/>
                <w:szCs w:val="13"/>
                <w:color w:val="0B2E44"/>
              </w:rPr>
              <w:t>Base Salary</w:t>
            </w:r>
          </w:p>
        </w:tc>
        <w:tc>
          <w:tcPr>
            <w:tcW w:w="1360" w:type="dxa"/>
            <w:vAlign w:val="bottom"/>
            <w:tcBorders>
              <w:bottom w:val="single" w:sz="8" w:color="E14A6A"/>
            </w:tcBorders>
            <w:gridSpan w:val="2"/>
          </w:tcPr>
          <w:p>
            <w:pPr>
              <w:jc w:val="right"/>
              <w:ind w:right="280"/>
              <w:spacing w:after="0"/>
              <w:rPr>
                <w:sz w:val="20"/>
                <w:szCs w:val="20"/>
                <w:color w:val="auto"/>
              </w:rPr>
            </w:pPr>
            <w:r>
              <w:rPr>
                <w:rFonts w:ascii="Arial" w:cs="Arial" w:eastAsia="Arial" w:hAnsi="Arial"/>
                <w:sz w:val="13"/>
                <w:szCs w:val="13"/>
                <w:color w:val="0B2E44"/>
              </w:rPr>
              <w:t>Bonus</w:t>
            </w:r>
          </w:p>
        </w:tc>
        <w:tc>
          <w:tcPr>
            <w:tcW w:w="1180" w:type="dxa"/>
            <w:vAlign w:val="bottom"/>
            <w:tcBorders>
              <w:bottom w:val="single" w:sz="8" w:color="E14A6A"/>
            </w:tcBorders>
          </w:tcPr>
          <w:p>
            <w:pPr>
              <w:jc w:val="right"/>
              <w:spacing w:after="0"/>
              <w:rPr>
                <w:sz w:val="20"/>
                <w:szCs w:val="20"/>
                <w:color w:val="auto"/>
              </w:rPr>
            </w:pPr>
            <w:r>
              <w:rPr>
                <w:rFonts w:ascii="Arial" w:cs="Arial" w:eastAsia="Arial" w:hAnsi="Arial"/>
                <w:sz w:val="13"/>
                <w:szCs w:val="13"/>
                <w:color w:val="0B2E44"/>
              </w:rPr>
              <w:t>Units(1)</w:t>
            </w:r>
          </w:p>
        </w:tc>
        <w:tc>
          <w:tcPr>
            <w:tcW w:w="1600" w:type="dxa"/>
            <w:vAlign w:val="bottom"/>
            <w:tcBorders>
              <w:bottom w:val="single" w:sz="8" w:color="E14A6A"/>
            </w:tcBorders>
          </w:tcPr>
          <w:p>
            <w:pPr>
              <w:jc w:val="right"/>
              <w:ind w:right="251"/>
              <w:spacing w:after="0"/>
              <w:rPr>
                <w:sz w:val="20"/>
                <w:szCs w:val="20"/>
                <w:color w:val="auto"/>
              </w:rPr>
            </w:pPr>
            <w:r>
              <w:rPr>
                <w:rFonts w:ascii="Arial" w:cs="Arial" w:eastAsia="Arial" w:hAnsi="Arial"/>
                <w:sz w:val="13"/>
                <w:szCs w:val="13"/>
                <w:color w:val="0B2E44"/>
              </w:rPr>
              <w:t>Value)($)</w:t>
            </w:r>
          </w:p>
        </w:tc>
        <w:tc>
          <w:tcPr>
            <w:tcW w:w="1160" w:type="dxa"/>
            <w:vAlign w:val="bottom"/>
            <w:tcBorders>
              <w:bottom w:val="single" w:sz="8" w:color="E14A6A"/>
            </w:tcBorders>
          </w:tcPr>
          <w:p>
            <w:pPr>
              <w:jc w:val="right"/>
              <w:spacing w:after="0"/>
              <w:rPr>
                <w:sz w:val="20"/>
                <w:szCs w:val="20"/>
                <w:color w:val="auto"/>
              </w:rPr>
            </w:pPr>
            <w:r>
              <w:rPr>
                <w:rFonts w:ascii="Arial" w:cs="Arial" w:eastAsia="Arial" w:hAnsi="Arial"/>
                <w:sz w:val="13"/>
                <w:szCs w:val="13"/>
                <w:color w:val="0B2E44"/>
              </w:rPr>
              <w:t>Benefits ($)</w:t>
            </w:r>
          </w:p>
        </w:tc>
        <w:tc>
          <w:tcPr>
            <w:tcW w:w="0" w:type="dxa"/>
            <w:vAlign w:val="bottom"/>
          </w:tcPr>
          <w:p>
            <w:pPr>
              <w:spacing w:after="0"/>
              <w:rPr>
                <w:sz w:val="1"/>
                <w:szCs w:val="1"/>
                <w:color w:val="auto"/>
              </w:rPr>
            </w:pPr>
          </w:p>
        </w:tc>
      </w:tr>
      <w:tr>
        <w:trPr>
          <w:trHeight w:val="200"/>
        </w:trPr>
        <w:tc>
          <w:tcPr>
            <w:tcW w:w="4780" w:type="dxa"/>
            <w:vAlign w:val="bottom"/>
          </w:tcPr>
          <w:p>
            <w:pPr>
              <w:ind w:left="140"/>
              <w:spacing w:after="0"/>
              <w:rPr>
                <w:sz w:val="20"/>
                <w:szCs w:val="20"/>
                <w:color w:val="auto"/>
              </w:rPr>
            </w:pPr>
            <w:r>
              <w:rPr>
                <w:rFonts w:ascii="Arial" w:cs="Arial" w:eastAsia="Arial" w:hAnsi="Arial"/>
                <w:sz w:val="14"/>
                <w:szCs w:val="14"/>
                <w:b w:val="1"/>
                <w:bCs w:val="1"/>
                <w:color w:val="0B2E44"/>
              </w:rPr>
              <w:t>Sanjay Mirchandani</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80" w:type="dxa"/>
            <w:vAlign w:val="bottom"/>
          </w:tcPr>
          <w:p>
            <w:pPr>
              <w:ind w:left="140"/>
              <w:spacing w:after="0"/>
              <w:rPr>
                <w:sz w:val="20"/>
                <w:szCs w:val="20"/>
                <w:color w:val="auto"/>
              </w:rPr>
            </w:pPr>
            <w:r>
              <w:rPr>
                <w:rFonts w:ascii="Arial" w:cs="Arial" w:eastAsia="Arial" w:hAnsi="Arial"/>
                <w:sz w:val="14"/>
                <w:szCs w:val="14"/>
                <w:color w:val="0B2E44"/>
              </w:rPr>
              <w:t>Death</w:t>
            </w:r>
          </w:p>
        </w:tc>
        <w:tc>
          <w:tcPr>
            <w:tcW w:w="1160" w:type="dxa"/>
            <w:vAlign w:val="bottom"/>
          </w:tcPr>
          <w:p>
            <w:pPr>
              <w:jc w:val="right"/>
              <w:ind w:right="29"/>
              <w:spacing w:after="0"/>
              <w:rPr>
                <w:sz w:val="20"/>
                <w:szCs w:val="20"/>
                <w:color w:val="auto"/>
              </w:rPr>
            </w:pPr>
            <w:r>
              <w:rPr>
                <w:rFonts w:ascii="Arial" w:cs="Arial" w:eastAsia="Arial" w:hAnsi="Arial"/>
                <w:sz w:val="14"/>
                <w:szCs w:val="14"/>
                <w:color w:val="0B2E44"/>
              </w:rPr>
              <w:t>—</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0B2E44"/>
              </w:rPr>
              <w:t>—</w:t>
            </w:r>
          </w:p>
        </w:tc>
        <w:tc>
          <w:tcPr>
            <w:tcW w:w="1180" w:type="dxa"/>
            <w:vAlign w:val="bottom"/>
          </w:tcPr>
          <w:p>
            <w:pPr>
              <w:jc w:val="right"/>
              <w:ind w:right="31"/>
              <w:spacing w:after="0"/>
              <w:rPr>
                <w:sz w:val="20"/>
                <w:szCs w:val="20"/>
                <w:color w:val="auto"/>
              </w:rPr>
            </w:pPr>
            <w:r>
              <w:rPr>
                <w:rFonts w:ascii="Arial" w:cs="Arial" w:eastAsia="Arial" w:hAnsi="Arial"/>
                <w:sz w:val="14"/>
                <w:szCs w:val="14"/>
                <w:color w:val="0B2E44"/>
              </w:rPr>
              <w:t>15,365,249(2)</w:t>
            </w:r>
          </w:p>
        </w:tc>
        <w:tc>
          <w:tcPr>
            <w:tcW w:w="1600" w:type="dxa"/>
            <w:vAlign w:val="bottom"/>
          </w:tcPr>
          <w:p>
            <w:pPr>
              <w:jc w:val="right"/>
              <w:ind w:right="331"/>
              <w:spacing w:after="0"/>
              <w:rPr>
                <w:sz w:val="20"/>
                <w:szCs w:val="20"/>
                <w:color w:val="auto"/>
              </w:rPr>
            </w:pPr>
            <w:r>
              <w:rPr>
                <w:rFonts w:ascii="Arial" w:cs="Arial" w:eastAsia="Arial" w:hAnsi="Arial"/>
                <w:sz w:val="14"/>
                <w:szCs w:val="14"/>
                <w:color w:val="0B2E44"/>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0B2E44"/>
              </w:rPr>
              <w:t>15,365,249</w:t>
            </w:r>
          </w:p>
        </w:tc>
        <w:tc>
          <w:tcPr>
            <w:tcW w:w="0" w:type="dxa"/>
            <w:vAlign w:val="bottom"/>
          </w:tcPr>
          <w:p>
            <w:pPr>
              <w:spacing w:after="0"/>
              <w:rPr>
                <w:sz w:val="1"/>
                <w:szCs w:val="1"/>
                <w:color w:val="auto"/>
              </w:rPr>
            </w:pPr>
          </w:p>
        </w:tc>
      </w:tr>
      <w:tr>
        <w:trPr>
          <w:trHeight w:val="189"/>
        </w:trPr>
        <w:tc>
          <w:tcPr>
            <w:tcW w:w="4780" w:type="dxa"/>
            <w:vAlign w:val="bottom"/>
          </w:tcPr>
          <w:p>
            <w:pPr>
              <w:ind w:left="140"/>
              <w:spacing w:after="0"/>
              <w:rPr>
                <w:sz w:val="20"/>
                <w:szCs w:val="20"/>
                <w:color w:val="auto"/>
              </w:rPr>
            </w:pPr>
            <w:r>
              <w:rPr>
                <w:rFonts w:ascii="Arial" w:cs="Arial" w:eastAsia="Arial" w:hAnsi="Arial"/>
                <w:sz w:val="14"/>
                <w:szCs w:val="14"/>
                <w:color w:val="0B2E44"/>
              </w:rPr>
              <w:t>Disability</w:t>
            </w:r>
          </w:p>
        </w:tc>
        <w:tc>
          <w:tcPr>
            <w:tcW w:w="1160" w:type="dxa"/>
            <w:vAlign w:val="bottom"/>
          </w:tcPr>
          <w:p>
            <w:pPr>
              <w:jc w:val="right"/>
              <w:ind w:right="29"/>
              <w:spacing w:after="0"/>
              <w:rPr>
                <w:sz w:val="20"/>
                <w:szCs w:val="20"/>
                <w:color w:val="auto"/>
              </w:rPr>
            </w:pPr>
            <w:r>
              <w:rPr>
                <w:rFonts w:ascii="Arial" w:cs="Arial" w:eastAsia="Arial" w:hAnsi="Arial"/>
                <w:sz w:val="14"/>
                <w:szCs w:val="14"/>
                <w:color w:val="0B2E44"/>
              </w:rPr>
              <w:t>—</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0B2E44"/>
              </w:rPr>
              <w:t>—</w:t>
            </w:r>
          </w:p>
        </w:tc>
        <w:tc>
          <w:tcPr>
            <w:tcW w:w="1180" w:type="dxa"/>
            <w:vAlign w:val="bottom"/>
          </w:tcPr>
          <w:p>
            <w:pPr>
              <w:jc w:val="right"/>
              <w:ind w:right="31"/>
              <w:spacing w:after="0"/>
              <w:rPr>
                <w:sz w:val="20"/>
                <w:szCs w:val="20"/>
                <w:color w:val="auto"/>
              </w:rPr>
            </w:pPr>
            <w:r>
              <w:rPr>
                <w:rFonts w:ascii="Arial" w:cs="Arial" w:eastAsia="Arial" w:hAnsi="Arial"/>
                <w:sz w:val="14"/>
                <w:szCs w:val="14"/>
                <w:color w:val="0B2E44"/>
              </w:rPr>
              <w:t>15,365,249(2)</w:t>
            </w:r>
          </w:p>
        </w:tc>
        <w:tc>
          <w:tcPr>
            <w:tcW w:w="1600" w:type="dxa"/>
            <w:vAlign w:val="bottom"/>
          </w:tcPr>
          <w:p>
            <w:pPr>
              <w:jc w:val="right"/>
              <w:ind w:right="331"/>
              <w:spacing w:after="0"/>
              <w:rPr>
                <w:sz w:val="20"/>
                <w:szCs w:val="20"/>
                <w:color w:val="auto"/>
              </w:rPr>
            </w:pPr>
            <w:r>
              <w:rPr>
                <w:rFonts w:ascii="Arial" w:cs="Arial" w:eastAsia="Arial" w:hAnsi="Arial"/>
                <w:sz w:val="14"/>
                <w:szCs w:val="14"/>
                <w:color w:val="0B2E44"/>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0B2E44"/>
              </w:rPr>
              <w:t>15,365,249</w:t>
            </w:r>
          </w:p>
        </w:tc>
        <w:tc>
          <w:tcPr>
            <w:tcW w:w="0" w:type="dxa"/>
            <w:vAlign w:val="bottom"/>
          </w:tcPr>
          <w:p>
            <w:pPr>
              <w:spacing w:after="0"/>
              <w:rPr>
                <w:sz w:val="1"/>
                <w:szCs w:val="1"/>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4"/>
                <w:szCs w:val="14"/>
                <w:color w:val="0B2E44"/>
              </w:rPr>
              <w:t>Involuntary termination without cause or with good reason</w:t>
            </w:r>
          </w:p>
        </w:tc>
        <w:tc>
          <w:tcPr>
            <w:tcW w:w="1160" w:type="dxa"/>
            <w:vAlign w:val="bottom"/>
          </w:tcPr>
          <w:p>
            <w:pPr>
              <w:jc w:val="right"/>
              <w:ind w:right="29"/>
              <w:spacing w:after="0"/>
              <w:rPr>
                <w:sz w:val="20"/>
                <w:szCs w:val="20"/>
                <w:color w:val="auto"/>
              </w:rPr>
            </w:pPr>
            <w:r>
              <w:rPr>
                <w:rFonts w:ascii="Arial" w:cs="Arial" w:eastAsia="Arial" w:hAnsi="Arial"/>
                <w:sz w:val="14"/>
                <w:szCs w:val="14"/>
                <w:color w:val="0B2E44"/>
              </w:rPr>
              <w:t>645,000</w:t>
            </w:r>
          </w:p>
        </w:tc>
        <w:tc>
          <w:tcPr>
            <w:tcW w:w="1100" w:type="dxa"/>
            <w:vAlign w:val="bottom"/>
          </w:tcPr>
          <w:p>
            <w:pPr>
              <w:jc w:val="right"/>
              <w:ind w:right="31"/>
              <w:spacing w:after="0"/>
              <w:rPr>
                <w:sz w:val="20"/>
                <w:szCs w:val="20"/>
                <w:color w:val="auto"/>
              </w:rPr>
            </w:pPr>
            <w:r>
              <w:rPr>
                <w:rFonts w:ascii="Arial" w:cs="Arial" w:eastAsia="Arial" w:hAnsi="Arial"/>
                <w:sz w:val="14"/>
                <w:szCs w:val="14"/>
                <w:color w:val="0B2E44"/>
              </w:rPr>
              <w:t>645,000</w:t>
            </w:r>
          </w:p>
        </w:tc>
        <w:tc>
          <w:tcPr>
            <w:tcW w:w="260" w:type="dxa"/>
            <w:vAlign w:val="bottom"/>
          </w:tcPr>
          <w:p>
            <w:pPr>
              <w:spacing w:after="0"/>
              <w:rPr>
                <w:sz w:val="17"/>
                <w:szCs w:val="17"/>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0B2E44"/>
              </w:rPr>
              <w:t>9,470,272(3)</w:t>
            </w:r>
          </w:p>
        </w:tc>
        <w:tc>
          <w:tcPr>
            <w:tcW w:w="1600" w:type="dxa"/>
            <w:vAlign w:val="bottom"/>
          </w:tcPr>
          <w:p>
            <w:pPr>
              <w:jc w:val="right"/>
              <w:ind w:right="331"/>
              <w:spacing w:after="0"/>
              <w:rPr>
                <w:sz w:val="20"/>
                <w:szCs w:val="20"/>
                <w:color w:val="auto"/>
              </w:rPr>
            </w:pPr>
            <w:r>
              <w:rPr>
                <w:rFonts w:ascii="Arial" w:cs="Arial" w:eastAsia="Arial" w:hAnsi="Arial"/>
                <w:sz w:val="14"/>
                <w:szCs w:val="14"/>
                <w:color w:val="0B2E44"/>
              </w:rPr>
              <w:t>27,204</w:t>
            </w:r>
          </w:p>
        </w:tc>
        <w:tc>
          <w:tcPr>
            <w:tcW w:w="1160" w:type="dxa"/>
            <w:vAlign w:val="bottom"/>
          </w:tcPr>
          <w:p>
            <w:pPr>
              <w:jc w:val="right"/>
              <w:ind w:right="30"/>
              <w:spacing w:after="0"/>
              <w:rPr>
                <w:sz w:val="20"/>
                <w:szCs w:val="20"/>
                <w:color w:val="auto"/>
              </w:rPr>
            </w:pPr>
            <w:r>
              <w:rPr>
                <w:rFonts w:ascii="Arial" w:cs="Arial" w:eastAsia="Arial" w:hAnsi="Arial"/>
                <w:sz w:val="14"/>
                <w:szCs w:val="14"/>
                <w:color w:val="0B2E44"/>
              </w:rPr>
              <w:t>11,057,476</w:t>
            </w:r>
          </w:p>
        </w:tc>
        <w:tc>
          <w:tcPr>
            <w:tcW w:w="0" w:type="dxa"/>
            <w:vAlign w:val="bottom"/>
          </w:tcPr>
          <w:p>
            <w:pPr>
              <w:spacing w:after="0"/>
              <w:rPr>
                <w:sz w:val="1"/>
                <w:szCs w:val="1"/>
                <w:color w:val="auto"/>
              </w:rPr>
            </w:pPr>
          </w:p>
        </w:tc>
      </w:tr>
      <w:tr>
        <w:trPr>
          <w:trHeight w:val="161"/>
        </w:trPr>
        <w:tc>
          <w:tcPr>
            <w:tcW w:w="4780" w:type="dxa"/>
            <w:vAlign w:val="bottom"/>
          </w:tcPr>
          <w:p>
            <w:pPr>
              <w:ind w:left="140"/>
              <w:spacing w:after="0"/>
              <w:rPr>
                <w:sz w:val="20"/>
                <w:szCs w:val="20"/>
                <w:color w:val="auto"/>
              </w:rPr>
            </w:pPr>
            <w:r>
              <w:rPr>
                <w:rFonts w:ascii="Arial" w:cs="Arial" w:eastAsia="Arial" w:hAnsi="Arial"/>
                <w:sz w:val="14"/>
                <w:szCs w:val="14"/>
                <w:color w:val="0B2E44"/>
              </w:rPr>
              <w:t>Involuntary termination without cause, on account of disability, or with</w:t>
            </w:r>
          </w:p>
        </w:tc>
        <w:tc>
          <w:tcPr>
            <w:tcW w:w="1160" w:type="dxa"/>
            <w:vAlign w:val="bottom"/>
            <w:vMerge w:val="restart"/>
          </w:tcPr>
          <w:p>
            <w:pPr>
              <w:jc w:val="right"/>
              <w:ind w:right="29"/>
              <w:spacing w:after="0"/>
              <w:rPr>
                <w:sz w:val="20"/>
                <w:szCs w:val="20"/>
                <w:color w:val="auto"/>
              </w:rPr>
            </w:pPr>
            <w:r>
              <w:rPr>
                <w:rFonts w:ascii="Arial" w:cs="Arial" w:eastAsia="Arial" w:hAnsi="Arial"/>
                <w:sz w:val="14"/>
                <w:szCs w:val="14"/>
                <w:color w:val="0B2E44"/>
              </w:rPr>
              <w:t>967,500</w:t>
            </w:r>
          </w:p>
        </w:tc>
        <w:tc>
          <w:tcPr>
            <w:tcW w:w="1100" w:type="dxa"/>
            <w:vAlign w:val="bottom"/>
            <w:vMerge w:val="restart"/>
          </w:tcPr>
          <w:p>
            <w:pPr>
              <w:jc w:val="right"/>
              <w:ind w:right="31"/>
              <w:spacing w:after="0"/>
              <w:rPr>
                <w:sz w:val="20"/>
                <w:szCs w:val="20"/>
                <w:color w:val="auto"/>
              </w:rPr>
            </w:pPr>
            <w:r>
              <w:rPr>
                <w:rFonts w:ascii="Arial" w:cs="Arial" w:eastAsia="Arial" w:hAnsi="Arial"/>
                <w:sz w:val="14"/>
                <w:szCs w:val="14"/>
                <w:color w:val="0B2E44"/>
              </w:rPr>
              <w:t>967,500</w:t>
            </w:r>
          </w:p>
        </w:tc>
        <w:tc>
          <w:tcPr>
            <w:tcW w:w="260" w:type="dxa"/>
            <w:vAlign w:val="bottom"/>
          </w:tcPr>
          <w:p>
            <w:pPr>
              <w:spacing w:after="0"/>
              <w:rPr>
                <w:sz w:val="13"/>
                <w:szCs w:val="13"/>
                <w:color w:val="auto"/>
              </w:rPr>
            </w:pPr>
          </w:p>
        </w:tc>
        <w:tc>
          <w:tcPr>
            <w:tcW w:w="1180" w:type="dxa"/>
            <w:vAlign w:val="bottom"/>
            <w:vMerge w:val="restart"/>
          </w:tcPr>
          <w:p>
            <w:pPr>
              <w:jc w:val="right"/>
              <w:ind w:right="31"/>
              <w:spacing w:after="0"/>
              <w:rPr>
                <w:sz w:val="20"/>
                <w:szCs w:val="20"/>
                <w:color w:val="auto"/>
              </w:rPr>
            </w:pPr>
            <w:r>
              <w:rPr>
                <w:rFonts w:ascii="Arial" w:cs="Arial" w:eastAsia="Arial" w:hAnsi="Arial"/>
                <w:sz w:val="14"/>
                <w:szCs w:val="14"/>
                <w:color w:val="0B2E44"/>
              </w:rPr>
              <w:t>15,365,249(2)</w:t>
            </w:r>
          </w:p>
        </w:tc>
        <w:tc>
          <w:tcPr>
            <w:tcW w:w="1600" w:type="dxa"/>
            <w:vAlign w:val="bottom"/>
            <w:vMerge w:val="restart"/>
          </w:tcPr>
          <w:p>
            <w:pPr>
              <w:jc w:val="right"/>
              <w:ind w:right="331"/>
              <w:spacing w:after="0"/>
              <w:rPr>
                <w:sz w:val="20"/>
                <w:szCs w:val="20"/>
                <w:color w:val="auto"/>
              </w:rPr>
            </w:pPr>
            <w:r>
              <w:rPr>
                <w:rFonts w:ascii="Arial" w:cs="Arial" w:eastAsia="Arial" w:hAnsi="Arial"/>
                <w:sz w:val="14"/>
                <w:szCs w:val="14"/>
                <w:color w:val="0B2E44"/>
              </w:rPr>
              <w:t>27,204</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0B2E44"/>
              </w:rPr>
              <w:t>17,327,453</w:t>
            </w:r>
          </w:p>
        </w:tc>
        <w:tc>
          <w:tcPr>
            <w:tcW w:w="0" w:type="dxa"/>
            <w:vAlign w:val="bottom"/>
          </w:tcPr>
          <w:p>
            <w:pPr>
              <w:spacing w:after="0"/>
              <w:rPr>
                <w:sz w:val="1"/>
                <w:szCs w:val="1"/>
                <w:color w:val="auto"/>
              </w:rPr>
            </w:pPr>
          </w:p>
        </w:tc>
      </w:tr>
      <w:tr>
        <w:trPr>
          <w:trHeight w:val="109"/>
        </w:trPr>
        <w:tc>
          <w:tcPr>
            <w:tcW w:w="4780" w:type="dxa"/>
            <w:vAlign w:val="bottom"/>
            <w:vMerge w:val="restart"/>
          </w:tcPr>
          <w:p>
            <w:pPr>
              <w:ind w:left="140"/>
              <w:spacing w:after="0"/>
              <w:rPr>
                <w:sz w:val="20"/>
                <w:szCs w:val="20"/>
                <w:color w:val="auto"/>
              </w:rPr>
            </w:pPr>
            <w:r>
              <w:rPr>
                <w:rFonts w:ascii="Arial" w:cs="Arial" w:eastAsia="Arial" w:hAnsi="Arial"/>
                <w:sz w:val="14"/>
                <w:szCs w:val="14"/>
                <w:color w:val="0B2E44"/>
              </w:rPr>
              <w:t>good reason in connection with a change in control</w:t>
            </w:r>
          </w:p>
        </w:tc>
        <w:tc>
          <w:tcPr>
            <w:tcW w:w="11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7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780" w:type="dxa"/>
            <w:vAlign w:val="bottom"/>
            <w:shd w:val="clear" w:color="auto" w:fill="DDE9F2"/>
          </w:tcPr>
          <w:p>
            <w:pPr>
              <w:ind w:left="140"/>
              <w:spacing w:after="0"/>
              <w:rPr>
                <w:sz w:val="20"/>
                <w:szCs w:val="20"/>
                <w:color w:val="auto"/>
              </w:rPr>
            </w:pPr>
            <w:r>
              <w:rPr>
                <w:rFonts w:ascii="Arial" w:cs="Arial" w:eastAsia="Arial" w:hAnsi="Arial"/>
                <w:sz w:val="14"/>
                <w:szCs w:val="14"/>
                <w:b w:val="1"/>
                <w:bCs w:val="1"/>
                <w:color w:val="0B2E44"/>
              </w:rPr>
              <w:t>Gary Merrill</w:t>
            </w:r>
          </w:p>
        </w:tc>
        <w:tc>
          <w:tcPr>
            <w:tcW w:w="1160" w:type="dxa"/>
            <w:vAlign w:val="bottom"/>
            <w:shd w:val="clear" w:color="auto" w:fill="DDE9F2"/>
          </w:tcPr>
          <w:p>
            <w:pPr>
              <w:spacing w:after="0"/>
              <w:rPr>
                <w:sz w:val="17"/>
                <w:szCs w:val="17"/>
                <w:color w:val="auto"/>
              </w:rPr>
            </w:pPr>
          </w:p>
        </w:tc>
        <w:tc>
          <w:tcPr>
            <w:tcW w:w="1100" w:type="dxa"/>
            <w:vAlign w:val="bottom"/>
            <w:shd w:val="clear" w:color="auto" w:fill="DDE9F2"/>
          </w:tcPr>
          <w:p>
            <w:pPr>
              <w:spacing w:after="0"/>
              <w:rPr>
                <w:sz w:val="17"/>
                <w:szCs w:val="17"/>
                <w:color w:val="auto"/>
              </w:rPr>
            </w:pPr>
          </w:p>
        </w:tc>
        <w:tc>
          <w:tcPr>
            <w:tcW w:w="260" w:type="dxa"/>
            <w:vAlign w:val="bottom"/>
            <w:shd w:val="clear" w:color="auto" w:fill="DDE9F2"/>
          </w:tcPr>
          <w:p>
            <w:pPr>
              <w:spacing w:after="0"/>
              <w:rPr>
                <w:sz w:val="17"/>
                <w:szCs w:val="17"/>
                <w:color w:val="auto"/>
              </w:rPr>
            </w:pPr>
          </w:p>
        </w:tc>
        <w:tc>
          <w:tcPr>
            <w:tcW w:w="1180" w:type="dxa"/>
            <w:vAlign w:val="bottom"/>
            <w:shd w:val="clear" w:color="auto" w:fill="DDE9F2"/>
          </w:tcPr>
          <w:p>
            <w:pPr>
              <w:spacing w:after="0"/>
              <w:rPr>
                <w:sz w:val="17"/>
                <w:szCs w:val="17"/>
                <w:color w:val="auto"/>
              </w:rPr>
            </w:pPr>
          </w:p>
        </w:tc>
        <w:tc>
          <w:tcPr>
            <w:tcW w:w="1600" w:type="dxa"/>
            <w:vAlign w:val="bottom"/>
            <w:shd w:val="clear" w:color="auto" w:fill="DDE9F2"/>
          </w:tcPr>
          <w:p>
            <w:pPr>
              <w:spacing w:after="0"/>
              <w:rPr>
                <w:sz w:val="17"/>
                <w:szCs w:val="17"/>
                <w:color w:val="auto"/>
              </w:rPr>
            </w:pPr>
          </w:p>
        </w:tc>
        <w:tc>
          <w:tcPr>
            <w:tcW w:w="1160" w:type="dxa"/>
            <w:vAlign w:val="bottom"/>
            <w:shd w:val="clear" w:color="auto" w:fill="DDE9F2"/>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780" w:type="dxa"/>
            <w:vAlign w:val="bottom"/>
            <w:shd w:val="clear" w:color="auto" w:fill="DDE9F2"/>
          </w:tcPr>
          <w:p>
            <w:pPr>
              <w:ind w:left="140"/>
              <w:spacing w:after="0"/>
              <w:rPr>
                <w:sz w:val="20"/>
                <w:szCs w:val="20"/>
                <w:color w:val="auto"/>
              </w:rPr>
            </w:pPr>
            <w:r>
              <w:rPr>
                <w:rFonts w:ascii="Arial" w:cs="Arial" w:eastAsia="Arial" w:hAnsi="Arial"/>
                <w:sz w:val="14"/>
                <w:szCs w:val="14"/>
                <w:color w:val="0B2E44"/>
              </w:rPr>
              <w:t>Death</w:t>
            </w:r>
          </w:p>
        </w:tc>
        <w:tc>
          <w:tcPr>
            <w:tcW w:w="116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w:t>
            </w:r>
          </w:p>
        </w:tc>
        <w:tc>
          <w:tcPr>
            <w:tcW w:w="1360" w:type="dxa"/>
            <w:vAlign w:val="bottom"/>
            <w:gridSpan w:val="2"/>
            <w:shd w:val="clear" w:color="auto" w:fill="DDE9F2"/>
          </w:tcPr>
          <w:p>
            <w:pPr>
              <w:jc w:val="right"/>
              <w:ind w:right="360"/>
              <w:spacing w:after="0"/>
              <w:rPr>
                <w:sz w:val="20"/>
                <w:szCs w:val="20"/>
                <w:color w:val="auto"/>
              </w:rPr>
            </w:pPr>
            <w:r>
              <w:rPr>
                <w:rFonts w:ascii="Arial" w:cs="Arial" w:eastAsia="Arial" w:hAnsi="Arial"/>
                <w:sz w:val="14"/>
                <w:szCs w:val="14"/>
                <w:color w:val="0B2E44"/>
              </w:rPr>
              <w:t>—</w:t>
            </w:r>
          </w:p>
        </w:tc>
        <w:tc>
          <w:tcPr>
            <w:tcW w:w="118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B2E44"/>
              </w:rPr>
              <w:t>2,532,363(2)</w:t>
            </w:r>
          </w:p>
        </w:tc>
        <w:tc>
          <w:tcPr>
            <w:tcW w:w="1600" w:type="dxa"/>
            <w:vAlign w:val="bottom"/>
            <w:shd w:val="clear" w:color="auto" w:fill="DDE9F2"/>
          </w:tcPr>
          <w:p>
            <w:pPr>
              <w:jc w:val="right"/>
              <w:ind w:right="331"/>
              <w:spacing w:after="0"/>
              <w:rPr>
                <w:sz w:val="20"/>
                <w:szCs w:val="20"/>
                <w:color w:val="auto"/>
              </w:rPr>
            </w:pPr>
            <w:r>
              <w:rPr>
                <w:rFonts w:ascii="Arial" w:cs="Arial" w:eastAsia="Arial" w:hAnsi="Arial"/>
                <w:sz w:val="14"/>
                <w:szCs w:val="14"/>
                <w:color w:val="0B2E44"/>
              </w:rPr>
              <w:t>—</w:t>
            </w:r>
          </w:p>
        </w:tc>
        <w:tc>
          <w:tcPr>
            <w:tcW w:w="116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B2E44"/>
              </w:rPr>
              <w:t>2,532,363</w:t>
            </w:r>
          </w:p>
        </w:tc>
        <w:tc>
          <w:tcPr>
            <w:tcW w:w="0" w:type="dxa"/>
            <w:vAlign w:val="bottom"/>
          </w:tcPr>
          <w:p>
            <w:pPr>
              <w:spacing w:after="0"/>
              <w:rPr>
                <w:sz w:val="1"/>
                <w:szCs w:val="1"/>
                <w:color w:val="auto"/>
              </w:rPr>
            </w:pPr>
          </w:p>
        </w:tc>
      </w:tr>
      <w:tr>
        <w:trPr>
          <w:trHeight w:val="190"/>
        </w:trPr>
        <w:tc>
          <w:tcPr>
            <w:tcW w:w="4780" w:type="dxa"/>
            <w:vAlign w:val="bottom"/>
            <w:shd w:val="clear" w:color="auto" w:fill="DDE9F2"/>
          </w:tcPr>
          <w:p>
            <w:pPr>
              <w:ind w:left="140"/>
              <w:spacing w:after="0"/>
              <w:rPr>
                <w:sz w:val="20"/>
                <w:szCs w:val="20"/>
                <w:color w:val="auto"/>
              </w:rPr>
            </w:pPr>
            <w:r>
              <w:rPr>
                <w:rFonts w:ascii="Arial" w:cs="Arial" w:eastAsia="Arial" w:hAnsi="Arial"/>
                <w:sz w:val="14"/>
                <w:szCs w:val="14"/>
                <w:color w:val="0B2E44"/>
              </w:rPr>
              <w:t>Disability</w:t>
            </w:r>
          </w:p>
        </w:tc>
        <w:tc>
          <w:tcPr>
            <w:tcW w:w="116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w:t>
            </w:r>
          </w:p>
        </w:tc>
        <w:tc>
          <w:tcPr>
            <w:tcW w:w="110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B2E44"/>
              </w:rPr>
              <w:t>—</w:t>
            </w:r>
          </w:p>
        </w:tc>
        <w:tc>
          <w:tcPr>
            <w:tcW w:w="260" w:type="dxa"/>
            <w:vAlign w:val="bottom"/>
            <w:shd w:val="clear" w:color="auto" w:fill="DDE9F2"/>
          </w:tcPr>
          <w:p>
            <w:pPr>
              <w:spacing w:after="0"/>
              <w:rPr>
                <w:sz w:val="16"/>
                <w:szCs w:val="16"/>
                <w:color w:val="auto"/>
              </w:rPr>
            </w:pPr>
          </w:p>
        </w:tc>
        <w:tc>
          <w:tcPr>
            <w:tcW w:w="118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B2E44"/>
              </w:rPr>
              <w:t>2,532,363(2)</w:t>
            </w:r>
          </w:p>
        </w:tc>
        <w:tc>
          <w:tcPr>
            <w:tcW w:w="1600" w:type="dxa"/>
            <w:vAlign w:val="bottom"/>
            <w:shd w:val="clear" w:color="auto" w:fill="DDE9F2"/>
          </w:tcPr>
          <w:p>
            <w:pPr>
              <w:jc w:val="right"/>
              <w:ind w:right="331"/>
              <w:spacing w:after="0"/>
              <w:rPr>
                <w:sz w:val="20"/>
                <w:szCs w:val="20"/>
                <w:color w:val="auto"/>
              </w:rPr>
            </w:pPr>
            <w:r>
              <w:rPr>
                <w:rFonts w:ascii="Arial" w:cs="Arial" w:eastAsia="Arial" w:hAnsi="Arial"/>
                <w:sz w:val="14"/>
                <w:szCs w:val="14"/>
                <w:color w:val="0B2E44"/>
              </w:rPr>
              <w:t>—</w:t>
            </w:r>
          </w:p>
        </w:tc>
        <w:tc>
          <w:tcPr>
            <w:tcW w:w="116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B2E44"/>
              </w:rPr>
              <w:t>2,532,363</w:t>
            </w:r>
          </w:p>
        </w:tc>
        <w:tc>
          <w:tcPr>
            <w:tcW w:w="0" w:type="dxa"/>
            <w:vAlign w:val="bottom"/>
          </w:tcPr>
          <w:p>
            <w:pPr>
              <w:spacing w:after="0"/>
              <w:rPr>
                <w:sz w:val="1"/>
                <w:szCs w:val="1"/>
                <w:color w:val="auto"/>
              </w:rPr>
            </w:pPr>
          </w:p>
        </w:tc>
      </w:tr>
      <w:tr>
        <w:trPr>
          <w:trHeight w:val="203"/>
        </w:trPr>
        <w:tc>
          <w:tcPr>
            <w:tcW w:w="4780" w:type="dxa"/>
            <w:vAlign w:val="bottom"/>
            <w:shd w:val="clear" w:color="auto" w:fill="DDE9F2"/>
          </w:tcPr>
          <w:p>
            <w:pPr>
              <w:ind w:left="140"/>
              <w:spacing w:after="0"/>
              <w:rPr>
                <w:sz w:val="20"/>
                <w:szCs w:val="20"/>
                <w:color w:val="auto"/>
              </w:rPr>
            </w:pPr>
            <w:r>
              <w:rPr>
                <w:rFonts w:ascii="Arial" w:cs="Arial" w:eastAsia="Arial" w:hAnsi="Arial"/>
                <w:sz w:val="14"/>
                <w:szCs w:val="14"/>
                <w:color w:val="0B2E44"/>
              </w:rPr>
              <w:t>Involuntary termination without cause or with good reason</w:t>
            </w:r>
          </w:p>
        </w:tc>
        <w:tc>
          <w:tcPr>
            <w:tcW w:w="116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B2E44"/>
              </w:rPr>
              <w:t>410,000</w:t>
            </w:r>
          </w:p>
        </w:tc>
        <w:tc>
          <w:tcPr>
            <w:tcW w:w="110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B2E44"/>
              </w:rPr>
              <w:t>—</w:t>
            </w:r>
          </w:p>
        </w:tc>
        <w:tc>
          <w:tcPr>
            <w:tcW w:w="260" w:type="dxa"/>
            <w:vAlign w:val="bottom"/>
            <w:shd w:val="clear" w:color="auto" w:fill="DDE9F2"/>
          </w:tcPr>
          <w:p>
            <w:pPr>
              <w:spacing w:after="0"/>
              <w:rPr>
                <w:sz w:val="17"/>
                <w:szCs w:val="17"/>
                <w:color w:val="auto"/>
              </w:rPr>
            </w:pPr>
          </w:p>
        </w:tc>
        <w:tc>
          <w:tcPr>
            <w:tcW w:w="118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B2E44"/>
              </w:rPr>
              <w:t>1,525,966(3)</w:t>
            </w:r>
          </w:p>
        </w:tc>
        <w:tc>
          <w:tcPr>
            <w:tcW w:w="1600" w:type="dxa"/>
            <w:vAlign w:val="bottom"/>
            <w:shd w:val="clear" w:color="auto" w:fill="DDE9F2"/>
          </w:tcPr>
          <w:p>
            <w:pPr>
              <w:jc w:val="right"/>
              <w:ind w:right="331"/>
              <w:spacing w:after="0"/>
              <w:rPr>
                <w:sz w:val="20"/>
                <w:szCs w:val="20"/>
                <w:color w:val="auto"/>
              </w:rPr>
            </w:pPr>
            <w:r>
              <w:rPr>
                <w:rFonts w:ascii="Arial" w:cs="Arial" w:eastAsia="Arial" w:hAnsi="Arial"/>
                <w:sz w:val="14"/>
                <w:szCs w:val="14"/>
                <w:color w:val="0B2E44"/>
              </w:rPr>
              <w:t>35,733</w:t>
            </w:r>
          </w:p>
        </w:tc>
        <w:tc>
          <w:tcPr>
            <w:tcW w:w="116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B2E44"/>
              </w:rPr>
              <w:t>1,971,699</w:t>
            </w:r>
          </w:p>
        </w:tc>
        <w:tc>
          <w:tcPr>
            <w:tcW w:w="0" w:type="dxa"/>
            <w:vAlign w:val="bottom"/>
          </w:tcPr>
          <w:p>
            <w:pPr>
              <w:spacing w:after="0"/>
              <w:rPr>
                <w:sz w:val="1"/>
                <w:szCs w:val="1"/>
                <w:color w:val="auto"/>
              </w:rPr>
            </w:pPr>
          </w:p>
        </w:tc>
      </w:tr>
      <w:tr>
        <w:trPr>
          <w:trHeight w:val="161"/>
        </w:trPr>
        <w:tc>
          <w:tcPr>
            <w:tcW w:w="4780" w:type="dxa"/>
            <w:vAlign w:val="bottom"/>
            <w:shd w:val="clear" w:color="auto" w:fill="DDE9F2"/>
          </w:tcPr>
          <w:p>
            <w:pPr>
              <w:ind w:left="140"/>
              <w:spacing w:after="0"/>
              <w:rPr>
                <w:sz w:val="20"/>
                <w:szCs w:val="20"/>
                <w:color w:val="auto"/>
              </w:rPr>
            </w:pPr>
            <w:r>
              <w:rPr>
                <w:rFonts w:ascii="Arial" w:cs="Arial" w:eastAsia="Arial" w:hAnsi="Arial"/>
                <w:sz w:val="14"/>
                <w:szCs w:val="14"/>
                <w:color w:val="0B2E44"/>
              </w:rPr>
              <w:t>Involuntary termination without cause or with good reason in connection</w:t>
            </w:r>
          </w:p>
        </w:tc>
        <w:tc>
          <w:tcPr>
            <w:tcW w:w="1160" w:type="dxa"/>
            <w:vAlign w:val="bottom"/>
            <w:vMerge w:val="restart"/>
            <w:shd w:val="clear" w:color="auto" w:fill="DDE9F2"/>
          </w:tcPr>
          <w:p>
            <w:pPr>
              <w:jc w:val="right"/>
              <w:ind w:right="29"/>
              <w:spacing w:after="0"/>
              <w:rPr>
                <w:sz w:val="20"/>
                <w:szCs w:val="20"/>
                <w:color w:val="auto"/>
              </w:rPr>
            </w:pPr>
            <w:r>
              <w:rPr>
                <w:rFonts w:ascii="Arial" w:cs="Arial" w:eastAsia="Arial" w:hAnsi="Arial"/>
                <w:sz w:val="14"/>
                <w:szCs w:val="14"/>
                <w:color w:val="0B2E44"/>
              </w:rPr>
              <w:t>410,000</w:t>
            </w:r>
          </w:p>
        </w:tc>
        <w:tc>
          <w:tcPr>
            <w:tcW w:w="1100" w:type="dxa"/>
            <w:vAlign w:val="bottom"/>
            <w:vMerge w:val="restart"/>
            <w:shd w:val="clear" w:color="auto" w:fill="DDE9F2"/>
          </w:tcPr>
          <w:p>
            <w:pPr>
              <w:jc w:val="right"/>
              <w:ind w:right="31"/>
              <w:spacing w:after="0"/>
              <w:rPr>
                <w:sz w:val="20"/>
                <w:szCs w:val="20"/>
                <w:color w:val="auto"/>
              </w:rPr>
            </w:pPr>
            <w:r>
              <w:rPr>
                <w:rFonts w:ascii="Arial" w:cs="Arial" w:eastAsia="Arial" w:hAnsi="Arial"/>
                <w:sz w:val="14"/>
                <w:szCs w:val="14"/>
                <w:color w:val="0B2E44"/>
              </w:rPr>
              <w:t>—</w:t>
            </w:r>
          </w:p>
        </w:tc>
        <w:tc>
          <w:tcPr>
            <w:tcW w:w="260" w:type="dxa"/>
            <w:vAlign w:val="bottom"/>
            <w:shd w:val="clear" w:color="auto" w:fill="DDE9F2"/>
          </w:tcPr>
          <w:p>
            <w:pPr>
              <w:spacing w:after="0"/>
              <w:rPr>
                <w:sz w:val="13"/>
                <w:szCs w:val="13"/>
                <w:color w:val="auto"/>
              </w:rPr>
            </w:pPr>
          </w:p>
        </w:tc>
        <w:tc>
          <w:tcPr>
            <w:tcW w:w="1180" w:type="dxa"/>
            <w:vAlign w:val="bottom"/>
            <w:vMerge w:val="restart"/>
            <w:shd w:val="clear" w:color="auto" w:fill="DDE9F2"/>
          </w:tcPr>
          <w:p>
            <w:pPr>
              <w:jc w:val="right"/>
              <w:ind w:right="31"/>
              <w:spacing w:after="0"/>
              <w:rPr>
                <w:sz w:val="20"/>
                <w:szCs w:val="20"/>
                <w:color w:val="auto"/>
              </w:rPr>
            </w:pPr>
            <w:r>
              <w:rPr>
                <w:rFonts w:ascii="Arial" w:cs="Arial" w:eastAsia="Arial" w:hAnsi="Arial"/>
                <w:sz w:val="14"/>
                <w:szCs w:val="14"/>
                <w:color w:val="0B2E44"/>
              </w:rPr>
              <w:t>2,532,363(2)</w:t>
            </w:r>
          </w:p>
        </w:tc>
        <w:tc>
          <w:tcPr>
            <w:tcW w:w="1600" w:type="dxa"/>
            <w:vAlign w:val="bottom"/>
            <w:vMerge w:val="restart"/>
            <w:shd w:val="clear" w:color="auto" w:fill="DDE9F2"/>
          </w:tcPr>
          <w:p>
            <w:pPr>
              <w:jc w:val="right"/>
              <w:ind w:right="331"/>
              <w:spacing w:after="0"/>
              <w:rPr>
                <w:sz w:val="20"/>
                <w:szCs w:val="20"/>
                <w:color w:val="auto"/>
              </w:rPr>
            </w:pPr>
            <w:r>
              <w:rPr>
                <w:rFonts w:ascii="Arial" w:cs="Arial" w:eastAsia="Arial" w:hAnsi="Arial"/>
                <w:sz w:val="14"/>
                <w:szCs w:val="14"/>
                <w:color w:val="0B2E44"/>
              </w:rPr>
              <w:t>35,733</w:t>
            </w:r>
          </w:p>
        </w:tc>
        <w:tc>
          <w:tcPr>
            <w:tcW w:w="1160" w:type="dxa"/>
            <w:vAlign w:val="bottom"/>
            <w:vMerge w:val="restart"/>
            <w:shd w:val="clear" w:color="auto" w:fill="DDE9F2"/>
          </w:tcPr>
          <w:p>
            <w:pPr>
              <w:jc w:val="right"/>
              <w:ind w:right="30"/>
              <w:spacing w:after="0"/>
              <w:rPr>
                <w:sz w:val="20"/>
                <w:szCs w:val="20"/>
                <w:color w:val="auto"/>
              </w:rPr>
            </w:pPr>
            <w:r>
              <w:rPr>
                <w:rFonts w:ascii="Arial" w:cs="Arial" w:eastAsia="Arial" w:hAnsi="Arial"/>
                <w:sz w:val="14"/>
                <w:szCs w:val="14"/>
                <w:color w:val="0B2E44"/>
              </w:rPr>
              <w:t>2,978,096</w:t>
            </w:r>
          </w:p>
        </w:tc>
        <w:tc>
          <w:tcPr>
            <w:tcW w:w="0" w:type="dxa"/>
            <w:vAlign w:val="bottom"/>
          </w:tcPr>
          <w:p>
            <w:pPr>
              <w:spacing w:after="0"/>
              <w:rPr>
                <w:sz w:val="1"/>
                <w:szCs w:val="1"/>
                <w:color w:val="auto"/>
              </w:rPr>
            </w:pPr>
          </w:p>
        </w:tc>
      </w:tr>
      <w:tr>
        <w:trPr>
          <w:trHeight w:val="110"/>
        </w:trPr>
        <w:tc>
          <w:tcPr>
            <w:tcW w:w="4780" w:type="dxa"/>
            <w:vAlign w:val="bottom"/>
            <w:vMerge w:val="restart"/>
            <w:shd w:val="clear" w:color="auto" w:fill="DDE9F2"/>
          </w:tcPr>
          <w:p>
            <w:pPr>
              <w:ind w:left="140"/>
              <w:spacing w:after="0"/>
              <w:rPr>
                <w:sz w:val="20"/>
                <w:szCs w:val="20"/>
                <w:color w:val="auto"/>
              </w:rPr>
            </w:pPr>
            <w:r>
              <w:rPr>
                <w:rFonts w:ascii="Arial" w:cs="Arial" w:eastAsia="Arial" w:hAnsi="Arial"/>
                <w:sz w:val="14"/>
                <w:szCs w:val="14"/>
                <w:color w:val="0B2E44"/>
              </w:rPr>
              <w:t>with a change in control</w:t>
            </w:r>
          </w:p>
        </w:tc>
        <w:tc>
          <w:tcPr>
            <w:tcW w:w="1160" w:type="dxa"/>
            <w:vAlign w:val="bottom"/>
            <w:vMerge w:val="continue"/>
            <w:shd w:val="clear" w:color="auto" w:fill="DDE9F2"/>
          </w:tcPr>
          <w:p>
            <w:pPr>
              <w:spacing w:after="0"/>
              <w:rPr>
                <w:sz w:val="9"/>
                <w:szCs w:val="9"/>
                <w:color w:val="auto"/>
              </w:rPr>
            </w:pPr>
          </w:p>
        </w:tc>
        <w:tc>
          <w:tcPr>
            <w:tcW w:w="1100" w:type="dxa"/>
            <w:vAlign w:val="bottom"/>
            <w:vMerge w:val="continue"/>
            <w:shd w:val="clear" w:color="auto" w:fill="DDE9F2"/>
          </w:tcPr>
          <w:p>
            <w:pPr>
              <w:spacing w:after="0"/>
              <w:rPr>
                <w:sz w:val="9"/>
                <w:szCs w:val="9"/>
                <w:color w:val="auto"/>
              </w:rPr>
            </w:pPr>
          </w:p>
        </w:tc>
        <w:tc>
          <w:tcPr>
            <w:tcW w:w="260" w:type="dxa"/>
            <w:vAlign w:val="bottom"/>
            <w:shd w:val="clear" w:color="auto" w:fill="DDE9F2"/>
          </w:tcPr>
          <w:p>
            <w:pPr>
              <w:spacing w:after="0"/>
              <w:rPr>
                <w:sz w:val="9"/>
                <w:szCs w:val="9"/>
                <w:color w:val="auto"/>
              </w:rPr>
            </w:pPr>
          </w:p>
        </w:tc>
        <w:tc>
          <w:tcPr>
            <w:tcW w:w="1180" w:type="dxa"/>
            <w:vAlign w:val="bottom"/>
            <w:vMerge w:val="continue"/>
            <w:shd w:val="clear" w:color="auto" w:fill="DDE9F2"/>
          </w:tcPr>
          <w:p>
            <w:pPr>
              <w:spacing w:after="0"/>
              <w:rPr>
                <w:sz w:val="9"/>
                <w:szCs w:val="9"/>
                <w:color w:val="auto"/>
              </w:rPr>
            </w:pPr>
          </w:p>
        </w:tc>
        <w:tc>
          <w:tcPr>
            <w:tcW w:w="1600" w:type="dxa"/>
            <w:vAlign w:val="bottom"/>
            <w:vMerge w:val="continue"/>
            <w:shd w:val="clear" w:color="auto" w:fill="DDE9F2"/>
          </w:tcPr>
          <w:p>
            <w:pPr>
              <w:spacing w:after="0"/>
              <w:rPr>
                <w:sz w:val="9"/>
                <w:szCs w:val="9"/>
                <w:color w:val="auto"/>
              </w:rPr>
            </w:pPr>
          </w:p>
        </w:tc>
        <w:tc>
          <w:tcPr>
            <w:tcW w:w="1160" w:type="dxa"/>
            <w:vAlign w:val="bottom"/>
            <w:vMerge w:val="continue"/>
            <w:shd w:val="clear" w:color="auto" w:fill="DDE9F2"/>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780" w:type="dxa"/>
            <w:vAlign w:val="bottom"/>
            <w:vMerge w:val="continue"/>
            <w:shd w:val="clear" w:color="auto" w:fill="DDE9F2"/>
          </w:tcPr>
          <w:p>
            <w:pPr>
              <w:spacing w:after="0"/>
              <w:rPr>
                <w:sz w:val="6"/>
                <w:szCs w:val="6"/>
                <w:color w:val="auto"/>
              </w:rPr>
            </w:pPr>
          </w:p>
        </w:tc>
        <w:tc>
          <w:tcPr>
            <w:tcW w:w="1160" w:type="dxa"/>
            <w:vAlign w:val="bottom"/>
            <w:shd w:val="clear" w:color="auto" w:fill="DDE9F2"/>
          </w:tcPr>
          <w:p>
            <w:pPr>
              <w:spacing w:after="0"/>
              <w:rPr>
                <w:sz w:val="6"/>
                <w:szCs w:val="6"/>
                <w:color w:val="auto"/>
              </w:rPr>
            </w:pPr>
          </w:p>
        </w:tc>
        <w:tc>
          <w:tcPr>
            <w:tcW w:w="1100" w:type="dxa"/>
            <w:vAlign w:val="bottom"/>
            <w:shd w:val="clear" w:color="auto" w:fill="DDE9F2"/>
          </w:tcPr>
          <w:p>
            <w:pPr>
              <w:spacing w:after="0"/>
              <w:rPr>
                <w:sz w:val="6"/>
                <w:szCs w:val="6"/>
                <w:color w:val="auto"/>
              </w:rPr>
            </w:pPr>
          </w:p>
        </w:tc>
        <w:tc>
          <w:tcPr>
            <w:tcW w:w="260" w:type="dxa"/>
            <w:vAlign w:val="bottom"/>
            <w:shd w:val="clear" w:color="auto" w:fill="DDE9F2"/>
          </w:tcPr>
          <w:p>
            <w:pPr>
              <w:spacing w:after="0"/>
              <w:rPr>
                <w:sz w:val="6"/>
                <w:szCs w:val="6"/>
                <w:color w:val="auto"/>
              </w:rPr>
            </w:pPr>
          </w:p>
        </w:tc>
        <w:tc>
          <w:tcPr>
            <w:tcW w:w="1180" w:type="dxa"/>
            <w:vAlign w:val="bottom"/>
            <w:shd w:val="clear" w:color="auto" w:fill="DDE9F2"/>
          </w:tcPr>
          <w:p>
            <w:pPr>
              <w:spacing w:after="0"/>
              <w:rPr>
                <w:sz w:val="6"/>
                <w:szCs w:val="6"/>
                <w:color w:val="auto"/>
              </w:rPr>
            </w:pPr>
          </w:p>
        </w:tc>
        <w:tc>
          <w:tcPr>
            <w:tcW w:w="1600" w:type="dxa"/>
            <w:vAlign w:val="bottom"/>
            <w:shd w:val="clear" w:color="auto" w:fill="DDE9F2"/>
          </w:tcPr>
          <w:p>
            <w:pPr>
              <w:spacing w:after="0"/>
              <w:rPr>
                <w:sz w:val="6"/>
                <w:szCs w:val="6"/>
                <w:color w:val="auto"/>
              </w:rPr>
            </w:pPr>
          </w:p>
        </w:tc>
        <w:tc>
          <w:tcPr>
            <w:tcW w:w="1160" w:type="dxa"/>
            <w:vAlign w:val="bottom"/>
            <w:shd w:val="clear" w:color="auto" w:fill="DDE9F2"/>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140"/>
              <w:spacing w:after="0"/>
              <w:rPr>
                <w:sz w:val="20"/>
                <w:szCs w:val="20"/>
                <w:color w:val="auto"/>
              </w:rPr>
            </w:pPr>
            <w:r>
              <w:rPr>
                <w:rFonts w:ascii="Arial" w:cs="Arial" w:eastAsia="Arial" w:hAnsi="Arial"/>
                <w:sz w:val="14"/>
                <w:szCs w:val="14"/>
                <w:b w:val="1"/>
                <w:bCs w:val="1"/>
                <w:color w:val="0B2E44"/>
              </w:rPr>
              <w:t>Riccardo Di Blasio</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140"/>
              <w:spacing w:after="0"/>
              <w:rPr>
                <w:sz w:val="20"/>
                <w:szCs w:val="20"/>
                <w:color w:val="auto"/>
              </w:rPr>
            </w:pPr>
            <w:r>
              <w:rPr>
                <w:rFonts w:ascii="Arial" w:cs="Arial" w:eastAsia="Arial" w:hAnsi="Arial"/>
                <w:sz w:val="14"/>
                <w:szCs w:val="14"/>
                <w:color w:val="0B2E44"/>
              </w:rPr>
              <w:t>Death</w:t>
            </w:r>
          </w:p>
        </w:tc>
        <w:tc>
          <w:tcPr>
            <w:tcW w:w="1160" w:type="dxa"/>
            <w:vAlign w:val="bottom"/>
          </w:tcPr>
          <w:p>
            <w:pPr>
              <w:jc w:val="right"/>
              <w:ind w:right="29"/>
              <w:spacing w:after="0"/>
              <w:rPr>
                <w:sz w:val="20"/>
                <w:szCs w:val="20"/>
                <w:color w:val="auto"/>
              </w:rPr>
            </w:pPr>
            <w:r>
              <w:rPr>
                <w:rFonts w:ascii="Arial" w:cs="Arial" w:eastAsia="Arial" w:hAnsi="Arial"/>
                <w:sz w:val="14"/>
                <w:szCs w:val="14"/>
                <w:color w:val="0B2E44"/>
              </w:rPr>
              <w:t>—</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0B2E44"/>
              </w:rPr>
              <w:t>—</w:t>
            </w:r>
          </w:p>
        </w:tc>
        <w:tc>
          <w:tcPr>
            <w:tcW w:w="1180" w:type="dxa"/>
            <w:vAlign w:val="bottom"/>
          </w:tcPr>
          <w:p>
            <w:pPr>
              <w:jc w:val="right"/>
              <w:ind w:right="31"/>
              <w:spacing w:after="0"/>
              <w:rPr>
                <w:sz w:val="20"/>
                <w:szCs w:val="20"/>
                <w:color w:val="auto"/>
              </w:rPr>
            </w:pPr>
            <w:r>
              <w:rPr>
                <w:rFonts w:ascii="Arial" w:cs="Arial" w:eastAsia="Arial" w:hAnsi="Arial"/>
                <w:sz w:val="14"/>
                <w:szCs w:val="14"/>
                <w:color w:val="0B2E44"/>
              </w:rPr>
              <w:t>4,571,031(2)</w:t>
            </w:r>
          </w:p>
        </w:tc>
        <w:tc>
          <w:tcPr>
            <w:tcW w:w="1600" w:type="dxa"/>
            <w:vAlign w:val="bottom"/>
          </w:tcPr>
          <w:p>
            <w:pPr>
              <w:jc w:val="right"/>
              <w:ind w:right="331"/>
              <w:spacing w:after="0"/>
              <w:rPr>
                <w:sz w:val="20"/>
                <w:szCs w:val="20"/>
                <w:color w:val="auto"/>
              </w:rPr>
            </w:pPr>
            <w:r>
              <w:rPr>
                <w:rFonts w:ascii="Arial" w:cs="Arial" w:eastAsia="Arial" w:hAnsi="Arial"/>
                <w:sz w:val="14"/>
                <w:szCs w:val="14"/>
                <w:color w:val="0B2E44"/>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0B2E44"/>
              </w:rPr>
              <w:t>4,571,031</w:t>
            </w:r>
          </w:p>
        </w:tc>
        <w:tc>
          <w:tcPr>
            <w:tcW w:w="0" w:type="dxa"/>
            <w:vAlign w:val="bottom"/>
          </w:tcPr>
          <w:p>
            <w:pPr>
              <w:spacing w:after="0"/>
              <w:rPr>
                <w:sz w:val="1"/>
                <w:szCs w:val="1"/>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4"/>
                <w:szCs w:val="14"/>
                <w:color w:val="0B2E44"/>
              </w:rPr>
              <w:t>Disability</w:t>
            </w:r>
          </w:p>
        </w:tc>
        <w:tc>
          <w:tcPr>
            <w:tcW w:w="1160" w:type="dxa"/>
            <w:vAlign w:val="bottom"/>
          </w:tcPr>
          <w:p>
            <w:pPr>
              <w:jc w:val="right"/>
              <w:ind w:right="29"/>
              <w:spacing w:after="0"/>
              <w:rPr>
                <w:sz w:val="20"/>
                <w:szCs w:val="20"/>
                <w:color w:val="auto"/>
              </w:rPr>
            </w:pPr>
            <w:r>
              <w:rPr>
                <w:rFonts w:ascii="Arial" w:cs="Arial" w:eastAsia="Arial" w:hAnsi="Arial"/>
                <w:sz w:val="14"/>
                <w:szCs w:val="14"/>
                <w:color w:val="0B2E44"/>
              </w:rPr>
              <w:t>—</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0B2E44"/>
              </w:rPr>
              <w:t>—</w:t>
            </w:r>
          </w:p>
        </w:tc>
        <w:tc>
          <w:tcPr>
            <w:tcW w:w="1180" w:type="dxa"/>
            <w:vAlign w:val="bottom"/>
          </w:tcPr>
          <w:p>
            <w:pPr>
              <w:jc w:val="right"/>
              <w:ind w:right="31"/>
              <w:spacing w:after="0"/>
              <w:rPr>
                <w:sz w:val="20"/>
                <w:szCs w:val="20"/>
                <w:color w:val="auto"/>
              </w:rPr>
            </w:pPr>
            <w:r>
              <w:rPr>
                <w:rFonts w:ascii="Arial" w:cs="Arial" w:eastAsia="Arial" w:hAnsi="Arial"/>
                <w:sz w:val="14"/>
                <w:szCs w:val="14"/>
                <w:color w:val="0B2E44"/>
              </w:rPr>
              <w:t>4,571,031(2)</w:t>
            </w:r>
          </w:p>
        </w:tc>
        <w:tc>
          <w:tcPr>
            <w:tcW w:w="1600" w:type="dxa"/>
            <w:vAlign w:val="bottom"/>
          </w:tcPr>
          <w:p>
            <w:pPr>
              <w:jc w:val="right"/>
              <w:ind w:right="331"/>
              <w:spacing w:after="0"/>
              <w:rPr>
                <w:sz w:val="20"/>
                <w:szCs w:val="20"/>
                <w:color w:val="auto"/>
              </w:rPr>
            </w:pPr>
            <w:r>
              <w:rPr>
                <w:rFonts w:ascii="Arial" w:cs="Arial" w:eastAsia="Arial" w:hAnsi="Arial"/>
                <w:sz w:val="14"/>
                <w:szCs w:val="14"/>
                <w:color w:val="0B2E44"/>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0B2E44"/>
              </w:rPr>
              <w:t>4,571,031</w:t>
            </w:r>
          </w:p>
        </w:tc>
        <w:tc>
          <w:tcPr>
            <w:tcW w:w="0" w:type="dxa"/>
            <w:vAlign w:val="bottom"/>
          </w:tcPr>
          <w:p>
            <w:pPr>
              <w:spacing w:after="0"/>
              <w:rPr>
                <w:sz w:val="1"/>
                <w:szCs w:val="1"/>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4"/>
                <w:szCs w:val="14"/>
                <w:color w:val="0B2E44"/>
              </w:rPr>
              <w:t>Involuntary termination without cause or with good reason</w:t>
            </w:r>
          </w:p>
        </w:tc>
        <w:tc>
          <w:tcPr>
            <w:tcW w:w="1160" w:type="dxa"/>
            <w:vAlign w:val="bottom"/>
          </w:tcPr>
          <w:p>
            <w:pPr>
              <w:jc w:val="right"/>
              <w:ind w:right="29"/>
              <w:spacing w:after="0"/>
              <w:rPr>
                <w:sz w:val="20"/>
                <w:szCs w:val="20"/>
                <w:color w:val="auto"/>
              </w:rPr>
            </w:pPr>
            <w:r>
              <w:rPr>
                <w:rFonts w:ascii="Arial" w:cs="Arial" w:eastAsia="Arial" w:hAnsi="Arial"/>
                <w:sz w:val="14"/>
                <w:szCs w:val="14"/>
                <w:color w:val="0B2E44"/>
              </w:rPr>
              <w:t>475,000</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0B2E44"/>
              </w:rPr>
              <w:t>—</w:t>
            </w:r>
          </w:p>
        </w:tc>
        <w:tc>
          <w:tcPr>
            <w:tcW w:w="1180" w:type="dxa"/>
            <w:vAlign w:val="bottom"/>
          </w:tcPr>
          <w:p>
            <w:pPr>
              <w:jc w:val="right"/>
              <w:ind w:right="31"/>
              <w:spacing w:after="0"/>
              <w:rPr>
                <w:sz w:val="20"/>
                <w:szCs w:val="20"/>
                <w:color w:val="auto"/>
              </w:rPr>
            </w:pPr>
            <w:r>
              <w:rPr>
                <w:rFonts w:ascii="Arial" w:cs="Arial" w:eastAsia="Arial" w:hAnsi="Arial"/>
                <w:sz w:val="14"/>
                <w:szCs w:val="14"/>
                <w:color w:val="0B2E44"/>
              </w:rPr>
              <w:t>2,840,631(3)</w:t>
            </w:r>
          </w:p>
        </w:tc>
        <w:tc>
          <w:tcPr>
            <w:tcW w:w="1600" w:type="dxa"/>
            <w:vAlign w:val="bottom"/>
          </w:tcPr>
          <w:p>
            <w:pPr>
              <w:jc w:val="right"/>
              <w:ind w:right="331"/>
              <w:spacing w:after="0"/>
              <w:rPr>
                <w:sz w:val="20"/>
                <w:szCs w:val="20"/>
                <w:color w:val="auto"/>
              </w:rPr>
            </w:pPr>
            <w:r>
              <w:rPr>
                <w:rFonts w:ascii="Arial" w:cs="Arial" w:eastAsia="Arial" w:hAnsi="Arial"/>
                <w:sz w:val="14"/>
                <w:szCs w:val="14"/>
                <w:color w:val="0B2E44"/>
              </w:rPr>
              <w:t>26,134</w:t>
            </w:r>
          </w:p>
        </w:tc>
        <w:tc>
          <w:tcPr>
            <w:tcW w:w="1160" w:type="dxa"/>
            <w:vAlign w:val="bottom"/>
          </w:tcPr>
          <w:p>
            <w:pPr>
              <w:jc w:val="right"/>
              <w:ind w:right="30"/>
              <w:spacing w:after="0"/>
              <w:rPr>
                <w:sz w:val="20"/>
                <w:szCs w:val="20"/>
                <w:color w:val="auto"/>
              </w:rPr>
            </w:pPr>
            <w:r>
              <w:rPr>
                <w:rFonts w:ascii="Arial" w:cs="Arial" w:eastAsia="Arial" w:hAnsi="Arial"/>
                <w:sz w:val="14"/>
                <w:szCs w:val="14"/>
                <w:color w:val="0B2E44"/>
              </w:rPr>
              <w:t>3,341,765</w:t>
            </w:r>
          </w:p>
        </w:tc>
        <w:tc>
          <w:tcPr>
            <w:tcW w:w="0" w:type="dxa"/>
            <w:vAlign w:val="bottom"/>
          </w:tcPr>
          <w:p>
            <w:pPr>
              <w:spacing w:after="0"/>
              <w:rPr>
                <w:sz w:val="1"/>
                <w:szCs w:val="1"/>
                <w:color w:val="auto"/>
              </w:rPr>
            </w:pPr>
          </w:p>
        </w:tc>
      </w:tr>
      <w:tr>
        <w:trPr>
          <w:trHeight w:val="155"/>
        </w:trPr>
        <w:tc>
          <w:tcPr>
            <w:tcW w:w="4780" w:type="dxa"/>
            <w:vAlign w:val="bottom"/>
          </w:tcPr>
          <w:p>
            <w:pPr>
              <w:ind w:left="140"/>
              <w:spacing w:after="0" w:line="155" w:lineRule="exact"/>
              <w:rPr>
                <w:sz w:val="20"/>
                <w:szCs w:val="20"/>
                <w:color w:val="auto"/>
              </w:rPr>
            </w:pPr>
            <w:r>
              <w:rPr>
                <w:rFonts w:ascii="Arial" w:cs="Arial" w:eastAsia="Arial" w:hAnsi="Arial"/>
                <w:sz w:val="14"/>
                <w:szCs w:val="14"/>
                <w:color w:val="0B2E44"/>
              </w:rPr>
              <w:t>Involuntary termination without cause or with good reason in connection</w:t>
            </w:r>
          </w:p>
        </w:tc>
        <w:tc>
          <w:tcPr>
            <w:tcW w:w="1160" w:type="dxa"/>
            <w:vAlign w:val="bottom"/>
            <w:vMerge w:val="restart"/>
          </w:tcPr>
          <w:p>
            <w:pPr>
              <w:jc w:val="right"/>
              <w:ind w:right="29"/>
              <w:spacing w:after="0"/>
              <w:rPr>
                <w:sz w:val="20"/>
                <w:szCs w:val="20"/>
                <w:color w:val="auto"/>
              </w:rPr>
            </w:pPr>
            <w:r>
              <w:rPr>
                <w:rFonts w:ascii="Arial" w:cs="Arial" w:eastAsia="Arial" w:hAnsi="Arial"/>
                <w:sz w:val="14"/>
                <w:szCs w:val="14"/>
                <w:color w:val="0B2E44"/>
              </w:rPr>
              <w:t>475,000</w:t>
            </w: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0B2E44"/>
              </w:rPr>
              <w:t>—</w:t>
            </w:r>
          </w:p>
        </w:tc>
        <w:tc>
          <w:tcPr>
            <w:tcW w:w="1180" w:type="dxa"/>
            <w:vAlign w:val="bottom"/>
            <w:vMerge w:val="restart"/>
          </w:tcPr>
          <w:p>
            <w:pPr>
              <w:jc w:val="right"/>
              <w:ind w:right="31"/>
              <w:spacing w:after="0"/>
              <w:rPr>
                <w:sz w:val="20"/>
                <w:szCs w:val="20"/>
                <w:color w:val="auto"/>
              </w:rPr>
            </w:pPr>
            <w:r>
              <w:rPr>
                <w:rFonts w:ascii="Arial" w:cs="Arial" w:eastAsia="Arial" w:hAnsi="Arial"/>
                <w:sz w:val="14"/>
                <w:szCs w:val="14"/>
                <w:color w:val="0B2E44"/>
              </w:rPr>
              <w:t>4,571,031(2)</w:t>
            </w:r>
          </w:p>
        </w:tc>
        <w:tc>
          <w:tcPr>
            <w:tcW w:w="1600" w:type="dxa"/>
            <w:vAlign w:val="bottom"/>
            <w:vMerge w:val="restart"/>
          </w:tcPr>
          <w:p>
            <w:pPr>
              <w:jc w:val="right"/>
              <w:ind w:right="331"/>
              <w:spacing w:after="0"/>
              <w:rPr>
                <w:sz w:val="20"/>
                <w:szCs w:val="20"/>
                <w:color w:val="auto"/>
              </w:rPr>
            </w:pPr>
            <w:r>
              <w:rPr>
                <w:rFonts w:ascii="Arial" w:cs="Arial" w:eastAsia="Arial" w:hAnsi="Arial"/>
                <w:sz w:val="14"/>
                <w:szCs w:val="14"/>
                <w:color w:val="0B2E44"/>
              </w:rPr>
              <w:t>26,134</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0B2E44"/>
              </w:rPr>
              <w:t>5,072,165</w:t>
            </w:r>
          </w:p>
        </w:tc>
        <w:tc>
          <w:tcPr>
            <w:tcW w:w="0" w:type="dxa"/>
            <w:vAlign w:val="bottom"/>
          </w:tcPr>
          <w:p>
            <w:pPr>
              <w:spacing w:after="0"/>
              <w:rPr>
                <w:sz w:val="1"/>
                <w:szCs w:val="1"/>
                <w:color w:val="auto"/>
              </w:rPr>
            </w:pPr>
          </w:p>
        </w:tc>
      </w:tr>
      <w:tr>
        <w:trPr>
          <w:trHeight w:val="115"/>
        </w:trPr>
        <w:tc>
          <w:tcPr>
            <w:tcW w:w="4780" w:type="dxa"/>
            <w:vAlign w:val="bottom"/>
            <w:vMerge w:val="restart"/>
          </w:tcPr>
          <w:p>
            <w:pPr>
              <w:ind w:left="140"/>
              <w:spacing w:after="0"/>
              <w:rPr>
                <w:sz w:val="20"/>
                <w:szCs w:val="20"/>
                <w:color w:val="auto"/>
              </w:rPr>
            </w:pPr>
            <w:r>
              <w:rPr>
                <w:rFonts w:ascii="Arial" w:cs="Arial" w:eastAsia="Arial" w:hAnsi="Arial"/>
                <w:sz w:val="14"/>
                <w:szCs w:val="14"/>
                <w:color w:val="0B2E44"/>
              </w:rPr>
              <w:t>with a change in control</w:t>
            </w:r>
          </w:p>
        </w:tc>
        <w:tc>
          <w:tcPr>
            <w:tcW w:w="1160" w:type="dxa"/>
            <w:vAlign w:val="bottom"/>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7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0B2E44"/>
            </w:tcBorders>
            <w:shd w:val="clear" w:color="auto" w:fill="DDE9F2"/>
          </w:tcPr>
          <w:p>
            <w:pPr>
              <w:ind w:left="140"/>
              <w:spacing w:after="0"/>
              <w:rPr>
                <w:sz w:val="20"/>
                <w:szCs w:val="20"/>
                <w:color w:val="auto"/>
              </w:rPr>
            </w:pPr>
            <w:r>
              <w:rPr>
                <w:rFonts w:ascii="Arial" w:cs="Arial" w:eastAsia="Arial" w:hAnsi="Arial"/>
                <w:sz w:val="14"/>
                <w:szCs w:val="14"/>
                <w:b w:val="1"/>
                <w:bCs w:val="1"/>
                <w:color w:val="0B2E44"/>
              </w:rPr>
              <w:t>Brian Carolan(4)</w:t>
            </w:r>
          </w:p>
        </w:tc>
        <w:tc>
          <w:tcPr>
            <w:tcW w:w="1160" w:type="dxa"/>
            <w:vAlign w:val="bottom"/>
            <w:tcBorders>
              <w:bottom w:val="single" w:sz="8" w:color="0B2E44"/>
            </w:tcBorders>
            <w:shd w:val="clear" w:color="auto" w:fill="DDE9F2"/>
          </w:tcPr>
          <w:p>
            <w:pPr>
              <w:jc w:val="right"/>
              <w:ind w:right="29"/>
              <w:spacing w:after="0"/>
              <w:rPr>
                <w:sz w:val="20"/>
                <w:szCs w:val="20"/>
                <w:color w:val="auto"/>
              </w:rPr>
            </w:pPr>
            <w:r>
              <w:rPr>
                <w:rFonts w:ascii="Arial" w:cs="Arial" w:eastAsia="Arial" w:hAnsi="Arial"/>
                <w:sz w:val="14"/>
                <w:szCs w:val="14"/>
                <w:color w:val="0B2E44"/>
              </w:rPr>
              <w:t>—</w:t>
            </w:r>
          </w:p>
        </w:tc>
        <w:tc>
          <w:tcPr>
            <w:tcW w:w="1360" w:type="dxa"/>
            <w:vAlign w:val="bottom"/>
            <w:tcBorders>
              <w:bottom w:val="single" w:sz="8" w:color="0B2E44"/>
            </w:tcBorders>
            <w:gridSpan w:val="2"/>
            <w:shd w:val="clear" w:color="auto" w:fill="DDE9F2"/>
          </w:tcPr>
          <w:p>
            <w:pPr>
              <w:jc w:val="right"/>
              <w:ind w:right="360"/>
              <w:spacing w:after="0"/>
              <w:rPr>
                <w:sz w:val="20"/>
                <w:szCs w:val="20"/>
                <w:color w:val="auto"/>
              </w:rPr>
            </w:pPr>
            <w:r>
              <w:rPr>
                <w:rFonts w:ascii="Arial" w:cs="Arial" w:eastAsia="Arial" w:hAnsi="Arial"/>
                <w:sz w:val="14"/>
                <w:szCs w:val="14"/>
                <w:color w:val="0B2E44"/>
              </w:rPr>
              <w:t>—</w:t>
            </w:r>
          </w:p>
        </w:tc>
        <w:tc>
          <w:tcPr>
            <w:tcW w:w="1180" w:type="dxa"/>
            <w:vAlign w:val="bottom"/>
            <w:tcBorders>
              <w:bottom w:val="single" w:sz="8" w:color="0B2E44"/>
            </w:tcBorders>
            <w:shd w:val="clear" w:color="auto" w:fill="DDE9F2"/>
          </w:tcPr>
          <w:p>
            <w:pPr>
              <w:jc w:val="right"/>
              <w:ind w:right="31"/>
              <w:spacing w:after="0"/>
              <w:rPr>
                <w:sz w:val="20"/>
                <w:szCs w:val="20"/>
                <w:color w:val="auto"/>
              </w:rPr>
            </w:pPr>
            <w:r>
              <w:rPr>
                <w:rFonts w:ascii="Arial" w:cs="Arial" w:eastAsia="Arial" w:hAnsi="Arial"/>
                <w:sz w:val="14"/>
                <w:szCs w:val="14"/>
                <w:color w:val="0B2E44"/>
              </w:rPr>
              <w:t>—</w:t>
            </w:r>
          </w:p>
        </w:tc>
        <w:tc>
          <w:tcPr>
            <w:tcW w:w="1600" w:type="dxa"/>
            <w:vAlign w:val="bottom"/>
            <w:tcBorders>
              <w:bottom w:val="single" w:sz="8" w:color="0B2E44"/>
            </w:tcBorders>
            <w:shd w:val="clear" w:color="auto" w:fill="DDE9F2"/>
          </w:tcPr>
          <w:p>
            <w:pPr>
              <w:jc w:val="right"/>
              <w:ind w:right="331"/>
              <w:spacing w:after="0"/>
              <w:rPr>
                <w:sz w:val="20"/>
                <w:szCs w:val="20"/>
                <w:color w:val="auto"/>
              </w:rPr>
            </w:pPr>
            <w:r>
              <w:rPr>
                <w:rFonts w:ascii="Arial" w:cs="Arial" w:eastAsia="Arial" w:hAnsi="Arial"/>
                <w:sz w:val="14"/>
                <w:szCs w:val="14"/>
                <w:color w:val="0B2E44"/>
              </w:rPr>
              <w:t>—</w:t>
            </w:r>
          </w:p>
        </w:tc>
        <w:tc>
          <w:tcPr>
            <w:tcW w:w="1160" w:type="dxa"/>
            <w:vAlign w:val="bottom"/>
            <w:tcBorders>
              <w:bottom w:val="single" w:sz="8" w:color="0B2E44"/>
            </w:tcBorders>
            <w:shd w:val="clear" w:color="auto" w:fill="DDE9F2"/>
          </w:tcPr>
          <w:p>
            <w:pPr>
              <w:jc w:val="right"/>
              <w:ind w:right="30"/>
              <w:spacing w:after="0"/>
              <w:rPr>
                <w:sz w:val="20"/>
                <w:szCs w:val="20"/>
                <w:color w:val="auto"/>
              </w:rPr>
            </w:pPr>
            <w:r>
              <w:rPr>
                <w:rFonts w:ascii="Arial" w:cs="Arial" w:eastAsia="Arial" w:hAnsi="Arial"/>
                <w:sz w:val="14"/>
                <w:szCs w:val="14"/>
                <w:color w:val="0B2E44"/>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0" w:right="100" w:hanging="332"/>
        <w:spacing w:after="0" w:line="244" w:lineRule="auto"/>
        <w:tabs>
          <w:tab w:leader="none" w:pos="255" w:val="left"/>
        </w:tabs>
        <w:numPr>
          <w:ilvl w:val="0"/>
          <w:numId w:val="51"/>
        </w:numPr>
        <w:rPr>
          <w:rFonts w:ascii="Arial" w:cs="Arial" w:eastAsia="Arial" w:hAnsi="Arial"/>
          <w:sz w:val="13"/>
          <w:szCs w:val="13"/>
          <w:color w:val="0B2E44"/>
        </w:rPr>
      </w:pPr>
      <w:r>
        <w:rPr>
          <w:rFonts w:ascii="Arial" w:cs="Arial" w:eastAsia="Arial" w:hAnsi="Arial"/>
          <w:sz w:val="13"/>
          <w:szCs w:val="13"/>
          <w:color w:val="0B2E44"/>
        </w:rPr>
        <w:t>Amounts in this column describe the value of restricted stock unit awards and performance stock unit awards that would vest upon the triggering event described in the leftmost column, based on a closing price of $56.74 per share of our common stock on March 31, 2023.</w:t>
      </w:r>
    </w:p>
    <w:p>
      <w:pPr>
        <w:spacing w:after="0" w:line="1" w:lineRule="exact"/>
        <w:rPr>
          <w:rFonts w:ascii="Arial" w:cs="Arial" w:eastAsia="Arial" w:hAnsi="Arial"/>
          <w:sz w:val="13"/>
          <w:szCs w:val="13"/>
          <w:color w:val="0B2E44"/>
        </w:rPr>
      </w:pPr>
    </w:p>
    <w:p>
      <w:pPr>
        <w:ind w:left="340" w:right="80" w:hanging="332"/>
        <w:spacing w:after="0" w:line="243" w:lineRule="auto"/>
        <w:tabs>
          <w:tab w:leader="none" w:pos="255" w:val="left"/>
        </w:tabs>
        <w:numPr>
          <w:ilvl w:val="0"/>
          <w:numId w:val="51"/>
        </w:numPr>
        <w:rPr>
          <w:rFonts w:ascii="Arial" w:cs="Arial" w:eastAsia="Arial" w:hAnsi="Arial"/>
          <w:sz w:val="13"/>
          <w:szCs w:val="13"/>
          <w:color w:val="0B2E44"/>
        </w:rPr>
      </w:pPr>
      <w:r>
        <w:rPr>
          <w:rFonts w:ascii="Arial" w:cs="Arial" w:eastAsia="Arial" w:hAnsi="Arial"/>
          <w:sz w:val="13"/>
          <w:szCs w:val="13"/>
          <w:color w:val="0B2E44"/>
        </w:rPr>
        <w:t>As described in the named executive officers’ respective employment agreements or change in control agreements, upon death, disability, or involuntary termination by the Company without cause or by the named executive officer for good reason, in each case, on or within the two years following a change in control, all outstanding restricted stock unit awards and performance stock unit awards would become immediately vested. Any stock awards with performance conditions that are not yet determinable (such as if the performance measurement period has not been completed) will be deemed to have been earned at 100% of target and will be payable in accordance with their terms.</w:t>
      </w:r>
    </w:p>
    <w:p>
      <w:pPr>
        <w:spacing w:after="0" w:line="2" w:lineRule="exact"/>
        <w:rPr>
          <w:rFonts w:ascii="Arial" w:cs="Arial" w:eastAsia="Arial" w:hAnsi="Arial"/>
          <w:sz w:val="13"/>
          <w:szCs w:val="13"/>
          <w:color w:val="0B2E44"/>
        </w:rPr>
      </w:pPr>
    </w:p>
    <w:p>
      <w:pPr>
        <w:ind w:left="340" w:right="160" w:hanging="332"/>
        <w:spacing w:after="0" w:line="243" w:lineRule="auto"/>
        <w:tabs>
          <w:tab w:leader="none" w:pos="255" w:val="left"/>
        </w:tabs>
        <w:numPr>
          <w:ilvl w:val="0"/>
          <w:numId w:val="51"/>
        </w:numPr>
        <w:rPr>
          <w:rFonts w:ascii="Arial" w:cs="Arial" w:eastAsia="Arial" w:hAnsi="Arial"/>
          <w:sz w:val="13"/>
          <w:szCs w:val="13"/>
          <w:color w:val="0B2E44"/>
        </w:rPr>
      </w:pPr>
      <w:r>
        <w:rPr>
          <w:rFonts w:ascii="Arial" w:cs="Arial" w:eastAsia="Arial" w:hAnsi="Arial"/>
          <w:sz w:val="13"/>
          <w:szCs w:val="13"/>
          <w:color w:val="0B2E44"/>
        </w:rPr>
        <w:t>As described in the named executive officers’ respective employment agreements, involuntary termination by the Company without cause or by the named executive officer for good reason other than within two years following a change in control would result in the vesting of restricted stock units and performance stock unit awards that would have vested had the named executive officer remained with the Company an additional year. Any performance stock unit awards with conditions that are not yet determined (such as if the performance measurement period has not been completed) will be deemed to have been earned at 100% of target and will be payable in accordance with their terms.</w:t>
      </w:r>
    </w:p>
    <w:p>
      <w:pPr>
        <w:spacing w:after="0" w:line="2" w:lineRule="exact"/>
        <w:rPr>
          <w:rFonts w:ascii="Arial" w:cs="Arial" w:eastAsia="Arial" w:hAnsi="Arial"/>
          <w:sz w:val="13"/>
          <w:szCs w:val="13"/>
          <w:color w:val="0B2E44"/>
        </w:rPr>
      </w:pPr>
    </w:p>
    <w:p>
      <w:pPr>
        <w:ind w:left="340" w:right="520" w:hanging="332"/>
        <w:spacing w:after="0"/>
        <w:tabs>
          <w:tab w:leader="none" w:pos="255" w:val="left"/>
        </w:tabs>
        <w:numPr>
          <w:ilvl w:val="0"/>
          <w:numId w:val="51"/>
        </w:numPr>
        <w:rPr>
          <w:rFonts w:ascii="Arial" w:cs="Arial" w:eastAsia="Arial" w:hAnsi="Arial"/>
          <w:sz w:val="13"/>
          <w:szCs w:val="13"/>
          <w:color w:val="0B2E44"/>
        </w:rPr>
      </w:pPr>
      <w:r>
        <w:rPr>
          <w:rFonts w:ascii="Arial" w:cs="Arial" w:eastAsia="Arial" w:hAnsi="Arial"/>
          <w:sz w:val="13"/>
          <w:szCs w:val="13"/>
          <w:color w:val="0B2E44"/>
        </w:rPr>
        <w:t>Pursuant to the terms of Mr. Carolan’s separation agreement, he received 12 months of his then-current base salary, a pro-rata bonus at the target level of performance, 12 months COBRA continuation coverage and continued vesting of his outstanding equity awards. In the event of a Change in Control of the Company, vesting of Mr. Carolan’s outstanding equity awards will accelerate as described in his change in control agreement as if Mr. Carolan had resigned from his employment with good reason.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47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CEO PAY RATIO</w:t>
      </w: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CEO Pay Ratio</w:t>
      </w:r>
    </w:p>
    <w:p>
      <w:pPr>
        <w:spacing w:after="0" w:line="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0B2E44"/>
        </w:rPr>
        <w:t>As required by Item 402(u) of Regulation S-K, we are providing the following information regarding the relationship of the annual total compensation for our CEO compared to the median of the annual total compensation of all of our employees (except for our CEO).</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B2E44"/>
        </w:rPr>
        <w:t>For fiscal 2023:</w:t>
      </w:r>
    </w:p>
    <w:p>
      <w:pPr>
        <w:spacing w:after="0" w:line="113"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16"/>
          <w:szCs w:val="16"/>
          <w:color w:val="E14A6A"/>
        </w:rPr>
      </w:pPr>
      <w:r>
        <w:rPr>
          <w:rFonts w:ascii="Arial" w:cs="Arial" w:eastAsia="Arial" w:hAnsi="Arial"/>
          <w:sz w:val="16"/>
          <w:szCs w:val="16"/>
          <w:color w:val="092E44"/>
        </w:rPr>
        <w:t>The median of the annual total compensation of all of our employees, excluding our CEO, was $92,776.</w:t>
      </w:r>
    </w:p>
    <w:p>
      <w:pPr>
        <w:spacing w:after="0" w:line="140" w:lineRule="exact"/>
        <w:rPr>
          <w:rFonts w:ascii="Arial" w:cs="Arial" w:eastAsia="Arial" w:hAnsi="Arial"/>
          <w:sz w:val="16"/>
          <w:szCs w:val="16"/>
          <w:color w:val="E14A6A"/>
        </w:rPr>
      </w:pPr>
    </w:p>
    <w:p>
      <w:pPr>
        <w:ind w:left="120" w:hanging="112"/>
        <w:spacing w:after="0"/>
        <w:tabs>
          <w:tab w:leader="none" w:pos="120" w:val="left"/>
        </w:tabs>
        <w:numPr>
          <w:ilvl w:val="0"/>
          <w:numId w:val="52"/>
        </w:numPr>
        <w:rPr>
          <w:rFonts w:ascii="Arial" w:cs="Arial" w:eastAsia="Arial" w:hAnsi="Arial"/>
          <w:sz w:val="16"/>
          <w:szCs w:val="16"/>
          <w:color w:val="E14A6A"/>
        </w:rPr>
      </w:pPr>
      <w:r>
        <w:rPr>
          <w:rFonts w:ascii="Arial" w:cs="Arial" w:eastAsia="Arial" w:hAnsi="Arial"/>
          <w:sz w:val="16"/>
          <w:szCs w:val="16"/>
          <w:color w:val="092E44"/>
        </w:rPr>
        <w:t>The annual total compensation of our CEO was $10,852,803.</w:t>
      </w:r>
    </w:p>
    <w:p>
      <w:pPr>
        <w:spacing w:after="0" w:line="126" w:lineRule="exact"/>
        <w:rPr>
          <w:rFonts w:ascii="Arial" w:cs="Arial" w:eastAsia="Arial" w:hAnsi="Arial"/>
          <w:sz w:val="16"/>
          <w:szCs w:val="16"/>
          <w:color w:val="E14A6A"/>
        </w:rPr>
      </w:pPr>
    </w:p>
    <w:p>
      <w:pPr>
        <w:ind w:left="120" w:hanging="112"/>
        <w:spacing w:after="0"/>
        <w:tabs>
          <w:tab w:leader="none" w:pos="120" w:val="left"/>
        </w:tabs>
        <w:numPr>
          <w:ilvl w:val="0"/>
          <w:numId w:val="52"/>
        </w:numPr>
        <w:rPr>
          <w:rFonts w:ascii="Arial" w:cs="Arial" w:eastAsia="Arial" w:hAnsi="Arial"/>
          <w:sz w:val="16"/>
          <w:szCs w:val="16"/>
          <w:color w:val="E14A6A"/>
        </w:rPr>
      </w:pPr>
      <w:r>
        <w:rPr>
          <w:rFonts w:ascii="Arial" w:cs="Arial" w:eastAsia="Arial" w:hAnsi="Arial"/>
          <w:sz w:val="16"/>
          <w:szCs w:val="16"/>
          <w:color w:val="092E44"/>
        </w:rPr>
        <w:t>Therefore, the ratio of CEO compensation relative to the median employee is approximately 117 to 1.</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092E44"/>
        </w:rPr>
        <w:t>Factors influencing the company’s pay ratio include the Company’s strategic decision to expand into centers of excellence, including approximately 850 employees located in India (a 4% increase since fiscal 2022) and over 100 employees located outside of the United States, in each case, where compensation benchmarks are lower than those in other geographies. Additionally, all global employees salaries differ as cost of living differs from country to country. Approximately 44% of employees live in the United States where our CEO resides and works. Such global workforce increases span of control, and management effectiveness and efficiencies.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092E44"/>
        </w:rPr>
        <w:t>The methodology we used to identify our median employee for fiscal 2023 was as follows:</w:t>
      </w:r>
    </w:p>
    <w:p>
      <w:pPr>
        <w:spacing w:after="0" w:line="113" w:lineRule="exact"/>
        <w:rPr>
          <w:sz w:val="20"/>
          <w:szCs w:val="20"/>
          <w:color w:val="auto"/>
        </w:rPr>
      </w:pPr>
    </w:p>
    <w:p>
      <w:pPr>
        <w:ind w:left="180" w:right="840" w:hanging="172"/>
        <w:spacing w:after="0" w:line="293" w:lineRule="auto"/>
        <w:tabs>
          <w:tab w:leader="none" w:pos="135" w:val="left"/>
        </w:tabs>
        <w:numPr>
          <w:ilvl w:val="0"/>
          <w:numId w:val="53"/>
        </w:numPr>
        <w:rPr>
          <w:rFonts w:ascii="Arial" w:cs="Arial" w:eastAsia="Arial" w:hAnsi="Arial"/>
          <w:sz w:val="16"/>
          <w:szCs w:val="16"/>
          <w:color w:val="E14A6A"/>
        </w:rPr>
      </w:pPr>
      <w:r>
        <w:rPr>
          <w:rFonts w:ascii="Arial" w:cs="Arial" w:eastAsia="Arial" w:hAnsi="Arial"/>
          <w:sz w:val="16"/>
          <w:szCs w:val="16"/>
          <w:color w:val="092E44"/>
        </w:rPr>
        <w:t>We selected March 31, 2023, as the date upon which we identified our employee population. We included all employees as of that date, with no exclusions.</w:t>
      </w:r>
    </w:p>
    <w:p>
      <w:pPr>
        <w:spacing w:after="0" w:line="63" w:lineRule="exact"/>
        <w:rPr>
          <w:rFonts w:ascii="Arial" w:cs="Arial" w:eastAsia="Arial" w:hAnsi="Arial"/>
          <w:sz w:val="16"/>
          <w:szCs w:val="16"/>
          <w:color w:val="E14A6A"/>
        </w:rPr>
      </w:pPr>
    </w:p>
    <w:p>
      <w:pPr>
        <w:ind w:left="180" w:right="160" w:hanging="172"/>
        <w:spacing w:after="0" w:line="268" w:lineRule="auto"/>
        <w:tabs>
          <w:tab w:leader="none" w:pos="135" w:val="left"/>
        </w:tabs>
        <w:numPr>
          <w:ilvl w:val="0"/>
          <w:numId w:val="53"/>
        </w:numPr>
        <w:rPr>
          <w:rFonts w:ascii="Arial" w:cs="Arial" w:eastAsia="Arial" w:hAnsi="Arial"/>
          <w:sz w:val="16"/>
          <w:szCs w:val="16"/>
          <w:color w:val="E14A6A"/>
        </w:rPr>
      </w:pPr>
      <w:r>
        <w:rPr>
          <w:rFonts w:ascii="Arial" w:cs="Arial" w:eastAsia="Arial" w:hAnsi="Arial"/>
          <w:sz w:val="16"/>
          <w:szCs w:val="16"/>
          <w:color w:val="092E44"/>
        </w:rPr>
        <w:t>We used total cash compensation as our consistently applied compensation measure to identify our median employee. For this purpose, we defined total cash compensation as base wages plus any incentive compensation (bonuses or commissions). We did not annualize the compensation of any employees who were employed less than a full year and we did not make any adjustments, assumptions or estimates. For employees outside the United States, we converted cash compensation to U.S. dollars using the applicable March 31, 2023 exchange rate.</w:t>
      </w:r>
    </w:p>
    <w:p>
      <w:pPr>
        <w:spacing w:after="0" w:line="69" w:lineRule="exact"/>
        <w:rPr>
          <w:rFonts w:ascii="Arial" w:cs="Arial" w:eastAsia="Arial" w:hAnsi="Arial"/>
          <w:sz w:val="16"/>
          <w:szCs w:val="16"/>
          <w:color w:val="E14A6A"/>
        </w:rPr>
      </w:pPr>
    </w:p>
    <w:p>
      <w:pPr>
        <w:ind w:left="120" w:hanging="112"/>
        <w:spacing w:after="0"/>
        <w:tabs>
          <w:tab w:leader="none" w:pos="120" w:val="left"/>
        </w:tabs>
        <w:numPr>
          <w:ilvl w:val="0"/>
          <w:numId w:val="53"/>
        </w:numPr>
        <w:rPr>
          <w:rFonts w:ascii="Arial" w:cs="Arial" w:eastAsia="Arial" w:hAnsi="Arial"/>
          <w:sz w:val="16"/>
          <w:szCs w:val="16"/>
          <w:color w:val="E14A6A"/>
        </w:rPr>
      </w:pPr>
      <w:r>
        <w:rPr>
          <w:rFonts w:ascii="Arial" w:cs="Arial" w:eastAsia="Arial" w:hAnsi="Arial"/>
          <w:sz w:val="16"/>
          <w:szCs w:val="16"/>
          <w:color w:val="092E44"/>
        </w:rPr>
        <w:t>Using this methodology, we determined that our median employee was a full-time, salaried employee based in the United States.</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092E44"/>
        </w:rPr>
        <w:t>We calculated the annual total compensation of our median employee in the same manner that we calculated the total compensation of our CEO for purposes of the Summary Compensation Table. This annual total compensation amount for our median employee was then compared to the annual total compensation of our CEO as reported in the “Total” column of our fiscal 2023 Summary Compensation Table included in this Proxy Statement to determine the pay ratio.</w:t>
      </w:r>
    </w:p>
    <w:p>
      <w:pPr>
        <w:spacing w:after="0" w:line="69" w:lineRule="exact"/>
        <w:rPr>
          <w:sz w:val="20"/>
          <w:szCs w:val="20"/>
          <w:color w:val="auto"/>
        </w:rPr>
      </w:pPr>
    </w:p>
    <w:p>
      <w:pPr>
        <w:spacing w:after="0" w:line="270" w:lineRule="auto"/>
        <w:rPr>
          <w:sz w:val="20"/>
          <w:szCs w:val="20"/>
          <w:color w:val="auto"/>
        </w:rPr>
      </w:pPr>
      <w:r>
        <w:rPr>
          <w:rFonts w:ascii="Arial" w:cs="Arial" w:eastAsia="Arial" w:hAnsi="Arial"/>
          <w:sz w:val="16"/>
          <w:szCs w:val="16"/>
          <w:color w:val="092E44"/>
        </w:rPr>
        <w:t>It should be noted that the SEC rules provide a fair amount of flexibility in developing a methodology to identify the median employee, and the global composition of our workforce may contribute to a lack of comparability between our pay ratio and that of our peer companies. We believe that this pay ratio is a reasonable estimate calculated in a manner consistent with Item 402(u)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48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PAY VERSUS PERFORMANCE</w:t>
      </w: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Pay versus Performance</w:t>
      </w:r>
    </w:p>
    <w:p>
      <w:pPr>
        <w:spacing w:after="0" w:line="8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As required by Item 402(v) of Regulation S-K, we are providing the following information about the relationship between the compensation actually paid to our principal executive officer (“PEO”) and non-PEO named executive officers ("NEOs") and certain aspects of our financial performance. For further information concerning our pay for performance philosophy and how executive compensation aligns with our performance, please refer to the Compensation Discussion and Analysis.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80" w:type="dxa"/>
            <w:vAlign w:val="bottom"/>
            <w:gridSpan w:val="2"/>
          </w:tcPr>
          <w:p>
            <w:pPr>
              <w:jc w:val="right"/>
              <w:ind w:right="124"/>
              <w:spacing w:after="0"/>
              <w:rPr>
                <w:sz w:val="20"/>
                <w:szCs w:val="20"/>
                <w:color w:val="auto"/>
              </w:rPr>
            </w:pPr>
            <w:r>
              <w:rPr>
                <w:rFonts w:ascii="Arial" w:cs="Arial" w:eastAsia="Arial" w:hAnsi="Arial"/>
                <w:sz w:val="14"/>
                <w:szCs w:val="14"/>
                <w:color w:val="0B2E44"/>
              </w:rPr>
              <w:t>Value on Initial Fixed $100</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80" w:type="dxa"/>
            <w:vAlign w:val="bottom"/>
            <w:tcBorders>
              <w:bottom w:val="single" w:sz="8" w:color="0B2E44"/>
            </w:tcBorders>
            <w:gridSpan w:val="2"/>
          </w:tcPr>
          <w:p>
            <w:pPr>
              <w:jc w:val="right"/>
              <w:ind w:right="584"/>
              <w:spacing w:after="0"/>
              <w:rPr>
                <w:sz w:val="20"/>
                <w:szCs w:val="20"/>
                <w:color w:val="auto"/>
              </w:rPr>
            </w:pPr>
            <w:r>
              <w:rPr>
                <w:rFonts w:ascii="Arial" w:cs="Arial" w:eastAsia="Arial" w:hAnsi="Arial"/>
                <w:sz w:val="14"/>
                <w:szCs w:val="14"/>
                <w:color w:val="0B2E44"/>
              </w:rPr>
              <w:t>Investment(3)</w:t>
            </w: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jc w:val="right"/>
              <w:ind w:right="4"/>
              <w:spacing w:after="0" w:line="154" w:lineRule="exact"/>
              <w:rPr>
                <w:sz w:val="20"/>
                <w:szCs w:val="20"/>
                <w:color w:val="auto"/>
              </w:rPr>
            </w:pPr>
            <w:r>
              <w:rPr>
                <w:rFonts w:ascii="Arial" w:cs="Arial" w:eastAsia="Arial" w:hAnsi="Arial"/>
                <w:sz w:val="14"/>
                <w:szCs w:val="14"/>
                <w:color w:val="0B2E44"/>
              </w:rPr>
              <w:t>Average Summary</w:t>
            </w:r>
          </w:p>
        </w:tc>
        <w:tc>
          <w:tcPr>
            <w:tcW w:w="1300" w:type="dxa"/>
            <w:vAlign w:val="bottom"/>
          </w:tcPr>
          <w:p>
            <w:pPr>
              <w:jc w:val="right"/>
              <w:spacing w:after="0" w:line="154" w:lineRule="exact"/>
              <w:rPr>
                <w:sz w:val="20"/>
                <w:szCs w:val="20"/>
                <w:color w:val="auto"/>
              </w:rPr>
            </w:pPr>
            <w:r>
              <w:rPr>
                <w:rFonts w:ascii="Arial" w:cs="Arial" w:eastAsia="Arial" w:hAnsi="Arial"/>
                <w:sz w:val="14"/>
                <w:szCs w:val="14"/>
                <w:color w:val="0B2E44"/>
              </w:rPr>
              <w:t>Average</w:t>
            </w:r>
          </w:p>
        </w:tc>
        <w:tc>
          <w:tcPr>
            <w:tcW w:w="1220" w:type="dxa"/>
            <w:vAlign w:val="bottom"/>
          </w:tcPr>
          <w:p>
            <w:pPr>
              <w:spacing w:after="0"/>
              <w:rPr>
                <w:sz w:val="13"/>
                <w:szCs w:val="13"/>
                <w:color w:val="auto"/>
              </w:rPr>
            </w:pPr>
          </w:p>
        </w:tc>
        <w:tc>
          <w:tcPr>
            <w:tcW w:w="960" w:type="dxa"/>
            <w:vAlign w:val="bottom"/>
          </w:tcPr>
          <w:p>
            <w:pPr>
              <w:jc w:val="right"/>
              <w:spacing w:after="0" w:line="154" w:lineRule="exact"/>
              <w:rPr>
                <w:sz w:val="20"/>
                <w:szCs w:val="20"/>
                <w:color w:val="auto"/>
              </w:rPr>
            </w:pPr>
            <w:r>
              <w:rPr>
                <w:rFonts w:ascii="Arial" w:cs="Arial" w:eastAsia="Arial" w:hAnsi="Arial"/>
                <w:sz w:val="14"/>
                <w:szCs w:val="14"/>
                <w:color w:val="0B2E44"/>
              </w:rPr>
              <w:t>Peer Group</w:t>
            </w:r>
          </w:p>
        </w:tc>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1620" w:type="dxa"/>
            <w:vAlign w:val="bottom"/>
          </w:tcPr>
          <w:p>
            <w:pPr>
              <w:jc w:val="right"/>
              <w:ind w:right="84"/>
              <w:spacing w:after="0" w:line="141" w:lineRule="exact"/>
              <w:rPr>
                <w:sz w:val="20"/>
                <w:szCs w:val="20"/>
                <w:color w:val="auto"/>
              </w:rPr>
            </w:pPr>
            <w:r>
              <w:rPr>
                <w:rFonts w:ascii="Arial" w:cs="Arial" w:eastAsia="Arial" w:hAnsi="Arial"/>
                <w:sz w:val="14"/>
                <w:szCs w:val="14"/>
                <w:color w:val="0B2E44"/>
              </w:rPr>
              <w:t>Summary</w:t>
            </w:r>
          </w:p>
        </w:tc>
        <w:tc>
          <w:tcPr>
            <w:tcW w:w="2620" w:type="dxa"/>
            <w:vAlign w:val="bottom"/>
            <w:gridSpan w:val="2"/>
          </w:tcPr>
          <w:p>
            <w:pPr>
              <w:jc w:val="right"/>
              <w:ind w:right="4"/>
              <w:spacing w:after="0" w:line="141" w:lineRule="exact"/>
              <w:rPr>
                <w:sz w:val="20"/>
                <w:szCs w:val="20"/>
                <w:color w:val="auto"/>
              </w:rPr>
            </w:pPr>
            <w:r>
              <w:rPr>
                <w:rFonts w:ascii="Arial" w:cs="Arial" w:eastAsia="Arial" w:hAnsi="Arial"/>
                <w:sz w:val="14"/>
                <w:szCs w:val="14"/>
                <w:color w:val="0B2E44"/>
              </w:rPr>
              <w:t>Compensation Compensation Table</w:t>
            </w:r>
          </w:p>
        </w:tc>
        <w:tc>
          <w:tcPr>
            <w:tcW w:w="1300" w:type="dxa"/>
            <w:vAlign w:val="bottom"/>
          </w:tcPr>
          <w:p>
            <w:pPr>
              <w:jc w:val="right"/>
              <w:spacing w:after="0" w:line="141" w:lineRule="exact"/>
              <w:rPr>
                <w:sz w:val="20"/>
                <w:szCs w:val="20"/>
                <w:color w:val="auto"/>
              </w:rPr>
            </w:pPr>
            <w:r>
              <w:rPr>
                <w:rFonts w:ascii="Arial" w:cs="Arial" w:eastAsia="Arial" w:hAnsi="Arial"/>
                <w:sz w:val="14"/>
                <w:szCs w:val="14"/>
                <w:color w:val="0B2E44"/>
              </w:rPr>
              <w:t>Compensation</w:t>
            </w:r>
          </w:p>
        </w:tc>
        <w:tc>
          <w:tcPr>
            <w:tcW w:w="1220" w:type="dxa"/>
            <w:vAlign w:val="bottom"/>
          </w:tcPr>
          <w:p>
            <w:pPr>
              <w:jc w:val="right"/>
              <w:ind w:right="85"/>
              <w:spacing w:after="0" w:line="141" w:lineRule="exact"/>
              <w:rPr>
                <w:sz w:val="20"/>
                <w:szCs w:val="20"/>
                <w:color w:val="auto"/>
              </w:rPr>
            </w:pPr>
            <w:r>
              <w:rPr>
                <w:rFonts w:ascii="Arial" w:cs="Arial" w:eastAsia="Arial" w:hAnsi="Arial"/>
                <w:sz w:val="14"/>
                <w:szCs w:val="14"/>
                <w:color w:val="0B2E44"/>
              </w:rPr>
              <w:t>Total</w:t>
            </w:r>
          </w:p>
        </w:tc>
        <w:tc>
          <w:tcPr>
            <w:tcW w:w="960" w:type="dxa"/>
            <w:vAlign w:val="bottom"/>
          </w:tcPr>
          <w:p>
            <w:pPr>
              <w:jc w:val="right"/>
              <w:spacing w:after="0" w:line="141" w:lineRule="exact"/>
              <w:rPr>
                <w:sz w:val="20"/>
                <w:szCs w:val="20"/>
                <w:color w:val="auto"/>
              </w:rPr>
            </w:pPr>
            <w:r>
              <w:rPr>
                <w:rFonts w:ascii="Arial" w:cs="Arial" w:eastAsia="Arial" w:hAnsi="Arial"/>
                <w:sz w:val="14"/>
                <w:szCs w:val="14"/>
                <w:color w:val="0B2E44"/>
              </w:rPr>
              <w:t>Total</w:t>
            </w: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40" w:type="dxa"/>
            <w:vAlign w:val="bottom"/>
            <w:vMerge w:val="restart"/>
          </w:tcPr>
          <w:p>
            <w:pPr>
              <w:ind w:left="120"/>
              <w:spacing w:after="0"/>
              <w:rPr>
                <w:sz w:val="20"/>
                <w:szCs w:val="20"/>
                <w:color w:val="auto"/>
              </w:rPr>
            </w:pPr>
            <w:r>
              <w:rPr>
                <w:rFonts w:ascii="Arial" w:cs="Arial" w:eastAsia="Arial" w:hAnsi="Arial"/>
                <w:sz w:val="14"/>
                <w:szCs w:val="14"/>
                <w:color w:val="0B2E44"/>
              </w:rPr>
              <w:t>Year(1)</w:t>
            </w:r>
          </w:p>
        </w:tc>
        <w:tc>
          <w:tcPr>
            <w:tcW w:w="1620" w:type="dxa"/>
            <w:vAlign w:val="bottom"/>
          </w:tcPr>
          <w:p>
            <w:pPr>
              <w:jc w:val="right"/>
              <w:ind w:right="84"/>
              <w:spacing w:after="0" w:line="143" w:lineRule="exact"/>
              <w:rPr>
                <w:sz w:val="20"/>
                <w:szCs w:val="20"/>
                <w:color w:val="auto"/>
              </w:rPr>
            </w:pPr>
            <w:r>
              <w:rPr>
                <w:rFonts w:ascii="Arial" w:cs="Arial" w:eastAsia="Arial" w:hAnsi="Arial"/>
                <w:sz w:val="14"/>
                <w:szCs w:val="14"/>
                <w:color w:val="0B2E44"/>
              </w:rPr>
              <w:t>Compensation Table</w:t>
            </w:r>
          </w:p>
        </w:tc>
        <w:tc>
          <w:tcPr>
            <w:tcW w:w="1260" w:type="dxa"/>
            <w:vAlign w:val="bottom"/>
          </w:tcPr>
          <w:p>
            <w:pPr>
              <w:jc w:val="right"/>
              <w:ind w:right="4"/>
              <w:spacing w:after="0" w:line="143" w:lineRule="exact"/>
              <w:rPr>
                <w:sz w:val="20"/>
                <w:szCs w:val="20"/>
                <w:color w:val="auto"/>
              </w:rPr>
            </w:pPr>
            <w:r>
              <w:rPr>
                <w:rFonts w:ascii="Arial" w:cs="Arial" w:eastAsia="Arial" w:hAnsi="Arial"/>
                <w:sz w:val="14"/>
                <w:szCs w:val="14"/>
                <w:color w:val="0B2E44"/>
              </w:rPr>
              <w:t>Actually paid for</w:t>
            </w:r>
          </w:p>
        </w:tc>
        <w:tc>
          <w:tcPr>
            <w:tcW w:w="1360" w:type="dxa"/>
            <w:vAlign w:val="bottom"/>
          </w:tcPr>
          <w:p>
            <w:pPr>
              <w:jc w:val="right"/>
              <w:ind w:right="4"/>
              <w:spacing w:after="0" w:line="143" w:lineRule="exact"/>
              <w:rPr>
                <w:sz w:val="20"/>
                <w:szCs w:val="20"/>
                <w:color w:val="auto"/>
              </w:rPr>
            </w:pPr>
            <w:r>
              <w:rPr>
                <w:rFonts w:ascii="Arial" w:cs="Arial" w:eastAsia="Arial" w:hAnsi="Arial"/>
                <w:sz w:val="14"/>
                <w:szCs w:val="14"/>
                <w:color w:val="0B2E44"/>
              </w:rPr>
              <w:t>Total for Non-PEO</w:t>
            </w:r>
          </w:p>
        </w:tc>
        <w:tc>
          <w:tcPr>
            <w:tcW w:w="1300" w:type="dxa"/>
            <w:vAlign w:val="bottom"/>
          </w:tcPr>
          <w:p>
            <w:pPr>
              <w:jc w:val="right"/>
              <w:spacing w:after="0" w:line="143" w:lineRule="exact"/>
              <w:rPr>
                <w:sz w:val="20"/>
                <w:szCs w:val="20"/>
                <w:color w:val="auto"/>
              </w:rPr>
            </w:pPr>
            <w:r>
              <w:rPr>
                <w:rFonts w:ascii="Arial" w:cs="Arial" w:eastAsia="Arial" w:hAnsi="Arial"/>
                <w:sz w:val="14"/>
                <w:szCs w:val="14"/>
                <w:color w:val="0B2E44"/>
              </w:rPr>
              <w:t>Actually paid for by</w:t>
            </w:r>
          </w:p>
        </w:tc>
        <w:tc>
          <w:tcPr>
            <w:tcW w:w="1220" w:type="dxa"/>
            <w:vAlign w:val="bottom"/>
          </w:tcPr>
          <w:p>
            <w:pPr>
              <w:jc w:val="right"/>
              <w:ind w:right="85"/>
              <w:spacing w:after="0" w:line="143" w:lineRule="exact"/>
              <w:rPr>
                <w:sz w:val="20"/>
                <w:szCs w:val="20"/>
                <w:color w:val="auto"/>
              </w:rPr>
            </w:pPr>
            <w:r>
              <w:rPr>
                <w:rFonts w:ascii="Arial" w:cs="Arial" w:eastAsia="Arial" w:hAnsi="Arial"/>
                <w:sz w:val="14"/>
                <w:szCs w:val="14"/>
                <w:color w:val="0B2E44"/>
              </w:rPr>
              <w:t>Shareholder</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0B2E44"/>
              </w:rPr>
              <w:t>Shareholder</w:t>
            </w: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40" w:type="dxa"/>
            <w:vAlign w:val="bottom"/>
            <w:tcBorders>
              <w:bottom w:val="single" w:sz="8" w:color="E14A6A"/>
            </w:tcBorders>
            <w:vMerge w:val="continue"/>
          </w:tcPr>
          <w:p>
            <w:pPr>
              <w:spacing w:after="0"/>
              <w:rPr>
                <w:sz w:val="15"/>
                <w:szCs w:val="15"/>
                <w:color w:val="auto"/>
              </w:rPr>
            </w:pPr>
          </w:p>
        </w:tc>
        <w:tc>
          <w:tcPr>
            <w:tcW w:w="1620" w:type="dxa"/>
            <w:vAlign w:val="bottom"/>
            <w:tcBorders>
              <w:bottom w:val="single" w:sz="8" w:color="E14A6A"/>
            </w:tcBorders>
          </w:tcPr>
          <w:p>
            <w:pPr>
              <w:jc w:val="right"/>
              <w:ind w:right="84"/>
              <w:spacing w:after="0"/>
              <w:rPr>
                <w:sz w:val="20"/>
                <w:szCs w:val="20"/>
                <w:color w:val="auto"/>
              </w:rPr>
            </w:pPr>
            <w:r>
              <w:rPr>
                <w:rFonts w:ascii="Arial" w:cs="Arial" w:eastAsia="Arial" w:hAnsi="Arial"/>
                <w:sz w:val="14"/>
                <w:szCs w:val="14"/>
                <w:color w:val="0B2E44"/>
              </w:rPr>
              <w:t>Total for PEO</w:t>
            </w:r>
          </w:p>
        </w:tc>
        <w:tc>
          <w:tcPr>
            <w:tcW w:w="1260" w:type="dxa"/>
            <w:vAlign w:val="bottom"/>
            <w:tcBorders>
              <w:bottom w:val="single" w:sz="8" w:color="E14A6A"/>
            </w:tcBorders>
          </w:tcPr>
          <w:p>
            <w:pPr>
              <w:jc w:val="right"/>
              <w:ind w:right="4"/>
              <w:spacing w:after="0"/>
              <w:rPr>
                <w:sz w:val="20"/>
                <w:szCs w:val="20"/>
                <w:color w:val="auto"/>
              </w:rPr>
            </w:pPr>
            <w:r>
              <w:rPr>
                <w:rFonts w:ascii="Arial" w:cs="Arial" w:eastAsia="Arial" w:hAnsi="Arial"/>
                <w:sz w:val="14"/>
                <w:szCs w:val="14"/>
                <w:color w:val="0B2E44"/>
              </w:rPr>
              <w:t>PEO(2)</w:t>
            </w:r>
          </w:p>
        </w:tc>
        <w:tc>
          <w:tcPr>
            <w:tcW w:w="1360" w:type="dxa"/>
            <w:vAlign w:val="bottom"/>
            <w:tcBorders>
              <w:bottom w:val="single" w:sz="8" w:color="E14A6A"/>
            </w:tcBorders>
          </w:tcPr>
          <w:p>
            <w:pPr>
              <w:jc w:val="right"/>
              <w:ind w:right="4"/>
              <w:spacing w:after="0"/>
              <w:rPr>
                <w:sz w:val="20"/>
                <w:szCs w:val="20"/>
                <w:color w:val="auto"/>
              </w:rPr>
            </w:pPr>
            <w:r>
              <w:rPr>
                <w:rFonts w:ascii="Arial" w:cs="Arial" w:eastAsia="Arial" w:hAnsi="Arial"/>
                <w:sz w:val="14"/>
                <w:szCs w:val="14"/>
                <w:color w:val="0B2E44"/>
              </w:rPr>
              <w:t>NEOs</w:t>
            </w:r>
          </w:p>
        </w:tc>
        <w:tc>
          <w:tcPr>
            <w:tcW w:w="130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Non-PEO NEOs(2)</w:t>
            </w:r>
          </w:p>
        </w:tc>
        <w:tc>
          <w:tcPr>
            <w:tcW w:w="1220" w:type="dxa"/>
            <w:vAlign w:val="bottom"/>
            <w:tcBorders>
              <w:bottom w:val="single" w:sz="8" w:color="E14A6A"/>
            </w:tcBorders>
          </w:tcPr>
          <w:p>
            <w:pPr>
              <w:jc w:val="right"/>
              <w:ind w:right="85"/>
              <w:spacing w:after="0"/>
              <w:rPr>
                <w:sz w:val="20"/>
                <w:szCs w:val="20"/>
                <w:color w:val="auto"/>
              </w:rPr>
            </w:pPr>
            <w:r>
              <w:rPr>
                <w:rFonts w:ascii="Arial" w:cs="Arial" w:eastAsia="Arial" w:hAnsi="Arial"/>
                <w:sz w:val="14"/>
                <w:szCs w:val="14"/>
                <w:color w:val="0B2E44"/>
              </w:rPr>
              <w:t>Return</w:t>
            </w:r>
          </w:p>
        </w:tc>
        <w:tc>
          <w:tcPr>
            <w:tcW w:w="96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Return(4)</w:t>
            </w:r>
          </w:p>
        </w:tc>
        <w:tc>
          <w:tcPr>
            <w:tcW w:w="1540" w:type="dxa"/>
            <w:vAlign w:val="bottom"/>
            <w:tcBorders>
              <w:bottom w:val="single" w:sz="8" w:color="E14A6A"/>
            </w:tcBorders>
          </w:tcPr>
          <w:p>
            <w:pPr>
              <w:jc w:val="right"/>
              <w:ind w:right="101"/>
              <w:spacing w:after="0"/>
              <w:rPr>
                <w:sz w:val="20"/>
                <w:szCs w:val="20"/>
                <w:color w:val="auto"/>
              </w:rPr>
            </w:pPr>
            <w:r>
              <w:rPr>
                <w:rFonts w:ascii="Arial" w:cs="Arial" w:eastAsia="Arial" w:hAnsi="Arial"/>
                <w:sz w:val="14"/>
                <w:szCs w:val="14"/>
                <w:color w:val="0B2E44"/>
              </w:rPr>
              <w:t>Net Income /(Loss)</w:t>
            </w:r>
          </w:p>
        </w:tc>
        <w:tc>
          <w:tcPr>
            <w:tcW w:w="120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Revenue(5)</w:t>
            </w:r>
          </w:p>
        </w:tc>
        <w:tc>
          <w:tcPr>
            <w:tcW w:w="0" w:type="dxa"/>
            <w:vAlign w:val="bottom"/>
          </w:tcPr>
          <w:p>
            <w:pPr>
              <w:spacing w:after="0"/>
              <w:rPr>
                <w:sz w:val="1"/>
                <w:szCs w:val="1"/>
                <w:color w:val="auto"/>
              </w:rPr>
            </w:pPr>
          </w:p>
        </w:tc>
      </w:tr>
      <w:tr>
        <w:trPr>
          <w:trHeight w:val="207"/>
        </w:trPr>
        <w:tc>
          <w:tcPr>
            <w:tcW w:w="740" w:type="dxa"/>
            <w:vAlign w:val="bottom"/>
          </w:tcPr>
          <w:p>
            <w:pPr>
              <w:ind w:left="100"/>
              <w:spacing w:after="0"/>
              <w:rPr>
                <w:sz w:val="20"/>
                <w:szCs w:val="20"/>
                <w:color w:val="auto"/>
              </w:rPr>
            </w:pPr>
            <w:r>
              <w:rPr>
                <w:rFonts w:ascii="Arial" w:cs="Arial" w:eastAsia="Arial" w:hAnsi="Arial"/>
                <w:sz w:val="16"/>
                <w:szCs w:val="16"/>
                <w:color w:val="0B2E44"/>
              </w:rPr>
              <w:t>2023</w:t>
            </w:r>
          </w:p>
        </w:tc>
        <w:tc>
          <w:tcPr>
            <w:tcW w:w="1620" w:type="dxa"/>
            <w:vAlign w:val="bottom"/>
          </w:tcPr>
          <w:p>
            <w:pPr>
              <w:jc w:val="right"/>
              <w:ind w:right="84"/>
              <w:spacing w:after="0"/>
              <w:rPr>
                <w:sz w:val="20"/>
                <w:szCs w:val="20"/>
                <w:color w:val="auto"/>
              </w:rPr>
            </w:pPr>
            <w:r>
              <w:rPr>
                <w:rFonts w:ascii="Arial" w:cs="Arial" w:eastAsia="Arial" w:hAnsi="Arial"/>
                <w:sz w:val="16"/>
                <w:szCs w:val="16"/>
                <w:color w:val="0B2E44"/>
              </w:rPr>
              <w:t>$10,852,803</w:t>
            </w:r>
          </w:p>
        </w:tc>
        <w:tc>
          <w:tcPr>
            <w:tcW w:w="1260" w:type="dxa"/>
            <w:vAlign w:val="bottom"/>
          </w:tcPr>
          <w:p>
            <w:pPr>
              <w:jc w:val="right"/>
              <w:ind w:right="4"/>
              <w:spacing w:after="0"/>
              <w:rPr>
                <w:sz w:val="20"/>
                <w:szCs w:val="20"/>
                <w:color w:val="auto"/>
              </w:rPr>
            </w:pPr>
            <w:r>
              <w:rPr>
                <w:rFonts w:ascii="Arial" w:cs="Arial" w:eastAsia="Arial" w:hAnsi="Arial"/>
                <w:sz w:val="16"/>
                <w:szCs w:val="16"/>
                <w:color w:val="0B2E44"/>
              </w:rPr>
              <w:t>$8,128,462</w:t>
            </w:r>
          </w:p>
        </w:tc>
        <w:tc>
          <w:tcPr>
            <w:tcW w:w="1360" w:type="dxa"/>
            <w:vAlign w:val="bottom"/>
          </w:tcPr>
          <w:p>
            <w:pPr>
              <w:jc w:val="right"/>
              <w:ind w:right="4"/>
              <w:spacing w:after="0"/>
              <w:rPr>
                <w:sz w:val="20"/>
                <w:szCs w:val="20"/>
                <w:color w:val="auto"/>
              </w:rPr>
            </w:pPr>
            <w:r>
              <w:rPr>
                <w:rFonts w:ascii="Arial" w:cs="Arial" w:eastAsia="Arial" w:hAnsi="Arial"/>
                <w:sz w:val="16"/>
                <w:szCs w:val="16"/>
                <w:color w:val="0B2E44"/>
              </w:rPr>
              <w:t>$3,237,743</w:t>
            </w:r>
          </w:p>
        </w:tc>
        <w:tc>
          <w:tcPr>
            <w:tcW w:w="1300" w:type="dxa"/>
            <w:vAlign w:val="bottom"/>
          </w:tcPr>
          <w:p>
            <w:pPr>
              <w:jc w:val="right"/>
              <w:spacing w:after="0"/>
              <w:rPr>
                <w:sz w:val="20"/>
                <w:szCs w:val="20"/>
                <w:color w:val="auto"/>
              </w:rPr>
            </w:pPr>
            <w:r>
              <w:rPr>
                <w:rFonts w:ascii="Arial" w:cs="Arial" w:eastAsia="Arial" w:hAnsi="Arial"/>
                <w:sz w:val="16"/>
                <w:szCs w:val="16"/>
                <w:color w:val="0B2E44"/>
              </w:rPr>
              <w:t>$1,706,699</w:t>
            </w:r>
          </w:p>
        </w:tc>
        <w:tc>
          <w:tcPr>
            <w:tcW w:w="1220" w:type="dxa"/>
            <w:vAlign w:val="bottom"/>
          </w:tcPr>
          <w:p>
            <w:pPr>
              <w:jc w:val="right"/>
              <w:ind w:right="85"/>
              <w:spacing w:after="0"/>
              <w:rPr>
                <w:sz w:val="20"/>
                <w:szCs w:val="20"/>
                <w:color w:val="auto"/>
              </w:rPr>
            </w:pPr>
            <w:r>
              <w:rPr>
                <w:rFonts w:ascii="Arial" w:cs="Arial" w:eastAsia="Arial" w:hAnsi="Arial"/>
                <w:sz w:val="16"/>
                <w:szCs w:val="16"/>
                <w:color w:val="0B2E44"/>
              </w:rPr>
              <w:t>$140</w:t>
            </w:r>
          </w:p>
        </w:tc>
        <w:tc>
          <w:tcPr>
            <w:tcW w:w="960" w:type="dxa"/>
            <w:vAlign w:val="bottom"/>
          </w:tcPr>
          <w:p>
            <w:pPr>
              <w:jc w:val="right"/>
              <w:spacing w:after="0"/>
              <w:rPr>
                <w:sz w:val="20"/>
                <w:szCs w:val="20"/>
                <w:color w:val="auto"/>
              </w:rPr>
            </w:pPr>
            <w:r>
              <w:rPr>
                <w:rFonts w:ascii="Arial" w:cs="Arial" w:eastAsia="Arial" w:hAnsi="Arial"/>
                <w:sz w:val="16"/>
                <w:szCs w:val="16"/>
                <w:color w:val="0B2E44"/>
              </w:rPr>
              <w:t>$189</w:t>
            </w:r>
          </w:p>
        </w:tc>
        <w:tc>
          <w:tcPr>
            <w:tcW w:w="1540" w:type="dxa"/>
            <w:vAlign w:val="bottom"/>
          </w:tcPr>
          <w:p>
            <w:pPr>
              <w:jc w:val="right"/>
              <w:ind w:right="101"/>
              <w:spacing w:after="0"/>
              <w:rPr>
                <w:sz w:val="20"/>
                <w:szCs w:val="20"/>
                <w:color w:val="auto"/>
              </w:rPr>
            </w:pPr>
            <w:r>
              <w:rPr>
                <w:rFonts w:ascii="Arial" w:cs="Arial" w:eastAsia="Arial" w:hAnsi="Arial"/>
                <w:sz w:val="16"/>
                <w:szCs w:val="16"/>
                <w:color w:val="0B2E44"/>
              </w:rPr>
              <w:t>$(35,774,000)</w:t>
            </w:r>
          </w:p>
        </w:tc>
        <w:tc>
          <w:tcPr>
            <w:tcW w:w="1200" w:type="dxa"/>
            <w:vAlign w:val="bottom"/>
          </w:tcPr>
          <w:p>
            <w:pPr>
              <w:jc w:val="right"/>
              <w:spacing w:after="0"/>
              <w:rPr>
                <w:sz w:val="20"/>
                <w:szCs w:val="20"/>
                <w:color w:val="auto"/>
              </w:rPr>
            </w:pPr>
            <w:r>
              <w:rPr>
                <w:rFonts w:ascii="Arial" w:cs="Arial" w:eastAsia="Arial" w:hAnsi="Arial"/>
                <w:sz w:val="16"/>
                <w:szCs w:val="16"/>
                <w:color w:val="0B2E44"/>
              </w:rPr>
              <w:t>$784,590,000</w:t>
            </w:r>
          </w:p>
        </w:tc>
        <w:tc>
          <w:tcPr>
            <w:tcW w:w="0" w:type="dxa"/>
            <w:vAlign w:val="bottom"/>
          </w:tcPr>
          <w:p>
            <w:pPr>
              <w:spacing w:after="0"/>
              <w:rPr>
                <w:sz w:val="1"/>
                <w:szCs w:val="1"/>
                <w:color w:val="auto"/>
              </w:rPr>
            </w:pPr>
          </w:p>
        </w:tc>
      </w:tr>
      <w:tr>
        <w:trPr>
          <w:trHeight w:val="219"/>
        </w:trPr>
        <w:tc>
          <w:tcPr>
            <w:tcW w:w="740" w:type="dxa"/>
            <w:vAlign w:val="bottom"/>
            <w:shd w:val="clear" w:color="auto" w:fill="DDE9F2"/>
          </w:tcPr>
          <w:p>
            <w:pPr>
              <w:ind w:left="100"/>
              <w:spacing w:after="0"/>
              <w:rPr>
                <w:sz w:val="20"/>
                <w:szCs w:val="20"/>
                <w:color w:val="auto"/>
              </w:rPr>
            </w:pPr>
            <w:r>
              <w:rPr>
                <w:rFonts w:ascii="Arial" w:cs="Arial" w:eastAsia="Arial" w:hAnsi="Arial"/>
                <w:sz w:val="16"/>
                <w:szCs w:val="16"/>
                <w:color w:val="0B2E44"/>
              </w:rPr>
              <w:t>2022</w:t>
            </w:r>
          </w:p>
        </w:tc>
        <w:tc>
          <w:tcPr>
            <w:tcW w:w="1620" w:type="dxa"/>
            <w:vAlign w:val="bottom"/>
            <w:shd w:val="clear" w:color="auto" w:fill="DDE9F2"/>
          </w:tcPr>
          <w:p>
            <w:pPr>
              <w:jc w:val="right"/>
              <w:ind w:right="84"/>
              <w:spacing w:after="0"/>
              <w:rPr>
                <w:sz w:val="20"/>
                <w:szCs w:val="20"/>
                <w:color w:val="auto"/>
              </w:rPr>
            </w:pPr>
            <w:r>
              <w:rPr>
                <w:rFonts w:ascii="Arial" w:cs="Arial" w:eastAsia="Arial" w:hAnsi="Arial"/>
                <w:sz w:val="16"/>
                <w:szCs w:val="16"/>
                <w:color w:val="0B2E44"/>
              </w:rPr>
              <w:t>$10,760,212</w:t>
            </w:r>
          </w:p>
        </w:tc>
        <w:tc>
          <w:tcPr>
            <w:tcW w:w="1260" w:type="dxa"/>
            <w:vAlign w:val="bottom"/>
            <w:shd w:val="clear" w:color="auto" w:fill="DDE9F2"/>
          </w:tcPr>
          <w:p>
            <w:pPr>
              <w:jc w:val="right"/>
              <w:ind w:right="4"/>
              <w:spacing w:after="0"/>
              <w:rPr>
                <w:sz w:val="20"/>
                <w:szCs w:val="20"/>
                <w:color w:val="auto"/>
              </w:rPr>
            </w:pPr>
            <w:r>
              <w:rPr>
                <w:rFonts w:ascii="Arial" w:cs="Arial" w:eastAsia="Arial" w:hAnsi="Arial"/>
                <w:sz w:val="16"/>
                <w:szCs w:val="16"/>
                <w:color w:val="0B2E44"/>
              </w:rPr>
              <w:t>$11,275,932</w:t>
            </w:r>
          </w:p>
        </w:tc>
        <w:tc>
          <w:tcPr>
            <w:tcW w:w="1360" w:type="dxa"/>
            <w:vAlign w:val="bottom"/>
            <w:shd w:val="clear" w:color="auto" w:fill="DDE9F2"/>
          </w:tcPr>
          <w:p>
            <w:pPr>
              <w:jc w:val="right"/>
              <w:ind w:right="4"/>
              <w:spacing w:after="0"/>
              <w:rPr>
                <w:sz w:val="20"/>
                <w:szCs w:val="20"/>
                <w:color w:val="auto"/>
              </w:rPr>
            </w:pPr>
            <w:r>
              <w:rPr>
                <w:rFonts w:ascii="Arial" w:cs="Arial" w:eastAsia="Arial" w:hAnsi="Arial"/>
                <w:sz w:val="16"/>
                <w:szCs w:val="16"/>
                <w:color w:val="0B2E44"/>
              </w:rPr>
              <w:t>$3,342,790</w:t>
            </w:r>
          </w:p>
        </w:tc>
        <w:tc>
          <w:tcPr>
            <w:tcW w:w="13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$3,534,151</w:t>
            </w:r>
          </w:p>
        </w:tc>
        <w:tc>
          <w:tcPr>
            <w:tcW w:w="1220" w:type="dxa"/>
            <w:vAlign w:val="bottom"/>
            <w:shd w:val="clear" w:color="auto" w:fill="DDE9F2"/>
          </w:tcPr>
          <w:p>
            <w:pPr>
              <w:jc w:val="right"/>
              <w:ind w:right="85"/>
              <w:spacing w:after="0"/>
              <w:rPr>
                <w:sz w:val="20"/>
                <w:szCs w:val="20"/>
                <w:color w:val="auto"/>
              </w:rPr>
            </w:pPr>
            <w:r>
              <w:rPr>
                <w:rFonts w:ascii="Arial" w:cs="Arial" w:eastAsia="Arial" w:hAnsi="Arial"/>
                <w:sz w:val="16"/>
                <w:szCs w:val="16"/>
                <w:color w:val="0B2E44"/>
              </w:rPr>
              <w:t>$164</w:t>
            </w:r>
          </w:p>
        </w:tc>
        <w:tc>
          <w:tcPr>
            <w:tcW w:w="96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$211</w:t>
            </w:r>
          </w:p>
        </w:tc>
        <w:tc>
          <w:tcPr>
            <w:tcW w:w="1540" w:type="dxa"/>
            <w:vAlign w:val="bottom"/>
            <w:shd w:val="clear" w:color="auto" w:fill="DDE9F2"/>
          </w:tcPr>
          <w:p>
            <w:pPr>
              <w:jc w:val="right"/>
              <w:ind w:right="101"/>
              <w:spacing w:after="0"/>
              <w:rPr>
                <w:sz w:val="20"/>
                <w:szCs w:val="20"/>
                <w:color w:val="auto"/>
              </w:rPr>
            </w:pPr>
            <w:r>
              <w:rPr>
                <w:rFonts w:ascii="Arial" w:cs="Arial" w:eastAsia="Arial" w:hAnsi="Arial"/>
                <w:sz w:val="16"/>
                <w:szCs w:val="16"/>
                <w:color w:val="0B2E44"/>
              </w:rPr>
              <w:t>$33,624,000</w:t>
            </w:r>
          </w:p>
        </w:tc>
        <w:tc>
          <w:tcPr>
            <w:tcW w:w="12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$769,591,000</w:t>
            </w:r>
          </w:p>
        </w:tc>
        <w:tc>
          <w:tcPr>
            <w:tcW w:w="0" w:type="dxa"/>
            <w:vAlign w:val="bottom"/>
          </w:tcPr>
          <w:p>
            <w:pPr>
              <w:spacing w:after="0"/>
              <w:rPr>
                <w:sz w:val="1"/>
                <w:szCs w:val="1"/>
                <w:color w:val="auto"/>
              </w:rPr>
            </w:pPr>
          </w:p>
        </w:tc>
      </w:tr>
      <w:tr>
        <w:trPr>
          <w:trHeight w:val="213"/>
        </w:trPr>
        <w:tc>
          <w:tcPr>
            <w:tcW w:w="740" w:type="dxa"/>
            <w:vAlign w:val="bottom"/>
            <w:tcBorders>
              <w:bottom w:val="single" w:sz="8" w:color="0B2E44"/>
            </w:tcBorders>
          </w:tcPr>
          <w:p>
            <w:pPr>
              <w:ind w:left="100"/>
              <w:spacing w:after="0"/>
              <w:rPr>
                <w:sz w:val="20"/>
                <w:szCs w:val="20"/>
                <w:color w:val="auto"/>
              </w:rPr>
            </w:pPr>
            <w:r>
              <w:rPr>
                <w:rFonts w:ascii="Arial" w:cs="Arial" w:eastAsia="Arial" w:hAnsi="Arial"/>
                <w:sz w:val="16"/>
                <w:szCs w:val="16"/>
                <w:color w:val="0B2E44"/>
              </w:rPr>
              <w:t>2021</w:t>
            </w:r>
          </w:p>
        </w:tc>
        <w:tc>
          <w:tcPr>
            <w:tcW w:w="1620" w:type="dxa"/>
            <w:vAlign w:val="bottom"/>
            <w:tcBorders>
              <w:bottom w:val="single" w:sz="8" w:color="0B2E44"/>
            </w:tcBorders>
          </w:tcPr>
          <w:p>
            <w:pPr>
              <w:jc w:val="right"/>
              <w:ind w:right="84"/>
              <w:spacing w:after="0"/>
              <w:rPr>
                <w:sz w:val="20"/>
                <w:szCs w:val="20"/>
                <w:color w:val="auto"/>
              </w:rPr>
            </w:pPr>
            <w:r>
              <w:rPr>
                <w:rFonts w:ascii="Arial" w:cs="Arial" w:eastAsia="Arial" w:hAnsi="Arial"/>
                <w:sz w:val="16"/>
                <w:szCs w:val="16"/>
                <w:color w:val="0B2E44"/>
              </w:rPr>
              <w:t>$8,004,986</w:t>
            </w:r>
          </w:p>
        </w:tc>
        <w:tc>
          <w:tcPr>
            <w:tcW w:w="1260" w:type="dxa"/>
            <w:vAlign w:val="bottom"/>
            <w:tcBorders>
              <w:bottom w:val="single" w:sz="8" w:color="0B2E44"/>
            </w:tcBorders>
          </w:tcPr>
          <w:p>
            <w:pPr>
              <w:jc w:val="right"/>
              <w:ind w:right="4"/>
              <w:spacing w:after="0"/>
              <w:rPr>
                <w:sz w:val="20"/>
                <w:szCs w:val="20"/>
                <w:color w:val="auto"/>
              </w:rPr>
            </w:pPr>
            <w:r>
              <w:rPr>
                <w:rFonts w:ascii="Arial" w:cs="Arial" w:eastAsia="Arial" w:hAnsi="Arial"/>
                <w:sz w:val="16"/>
                <w:szCs w:val="16"/>
                <w:color w:val="0B2E44"/>
              </w:rPr>
              <w:t>$15,975,930</w:t>
            </w:r>
          </w:p>
        </w:tc>
        <w:tc>
          <w:tcPr>
            <w:tcW w:w="1360" w:type="dxa"/>
            <w:vAlign w:val="bottom"/>
            <w:tcBorders>
              <w:bottom w:val="single" w:sz="8" w:color="0B2E44"/>
            </w:tcBorders>
          </w:tcPr>
          <w:p>
            <w:pPr>
              <w:jc w:val="right"/>
              <w:ind w:right="4"/>
              <w:spacing w:after="0"/>
              <w:rPr>
                <w:sz w:val="20"/>
                <w:szCs w:val="20"/>
                <w:color w:val="auto"/>
              </w:rPr>
            </w:pPr>
            <w:r>
              <w:rPr>
                <w:rFonts w:ascii="Arial" w:cs="Arial" w:eastAsia="Arial" w:hAnsi="Arial"/>
                <w:sz w:val="16"/>
                <w:szCs w:val="16"/>
                <w:color w:val="0B2E44"/>
              </w:rPr>
              <w:t>$2,696,751</w:t>
            </w:r>
          </w:p>
        </w:tc>
        <w:tc>
          <w:tcPr>
            <w:tcW w:w="1300" w:type="dxa"/>
            <w:vAlign w:val="bottom"/>
            <w:tcBorders>
              <w:bottom w:val="single" w:sz="8" w:color="0B2E44"/>
            </w:tcBorders>
          </w:tcPr>
          <w:p>
            <w:pPr>
              <w:jc w:val="right"/>
              <w:spacing w:after="0"/>
              <w:rPr>
                <w:sz w:val="20"/>
                <w:szCs w:val="20"/>
                <w:color w:val="auto"/>
              </w:rPr>
            </w:pPr>
            <w:r>
              <w:rPr>
                <w:rFonts w:ascii="Arial" w:cs="Arial" w:eastAsia="Arial" w:hAnsi="Arial"/>
                <w:sz w:val="16"/>
                <w:szCs w:val="16"/>
                <w:color w:val="0B2E44"/>
              </w:rPr>
              <w:t>$4,763,212</w:t>
            </w:r>
          </w:p>
        </w:tc>
        <w:tc>
          <w:tcPr>
            <w:tcW w:w="1220" w:type="dxa"/>
            <w:vAlign w:val="bottom"/>
            <w:tcBorders>
              <w:bottom w:val="single" w:sz="8" w:color="0B2E44"/>
            </w:tcBorders>
          </w:tcPr>
          <w:p>
            <w:pPr>
              <w:jc w:val="right"/>
              <w:ind w:right="85"/>
              <w:spacing w:after="0"/>
              <w:rPr>
                <w:sz w:val="20"/>
                <w:szCs w:val="20"/>
                <w:color w:val="auto"/>
              </w:rPr>
            </w:pPr>
            <w:r>
              <w:rPr>
                <w:rFonts w:ascii="Arial" w:cs="Arial" w:eastAsia="Arial" w:hAnsi="Arial"/>
                <w:sz w:val="16"/>
                <w:szCs w:val="16"/>
                <w:color w:val="0B2E44"/>
              </w:rPr>
              <w:t>$159</w:t>
            </w:r>
          </w:p>
        </w:tc>
        <w:tc>
          <w:tcPr>
            <w:tcW w:w="960" w:type="dxa"/>
            <w:vAlign w:val="bottom"/>
            <w:tcBorders>
              <w:bottom w:val="single" w:sz="8" w:color="0B2E44"/>
            </w:tcBorders>
          </w:tcPr>
          <w:p>
            <w:pPr>
              <w:jc w:val="right"/>
              <w:spacing w:after="0"/>
              <w:rPr>
                <w:sz w:val="20"/>
                <w:szCs w:val="20"/>
                <w:color w:val="auto"/>
              </w:rPr>
            </w:pPr>
            <w:r>
              <w:rPr>
                <w:rFonts w:ascii="Arial" w:cs="Arial" w:eastAsia="Arial" w:hAnsi="Arial"/>
                <w:sz w:val="16"/>
                <w:szCs w:val="16"/>
                <w:color w:val="0B2E44"/>
              </w:rPr>
              <w:t>$175</w:t>
            </w:r>
          </w:p>
        </w:tc>
        <w:tc>
          <w:tcPr>
            <w:tcW w:w="1540" w:type="dxa"/>
            <w:vAlign w:val="bottom"/>
            <w:tcBorders>
              <w:bottom w:val="single" w:sz="8" w:color="0B2E44"/>
            </w:tcBorders>
          </w:tcPr>
          <w:p>
            <w:pPr>
              <w:jc w:val="right"/>
              <w:ind w:right="101"/>
              <w:spacing w:after="0"/>
              <w:rPr>
                <w:sz w:val="20"/>
                <w:szCs w:val="20"/>
                <w:color w:val="auto"/>
              </w:rPr>
            </w:pPr>
            <w:r>
              <w:rPr>
                <w:rFonts w:ascii="Arial" w:cs="Arial" w:eastAsia="Arial" w:hAnsi="Arial"/>
                <w:sz w:val="16"/>
                <w:szCs w:val="16"/>
                <w:color w:val="0B2E44"/>
              </w:rPr>
              <w:t>$(30,954,000)</w:t>
            </w:r>
          </w:p>
        </w:tc>
        <w:tc>
          <w:tcPr>
            <w:tcW w:w="1200" w:type="dxa"/>
            <w:vAlign w:val="bottom"/>
            <w:tcBorders>
              <w:bottom w:val="single" w:sz="8" w:color="0B2E44"/>
            </w:tcBorders>
          </w:tcPr>
          <w:p>
            <w:pPr>
              <w:jc w:val="right"/>
              <w:spacing w:after="0"/>
              <w:rPr>
                <w:sz w:val="20"/>
                <w:szCs w:val="20"/>
                <w:color w:val="auto"/>
              </w:rPr>
            </w:pPr>
            <w:r>
              <w:rPr>
                <w:rFonts w:ascii="Arial" w:cs="Arial" w:eastAsia="Arial" w:hAnsi="Arial"/>
                <w:sz w:val="16"/>
                <w:szCs w:val="16"/>
                <w:color w:val="0B2E44"/>
              </w:rPr>
              <w:t>$723,472,000</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3"/>
          <w:szCs w:val="13"/>
          <w:color w:val="0B2E44"/>
        </w:rPr>
      </w:pPr>
      <w:r>
        <w:rPr>
          <w:rFonts w:ascii="Arial" w:cs="Arial" w:eastAsia="Arial" w:hAnsi="Arial"/>
          <w:sz w:val="13"/>
          <w:szCs w:val="13"/>
          <w:color w:val="0B2E44"/>
        </w:rPr>
        <w:t>During fiscal years 2023, 2022 and 2021, our PEO and non-PEO NEOs were as follows:</w:t>
      </w:r>
    </w:p>
    <w:p>
      <w:pPr>
        <w:spacing w:after="0" w:line="286" w:lineRule="exact"/>
        <w:rPr>
          <w:sz w:val="20"/>
          <w:szCs w:val="20"/>
          <w:color w:val="auto"/>
        </w:rPr>
      </w:pPr>
    </w:p>
    <w:tbl>
      <w:tblPr>
        <w:tblLayout w:type="fixed"/>
        <w:tblInd w:w="1560" w:type="dxa"/>
        <w:tblCellMar>
          <w:top w:w="0" w:type="dxa"/>
          <w:left w:w="0" w:type="dxa"/>
          <w:bottom w:w="0" w:type="dxa"/>
          <w:right w:w="0" w:type="dxa"/>
        </w:tblCellMar>
      </w:tblPr>
      <w:tr>
        <w:trPr>
          <w:trHeight w:val="237"/>
        </w:trPr>
        <w:tc>
          <w:tcPr>
            <w:tcW w:w="780" w:type="dxa"/>
            <w:vAlign w:val="bottom"/>
            <w:tcBorders>
              <w:bottom w:val="single" w:sz="8" w:color="E14A6A"/>
            </w:tcBorders>
          </w:tcPr>
          <w:p>
            <w:pPr>
              <w:ind w:left="140"/>
              <w:spacing w:after="0"/>
              <w:rPr>
                <w:sz w:val="20"/>
                <w:szCs w:val="20"/>
                <w:color w:val="auto"/>
              </w:rPr>
            </w:pPr>
            <w:r>
              <w:rPr>
                <w:rFonts w:ascii="Arial" w:cs="Arial" w:eastAsia="Arial" w:hAnsi="Arial"/>
                <w:sz w:val="16"/>
                <w:szCs w:val="16"/>
                <w:color w:val="0B2E44"/>
              </w:rPr>
              <w:t>Year</w:t>
            </w:r>
          </w:p>
        </w:tc>
        <w:tc>
          <w:tcPr>
            <w:tcW w:w="2320" w:type="dxa"/>
            <w:vAlign w:val="bottom"/>
            <w:tcBorders>
              <w:bottom w:val="single" w:sz="8" w:color="E14A6A"/>
            </w:tcBorders>
          </w:tcPr>
          <w:p>
            <w:pPr>
              <w:ind w:left="300"/>
              <w:spacing w:after="0"/>
              <w:rPr>
                <w:sz w:val="20"/>
                <w:szCs w:val="20"/>
                <w:color w:val="auto"/>
              </w:rPr>
            </w:pPr>
            <w:r>
              <w:rPr>
                <w:rFonts w:ascii="Arial" w:cs="Arial" w:eastAsia="Arial" w:hAnsi="Arial"/>
                <w:sz w:val="16"/>
                <w:szCs w:val="16"/>
                <w:color w:val="0B2E44"/>
              </w:rPr>
              <w:t>PEO (CEO)</w:t>
            </w:r>
          </w:p>
        </w:tc>
        <w:tc>
          <w:tcPr>
            <w:tcW w:w="5020" w:type="dxa"/>
            <w:vAlign w:val="bottom"/>
            <w:tcBorders>
              <w:bottom w:val="single" w:sz="8" w:color="E14A6A"/>
            </w:tcBorders>
          </w:tcPr>
          <w:p>
            <w:pPr>
              <w:ind w:left="620"/>
              <w:spacing w:after="0"/>
              <w:rPr>
                <w:sz w:val="20"/>
                <w:szCs w:val="20"/>
                <w:color w:val="auto"/>
              </w:rPr>
            </w:pPr>
            <w:r>
              <w:rPr>
                <w:rFonts w:ascii="Arial" w:cs="Arial" w:eastAsia="Arial" w:hAnsi="Arial"/>
                <w:sz w:val="16"/>
                <w:szCs w:val="16"/>
                <w:color w:val="0B2E44"/>
              </w:rPr>
              <w:t>Non-PEO NEOs</w:t>
            </w:r>
          </w:p>
        </w:tc>
      </w:tr>
      <w:tr>
        <w:trPr>
          <w:trHeight w:val="210"/>
        </w:trPr>
        <w:tc>
          <w:tcPr>
            <w:tcW w:w="780" w:type="dxa"/>
            <w:vAlign w:val="bottom"/>
          </w:tcPr>
          <w:p>
            <w:pPr>
              <w:ind w:left="120"/>
              <w:spacing w:after="0"/>
              <w:rPr>
                <w:sz w:val="20"/>
                <w:szCs w:val="20"/>
                <w:color w:val="auto"/>
              </w:rPr>
            </w:pPr>
            <w:r>
              <w:rPr>
                <w:rFonts w:ascii="Arial" w:cs="Arial" w:eastAsia="Arial" w:hAnsi="Arial"/>
                <w:sz w:val="16"/>
                <w:szCs w:val="16"/>
                <w:color w:val="0B2E44"/>
              </w:rPr>
              <w:t>2023</w:t>
            </w:r>
          </w:p>
        </w:tc>
        <w:tc>
          <w:tcPr>
            <w:tcW w:w="2320" w:type="dxa"/>
            <w:vAlign w:val="bottom"/>
          </w:tcPr>
          <w:p>
            <w:pPr>
              <w:ind w:left="280"/>
              <w:spacing w:after="0"/>
              <w:rPr>
                <w:sz w:val="20"/>
                <w:szCs w:val="20"/>
                <w:color w:val="auto"/>
              </w:rPr>
            </w:pPr>
            <w:r>
              <w:rPr>
                <w:rFonts w:ascii="Arial" w:cs="Arial" w:eastAsia="Arial" w:hAnsi="Arial"/>
                <w:sz w:val="16"/>
                <w:szCs w:val="16"/>
                <w:color w:val="0B2E44"/>
              </w:rPr>
              <w:t>Sanjay Mirchandani</w:t>
            </w:r>
          </w:p>
        </w:tc>
        <w:tc>
          <w:tcPr>
            <w:tcW w:w="5020" w:type="dxa"/>
            <w:vAlign w:val="bottom"/>
          </w:tcPr>
          <w:p>
            <w:pPr>
              <w:ind w:left="620"/>
              <w:spacing w:after="0"/>
              <w:rPr>
                <w:sz w:val="20"/>
                <w:szCs w:val="20"/>
                <w:color w:val="auto"/>
              </w:rPr>
            </w:pPr>
            <w:r>
              <w:rPr>
                <w:rFonts w:ascii="Arial" w:cs="Arial" w:eastAsia="Arial" w:hAnsi="Arial"/>
                <w:sz w:val="16"/>
                <w:szCs w:val="16"/>
                <w:color w:val="0B2E44"/>
              </w:rPr>
              <w:t>Gary Merrill, Riccardo Di Blasio, Brian Carolan</w:t>
            </w:r>
          </w:p>
        </w:tc>
      </w:tr>
      <w:tr>
        <w:trPr>
          <w:trHeight w:val="219"/>
        </w:trPr>
        <w:tc>
          <w:tcPr>
            <w:tcW w:w="78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2022</w:t>
            </w:r>
          </w:p>
        </w:tc>
        <w:tc>
          <w:tcPr>
            <w:tcW w:w="2320" w:type="dxa"/>
            <w:vAlign w:val="bottom"/>
            <w:shd w:val="clear" w:color="auto" w:fill="DDE9F2"/>
          </w:tcPr>
          <w:p>
            <w:pPr>
              <w:ind w:left="280"/>
              <w:spacing w:after="0"/>
              <w:rPr>
                <w:sz w:val="20"/>
                <w:szCs w:val="20"/>
                <w:color w:val="auto"/>
              </w:rPr>
            </w:pPr>
            <w:r>
              <w:rPr>
                <w:rFonts w:ascii="Arial" w:cs="Arial" w:eastAsia="Arial" w:hAnsi="Arial"/>
                <w:sz w:val="16"/>
                <w:szCs w:val="16"/>
                <w:color w:val="0B2E44"/>
              </w:rPr>
              <w:t>Sanjay Mirchandani</w:t>
            </w:r>
          </w:p>
        </w:tc>
        <w:tc>
          <w:tcPr>
            <w:tcW w:w="5020" w:type="dxa"/>
            <w:vAlign w:val="bottom"/>
            <w:shd w:val="clear" w:color="auto" w:fill="DDE9F2"/>
          </w:tcPr>
          <w:p>
            <w:pPr>
              <w:ind w:left="620"/>
              <w:spacing w:after="0"/>
              <w:rPr>
                <w:sz w:val="20"/>
                <w:szCs w:val="20"/>
                <w:color w:val="auto"/>
              </w:rPr>
            </w:pPr>
            <w:r>
              <w:rPr>
                <w:rFonts w:ascii="Arial" w:cs="Arial" w:eastAsia="Arial" w:hAnsi="Arial"/>
                <w:sz w:val="16"/>
                <w:szCs w:val="16"/>
                <w:color w:val="0B2E44"/>
              </w:rPr>
              <w:t>Riccardo Di Blasio, Brian Carolan</w:t>
            </w:r>
          </w:p>
        </w:tc>
      </w:tr>
      <w:tr>
        <w:trPr>
          <w:trHeight w:val="213"/>
        </w:trPr>
        <w:tc>
          <w:tcPr>
            <w:tcW w:w="780" w:type="dxa"/>
            <w:vAlign w:val="bottom"/>
            <w:tcBorders>
              <w:bottom w:val="single" w:sz="8" w:color="0B2E44"/>
            </w:tcBorders>
          </w:tcPr>
          <w:p>
            <w:pPr>
              <w:ind w:left="120"/>
              <w:spacing w:after="0"/>
              <w:rPr>
                <w:sz w:val="20"/>
                <w:szCs w:val="20"/>
                <w:color w:val="auto"/>
              </w:rPr>
            </w:pPr>
            <w:r>
              <w:rPr>
                <w:rFonts w:ascii="Arial" w:cs="Arial" w:eastAsia="Arial" w:hAnsi="Arial"/>
                <w:sz w:val="16"/>
                <w:szCs w:val="16"/>
                <w:color w:val="0B2E44"/>
              </w:rPr>
              <w:t>2021</w:t>
            </w:r>
          </w:p>
        </w:tc>
        <w:tc>
          <w:tcPr>
            <w:tcW w:w="2320" w:type="dxa"/>
            <w:vAlign w:val="bottom"/>
            <w:tcBorders>
              <w:bottom w:val="single" w:sz="8" w:color="0B2E44"/>
            </w:tcBorders>
          </w:tcPr>
          <w:p>
            <w:pPr>
              <w:ind w:left="280"/>
              <w:spacing w:after="0"/>
              <w:rPr>
                <w:sz w:val="20"/>
                <w:szCs w:val="20"/>
                <w:color w:val="auto"/>
              </w:rPr>
            </w:pPr>
            <w:r>
              <w:rPr>
                <w:rFonts w:ascii="Arial" w:cs="Arial" w:eastAsia="Arial" w:hAnsi="Arial"/>
                <w:sz w:val="16"/>
                <w:szCs w:val="16"/>
                <w:color w:val="0B2E44"/>
              </w:rPr>
              <w:t>Sanjay Mirchandani</w:t>
            </w:r>
          </w:p>
        </w:tc>
        <w:tc>
          <w:tcPr>
            <w:tcW w:w="5020" w:type="dxa"/>
            <w:vAlign w:val="bottom"/>
            <w:tcBorders>
              <w:bottom w:val="single" w:sz="8" w:color="0B2E44"/>
            </w:tcBorders>
          </w:tcPr>
          <w:p>
            <w:pPr>
              <w:ind w:left="620"/>
              <w:spacing w:after="0"/>
              <w:rPr>
                <w:sz w:val="20"/>
                <w:szCs w:val="20"/>
                <w:color w:val="auto"/>
              </w:rPr>
            </w:pPr>
            <w:r>
              <w:rPr>
                <w:rFonts w:ascii="Arial" w:cs="Arial" w:eastAsia="Arial" w:hAnsi="Arial"/>
                <w:sz w:val="16"/>
                <w:szCs w:val="16"/>
                <w:color w:val="0B2E44"/>
              </w:rPr>
              <w:t>Riccardo Di Blasio, Brian Carolan</w:t>
            </w:r>
          </w:p>
        </w:tc>
      </w:tr>
    </w:tbl>
    <w:p>
      <w:pPr>
        <w:sectPr>
          <w:pgSz w:w="11900" w:h="16838" w:orient="portrait"/>
          <w:cols w:equalWidth="0" w:num="1">
            <w:col w:w="11220"/>
          </w:cols>
          <w:pgMar w:left="320" w:top="126" w:right="359" w:bottom="1440" w:gutter="0" w:footer="0" w:header="0"/>
        </w:sectPr>
      </w:pPr>
    </w:p>
    <w:bookmarkStart w:id="51" w:name="page52"/>
    <w:bookmarkEnd w:id="51"/>
    <w:p>
      <w:pPr>
        <w:spacing w:after="0"/>
        <w:rPr>
          <w:sz w:val="20"/>
          <w:szCs w:val="20"/>
          <w:color w:val="auto"/>
        </w:rPr>
      </w:pPr>
      <w:r>
        <w:rPr>
          <w:rFonts w:ascii="Arial" w:cs="Arial" w:eastAsia="Arial" w:hAnsi="Arial"/>
          <w:sz w:val="10"/>
          <w:szCs w:val="10"/>
          <w:color w:val="0B2E44"/>
        </w:rPr>
        <w:t xml:space="preserve">49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3"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COMPENSATION TABLES | </w:t>
      </w:r>
      <w:r>
        <w:rPr>
          <w:rFonts w:ascii="Arial" w:cs="Arial" w:eastAsia="Arial" w:hAnsi="Arial"/>
          <w:sz w:val="11"/>
          <w:szCs w:val="11"/>
          <w:b w:val="1"/>
          <w:bCs w:val="1"/>
          <w:color w:val="0B2E44"/>
        </w:rPr>
        <w:t>PAY VERSUS PERFORMANCE</w:t>
      </w:r>
    </w:p>
    <w:p>
      <w:pPr>
        <w:spacing w:after="0" w:line="307" w:lineRule="exact"/>
        <w:rPr>
          <w:sz w:val="20"/>
          <w:szCs w:val="20"/>
          <w:color w:val="auto"/>
        </w:rPr>
      </w:pPr>
    </w:p>
    <w:p>
      <w:pPr>
        <w:ind w:left="340" w:hanging="332"/>
        <w:spacing w:after="0" w:line="271" w:lineRule="auto"/>
        <w:tabs>
          <w:tab w:leader="none" w:pos="340" w:val="left"/>
        </w:tabs>
        <w:numPr>
          <w:ilvl w:val="0"/>
          <w:numId w:val="55"/>
        </w:numPr>
        <w:rPr>
          <w:rFonts w:ascii="Arial" w:cs="Arial" w:eastAsia="Arial" w:hAnsi="Arial"/>
          <w:sz w:val="12"/>
          <w:szCs w:val="12"/>
          <w:color w:val="0B2E44"/>
        </w:rPr>
      </w:pPr>
      <w:r>
        <w:rPr>
          <w:rFonts w:ascii="Arial" w:cs="Arial" w:eastAsia="Arial" w:hAnsi="Arial"/>
          <w:sz w:val="12"/>
          <w:szCs w:val="12"/>
          <w:color w:val="0B2E44"/>
        </w:rPr>
        <w:t>The dollar amounts reported in these columns represent the amount of “compensation actually paid” to our PEO and Non-PEO NEOs in each respective year. The dollar amounts do not reflect the actual amount of compensation earned or received during the applicable fiscal year. There are no material differences between the assumptions used to compute the valuation of the equity awards for calculating the compensation actually paid from the assumptions used to compute the valuation of such equity awards as of the grant date. In accordance with the requirements of Item 402(v) of Regulation S-K, the following adjustments were made to the total compensation of our PEO and non-PEO NEOs for each year to determine the “compensation actually paid”:</w:t>
      </w:r>
    </w:p>
    <w:p>
      <w:pPr>
        <w:spacing w:after="0" w:line="309" w:lineRule="exact"/>
        <w:rPr>
          <w:sz w:val="20"/>
          <w:szCs w:val="20"/>
          <w:color w:val="auto"/>
        </w:rPr>
      </w:pPr>
    </w:p>
    <w:tbl>
      <w:tblPr>
        <w:tblLayout w:type="fixed"/>
        <w:tblInd w:w="660" w:type="dxa"/>
        <w:tblCellMar>
          <w:top w:w="0" w:type="dxa"/>
          <w:left w:w="0" w:type="dxa"/>
          <w:bottom w:w="0" w:type="dxa"/>
          <w:right w:w="0" w:type="dxa"/>
        </w:tblCellMar>
      </w:tblPr>
      <w:tr>
        <w:trPr>
          <w:trHeight w:val="201"/>
        </w:trPr>
        <w:tc>
          <w:tcPr>
            <w:tcW w:w="6320" w:type="dxa"/>
            <w:vAlign w:val="bottom"/>
            <w:tcBorders>
              <w:bottom w:val="single" w:sz="8" w:color="E14A6A"/>
            </w:tcBorders>
            <w:gridSpan w:val="2"/>
          </w:tcPr>
          <w:p>
            <w:pPr>
              <w:ind w:left="140"/>
              <w:spacing w:after="0"/>
              <w:rPr>
                <w:sz w:val="20"/>
                <w:szCs w:val="20"/>
                <w:color w:val="auto"/>
              </w:rPr>
            </w:pPr>
            <w:r>
              <w:rPr>
                <w:rFonts w:ascii="Arial" w:cs="Arial" w:eastAsia="Arial" w:hAnsi="Arial"/>
                <w:sz w:val="14"/>
                <w:szCs w:val="14"/>
                <w:b w:val="1"/>
                <w:bCs w:val="1"/>
                <w:color w:val="0B2E44"/>
              </w:rPr>
              <w:t>PEO</w:t>
            </w:r>
          </w:p>
        </w:tc>
        <w:tc>
          <w:tcPr>
            <w:tcW w:w="1280" w:type="dxa"/>
            <w:vAlign w:val="bottom"/>
            <w:tcBorders>
              <w:bottom w:val="single" w:sz="8" w:color="E14A6A"/>
            </w:tcBorders>
          </w:tcPr>
          <w:p>
            <w:pPr>
              <w:jc w:val="right"/>
              <w:ind w:right="100"/>
              <w:spacing w:after="0"/>
              <w:rPr>
                <w:sz w:val="20"/>
                <w:szCs w:val="20"/>
                <w:color w:val="auto"/>
              </w:rPr>
            </w:pPr>
            <w:r>
              <w:rPr>
                <w:rFonts w:ascii="Arial" w:cs="Arial" w:eastAsia="Arial" w:hAnsi="Arial"/>
                <w:sz w:val="14"/>
                <w:szCs w:val="14"/>
                <w:color w:val="0B2E44"/>
              </w:rPr>
              <w:t>2021</w:t>
            </w:r>
          </w:p>
        </w:tc>
        <w:tc>
          <w:tcPr>
            <w:tcW w:w="1220" w:type="dxa"/>
            <w:vAlign w:val="bottom"/>
            <w:tcBorders>
              <w:bottom w:val="single" w:sz="8" w:color="E14A6A"/>
            </w:tcBorders>
          </w:tcPr>
          <w:p>
            <w:pPr>
              <w:jc w:val="right"/>
              <w:ind w:right="80"/>
              <w:spacing w:after="0"/>
              <w:rPr>
                <w:sz w:val="20"/>
                <w:szCs w:val="20"/>
                <w:color w:val="auto"/>
              </w:rPr>
            </w:pPr>
            <w:r>
              <w:rPr>
                <w:rFonts w:ascii="Arial" w:cs="Arial" w:eastAsia="Arial" w:hAnsi="Arial"/>
                <w:sz w:val="14"/>
                <w:szCs w:val="14"/>
                <w:color w:val="0B2E44"/>
              </w:rPr>
              <w:t>2022</w:t>
            </w:r>
          </w:p>
        </w:tc>
        <w:tc>
          <w:tcPr>
            <w:tcW w:w="110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2023</w:t>
            </w:r>
          </w:p>
        </w:tc>
        <w:tc>
          <w:tcPr>
            <w:tcW w:w="0" w:type="dxa"/>
            <w:vAlign w:val="bottom"/>
          </w:tcPr>
          <w:p>
            <w:pPr>
              <w:spacing w:after="0"/>
              <w:rPr>
                <w:sz w:val="1"/>
                <w:szCs w:val="1"/>
                <w:color w:val="auto"/>
              </w:rPr>
            </w:pPr>
          </w:p>
        </w:tc>
      </w:tr>
      <w:tr>
        <w:trPr>
          <w:trHeight w:val="211"/>
        </w:trPr>
        <w:tc>
          <w:tcPr>
            <w:tcW w:w="300" w:type="dxa"/>
            <w:vAlign w:val="bottom"/>
            <w:shd w:val="clear" w:color="auto" w:fill="DDE9F2"/>
          </w:tcPr>
          <w:p>
            <w:pPr>
              <w:spacing w:after="0"/>
              <w:rPr>
                <w:sz w:val="18"/>
                <w:szCs w:val="18"/>
                <w:color w:val="auto"/>
              </w:rPr>
            </w:pPr>
          </w:p>
        </w:tc>
        <w:tc>
          <w:tcPr>
            <w:tcW w:w="6020" w:type="dxa"/>
            <w:vAlign w:val="bottom"/>
            <w:shd w:val="clear" w:color="auto" w:fill="DDE9F2"/>
          </w:tcPr>
          <w:p>
            <w:pPr>
              <w:ind w:left="100"/>
              <w:spacing w:after="0"/>
              <w:rPr>
                <w:sz w:val="20"/>
                <w:szCs w:val="20"/>
                <w:color w:val="auto"/>
              </w:rPr>
            </w:pPr>
            <w:r>
              <w:rPr>
                <w:rFonts w:ascii="Arial" w:cs="Arial" w:eastAsia="Arial" w:hAnsi="Arial"/>
                <w:sz w:val="16"/>
                <w:szCs w:val="16"/>
                <w:color w:val="0B2E44"/>
              </w:rPr>
              <w:t>Summary Compensation Table - Total Compensation</w:t>
            </w:r>
          </w:p>
        </w:tc>
        <w:tc>
          <w:tcPr>
            <w:tcW w:w="1280" w:type="dxa"/>
            <w:vAlign w:val="bottom"/>
            <w:shd w:val="clear" w:color="auto" w:fill="DDE9F2"/>
          </w:tcPr>
          <w:p>
            <w:pPr>
              <w:jc w:val="right"/>
              <w:ind w:right="100"/>
              <w:spacing w:after="0"/>
              <w:rPr>
                <w:sz w:val="20"/>
                <w:szCs w:val="20"/>
                <w:color w:val="auto"/>
              </w:rPr>
            </w:pPr>
            <w:r>
              <w:rPr>
                <w:rFonts w:ascii="Arial" w:cs="Arial" w:eastAsia="Arial" w:hAnsi="Arial"/>
                <w:sz w:val="16"/>
                <w:szCs w:val="16"/>
                <w:color w:val="0B2E44"/>
              </w:rPr>
              <w:t>$8,004,986</w:t>
            </w:r>
          </w:p>
        </w:tc>
        <w:tc>
          <w:tcPr>
            <w:tcW w:w="1220" w:type="dxa"/>
            <w:vAlign w:val="bottom"/>
            <w:shd w:val="clear" w:color="auto" w:fill="DDE9F2"/>
          </w:tcPr>
          <w:p>
            <w:pPr>
              <w:jc w:val="right"/>
              <w:ind w:right="80"/>
              <w:spacing w:after="0"/>
              <w:rPr>
                <w:sz w:val="20"/>
                <w:szCs w:val="20"/>
                <w:color w:val="auto"/>
              </w:rPr>
            </w:pPr>
            <w:r>
              <w:rPr>
                <w:rFonts w:ascii="Arial" w:cs="Arial" w:eastAsia="Arial" w:hAnsi="Arial"/>
                <w:sz w:val="16"/>
                <w:szCs w:val="16"/>
                <w:color w:val="0B2E44"/>
              </w:rPr>
              <w:t>$10,760,212</w:t>
            </w:r>
          </w:p>
        </w:tc>
        <w:tc>
          <w:tcPr>
            <w:tcW w:w="11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$10,852,803</w:t>
            </w:r>
          </w:p>
        </w:tc>
        <w:tc>
          <w:tcPr>
            <w:tcW w:w="0" w:type="dxa"/>
            <w:vAlign w:val="bottom"/>
          </w:tcPr>
          <w:p>
            <w:pPr>
              <w:spacing w:after="0"/>
              <w:rPr>
                <w:sz w:val="1"/>
                <w:szCs w:val="1"/>
                <w:color w:val="auto"/>
              </w:rPr>
            </w:pPr>
          </w:p>
        </w:tc>
      </w:tr>
      <w:tr>
        <w:trPr>
          <w:trHeight w:val="165"/>
        </w:trPr>
        <w:tc>
          <w:tcPr>
            <w:tcW w:w="300" w:type="dxa"/>
            <w:vAlign w:val="bottom"/>
            <w:vMerge w:val="restart"/>
          </w:tcPr>
          <w:p>
            <w:pPr>
              <w:ind w:left="120"/>
              <w:spacing w:after="0"/>
              <w:rPr>
                <w:sz w:val="20"/>
                <w:szCs w:val="20"/>
                <w:color w:val="auto"/>
              </w:rPr>
            </w:pPr>
            <w:r>
              <w:rPr>
                <w:rFonts w:ascii="Arial" w:cs="Arial" w:eastAsia="Arial" w:hAnsi="Arial"/>
                <w:sz w:val="16"/>
                <w:szCs w:val="16"/>
                <w:color w:val="0B2E44"/>
              </w:rPr>
              <w:t>-</w:t>
            </w:r>
          </w:p>
        </w:tc>
        <w:tc>
          <w:tcPr>
            <w:tcW w:w="6020" w:type="dxa"/>
            <w:vAlign w:val="bottom"/>
          </w:tcPr>
          <w:p>
            <w:pPr>
              <w:ind w:left="100"/>
              <w:spacing w:after="0" w:line="165" w:lineRule="exact"/>
              <w:rPr>
                <w:sz w:val="20"/>
                <w:szCs w:val="20"/>
                <w:color w:val="auto"/>
              </w:rPr>
            </w:pPr>
            <w:r>
              <w:rPr>
                <w:rFonts w:ascii="Arial" w:cs="Arial" w:eastAsia="Arial" w:hAnsi="Arial"/>
                <w:sz w:val="16"/>
                <w:szCs w:val="16"/>
                <w:color w:val="0B2E44"/>
              </w:rPr>
              <w:t>Grant Date Fair Value of Stock Awards and Option Awards Granted in Fiscal</w:t>
            </w:r>
          </w:p>
        </w:tc>
        <w:tc>
          <w:tcPr>
            <w:tcW w:w="1280" w:type="dxa"/>
            <w:vAlign w:val="bottom"/>
            <w:vMerge w:val="restart"/>
          </w:tcPr>
          <w:p>
            <w:pPr>
              <w:jc w:val="right"/>
              <w:ind w:right="100"/>
              <w:spacing w:after="0"/>
              <w:rPr>
                <w:sz w:val="20"/>
                <w:szCs w:val="20"/>
                <w:color w:val="auto"/>
              </w:rPr>
            </w:pPr>
            <w:r>
              <w:rPr>
                <w:rFonts w:ascii="Arial" w:cs="Arial" w:eastAsia="Arial" w:hAnsi="Arial"/>
                <w:sz w:val="16"/>
                <w:szCs w:val="16"/>
                <w:color w:val="0B2E44"/>
              </w:rPr>
              <w:t>$6,336,511</w:t>
            </w:r>
          </w:p>
        </w:tc>
        <w:tc>
          <w:tcPr>
            <w:tcW w:w="1220" w:type="dxa"/>
            <w:vAlign w:val="bottom"/>
            <w:vMerge w:val="restart"/>
          </w:tcPr>
          <w:p>
            <w:pPr>
              <w:jc w:val="right"/>
              <w:ind w:right="80"/>
              <w:spacing w:after="0"/>
              <w:rPr>
                <w:sz w:val="20"/>
                <w:szCs w:val="20"/>
                <w:color w:val="auto"/>
              </w:rPr>
            </w:pPr>
            <w:r>
              <w:rPr>
                <w:rFonts w:ascii="Arial" w:cs="Arial" w:eastAsia="Arial" w:hAnsi="Arial"/>
                <w:sz w:val="16"/>
                <w:szCs w:val="16"/>
                <w:color w:val="0B2E44"/>
              </w:rPr>
              <w:t>$9,413,382</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0B2E44"/>
              </w:rPr>
              <w:t>$9,722,388</w:t>
            </w:r>
          </w:p>
        </w:tc>
        <w:tc>
          <w:tcPr>
            <w:tcW w:w="0" w:type="dxa"/>
            <w:vAlign w:val="bottom"/>
          </w:tcPr>
          <w:p>
            <w:pPr>
              <w:spacing w:after="0"/>
              <w:rPr>
                <w:sz w:val="1"/>
                <w:szCs w:val="1"/>
                <w:color w:val="auto"/>
              </w:rPr>
            </w:pPr>
          </w:p>
        </w:tc>
      </w:tr>
      <w:tr>
        <w:trPr>
          <w:trHeight w:val="126"/>
        </w:trPr>
        <w:tc>
          <w:tcPr>
            <w:tcW w:w="300" w:type="dxa"/>
            <w:vAlign w:val="bottom"/>
            <w:vMerge w:val="continue"/>
          </w:tcPr>
          <w:p>
            <w:pPr>
              <w:spacing w:after="0"/>
              <w:rPr>
                <w:sz w:val="10"/>
                <w:szCs w:val="10"/>
                <w:color w:val="auto"/>
              </w:rPr>
            </w:pPr>
          </w:p>
        </w:tc>
        <w:tc>
          <w:tcPr>
            <w:tcW w:w="6020" w:type="dxa"/>
            <w:vAlign w:val="bottom"/>
            <w:vMerge w:val="restart"/>
          </w:tcPr>
          <w:p>
            <w:pPr>
              <w:ind w:left="100"/>
              <w:spacing w:after="0"/>
              <w:rPr>
                <w:sz w:val="20"/>
                <w:szCs w:val="20"/>
                <w:color w:val="auto"/>
              </w:rPr>
            </w:pPr>
            <w:r>
              <w:rPr>
                <w:rFonts w:ascii="Arial" w:cs="Arial" w:eastAsia="Arial" w:hAnsi="Arial"/>
                <w:sz w:val="16"/>
                <w:szCs w:val="16"/>
                <w:color w:val="0B2E44"/>
              </w:rPr>
              <w:t>Year</w:t>
            </w:r>
          </w:p>
        </w:tc>
        <w:tc>
          <w:tcPr>
            <w:tcW w:w="12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w:t>
            </w:r>
          </w:p>
        </w:tc>
        <w:tc>
          <w:tcPr>
            <w:tcW w:w="6020" w:type="dxa"/>
            <w:vAlign w:val="bottom"/>
            <w:shd w:val="clear" w:color="auto" w:fill="DDE9F2"/>
          </w:tcPr>
          <w:p>
            <w:pPr>
              <w:ind w:left="100"/>
              <w:spacing w:after="0" w:line="168" w:lineRule="exact"/>
              <w:rPr>
                <w:sz w:val="20"/>
                <w:szCs w:val="20"/>
                <w:color w:val="auto"/>
              </w:rPr>
            </w:pPr>
            <w:r>
              <w:rPr>
                <w:rFonts w:ascii="Arial" w:cs="Arial" w:eastAsia="Arial" w:hAnsi="Arial"/>
                <w:sz w:val="16"/>
                <w:szCs w:val="16"/>
                <w:color w:val="0B2E44"/>
              </w:rPr>
              <w:t>Fair Value at Fiscal Year End of Outstanding and Unvested Stock Awards and</w:t>
            </w:r>
          </w:p>
        </w:tc>
        <w:tc>
          <w:tcPr>
            <w:tcW w:w="1280" w:type="dxa"/>
            <w:vAlign w:val="bottom"/>
            <w:vMerge w:val="restart"/>
            <w:shd w:val="clear" w:color="auto" w:fill="DDE9F2"/>
          </w:tcPr>
          <w:p>
            <w:pPr>
              <w:jc w:val="right"/>
              <w:ind w:right="100"/>
              <w:spacing w:after="0"/>
              <w:rPr>
                <w:sz w:val="20"/>
                <w:szCs w:val="20"/>
                <w:color w:val="auto"/>
              </w:rPr>
            </w:pPr>
            <w:r>
              <w:rPr>
                <w:rFonts w:ascii="Arial" w:cs="Arial" w:eastAsia="Arial" w:hAnsi="Arial"/>
                <w:sz w:val="16"/>
                <w:szCs w:val="16"/>
                <w:color w:val="0B2E44"/>
              </w:rPr>
              <w:t>$12,444,339</w:t>
            </w:r>
          </w:p>
        </w:tc>
        <w:tc>
          <w:tcPr>
            <w:tcW w:w="122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$10,030,014</w:t>
            </w:r>
          </w:p>
        </w:tc>
        <w:tc>
          <w:tcPr>
            <w:tcW w:w="1100" w:type="dxa"/>
            <w:vAlign w:val="bottom"/>
            <w:vMerge w:val="restart"/>
            <w:shd w:val="clear" w:color="auto" w:fill="DDE9F2"/>
          </w:tcPr>
          <w:p>
            <w:pPr>
              <w:jc w:val="right"/>
              <w:spacing w:after="0"/>
              <w:rPr>
                <w:sz w:val="20"/>
                <w:szCs w:val="20"/>
                <w:color w:val="auto"/>
              </w:rPr>
            </w:pPr>
            <w:r>
              <w:rPr>
                <w:rFonts w:ascii="Arial" w:cs="Arial" w:eastAsia="Arial" w:hAnsi="Arial"/>
                <w:sz w:val="16"/>
                <w:szCs w:val="16"/>
                <w:color w:val="0B2E44"/>
              </w:rPr>
              <w:t>$9,814,556</w:t>
            </w:r>
          </w:p>
        </w:tc>
        <w:tc>
          <w:tcPr>
            <w:tcW w:w="0" w:type="dxa"/>
            <w:vAlign w:val="bottom"/>
          </w:tcPr>
          <w:p>
            <w:pPr>
              <w:spacing w:after="0"/>
              <w:rPr>
                <w:sz w:val="1"/>
                <w:szCs w:val="1"/>
                <w:color w:val="auto"/>
              </w:rPr>
            </w:pPr>
          </w:p>
        </w:tc>
      </w:tr>
      <w:tr>
        <w:trPr>
          <w:trHeight w:val="126"/>
        </w:trPr>
        <w:tc>
          <w:tcPr>
            <w:tcW w:w="300" w:type="dxa"/>
            <w:vAlign w:val="bottom"/>
            <w:vMerge w:val="continue"/>
            <w:shd w:val="clear" w:color="auto" w:fill="DDE9F2"/>
          </w:tcPr>
          <w:p>
            <w:pPr>
              <w:spacing w:after="0"/>
              <w:rPr>
                <w:sz w:val="10"/>
                <w:szCs w:val="10"/>
                <w:color w:val="auto"/>
              </w:rPr>
            </w:pPr>
          </w:p>
        </w:tc>
        <w:tc>
          <w:tcPr>
            <w:tcW w:w="6020" w:type="dxa"/>
            <w:vAlign w:val="bottom"/>
            <w:vMerge w:val="restart"/>
            <w:shd w:val="clear" w:color="auto" w:fill="DDE9F2"/>
          </w:tcPr>
          <w:p>
            <w:pPr>
              <w:ind w:left="100"/>
              <w:spacing w:after="0"/>
              <w:rPr>
                <w:sz w:val="20"/>
                <w:szCs w:val="20"/>
                <w:color w:val="auto"/>
              </w:rPr>
            </w:pPr>
            <w:r>
              <w:rPr>
                <w:rFonts w:ascii="Arial" w:cs="Arial" w:eastAsia="Arial" w:hAnsi="Arial"/>
                <w:sz w:val="16"/>
                <w:szCs w:val="16"/>
                <w:color w:val="0B2E44"/>
              </w:rPr>
              <w:t>Option Awards Granted in Fiscal Year</w:t>
            </w:r>
          </w:p>
        </w:tc>
        <w:tc>
          <w:tcPr>
            <w:tcW w:w="1280" w:type="dxa"/>
            <w:vAlign w:val="bottom"/>
            <w:vMerge w:val="continue"/>
            <w:shd w:val="clear" w:color="auto" w:fill="DDE9F2"/>
          </w:tcPr>
          <w:p>
            <w:pPr>
              <w:spacing w:after="0"/>
              <w:rPr>
                <w:sz w:val="10"/>
                <w:szCs w:val="10"/>
                <w:color w:val="auto"/>
              </w:rPr>
            </w:pPr>
          </w:p>
        </w:tc>
        <w:tc>
          <w:tcPr>
            <w:tcW w:w="1220" w:type="dxa"/>
            <w:vAlign w:val="bottom"/>
            <w:vMerge w:val="continue"/>
            <w:shd w:val="clear" w:color="auto" w:fill="DDE9F2"/>
          </w:tcPr>
          <w:p>
            <w:pPr>
              <w:spacing w:after="0"/>
              <w:rPr>
                <w:sz w:val="10"/>
                <w:szCs w:val="10"/>
                <w:color w:val="auto"/>
              </w:rPr>
            </w:pPr>
          </w:p>
        </w:tc>
        <w:tc>
          <w:tcPr>
            <w:tcW w:w="1100" w:type="dxa"/>
            <w:vAlign w:val="bottom"/>
            <w:vMerge w:val="continue"/>
            <w:shd w:val="clear" w:color="auto" w:fill="DDE9F2"/>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0" w:type="dxa"/>
            <w:vAlign w:val="bottom"/>
            <w:shd w:val="clear" w:color="auto" w:fill="DDE9F2"/>
          </w:tcPr>
          <w:p>
            <w:pPr>
              <w:spacing w:after="0"/>
              <w:rPr>
                <w:sz w:val="7"/>
                <w:szCs w:val="7"/>
                <w:color w:val="auto"/>
              </w:rPr>
            </w:pPr>
          </w:p>
        </w:tc>
        <w:tc>
          <w:tcPr>
            <w:tcW w:w="6020" w:type="dxa"/>
            <w:vAlign w:val="bottom"/>
            <w:vMerge w:val="continue"/>
            <w:shd w:val="clear" w:color="auto" w:fill="DDE9F2"/>
          </w:tcPr>
          <w:p>
            <w:pPr>
              <w:spacing w:after="0"/>
              <w:rPr>
                <w:sz w:val="7"/>
                <w:szCs w:val="7"/>
                <w:color w:val="auto"/>
              </w:rPr>
            </w:pPr>
          </w:p>
        </w:tc>
        <w:tc>
          <w:tcPr>
            <w:tcW w:w="1280" w:type="dxa"/>
            <w:vAlign w:val="bottom"/>
            <w:shd w:val="clear" w:color="auto" w:fill="DDE9F2"/>
          </w:tcPr>
          <w:p>
            <w:pPr>
              <w:spacing w:after="0"/>
              <w:rPr>
                <w:sz w:val="7"/>
                <w:szCs w:val="7"/>
                <w:color w:val="auto"/>
              </w:rPr>
            </w:pPr>
          </w:p>
        </w:tc>
        <w:tc>
          <w:tcPr>
            <w:tcW w:w="1220" w:type="dxa"/>
            <w:vAlign w:val="bottom"/>
            <w:shd w:val="clear" w:color="auto" w:fill="DDE9F2"/>
          </w:tcPr>
          <w:p>
            <w:pPr>
              <w:spacing w:after="0"/>
              <w:rPr>
                <w:sz w:val="7"/>
                <w:szCs w:val="7"/>
                <w:color w:val="auto"/>
              </w:rPr>
            </w:pPr>
          </w:p>
        </w:tc>
        <w:tc>
          <w:tcPr>
            <w:tcW w:w="1100" w:type="dxa"/>
            <w:vAlign w:val="bottom"/>
            <w:shd w:val="clear" w:color="auto" w:fill="DDE9F2"/>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00" w:type="dxa"/>
            <w:vAlign w:val="bottom"/>
            <w:vMerge w:val="restart"/>
          </w:tcPr>
          <w:p>
            <w:pPr>
              <w:ind w:left="120"/>
              <w:spacing w:after="0"/>
              <w:rPr>
                <w:sz w:val="20"/>
                <w:szCs w:val="20"/>
                <w:color w:val="auto"/>
              </w:rPr>
            </w:pPr>
            <w:r>
              <w:rPr>
                <w:rFonts w:ascii="Arial" w:cs="Arial" w:eastAsia="Arial" w:hAnsi="Arial"/>
                <w:sz w:val="16"/>
                <w:szCs w:val="16"/>
                <w:color w:val="0B2E44"/>
              </w:rPr>
              <w:t>+</w:t>
            </w:r>
          </w:p>
        </w:tc>
        <w:tc>
          <w:tcPr>
            <w:tcW w:w="6020" w:type="dxa"/>
            <w:vAlign w:val="bottom"/>
          </w:tcPr>
          <w:p>
            <w:pPr>
              <w:ind w:left="100"/>
              <w:spacing w:after="0" w:line="165" w:lineRule="exact"/>
              <w:rPr>
                <w:sz w:val="20"/>
                <w:szCs w:val="20"/>
                <w:color w:val="auto"/>
              </w:rPr>
            </w:pPr>
            <w:r>
              <w:rPr>
                <w:rFonts w:ascii="Arial" w:cs="Arial" w:eastAsia="Arial" w:hAnsi="Arial"/>
                <w:sz w:val="16"/>
                <w:szCs w:val="16"/>
                <w:color w:val="0B2E44"/>
              </w:rPr>
              <w:t>Change in Fair Value of Outstanding and Unvested Stock Awards and Option</w:t>
            </w:r>
          </w:p>
        </w:tc>
        <w:tc>
          <w:tcPr>
            <w:tcW w:w="1280" w:type="dxa"/>
            <w:vAlign w:val="bottom"/>
            <w:vMerge w:val="restart"/>
          </w:tcPr>
          <w:p>
            <w:pPr>
              <w:jc w:val="right"/>
              <w:ind w:right="100"/>
              <w:spacing w:after="0"/>
              <w:rPr>
                <w:sz w:val="20"/>
                <w:szCs w:val="20"/>
                <w:color w:val="auto"/>
              </w:rPr>
            </w:pPr>
            <w:r>
              <w:rPr>
                <w:rFonts w:ascii="Arial" w:cs="Arial" w:eastAsia="Arial" w:hAnsi="Arial"/>
                <w:sz w:val="16"/>
                <w:szCs w:val="16"/>
                <w:color w:val="0B2E44"/>
              </w:rPr>
              <w:t>$1,386,721</w:t>
            </w:r>
          </w:p>
        </w:tc>
        <w:tc>
          <w:tcPr>
            <w:tcW w:w="1220" w:type="dxa"/>
            <w:vAlign w:val="bottom"/>
            <w:vMerge w:val="restart"/>
          </w:tcPr>
          <w:p>
            <w:pPr>
              <w:jc w:val="right"/>
              <w:ind w:right="80"/>
              <w:spacing w:after="0"/>
              <w:rPr>
                <w:sz w:val="20"/>
                <w:szCs w:val="20"/>
                <w:color w:val="auto"/>
              </w:rPr>
            </w:pPr>
            <w:r>
              <w:rPr>
                <w:rFonts w:ascii="Arial" w:cs="Arial" w:eastAsia="Arial" w:hAnsi="Arial"/>
                <w:sz w:val="16"/>
                <w:szCs w:val="16"/>
                <w:color w:val="0B2E44"/>
              </w:rPr>
              <w:t>$(616,535)</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0B2E44"/>
              </w:rPr>
              <w:t>$(1,773,893)</w:t>
            </w:r>
          </w:p>
        </w:tc>
        <w:tc>
          <w:tcPr>
            <w:tcW w:w="0" w:type="dxa"/>
            <w:vAlign w:val="bottom"/>
          </w:tcPr>
          <w:p>
            <w:pPr>
              <w:spacing w:after="0"/>
              <w:rPr>
                <w:sz w:val="1"/>
                <w:szCs w:val="1"/>
                <w:color w:val="auto"/>
              </w:rPr>
            </w:pPr>
          </w:p>
        </w:tc>
      </w:tr>
      <w:tr>
        <w:trPr>
          <w:trHeight w:val="126"/>
        </w:trPr>
        <w:tc>
          <w:tcPr>
            <w:tcW w:w="300" w:type="dxa"/>
            <w:vAlign w:val="bottom"/>
            <w:vMerge w:val="continue"/>
          </w:tcPr>
          <w:p>
            <w:pPr>
              <w:spacing w:after="0"/>
              <w:rPr>
                <w:sz w:val="10"/>
                <w:szCs w:val="10"/>
                <w:color w:val="auto"/>
              </w:rPr>
            </w:pPr>
          </w:p>
        </w:tc>
        <w:tc>
          <w:tcPr>
            <w:tcW w:w="6020" w:type="dxa"/>
            <w:vAlign w:val="bottom"/>
            <w:vMerge w:val="restart"/>
          </w:tcPr>
          <w:p>
            <w:pPr>
              <w:ind w:left="100"/>
              <w:spacing w:after="0"/>
              <w:rPr>
                <w:sz w:val="20"/>
                <w:szCs w:val="20"/>
                <w:color w:val="auto"/>
              </w:rPr>
            </w:pPr>
            <w:r>
              <w:rPr>
                <w:rFonts w:ascii="Arial" w:cs="Arial" w:eastAsia="Arial" w:hAnsi="Arial"/>
                <w:sz w:val="16"/>
                <w:szCs w:val="16"/>
                <w:color w:val="0B2E44"/>
              </w:rPr>
              <w:t>Awards Granted in Prior Fiscal Years</w:t>
            </w:r>
          </w:p>
        </w:tc>
        <w:tc>
          <w:tcPr>
            <w:tcW w:w="12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w:t>
            </w:r>
          </w:p>
        </w:tc>
        <w:tc>
          <w:tcPr>
            <w:tcW w:w="6020" w:type="dxa"/>
            <w:vAlign w:val="bottom"/>
            <w:shd w:val="clear" w:color="auto" w:fill="DDE9F2"/>
          </w:tcPr>
          <w:p>
            <w:pPr>
              <w:ind w:left="100"/>
              <w:spacing w:after="0" w:line="168" w:lineRule="exact"/>
              <w:rPr>
                <w:sz w:val="20"/>
                <w:szCs w:val="20"/>
                <w:color w:val="auto"/>
              </w:rPr>
            </w:pPr>
            <w:r>
              <w:rPr>
                <w:rFonts w:ascii="Arial" w:cs="Arial" w:eastAsia="Arial" w:hAnsi="Arial"/>
                <w:sz w:val="16"/>
                <w:szCs w:val="16"/>
                <w:color w:val="0B2E44"/>
              </w:rPr>
              <w:t>Fair Value at Vesting of Stock Awards and Option Awards Granted in Fiscal Year</w:t>
            </w:r>
          </w:p>
        </w:tc>
        <w:tc>
          <w:tcPr>
            <w:tcW w:w="1280" w:type="dxa"/>
            <w:vAlign w:val="bottom"/>
            <w:vMerge w:val="restart"/>
            <w:shd w:val="clear" w:color="auto" w:fill="DDE9F2"/>
          </w:tcPr>
          <w:p>
            <w:pPr>
              <w:jc w:val="right"/>
              <w:ind w:right="100"/>
              <w:spacing w:after="0"/>
              <w:rPr>
                <w:sz w:val="20"/>
                <w:szCs w:val="20"/>
                <w:color w:val="auto"/>
              </w:rPr>
            </w:pPr>
            <w:r>
              <w:rPr>
                <w:rFonts w:ascii="Arial" w:cs="Arial" w:eastAsia="Arial" w:hAnsi="Arial"/>
                <w:sz w:val="16"/>
                <w:szCs w:val="16"/>
                <w:color w:val="0B2E44"/>
              </w:rPr>
              <w:t>$—</w:t>
            </w:r>
          </w:p>
        </w:tc>
        <w:tc>
          <w:tcPr>
            <w:tcW w:w="122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w:t>
            </w:r>
          </w:p>
        </w:tc>
        <w:tc>
          <w:tcPr>
            <w:tcW w:w="1100" w:type="dxa"/>
            <w:vAlign w:val="bottom"/>
            <w:vMerge w:val="restart"/>
            <w:shd w:val="clear" w:color="auto" w:fill="DDE9F2"/>
          </w:tcPr>
          <w:p>
            <w:pPr>
              <w:jc w:val="right"/>
              <w:spacing w:after="0"/>
              <w:rPr>
                <w:sz w:val="20"/>
                <w:szCs w:val="20"/>
                <w:color w:val="auto"/>
              </w:rPr>
            </w:pPr>
            <w:r>
              <w:rPr>
                <w:rFonts w:ascii="Arial" w:cs="Arial" w:eastAsia="Arial" w:hAnsi="Arial"/>
                <w:sz w:val="16"/>
                <w:szCs w:val="16"/>
                <w:color w:val="0B2E44"/>
              </w:rPr>
              <w:t>$—</w:t>
            </w:r>
          </w:p>
        </w:tc>
        <w:tc>
          <w:tcPr>
            <w:tcW w:w="0" w:type="dxa"/>
            <w:vAlign w:val="bottom"/>
          </w:tcPr>
          <w:p>
            <w:pPr>
              <w:spacing w:after="0"/>
              <w:rPr>
                <w:sz w:val="1"/>
                <w:szCs w:val="1"/>
                <w:color w:val="auto"/>
              </w:rPr>
            </w:pPr>
          </w:p>
        </w:tc>
      </w:tr>
      <w:tr>
        <w:trPr>
          <w:trHeight w:val="126"/>
        </w:trPr>
        <w:tc>
          <w:tcPr>
            <w:tcW w:w="300" w:type="dxa"/>
            <w:vAlign w:val="bottom"/>
            <w:vMerge w:val="continue"/>
            <w:shd w:val="clear" w:color="auto" w:fill="DDE9F2"/>
          </w:tcPr>
          <w:p>
            <w:pPr>
              <w:spacing w:after="0"/>
              <w:rPr>
                <w:sz w:val="10"/>
                <w:szCs w:val="10"/>
                <w:color w:val="auto"/>
              </w:rPr>
            </w:pPr>
          </w:p>
        </w:tc>
        <w:tc>
          <w:tcPr>
            <w:tcW w:w="6020" w:type="dxa"/>
            <w:vAlign w:val="bottom"/>
            <w:vMerge w:val="restart"/>
            <w:shd w:val="clear" w:color="auto" w:fill="DDE9F2"/>
          </w:tcPr>
          <w:p>
            <w:pPr>
              <w:ind w:left="100"/>
              <w:spacing w:after="0"/>
              <w:rPr>
                <w:sz w:val="20"/>
                <w:szCs w:val="20"/>
                <w:color w:val="auto"/>
              </w:rPr>
            </w:pPr>
            <w:r>
              <w:rPr>
                <w:rFonts w:ascii="Arial" w:cs="Arial" w:eastAsia="Arial" w:hAnsi="Arial"/>
                <w:sz w:val="16"/>
                <w:szCs w:val="16"/>
                <w:color w:val="0B2E44"/>
              </w:rPr>
              <w:t>That Vested During Fiscal Year</w:t>
            </w:r>
          </w:p>
        </w:tc>
        <w:tc>
          <w:tcPr>
            <w:tcW w:w="1280" w:type="dxa"/>
            <w:vAlign w:val="bottom"/>
            <w:vMerge w:val="continue"/>
            <w:shd w:val="clear" w:color="auto" w:fill="DDE9F2"/>
          </w:tcPr>
          <w:p>
            <w:pPr>
              <w:spacing w:after="0"/>
              <w:rPr>
                <w:sz w:val="10"/>
                <w:szCs w:val="10"/>
                <w:color w:val="auto"/>
              </w:rPr>
            </w:pPr>
          </w:p>
        </w:tc>
        <w:tc>
          <w:tcPr>
            <w:tcW w:w="1220" w:type="dxa"/>
            <w:vAlign w:val="bottom"/>
            <w:vMerge w:val="continue"/>
            <w:shd w:val="clear" w:color="auto" w:fill="DDE9F2"/>
          </w:tcPr>
          <w:p>
            <w:pPr>
              <w:spacing w:after="0"/>
              <w:rPr>
                <w:sz w:val="10"/>
                <w:szCs w:val="10"/>
                <w:color w:val="auto"/>
              </w:rPr>
            </w:pPr>
          </w:p>
        </w:tc>
        <w:tc>
          <w:tcPr>
            <w:tcW w:w="1100" w:type="dxa"/>
            <w:vAlign w:val="bottom"/>
            <w:vMerge w:val="continue"/>
            <w:shd w:val="clear" w:color="auto" w:fill="DDE9F2"/>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0" w:type="dxa"/>
            <w:vAlign w:val="bottom"/>
            <w:shd w:val="clear" w:color="auto" w:fill="DDE9F2"/>
          </w:tcPr>
          <w:p>
            <w:pPr>
              <w:spacing w:after="0"/>
              <w:rPr>
                <w:sz w:val="7"/>
                <w:szCs w:val="7"/>
                <w:color w:val="auto"/>
              </w:rPr>
            </w:pPr>
          </w:p>
        </w:tc>
        <w:tc>
          <w:tcPr>
            <w:tcW w:w="6020" w:type="dxa"/>
            <w:vAlign w:val="bottom"/>
            <w:vMerge w:val="continue"/>
            <w:shd w:val="clear" w:color="auto" w:fill="DDE9F2"/>
          </w:tcPr>
          <w:p>
            <w:pPr>
              <w:spacing w:after="0"/>
              <w:rPr>
                <w:sz w:val="7"/>
                <w:szCs w:val="7"/>
                <w:color w:val="auto"/>
              </w:rPr>
            </w:pPr>
          </w:p>
        </w:tc>
        <w:tc>
          <w:tcPr>
            <w:tcW w:w="1280" w:type="dxa"/>
            <w:vAlign w:val="bottom"/>
            <w:shd w:val="clear" w:color="auto" w:fill="DDE9F2"/>
          </w:tcPr>
          <w:p>
            <w:pPr>
              <w:spacing w:after="0"/>
              <w:rPr>
                <w:sz w:val="7"/>
                <w:szCs w:val="7"/>
                <w:color w:val="auto"/>
              </w:rPr>
            </w:pPr>
          </w:p>
        </w:tc>
        <w:tc>
          <w:tcPr>
            <w:tcW w:w="1220" w:type="dxa"/>
            <w:vAlign w:val="bottom"/>
            <w:shd w:val="clear" w:color="auto" w:fill="DDE9F2"/>
          </w:tcPr>
          <w:p>
            <w:pPr>
              <w:spacing w:after="0"/>
              <w:rPr>
                <w:sz w:val="7"/>
                <w:szCs w:val="7"/>
                <w:color w:val="auto"/>
              </w:rPr>
            </w:pPr>
          </w:p>
        </w:tc>
        <w:tc>
          <w:tcPr>
            <w:tcW w:w="1100" w:type="dxa"/>
            <w:vAlign w:val="bottom"/>
            <w:shd w:val="clear" w:color="auto" w:fill="DDE9F2"/>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00" w:type="dxa"/>
            <w:vAlign w:val="bottom"/>
            <w:vMerge w:val="restart"/>
          </w:tcPr>
          <w:p>
            <w:pPr>
              <w:ind w:left="120"/>
              <w:spacing w:after="0"/>
              <w:rPr>
                <w:sz w:val="20"/>
                <w:szCs w:val="20"/>
                <w:color w:val="auto"/>
              </w:rPr>
            </w:pPr>
            <w:r>
              <w:rPr>
                <w:rFonts w:ascii="Arial" w:cs="Arial" w:eastAsia="Arial" w:hAnsi="Arial"/>
                <w:sz w:val="16"/>
                <w:szCs w:val="16"/>
                <w:color w:val="0B2E44"/>
              </w:rPr>
              <w:t>+</w:t>
            </w:r>
          </w:p>
        </w:tc>
        <w:tc>
          <w:tcPr>
            <w:tcW w:w="6020" w:type="dxa"/>
            <w:vAlign w:val="bottom"/>
          </w:tcPr>
          <w:p>
            <w:pPr>
              <w:ind w:left="100"/>
              <w:spacing w:after="0" w:line="165" w:lineRule="exact"/>
              <w:rPr>
                <w:sz w:val="20"/>
                <w:szCs w:val="20"/>
                <w:color w:val="auto"/>
              </w:rPr>
            </w:pPr>
            <w:r>
              <w:rPr>
                <w:rFonts w:ascii="Arial" w:cs="Arial" w:eastAsia="Arial" w:hAnsi="Arial"/>
                <w:sz w:val="16"/>
                <w:szCs w:val="16"/>
                <w:color w:val="0B2E44"/>
              </w:rPr>
              <w:t>Change in Fair Value as of Vesting Date of Stock Awards and Option Awards</w:t>
            </w:r>
          </w:p>
        </w:tc>
        <w:tc>
          <w:tcPr>
            <w:tcW w:w="1280" w:type="dxa"/>
            <w:vAlign w:val="bottom"/>
            <w:vMerge w:val="restart"/>
          </w:tcPr>
          <w:p>
            <w:pPr>
              <w:jc w:val="right"/>
              <w:ind w:right="100"/>
              <w:spacing w:after="0"/>
              <w:rPr>
                <w:sz w:val="20"/>
                <w:szCs w:val="20"/>
                <w:color w:val="auto"/>
              </w:rPr>
            </w:pPr>
            <w:r>
              <w:rPr>
                <w:rFonts w:ascii="Arial" w:cs="Arial" w:eastAsia="Arial" w:hAnsi="Arial"/>
                <w:sz w:val="16"/>
                <w:szCs w:val="16"/>
                <w:color w:val="0B2E44"/>
              </w:rPr>
              <w:t>$476,395</w:t>
            </w:r>
          </w:p>
        </w:tc>
        <w:tc>
          <w:tcPr>
            <w:tcW w:w="1220" w:type="dxa"/>
            <w:vAlign w:val="bottom"/>
            <w:vMerge w:val="restart"/>
          </w:tcPr>
          <w:p>
            <w:pPr>
              <w:jc w:val="right"/>
              <w:ind w:right="80"/>
              <w:spacing w:after="0"/>
              <w:rPr>
                <w:sz w:val="20"/>
                <w:szCs w:val="20"/>
                <w:color w:val="auto"/>
              </w:rPr>
            </w:pPr>
            <w:r>
              <w:rPr>
                <w:rFonts w:ascii="Arial" w:cs="Arial" w:eastAsia="Arial" w:hAnsi="Arial"/>
                <w:sz w:val="16"/>
                <w:szCs w:val="16"/>
                <w:color w:val="0B2E44"/>
              </w:rPr>
              <w:t>$515,623</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0B2E44"/>
              </w:rPr>
              <w:t>$(1,042,616)</w:t>
            </w:r>
          </w:p>
        </w:tc>
        <w:tc>
          <w:tcPr>
            <w:tcW w:w="0" w:type="dxa"/>
            <w:vAlign w:val="bottom"/>
          </w:tcPr>
          <w:p>
            <w:pPr>
              <w:spacing w:after="0"/>
              <w:rPr>
                <w:sz w:val="1"/>
                <w:szCs w:val="1"/>
                <w:color w:val="auto"/>
              </w:rPr>
            </w:pPr>
          </w:p>
        </w:tc>
      </w:tr>
      <w:tr>
        <w:trPr>
          <w:trHeight w:val="162"/>
        </w:trPr>
        <w:tc>
          <w:tcPr>
            <w:tcW w:w="300" w:type="dxa"/>
            <w:vAlign w:val="bottom"/>
            <w:vMerge w:val="continue"/>
          </w:tcPr>
          <w:p>
            <w:pPr>
              <w:spacing w:after="0"/>
              <w:rPr>
                <w:sz w:val="14"/>
                <w:szCs w:val="14"/>
                <w:color w:val="auto"/>
              </w:rPr>
            </w:pPr>
          </w:p>
        </w:tc>
        <w:tc>
          <w:tcPr>
            <w:tcW w:w="6020" w:type="dxa"/>
            <w:vAlign w:val="bottom"/>
          </w:tcPr>
          <w:p>
            <w:pPr>
              <w:ind w:left="100"/>
              <w:spacing w:after="0" w:line="162" w:lineRule="exact"/>
              <w:rPr>
                <w:sz w:val="20"/>
                <w:szCs w:val="20"/>
                <w:color w:val="auto"/>
              </w:rPr>
            </w:pPr>
            <w:r>
              <w:rPr>
                <w:rFonts w:ascii="Arial" w:cs="Arial" w:eastAsia="Arial" w:hAnsi="Arial"/>
                <w:sz w:val="16"/>
                <w:szCs w:val="16"/>
                <w:color w:val="0B2E44"/>
              </w:rPr>
              <w:t>Granted in Prior Fiscal Years For Which Applicable Vesting Conditions Were</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6"/>
                <w:szCs w:val="16"/>
                <w:color w:val="0B2E44"/>
              </w:rPr>
              <w:t>Satisfied During Fiscal Year</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w:t>
            </w:r>
          </w:p>
        </w:tc>
        <w:tc>
          <w:tcPr>
            <w:tcW w:w="6020" w:type="dxa"/>
            <w:vAlign w:val="bottom"/>
            <w:shd w:val="clear" w:color="auto" w:fill="DDE9F2"/>
          </w:tcPr>
          <w:p>
            <w:pPr>
              <w:ind w:left="100"/>
              <w:spacing w:after="0" w:line="168" w:lineRule="exact"/>
              <w:rPr>
                <w:sz w:val="20"/>
                <w:szCs w:val="20"/>
                <w:color w:val="auto"/>
              </w:rPr>
            </w:pPr>
            <w:r>
              <w:rPr>
                <w:rFonts w:ascii="Arial" w:cs="Arial" w:eastAsia="Arial" w:hAnsi="Arial"/>
                <w:sz w:val="16"/>
                <w:szCs w:val="16"/>
                <w:color w:val="0B2E44"/>
              </w:rPr>
              <w:t>Fair Value as of Prior Fiscal Year End of Stock Awards and Option Awards</w:t>
            </w:r>
          </w:p>
        </w:tc>
        <w:tc>
          <w:tcPr>
            <w:tcW w:w="1280" w:type="dxa"/>
            <w:vAlign w:val="bottom"/>
            <w:vMerge w:val="restart"/>
            <w:shd w:val="clear" w:color="auto" w:fill="DDE9F2"/>
          </w:tcPr>
          <w:p>
            <w:pPr>
              <w:jc w:val="right"/>
              <w:ind w:right="100"/>
              <w:spacing w:after="0"/>
              <w:rPr>
                <w:sz w:val="20"/>
                <w:szCs w:val="20"/>
                <w:color w:val="auto"/>
              </w:rPr>
            </w:pPr>
            <w:r>
              <w:rPr>
                <w:rFonts w:ascii="Arial" w:cs="Arial" w:eastAsia="Arial" w:hAnsi="Arial"/>
                <w:sz w:val="16"/>
                <w:szCs w:val="16"/>
                <w:color w:val="0B2E44"/>
              </w:rPr>
              <w:t>$—</w:t>
            </w:r>
          </w:p>
        </w:tc>
        <w:tc>
          <w:tcPr>
            <w:tcW w:w="122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w:t>
            </w:r>
          </w:p>
        </w:tc>
        <w:tc>
          <w:tcPr>
            <w:tcW w:w="1100" w:type="dxa"/>
            <w:vAlign w:val="bottom"/>
            <w:vMerge w:val="restart"/>
            <w:shd w:val="clear" w:color="auto" w:fill="DDE9F2"/>
          </w:tcPr>
          <w:p>
            <w:pPr>
              <w:jc w:val="right"/>
              <w:spacing w:after="0"/>
              <w:rPr>
                <w:sz w:val="20"/>
                <w:szCs w:val="20"/>
                <w:color w:val="auto"/>
              </w:rPr>
            </w:pPr>
            <w:r>
              <w:rPr>
                <w:rFonts w:ascii="Arial" w:cs="Arial" w:eastAsia="Arial" w:hAnsi="Arial"/>
                <w:sz w:val="16"/>
                <w:szCs w:val="16"/>
                <w:color w:val="0B2E44"/>
              </w:rPr>
              <w:t>$—</w:t>
            </w:r>
          </w:p>
        </w:tc>
        <w:tc>
          <w:tcPr>
            <w:tcW w:w="0" w:type="dxa"/>
            <w:vAlign w:val="bottom"/>
          </w:tcPr>
          <w:p>
            <w:pPr>
              <w:spacing w:after="0"/>
              <w:rPr>
                <w:sz w:val="1"/>
                <w:szCs w:val="1"/>
                <w:color w:val="auto"/>
              </w:rPr>
            </w:pPr>
          </w:p>
        </w:tc>
      </w:tr>
      <w:tr>
        <w:trPr>
          <w:trHeight w:val="162"/>
        </w:trPr>
        <w:tc>
          <w:tcPr>
            <w:tcW w:w="300" w:type="dxa"/>
            <w:vAlign w:val="bottom"/>
            <w:vMerge w:val="continue"/>
            <w:shd w:val="clear" w:color="auto" w:fill="DDE9F2"/>
          </w:tcPr>
          <w:p>
            <w:pPr>
              <w:spacing w:after="0"/>
              <w:rPr>
                <w:sz w:val="14"/>
                <w:szCs w:val="14"/>
                <w:color w:val="auto"/>
              </w:rPr>
            </w:pPr>
          </w:p>
        </w:tc>
        <w:tc>
          <w:tcPr>
            <w:tcW w:w="6020" w:type="dxa"/>
            <w:vAlign w:val="bottom"/>
            <w:shd w:val="clear" w:color="auto" w:fill="DDE9F2"/>
          </w:tcPr>
          <w:p>
            <w:pPr>
              <w:ind w:left="100"/>
              <w:spacing w:after="0" w:line="162" w:lineRule="exact"/>
              <w:rPr>
                <w:sz w:val="20"/>
                <w:szCs w:val="20"/>
                <w:color w:val="auto"/>
              </w:rPr>
            </w:pPr>
            <w:r>
              <w:rPr>
                <w:rFonts w:ascii="Arial" w:cs="Arial" w:eastAsia="Arial" w:hAnsi="Arial"/>
                <w:sz w:val="16"/>
                <w:szCs w:val="16"/>
                <w:color w:val="0B2E44"/>
              </w:rPr>
              <w:t>Granted in Fiscal Years That Failed to Meet Applicable Vesting Conditions</w:t>
            </w:r>
          </w:p>
        </w:tc>
        <w:tc>
          <w:tcPr>
            <w:tcW w:w="1280" w:type="dxa"/>
            <w:vAlign w:val="bottom"/>
            <w:vMerge w:val="continue"/>
            <w:shd w:val="clear" w:color="auto" w:fill="DDE9F2"/>
          </w:tcPr>
          <w:p>
            <w:pPr>
              <w:spacing w:after="0"/>
              <w:rPr>
                <w:sz w:val="14"/>
                <w:szCs w:val="14"/>
                <w:color w:val="auto"/>
              </w:rPr>
            </w:pPr>
          </w:p>
        </w:tc>
        <w:tc>
          <w:tcPr>
            <w:tcW w:w="1220" w:type="dxa"/>
            <w:vAlign w:val="bottom"/>
            <w:vMerge w:val="continue"/>
            <w:shd w:val="clear" w:color="auto" w:fill="DDE9F2"/>
          </w:tcPr>
          <w:p>
            <w:pPr>
              <w:spacing w:after="0"/>
              <w:rPr>
                <w:sz w:val="14"/>
                <w:szCs w:val="14"/>
                <w:color w:val="auto"/>
              </w:rPr>
            </w:pPr>
          </w:p>
        </w:tc>
        <w:tc>
          <w:tcPr>
            <w:tcW w:w="1100" w:type="dxa"/>
            <w:vAlign w:val="bottom"/>
            <w:vMerge w:val="continue"/>
            <w:shd w:val="clear" w:color="auto" w:fill="DDE9F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Borders>
              <w:bottom w:val="single" w:sz="8" w:color="0B2E44"/>
            </w:tcBorders>
            <w:shd w:val="clear" w:color="auto" w:fill="DDE9F2"/>
          </w:tcPr>
          <w:p>
            <w:pPr>
              <w:spacing w:after="0"/>
              <w:rPr>
                <w:sz w:val="18"/>
                <w:szCs w:val="18"/>
                <w:color w:val="auto"/>
              </w:rPr>
            </w:pPr>
          </w:p>
        </w:tc>
        <w:tc>
          <w:tcPr>
            <w:tcW w:w="6020" w:type="dxa"/>
            <w:vAlign w:val="bottom"/>
            <w:tcBorders>
              <w:bottom w:val="single" w:sz="8" w:color="0B2E44"/>
            </w:tcBorders>
            <w:shd w:val="clear" w:color="auto" w:fill="DDE9F2"/>
          </w:tcPr>
          <w:p>
            <w:pPr>
              <w:ind w:left="100"/>
              <w:spacing w:after="0"/>
              <w:rPr>
                <w:sz w:val="20"/>
                <w:szCs w:val="20"/>
                <w:color w:val="auto"/>
              </w:rPr>
            </w:pPr>
            <w:r>
              <w:rPr>
                <w:rFonts w:ascii="Arial" w:cs="Arial" w:eastAsia="Arial" w:hAnsi="Arial"/>
                <w:sz w:val="16"/>
                <w:szCs w:val="16"/>
                <w:color w:val="0B2E44"/>
              </w:rPr>
              <w:t>During Fiscal Year</w:t>
            </w:r>
          </w:p>
        </w:tc>
        <w:tc>
          <w:tcPr>
            <w:tcW w:w="1280" w:type="dxa"/>
            <w:vAlign w:val="bottom"/>
            <w:tcBorders>
              <w:bottom w:val="single" w:sz="8" w:color="0B2E44"/>
            </w:tcBorders>
            <w:shd w:val="clear" w:color="auto" w:fill="DDE9F2"/>
          </w:tcPr>
          <w:p>
            <w:pPr>
              <w:spacing w:after="0"/>
              <w:rPr>
                <w:sz w:val="18"/>
                <w:szCs w:val="18"/>
                <w:color w:val="auto"/>
              </w:rPr>
            </w:pPr>
          </w:p>
        </w:tc>
        <w:tc>
          <w:tcPr>
            <w:tcW w:w="1220" w:type="dxa"/>
            <w:vAlign w:val="bottom"/>
            <w:tcBorders>
              <w:bottom w:val="single" w:sz="8" w:color="0B2E44"/>
            </w:tcBorders>
            <w:shd w:val="clear" w:color="auto" w:fill="DDE9F2"/>
          </w:tcPr>
          <w:p>
            <w:pPr>
              <w:spacing w:after="0"/>
              <w:rPr>
                <w:sz w:val="18"/>
                <w:szCs w:val="18"/>
                <w:color w:val="auto"/>
              </w:rPr>
            </w:pPr>
          </w:p>
        </w:tc>
        <w:tc>
          <w:tcPr>
            <w:tcW w:w="1100" w:type="dxa"/>
            <w:vAlign w:val="bottom"/>
            <w:tcBorders>
              <w:bottom w:val="single" w:sz="8" w:color="0B2E44"/>
            </w:tcBorders>
            <w:shd w:val="clear" w:color="auto" w:fill="DDE9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bottom w:val="single" w:sz="8" w:color="0B2E44"/>
            </w:tcBorders>
          </w:tcPr>
          <w:p>
            <w:pPr>
              <w:ind w:left="120"/>
              <w:spacing w:after="0"/>
              <w:rPr>
                <w:sz w:val="20"/>
                <w:szCs w:val="20"/>
                <w:color w:val="auto"/>
              </w:rPr>
            </w:pPr>
            <w:r>
              <w:rPr>
                <w:rFonts w:ascii="Arial" w:cs="Arial" w:eastAsia="Arial" w:hAnsi="Arial"/>
                <w:sz w:val="16"/>
                <w:szCs w:val="16"/>
                <w:color w:val="0B2E44"/>
              </w:rPr>
              <w:t>=</w:t>
            </w:r>
          </w:p>
        </w:tc>
        <w:tc>
          <w:tcPr>
            <w:tcW w:w="6020" w:type="dxa"/>
            <w:vAlign w:val="bottom"/>
            <w:tcBorders>
              <w:bottom w:val="single" w:sz="8" w:color="0B2E44"/>
            </w:tcBorders>
          </w:tcPr>
          <w:p>
            <w:pPr>
              <w:ind w:left="100"/>
              <w:spacing w:after="0"/>
              <w:rPr>
                <w:sz w:val="20"/>
                <w:szCs w:val="20"/>
                <w:color w:val="auto"/>
              </w:rPr>
            </w:pPr>
            <w:r>
              <w:rPr>
                <w:rFonts w:ascii="Arial" w:cs="Arial" w:eastAsia="Arial" w:hAnsi="Arial"/>
                <w:sz w:val="16"/>
                <w:szCs w:val="16"/>
                <w:color w:val="0B2E44"/>
              </w:rPr>
              <w:t>Compensation Actually Paid</w:t>
            </w:r>
          </w:p>
        </w:tc>
        <w:tc>
          <w:tcPr>
            <w:tcW w:w="1280" w:type="dxa"/>
            <w:vAlign w:val="bottom"/>
            <w:tcBorders>
              <w:bottom w:val="single" w:sz="8" w:color="0B2E44"/>
            </w:tcBorders>
          </w:tcPr>
          <w:p>
            <w:pPr>
              <w:jc w:val="right"/>
              <w:ind w:right="100"/>
              <w:spacing w:after="0"/>
              <w:rPr>
                <w:sz w:val="20"/>
                <w:szCs w:val="20"/>
                <w:color w:val="auto"/>
              </w:rPr>
            </w:pPr>
            <w:r>
              <w:rPr>
                <w:rFonts w:ascii="Arial" w:cs="Arial" w:eastAsia="Arial" w:hAnsi="Arial"/>
                <w:sz w:val="16"/>
                <w:szCs w:val="16"/>
                <w:color w:val="0B2E44"/>
              </w:rPr>
              <w:t>$15,975,930</w:t>
            </w:r>
          </w:p>
        </w:tc>
        <w:tc>
          <w:tcPr>
            <w:tcW w:w="1220" w:type="dxa"/>
            <w:vAlign w:val="bottom"/>
            <w:tcBorders>
              <w:bottom w:val="single" w:sz="8" w:color="0B2E44"/>
            </w:tcBorders>
          </w:tcPr>
          <w:p>
            <w:pPr>
              <w:jc w:val="right"/>
              <w:ind w:right="80"/>
              <w:spacing w:after="0"/>
              <w:rPr>
                <w:sz w:val="20"/>
                <w:szCs w:val="20"/>
                <w:color w:val="auto"/>
              </w:rPr>
            </w:pPr>
            <w:r>
              <w:rPr>
                <w:rFonts w:ascii="Arial" w:cs="Arial" w:eastAsia="Arial" w:hAnsi="Arial"/>
                <w:sz w:val="16"/>
                <w:szCs w:val="16"/>
                <w:color w:val="0B2E44"/>
              </w:rPr>
              <w:t>$11,275,932</w:t>
            </w:r>
          </w:p>
        </w:tc>
        <w:tc>
          <w:tcPr>
            <w:tcW w:w="1100" w:type="dxa"/>
            <w:vAlign w:val="bottom"/>
            <w:tcBorders>
              <w:bottom w:val="single" w:sz="8" w:color="0B2E44"/>
            </w:tcBorders>
          </w:tcPr>
          <w:p>
            <w:pPr>
              <w:jc w:val="right"/>
              <w:spacing w:after="0"/>
              <w:rPr>
                <w:sz w:val="20"/>
                <w:szCs w:val="20"/>
                <w:color w:val="auto"/>
              </w:rPr>
            </w:pPr>
            <w:r>
              <w:rPr>
                <w:rFonts w:ascii="Arial" w:cs="Arial" w:eastAsia="Arial" w:hAnsi="Arial"/>
                <w:sz w:val="16"/>
                <w:szCs w:val="16"/>
                <w:color w:val="0B2E44"/>
              </w:rPr>
              <w:t>$8,128,462</w:t>
            </w:r>
          </w:p>
        </w:tc>
        <w:tc>
          <w:tcPr>
            <w:tcW w:w="0" w:type="dxa"/>
            <w:vAlign w:val="bottom"/>
          </w:tcPr>
          <w:p>
            <w:pPr>
              <w:spacing w:after="0"/>
              <w:rPr>
                <w:sz w:val="1"/>
                <w:szCs w:val="1"/>
                <w:color w:val="auto"/>
              </w:rPr>
            </w:pPr>
          </w:p>
        </w:tc>
      </w:tr>
      <w:tr>
        <w:trPr>
          <w:trHeight w:val="550"/>
        </w:trPr>
        <w:tc>
          <w:tcPr>
            <w:tcW w:w="6320" w:type="dxa"/>
            <w:vAlign w:val="bottom"/>
            <w:tcBorders>
              <w:bottom w:val="single" w:sz="8" w:color="E14A6A"/>
            </w:tcBorders>
            <w:gridSpan w:val="2"/>
          </w:tcPr>
          <w:p>
            <w:pPr>
              <w:ind w:left="140"/>
              <w:spacing w:after="0"/>
              <w:rPr>
                <w:sz w:val="20"/>
                <w:szCs w:val="20"/>
                <w:color w:val="auto"/>
              </w:rPr>
            </w:pPr>
            <w:r>
              <w:rPr>
                <w:rFonts w:ascii="Arial" w:cs="Arial" w:eastAsia="Arial" w:hAnsi="Arial"/>
                <w:sz w:val="14"/>
                <w:szCs w:val="14"/>
                <w:b w:val="1"/>
                <w:bCs w:val="1"/>
                <w:color w:val="0B2E44"/>
              </w:rPr>
              <w:t>NEO Average</w:t>
            </w:r>
          </w:p>
        </w:tc>
        <w:tc>
          <w:tcPr>
            <w:tcW w:w="1280" w:type="dxa"/>
            <w:vAlign w:val="bottom"/>
            <w:tcBorders>
              <w:bottom w:val="single" w:sz="8" w:color="E14A6A"/>
            </w:tcBorders>
          </w:tcPr>
          <w:p>
            <w:pPr>
              <w:jc w:val="right"/>
              <w:ind w:right="80"/>
              <w:spacing w:after="0"/>
              <w:rPr>
                <w:sz w:val="20"/>
                <w:szCs w:val="20"/>
                <w:color w:val="auto"/>
              </w:rPr>
            </w:pPr>
            <w:r>
              <w:rPr>
                <w:rFonts w:ascii="Arial" w:cs="Arial" w:eastAsia="Arial" w:hAnsi="Arial"/>
                <w:sz w:val="14"/>
                <w:szCs w:val="14"/>
                <w:color w:val="0B2E44"/>
              </w:rPr>
              <w:t>2021</w:t>
            </w:r>
          </w:p>
        </w:tc>
        <w:tc>
          <w:tcPr>
            <w:tcW w:w="1220" w:type="dxa"/>
            <w:vAlign w:val="bottom"/>
            <w:tcBorders>
              <w:bottom w:val="single" w:sz="8" w:color="E14A6A"/>
            </w:tcBorders>
          </w:tcPr>
          <w:p>
            <w:pPr>
              <w:jc w:val="right"/>
              <w:ind w:right="80"/>
              <w:spacing w:after="0"/>
              <w:rPr>
                <w:sz w:val="20"/>
                <w:szCs w:val="20"/>
                <w:color w:val="auto"/>
              </w:rPr>
            </w:pPr>
            <w:r>
              <w:rPr>
                <w:rFonts w:ascii="Arial" w:cs="Arial" w:eastAsia="Arial" w:hAnsi="Arial"/>
                <w:sz w:val="14"/>
                <w:szCs w:val="14"/>
                <w:color w:val="0B2E44"/>
              </w:rPr>
              <w:t>2022</w:t>
            </w:r>
          </w:p>
        </w:tc>
        <w:tc>
          <w:tcPr>
            <w:tcW w:w="110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2023</w:t>
            </w:r>
          </w:p>
        </w:tc>
        <w:tc>
          <w:tcPr>
            <w:tcW w:w="0" w:type="dxa"/>
            <w:vAlign w:val="bottom"/>
          </w:tcPr>
          <w:p>
            <w:pPr>
              <w:spacing w:after="0"/>
              <w:rPr>
                <w:sz w:val="1"/>
                <w:szCs w:val="1"/>
                <w:color w:val="auto"/>
              </w:rPr>
            </w:pPr>
          </w:p>
        </w:tc>
      </w:tr>
      <w:tr>
        <w:trPr>
          <w:trHeight w:val="209"/>
        </w:trPr>
        <w:tc>
          <w:tcPr>
            <w:tcW w:w="300" w:type="dxa"/>
            <w:vAlign w:val="bottom"/>
            <w:shd w:val="clear" w:color="auto" w:fill="DDE9F2"/>
          </w:tcPr>
          <w:p>
            <w:pPr>
              <w:spacing w:after="0"/>
              <w:rPr>
                <w:sz w:val="18"/>
                <w:szCs w:val="18"/>
                <w:color w:val="auto"/>
              </w:rPr>
            </w:pPr>
          </w:p>
        </w:tc>
        <w:tc>
          <w:tcPr>
            <w:tcW w:w="6020" w:type="dxa"/>
            <w:vAlign w:val="bottom"/>
            <w:shd w:val="clear" w:color="auto" w:fill="DDE9F2"/>
          </w:tcPr>
          <w:p>
            <w:pPr>
              <w:ind w:left="100"/>
              <w:spacing w:after="0"/>
              <w:rPr>
                <w:sz w:val="20"/>
                <w:szCs w:val="20"/>
                <w:color w:val="auto"/>
              </w:rPr>
            </w:pPr>
            <w:r>
              <w:rPr>
                <w:rFonts w:ascii="Arial" w:cs="Arial" w:eastAsia="Arial" w:hAnsi="Arial"/>
                <w:sz w:val="16"/>
                <w:szCs w:val="16"/>
                <w:color w:val="0B2E44"/>
              </w:rPr>
              <w:t>Summary Compensation Table - Total Compensation</w:t>
            </w:r>
          </w:p>
        </w:tc>
        <w:tc>
          <w:tcPr>
            <w:tcW w:w="1280" w:type="dxa"/>
            <w:vAlign w:val="bottom"/>
            <w:shd w:val="clear" w:color="auto" w:fill="DDE9F2"/>
          </w:tcPr>
          <w:p>
            <w:pPr>
              <w:jc w:val="right"/>
              <w:ind w:right="80"/>
              <w:spacing w:after="0"/>
              <w:rPr>
                <w:sz w:val="20"/>
                <w:szCs w:val="20"/>
                <w:color w:val="auto"/>
              </w:rPr>
            </w:pPr>
            <w:r>
              <w:rPr>
                <w:rFonts w:ascii="Arial" w:cs="Arial" w:eastAsia="Arial" w:hAnsi="Arial"/>
                <w:sz w:val="16"/>
                <w:szCs w:val="16"/>
                <w:color w:val="0B2E44"/>
              </w:rPr>
              <w:t>$2,696,751</w:t>
            </w:r>
          </w:p>
        </w:tc>
        <w:tc>
          <w:tcPr>
            <w:tcW w:w="1220" w:type="dxa"/>
            <w:vAlign w:val="bottom"/>
            <w:shd w:val="clear" w:color="auto" w:fill="DDE9F2"/>
          </w:tcPr>
          <w:p>
            <w:pPr>
              <w:jc w:val="right"/>
              <w:ind w:right="80"/>
              <w:spacing w:after="0"/>
              <w:rPr>
                <w:sz w:val="20"/>
                <w:szCs w:val="20"/>
                <w:color w:val="auto"/>
              </w:rPr>
            </w:pPr>
            <w:r>
              <w:rPr>
                <w:rFonts w:ascii="Arial" w:cs="Arial" w:eastAsia="Arial" w:hAnsi="Arial"/>
                <w:sz w:val="16"/>
                <w:szCs w:val="16"/>
                <w:color w:val="0B2E44"/>
              </w:rPr>
              <w:t>$3,342,790</w:t>
            </w:r>
          </w:p>
        </w:tc>
        <w:tc>
          <w:tcPr>
            <w:tcW w:w="11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$3,237,743</w:t>
            </w:r>
          </w:p>
        </w:tc>
        <w:tc>
          <w:tcPr>
            <w:tcW w:w="0" w:type="dxa"/>
            <w:vAlign w:val="bottom"/>
          </w:tcPr>
          <w:p>
            <w:pPr>
              <w:spacing w:after="0"/>
              <w:rPr>
                <w:sz w:val="1"/>
                <w:szCs w:val="1"/>
                <w:color w:val="auto"/>
              </w:rPr>
            </w:pPr>
          </w:p>
        </w:tc>
      </w:tr>
      <w:tr>
        <w:trPr>
          <w:trHeight w:val="165"/>
        </w:trPr>
        <w:tc>
          <w:tcPr>
            <w:tcW w:w="300" w:type="dxa"/>
            <w:vAlign w:val="bottom"/>
            <w:vMerge w:val="restart"/>
          </w:tcPr>
          <w:p>
            <w:pPr>
              <w:ind w:left="120"/>
              <w:spacing w:after="0"/>
              <w:rPr>
                <w:sz w:val="20"/>
                <w:szCs w:val="20"/>
                <w:color w:val="auto"/>
              </w:rPr>
            </w:pPr>
            <w:r>
              <w:rPr>
                <w:rFonts w:ascii="Arial" w:cs="Arial" w:eastAsia="Arial" w:hAnsi="Arial"/>
                <w:sz w:val="16"/>
                <w:szCs w:val="16"/>
                <w:color w:val="0B2E44"/>
              </w:rPr>
              <w:t>-</w:t>
            </w:r>
          </w:p>
        </w:tc>
        <w:tc>
          <w:tcPr>
            <w:tcW w:w="6020" w:type="dxa"/>
            <w:vAlign w:val="bottom"/>
          </w:tcPr>
          <w:p>
            <w:pPr>
              <w:ind w:left="100"/>
              <w:spacing w:after="0" w:line="165" w:lineRule="exact"/>
              <w:rPr>
                <w:sz w:val="20"/>
                <w:szCs w:val="20"/>
                <w:color w:val="auto"/>
              </w:rPr>
            </w:pPr>
            <w:r>
              <w:rPr>
                <w:rFonts w:ascii="Arial" w:cs="Arial" w:eastAsia="Arial" w:hAnsi="Arial"/>
                <w:sz w:val="16"/>
                <w:szCs w:val="16"/>
                <w:color w:val="0B2E44"/>
              </w:rPr>
              <w:t>Grant Date Fair Value of Stock Awards and Option Awards Granted in Fiscal</w:t>
            </w:r>
          </w:p>
        </w:tc>
        <w:tc>
          <w:tcPr>
            <w:tcW w:w="1280" w:type="dxa"/>
            <w:vAlign w:val="bottom"/>
            <w:vMerge w:val="restart"/>
          </w:tcPr>
          <w:p>
            <w:pPr>
              <w:jc w:val="right"/>
              <w:ind w:right="80"/>
              <w:spacing w:after="0"/>
              <w:rPr>
                <w:sz w:val="20"/>
                <w:szCs w:val="20"/>
                <w:color w:val="auto"/>
              </w:rPr>
            </w:pPr>
            <w:r>
              <w:rPr>
                <w:rFonts w:ascii="Arial" w:cs="Arial" w:eastAsia="Arial" w:hAnsi="Arial"/>
                <w:sz w:val="16"/>
                <w:szCs w:val="16"/>
                <w:color w:val="0B2E44"/>
              </w:rPr>
              <w:t>$1,808,753</w:t>
            </w:r>
          </w:p>
        </w:tc>
        <w:tc>
          <w:tcPr>
            <w:tcW w:w="1220" w:type="dxa"/>
            <w:vAlign w:val="bottom"/>
            <w:vMerge w:val="restart"/>
          </w:tcPr>
          <w:p>
            <w:pPr>
              <w:jc w:val="right"/>
              <w:ind w:right="80"/>
              <w:spacing w:after="0"/>
              <w:rPr>
                <w:sz w:val="20"/>
                <w:szCs w:val="20"/>
                <w:color w:val="auto"/>
              </w:rPr>
            </w:pPr>
            <w:r>
              <w:rPr>
                <w:rFonts w:ascii="Arial" w:cs="Arial" w:eastAsia="Arial" w:hAnsi="Arial"/>
                <w:sz w:val="16"/>
                <w:szCs w:val="16"/>
                <w:color w:val="0B2E44"/>
              </w:rPr>
              <w:t>$2,491,707</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0B2E44"/>
              </w:rPr>
              <w:t>$2,559,448</w:t>
            </w:r>
          </w:p>
        </w:tc>
        <w:tc>
          <w:tcPr>
            <w:tcW w:w="0" w:type="dxa"/>
            <w:vAlign w:val="bottom"/>
          </w:tcPr>
          <w:p>
            <w:pPr>
              <w:spacing w:after="0"/>
              <w:rPr>
                <w:sz w:val="1"/>
                <w:szCs w:val="1"/>
                <w:color w:val="auto"/>
              </w:rPr>
            </w:pPr>
          </w:p>
        </w:tc>
      </w:tr>
      <w:tr>
        <w:trPr>
          <w:trHeight w:val="126"/>
        </w:trPr>
        <w:tc>
          <w:tcPr>
            <w:tcW w:w="300" w:type="dxa"/>
            <w:vAlign w:val="bottom"/>
            <w:vMerge w:val="continue"/>
          </w:tcPr>
          <w:p>
            <w:pPr>
              <w:spacing w:after="0"/>
              <w:rPr>
                <w:sz w:val="10"/>
                <w:szCs w:val="10"/>
                <w:color w:val="auto"/>
              </w:rPr>
            </w:pPr>
          </w:p>
        </w:tc>
        <w:tc>
          <w:tcPr>
            <w:tcW w:w="6020" w:type="dxa"/>
            <w:vAlign w:val="bottom"/>
            <w:vMerge w:val="restart"/>
          </w:tcPr>
          <w:p>
            <w:pPr>
              <w:ind w:left="100"/>
              <w:spacing w:after="0"/>
              <w:rPr>
                <w:sz w:val="20"/>
                <w:szCs w:val="20"/>
                <w:color w:val="auto"/>
              </w:rPr>
            </w:pPr>
            <w:r>
              <w:rPr>
                <w:rFonts w:ascii="Arial" w:cs="Arial" w:eastAsia="Arial" w:hAnsi="Arial"/>
                <w:sz w:val="16"/>
                <w:szCs w:val="16"/>
                <w:color w:val="0B2E44"/>
              </w:rPr>
              <w:t>Year</w:t>
            </w:r>
          </w:p>
        </w:tc>
        <w:tc>
          <w:tcPr>
            <w:tcW w:w="12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w:t>
            </w:r>
          </w:p>
        </w:tc>
        <w:tc>
          <w:tcPr>
            <w:tcW w:w="6020" w:type="dxa"/>
            <w:vAlign w:val="bottom"/>
            <w:shd w:val="clear" w:color="auto" w:fill="DDE9F2"/>
          </w:tcPr>
          <w:p>
            <w:pPr>
              <w:ind w:left="100"/>
              <w:spacing w:after="0" w:line="168" w:lineRule="exact"/>
              <w:rPr>
                <w:sz w:val="20"/>
                <w:szCs w:val="20"/>
                <w:color w:val="auto"/>
              </w:rPr>
            </w:pPr>
            <w:r>
              <w:rPr>
                <w:rFonts w:ascii="Arial" w:cs="Arial" w:eastAsia="Arial" w:hAnsi="Arial"/>
                <w:sz w:val="16"/>
                <w:szCs w:val="16"/>
                <w:color w:val="0B2E44"/>
              </w:rPr>
              <w:t>Fair Value at Fiscal Year End of Outstanding and Unvested Stock Awards and</w:t>
            </w:r>
          </w:p>
        </w:tc>
        <w:tc>
          <w:tcPr>
            <w:tcW w:w="128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$3,552,227</w:t>
            </w:r>
          </w:p>
        </w:tc>
        <w:tc>
          <w:tcPr>
            <w:tcW w:w="122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$2,655,470</w:t>
            </w:r>
          </w:p>
        </w:tc>
        <w:tc>
          <w:tcPr>
            <w:tcW w:w="1100" w:type="dxa"/>
            <w:vAlign w:val="bottom"/>
            <w:vMerge w:val="restart"/>
            <w:shd w:val="clear" w:color="auto" w:fill="DDE9F2"/>
          </w:tcPr>
          <w:p>
            <w:pPr>
              <w:jc w:val="right"/>
              <w:spacing w:after="0"/>
              <w:rPr>
                <w:sz w:val="20"/>
                <w:szCs w:val="20"/>
                <w:color w:val="auto"/>
              </w:rPr>
            </w:pPr>
            <w:r>
              <w:rPr>
                <w:rFonts w:ascii="Arial" w:cs="Arial" w:eastAsia="Arial" w:hAnsi="Arial"/>
                <w:sz w:val="16"/>
                <w:szCs w:val="16"/>
                <w:color w:val="0B2E44"/>
              </w:rPr>
              <w:t>$2,185,843</w:t>
            </w:r>
          </w:p>
        </w:tc>
        <w:tc>
          <w:tcPr>
            <w:tcW w:w="0" w:type="dxa"/>
            <w:vAlign w:val="bottom"/>
          </w:tcPr>
          <w:p>
            <w:pPr>
              <w:spacing w:after="0"/>
              <w:rPr>
                <w:sz w:val="1"/>
                <w:szCs w:val="1"/>
                <w:color w:val="auto"/>
              </w:rPr>
            </w:pPr>
          </w:p>
        </w:tc>
      </w:tr>
      <w:tr>
        <w:trPr>
          <w:trHeight w:val="126"/>
        </w:trPr>
        <w:tc>
          <w:tcPr>
            <w:tcW w:w="300" w:type="dxa"/>
            <w:vAlign w:val="bottom"/>
            <w:vMerge w:val="continue"/>
            <w:shd w:val="clear" w:color="auto" w:fill="DDE9F2"/>
          </w:tcPr>
          <w:p>
            <w:pPr>
              <w:spacing w:after="0"/>
              <w:rPr>
                <w:sz w:val="10"/>
                <w:szCs w:val="10"/>
                <w:color w:val="auto"/>
              </w:rPr>
            </w:pPr>
          </w:p>
        </w:tc>
        <w:tc>
          <w:tcPr>
            <w:tcW w:w="6020" w:type="dxa"/>
            <w:vAlign w:val="bottom"/>
            <w:vMerge w:val="restart"/>
            <w:shd w:val="clear" w:color="auto" w:fill="DDE9F2"/>
          </w:tcPr>
          <w:p>
            <w:pPr>
              <w:ind w:left="100"/>
              <w:spacing w:after="0"/>
              <w:rPr>
                <w:sz w:val="20"/>
                <w:szCs w:val="20"/>
                <w:color w:val="auto"/>
              </w:rPr>
            </w:pPr>
            <w:r>
              <w:rPr>
                <w:rFonts w:ascii="Arial" w:cs="Arial" w:eastAsia="Arial" w:hAnsi="Arial"/>
                <w:sz w:val="16"/>
                <w:szCs w:val="16"/>
                <w:color w:val="0B2E44"/>
              </w:rPr>
              <w:t>Option Awards Granted in Fiscal Year</w:t>
            </w:r>
          </w:p>
        </w:tc>
        <w:tc>
          <w:tcPr>
            <w:tcW w:w="1280" w:type="dxa"/>
            <w:vAlign w:val="bottom"/>
            <w:vMerge w:val="continue"/>
            <w:shd w:val="clear" w:color="auto" w:fill="DDE9F2"/>
          </w:tcPr>
          <w:p>
            <w:pPr>
              <w:spacing w:after="0"/>
              <w:rPr>
                <w:sz w:val="10"/>
                <w:szCs w:val="10"/>
                <w:color w:val="auto"/>
              </w:rPr>
            </w:pPr>
          </w:p>
        </w:tc>
        <w:tc>
          <w:tcPr>
            <w:tcW w:w="1220" w:type="dxa"/>
            <w:vAlign w:val="bottom"/>
            <w:vMerge w:val="continue"/>
            <w:shd w:val="clear" w:color="auto" w:fill="DDE9F2"/>
          </w:tcPr>
          <w:p>
            <w:pPr>
              <w:spacing w:after="0"/>
              <w:rPr>
                <w:sz w:val="10"/>
                <w:szCs w:val="10"/>
                <w:color w:val="auto"/>
              </w:rPr>
            </w:pPr>
          </w:p>
        </w:tc>
        <w:tc>
          <w:tcPr>
            <w:tcW w:w="1100" w:type="dxa"/>
            <w:vAlign w:val="bottom"/>
            <w:vMerge w:val="continue"/>
            <w:shd w:val="clear" w:color="auto" w:fill="DDE9F2"/>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0" w:type="dxa"/>
            <w:vAlign w:val="bottom"/>
            <w:shd w:val="clear" w:color="auto" w:fill="DDE9F2"/>
          </w:tcPr>
          <w:p>
            <w:pPr>
              <w:spacing w:after="0"/>
              <w:rPr>
                <w:sz w:val="7"/>
                <w:szCs w:val="7"/>
                <w:color w:val="auto"/>
              </w:rPr>
            </w:pPr>
          </w:p>
        </w:tc>
        <w:tc>
          <w:tcPr>
            <w:tcW w:w="6020" w:type="dxa"/>
            <w:vAlign w:val="bottom"/>
            <w:vMerge w:val="continue"/>
            <w:shd w:val="clear" w:color="auto" w:fill="DDE9F2"/>
          </w:tcPr>
          <w:p>
            <w:pPr>
              <w:spacing w:after="0"/>
              <w:rPr>
                <w:sz w:val="7"/>
                <w:szCs w:val="7"/>
                <w:color w:val="auto"/>
              </w:rPr>
            </w:pPr>
          </w:p>
        </w:tc>
        <w:tc>
          <w:tcPr>
            <w:tcW w:w="1280" w:type="dxa"/>
            <w:vAlign w:val="bottom"/>
            <w:shd w:val="clear" w:color="auto" w:fill="DDE9F2"/>
          </w:tcPr>
          <w:p>
            <w:pPr>
              <w:spacing w:after="0"/>
              <w:rPr>
                <w:sz w:val="7"/>
                <w:szCs w:val="7"/>
                <w:color w:val="auto"/>
              </w:rPr>
            </w:pPr>
          </w:p>
        </w:tc>
        <w:tc>
          <w:tcPr>
            <w:tcW w:w="1220" w:type="dxa"/>
            <w:vAlign w:val="bottom"/>
            <w:shd w:val="clear" w:color="auto" w:fill="DDE9F2"/>
          </w:tcPr>
          <w:p>
            <w:pPr>
              <w:spacing w:after="0"/>
              <w:rPr>
                <w:sz w:val="7"/>
                <w:szCs w:val="7"/>
                <w:color w:val="auto"/>
              </w:rPr>
            </w:pPr>
          </w:p>
        </w:tc>
        <w:tc>
          <w:tcPr>
            <w:tcW w:w="1100" w:type="dxa"/>
            <w:vAlign w:val="bottom"/>
            <w:shd w:val="clear" w:color="auto" w:fill="DDE9F2"/>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00" w:type="dxa"/>
            <w:vAlign w:val="bottom"/>
            <w:vMerge w:val="restart"/>
          </w:tcPr>
          <w:p>
            <w:pPr>
              <w:ind w:left="120"/>
              <w:spacing w:after="0"/>
              <w:rPr>
                <w:sz w:val="20"/>
                <w:szCs w:val="20"/>
                <w:color w:val="auto"/>
              </w:rPr>
            </w:pPr>
            <w:r>
              <w:rPr>
                <w:rFonts w:ascii="Arial" w:cs="Arial" w:eastAsia="Arial" w:hAnsi="Arial"/>
                <w:sz w:val="16"/>
                <w:szCs w:val="16"/>
                <w:color w:val="0B2E44"/>
              </w:rPr>
              <w:t>+</w:t>
            </w:r>
          </w:p>
        </w:tc>
        <w:tc>
          <w:tcPr>
            <w:tcW w:w="6020" w:type="dxa"/>
            <w:vAlign w:val="bottom"/>
          </w:tcPr>
          <w:p>
            <w:pPr>
              <w:ind w:left="100"/>
              <w:spacing w:after="0" w:line="165" w:lineRule="exact"/>
              <w:rPr>
                <w:sz w:val="20"/>
                <w:szCs w:val="20"/>
                <w:color w:val="auto"/>
              </w:rPr>
            </w:pPr>
            <w:r>
              <w:rPr>
                <w:rFonts w:ascii="Arial" w:cs="Arial" w:eastAsia="Arial" w:hAnsi="Arial"/>
                <w:sz w:val="16"/>
                <w:szCs w:val="16"/>
                <w:color w:val="0B2E44"/>
              </w:rPr>
              <w:t>Change in Fair Value of Outstanding and Unvested Stock Awards and Option</w:t>
            </w:r>
          </w:p>
        </w:tc>
        <w:tc>
          <w:tcPr>
            <w:tcW w:w="1280" w:type="dxa"/>
            <w:vAlign w:val="bottom"/>
            <w:vMerge w:val="restart"/>
          </w:tcPr>
          <w:p>
            <w:pPr>
              <w:jc w:val="right"/>
              <w:ind w:right="80"/>
              <w:spacing w:after="0"/>
              <w:rPr>
                <w:sz w:val="20"/>
                <w:szCs w:val="20"/>
                <w:color w:val="auto"/>
              </w:rPr>
            </w:pPr>
            <w:r>
              <w:rPr>
                <w:rFonts w:ascii="Arial" w:cs="Arial" w:eastAsia="Arial" w:hAnsi="Arial"/>
                <w:sz w:val="16"/>
                <w:szCs w:val="16"/>
                <w:color w:val="0B2E44"/>
              </w:rPr>
              <w:t>$296,856</w:t>
            </w:r>
          </w:p>
        </w:tc>
        <w:tc>
          <w:tcPr>
            <w:tcW w:w="1220" w:type="dxa"/>
            <w:vAlign w:val="bottom"/>
            <w:vMerge w:val="restart"/>
          </w:tcPr>
          <w:p>
            <w:pPr>
              <w:jc w:val="right"/>
              <w:ind w:right="80"/>
              <w:spacing w:after="0"/>
              <w:rPr>
                <w:sz w:val="20"/>
                <w:szCs w:val="20"/>
                <w:color w:val="auto"/>
              </w:rPr>
            </w:pPr>
            <w:r>
              <w:rPr>
                <w:rFonts w:ascii="Arial" w:cs="Arial" w:eastAsia="Arial" w:hAnsi="Arial"/>
                <w:sz w:val="16"/>
                <w:szCs w:val="16"/>
                <w:color w:val="0B2E44"/>
              </w:rPr>
              <w:t>$(165,930)</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0B2E44"/>
              </w:rPr>
              <w:t>$(924,865)</w:t>
            </w:r>
          </w:p>
        </w:tc>
        <w:tc>
          <w:tcPr>
            <w:tcW w:w="0" w:type="dxa"/>
            <w:vAlign w:val="bottom"/>
          </w:tcPr>
          <w:p>
            <w:pPr>
              <w:spacing w:after="0"/>
              <w:rPr>
                <w:sz w:val="1"/>
                <w:szCs w:val="1"/>
                <w:color w:val="auto"/>
              </w:rPr>
            </w:pPr>
          </w:p>
        </w:tc>
      </w:tr>
      <w:tr>
        <w:trPr>
          <w:trHeight w:val="126"/>
        </w:trPr>
        <w:tc>
          <w:tcPr>
            <w:tcW w:w="300" w:type="dxa"/>
            <w:vAlign w:val="bottom"/>
            <w:vMerge w:val="continue"/>
          </w:tcPr>
          <w:p>
            <w:pPr>
              <w:spacing w:after="0"/>
              <w:rPr>
                <w:sz w:val="10"/>
                <w:szCs w:val="10"/>
                <w:color w:val="auto"/>
              </w:rPr>
            </w:pPr>
          </w:p>
        </w:tc>
        <w:tc>
          <w:tcPr>
            <w:tcW w:w="6020" w:type="dxa"/>
            <w:vAlign w:val="bottom"/>
            <w:vMerge w:val="restart"/>
          </w:tcPr>
          <w:p>
            <w:pPr>
              <w:ind w:left="100"/>
              <w:spacing w:after="0"/>
              <w:rPr>
                <w:sz w:val="20"/>
                <w:szCs w:val="20"/>
                <w:color w:val="auto"/>
              </w:rPr>
            </w:pPr>
            <w:r>
              <w:rPr>
                <w:rFonts w:ascii="Arial" w:cs="Arial" w:eastAsia="Arial" w:hAnsi="Arial"/>
                <w:sz w:val="16"/>
                <w:szCs w:val="16"/>
                <w:color w:val="0B2E44"/>
              </w:rPr>
              <w:t>Awards Granted in Prior Fiscal Years</w:t>
            </w:r>
          </w:p>
        </w:tc>
        <w:tc>
          <w:tcPr>
            <w:tcW w:w="12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w:t>
            </w:r>
          </w:p>
        </w:tc>
        <w:tc>
          <w:tcPr>
            <w:tcW w:w="6020" w:type="dxa"/>
            <w:vAlign w:val="bottom"/>
            <w:shd w:val="clear" w:color="auto" w:fill="DDE9F2"/>
          </w:tcPr>
          <w:p>
            <w:pPr>
              <w:ind w:left="100"/>
              <w:spacing w:after="0" w:line="168" w:lineRule="exact"/>
              <w:rPr>
                <w:sz w:val="20"/>
                <w:szCs w:val="20"/>
                <w:color w:val="auto"/>
              </w:rPr>
            </w:pPr>
            <w:r>
              <w:rPr>
                <w:rFonts w:ascii="Arial" w:cs="Arial" w:eastAsia="Arial" w:hAnsi="Arial"/>
                <w:sz w:val="16"/>
                <w:szCs w:val="16"/>
                <w:color w:val="0B2E44"/>
              </w:rPr>
              <w:t>Fair Value at Vesting of Stock Awards and Option Awards Granted in Fiscal Year</w:t>
            </w:r>
          </w:p>
        </w:tc>
        <w:tc>
          <w:tcPr>
            <w:tcW w:w="128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w:t>
            </w:r>
          </w:p>
        </w:tc>
        <w:tc>
          <w:tcPr>
            <w:tcW w:w="122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w:t>
            </w:r>
          </w:p>
        </w:tc>
        <w:tc>
          <w:tcPr>
            <w:tcW w:w="1100" w:type="dxa"/>
            <w:vAlign w:val="bottom"/>
            <w:vMerge w:val="restart"/>
            <w:shd w:val="clear" w:color="auto" w:fill="DDE9F2"/>
          </w:tcPr>
          <w:p>
            <w:pPr>
              <w:jc w:val="right"/>
              <w:spacing w:after="0"/>
              <w:rPr>
                <w:sz w:val="20"/>
                <w:szCs w:val="20"/>
                <w:color w:val="auto"/>
              </w:rPr>
            </w:pPr>
            <w:r>
              <w:rPr>
                <w:rFonts w:ascii="Arial" w:cs="Arial" w:eastAsia="Arial" w:hAnsi="Arial"/>
                <w:sz w:val="16"/>
                <w:szCs w:val="16"/>
                <w:color w:val="0B2E44"/>
              </w:rPr>
              <w:t>$287,324</w:t>
            </w:r>
          </w:p>
        </w:tc>
        <w:tc>
          <w:tcPr>
            <w:tcW w:w="0" w:type="dxa"/>
            <w:vAlign w:val="bottom"/>
          </w:tcPr>
          <w:p>
            <w:pPr>
              <w:spacing w:after="0"/>
              <w:rPr>
                <w:sz w:val="1"/>
                <w:szCs w:val="1"/>
                <w:color w:val="auto"/>
              </w:rPr>
            </w:pPr>
          </w:p>
        </w:tc>
      </w:tr>
      <w:tr>
        <w:trPr>
          <w:trHeight w:val="126"/>
        </w:trPr>
        <w:tc>
          <w:tcPr>
            <w:tcW w:w="300" w:type="dxa"/>
            <w:vAlign w:val="bottom"/>
            <w:vMerge w:val="continue"/>
            <w:shd w:val="clear" w:color="auto" w:fill="DDE9F2"/>
          </w:tcPr>
          <w:p>
            <w:pPr>
              <w:spacing w:after="0"/>
              <w:rPr>
                <w:sz w:val="10"/>
                <w:szCs w:val="10"/>
                <w:color w:val="auto"/>
              </w:rPr>
            </w:pPr>
          </w:p>
        </w:tc>
        <w:tc>
          <w:tcPr>
            <w:tcW w:w="6020" w:type="dxa"/>
            <w:vAlign w:val="bottom"/>
            <w:vMerge w:val="restart"/>
            <w:shd w:val="clear" w:color="auto" w:fill="DDE9F2"/>
          </w:tcPr>
          <w:p>
            <w:pPr>
              <w:ind w:left="100"/>
              <w:spacing w:after="0"/>
              <w:rPr>
                <w:sz w:val="20"/>
                <w:szCs w:val="20"/>
                <w:color w:val="auto"/>
              </w:rPr>
            </w:pPr>
            <w:r>
              <w:rPr>
                <w:rFonts w:ascii="Arial" w:cs="Arial" w:eastAsia="Arial" w:hAnsi="Arial"/>
                <w:sz w:val="16"/>
                <w:szCs w:val="16"/>
                <w:color w:val="0B2E44"/>
              </w:rPr>
              <w:t>That Vested During Fiscal Year</w:t>
            </w:r>
          </w:p>
        </w:tc>
        <w:tc>
          <w:tcPr>
            <w:tcW w:w="1280" w:type="dxa"/>
            <w:vAlign w:val="bottom"/>
            <w:vMerge w:val="continue"/>
            <w:shd w:val="clear" w:color="auto" w:fill="DDE9F2"/>
          </w:tcPr>
          <w:p>
            <w:pPr>
              <w:spacing w:after="0"/>
              <w:rPr>
                <w:sz w:val="10"/>
                <w:szCs w:val="10"/>
                <w:color w:val="auto"/>
              </w:rPr>
            </w:pPr>
          </w:p>
        </w:tc>
        <w:tc>
          <w:tcPr>
            <w:tcW w:w="1220" w:type="dxa"/>
            <w:vAlign w:val="bottom"/>
            <w:vMerge w:val="continue"/>
            <w:shd w:val="clear" w:color="auto" w:fill="DDE9F2"/>
          </w:tcPr>
          <w:p>
            <w:pPr>
              <w:spacing w:after="0"/>
              <w:rPr>
                <w:sz w:val="10"/>
                <w:szCs w:val="10"/>
                <w:color w:val="auto"/>
              </w:rPr>
            </w:pPr>
          </w:p>
        </w:tc>
        <w:tc>
          <w:tcPr>
            <w:tcW w:w="1100" w:type="dxa"/>
            <w:vAlign w:val="bottom"/>
            <w:vMerge w:val="continue"/>
            <w:shd w:val="clear" w:color="auto" w:fill="DDE9F2"/>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0" w:type="dxa"/>
            <w:vAlign w:val="bottom"/>
            <w:shd w:val="clear" w:color="auto" w:fill="DDE9F2"/>
          </w:tcPr>
          <w:p>
            <w:pPr>
              <w:spacing w:after="0"/>
              <w:rPr>
                <w:sz w:val="7"/>
                <w:szCs w:val="7"/>
                <w:color w:val="auto"/>
              </w:rPr>
            </w:pPr>
          </w:p>
        </w:tc>
        <w:tc>
          <w:tcPr>
            <w:tcW w:w="6020" w:type="dxa"/>
            <w:vAlign w:val="bottom"/>
            <w:vMerge w:val="continue"/>
            <w:shd w:val="clear" w:color="auto" w:fill="DDE9F2"/>
          </w:tcPr>
          <w:p>
            <w:pPr>
              <w:spacing w:after="0"/>
              <w:rPr>
                <w:sz w:val="7"/>
                <w:szCs w:val="7"/>
                <w:color w:val="auto"/>
              </w:rPr>
            </w:pPr>
          </w:p>
        </w:tc>
        <w:tc>
          <w:tcPr>
            <w:tcW w:w="1280" w:type="dxa"/>
            <w:vAlign w:val="bottom"/>
            <w:shd w:val="clear" w:color="auto" w:fill="DDE9F2"/>
          </w:tcPr>
          <w:p>
            <w:pPr>
              <w:spacing w:after="0"/>
              <w:rPr>
                <w:sz w:val="7"/>
                <w:szCs w:val="7"/>
                <w:color w:val="auto"/>
              </w:rPr>
            </w:pPr>
          </w:p>
        </w:tc>
        <w:tc>
          <w:tcPr>
            <w:tcW w:w="1220" w:type="dxa"/>
            <w:vAlign w:val="bottom"/>
            <w:shd w:val="clear" w:color="auto" w:fill="DDE9F2"/>
          </w:tcPr>
          <w:p>
            <w:pPr>
              <w:spacing w:after="0"/>
              <w:rPr>
                <w:sz w:val="7"/>
                <w:szCs w:val="7"/>
                <w:color w:val="auto"/>
              </w:rPr>
            </w:pPr>
          </w:p>
        </w:tc>
        <w:tc>
          <w:tcPr>
            <w:tcW w:w="1100" w:type="dxa"/>
            <w:vAlign w:val="bottom"/>
            <w:shd w:val="clear" w:color="auto" w:fill="DDE9F2"/>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00" w:type="dxa"/>
            <w:vAlign w:val="bottom"/>
            <w:vMerge w:val="restart"/>
          </w:tcPr>
          <w:p>
            <w:pPr>
              <w:ind w:left="120"/>
              <w:spacing w:after="0"/>
              <w:rPr>
                <w:sz w:val="20"/>
                <w:szCs w:val="20"/>
                <w:color w:val="auto"/>
              </w:rPr>
            </w:pPr>
            <w:r>
              <w:rPr>
                <w:rFonts w:ascii="Arial" w:cs="Arial" w:eastAsia="Arial" w:hAnsi="Arial"/>
                <w:sz w:val="16"/>
                <w:szCs w:val="16"/>
                <w:color w:val="0B2E44"/>
              </w:rPr>
              <w:t>+</w:t>
            </w:r>
          </w:p>
        </w:tc>
        <w:tc>
          <w:tcPr>
            <w:tcW w:w="6020" w:type="dxa"/>
            <w:vAlign w:val="bottom"/>
          </w:tcPr>
          <w:p>
            <w:pPr>
              <w:ind w:left="100"/>
              <w:spacing w:after="0" w:line="165" w:lineRule="exact"/>
              <w:rPr>
                <w:sz w:val="20"/>
                <w:szCs w:val="20"/>
                <w:color w:val="auto"/>
              </w:rPr>
            </w:pPr>
            <w:r>
              <w:rPr>
                <w:rFonts w:ascii="Arial" w:cs="Arial" w:eastAsia="Arial" w:hAnsi="Arial"/>
                <w:sz w:val="16"/>
                <w:szCs w:val="16"/>
                <w:color w:val="0B2E44"/>
              </w:rPr>
              <w:t>Change in Fair Value as of Vesting Date of Stock Awards and Option Awards</w:t>
            </w:r>
          </w:p>
        </w:tc>
        <w:tc>
          <w:tcPr>
            <w:tcW w:w="1280" w:type="dxa"/>
            <w:vAlign w:val="bottom"/>
            <w:vMerge w:val="restart"/>
          </w:tcPr>
          <w:p>
            <w:pPr>
              <w:jc w:val="right"/>
              <w:ind w:right="80"/>
              <w:spacing w:after="0"/>
              <w:rPr>
                <w:sz w:val="20"/>
                <w:szCs w:val="20"/>
                <w:color w:val="auto"/>
              </w:rPr>
            </w:pPr>
            <w:r>
              <w:rPr>
                <w:rFonts w:ascii="Arial" w:cs="Arial" w:eastAsia="Arial" w:hAnsi="Arial"/>
                <w:sz w:val="16"/>
                <w:szCs w:val="16"/>
                <w:color w:val="0B2E44"/>
              </w:rPr>
              <w:t>$26,131</w:t>
            </w:r>
          </w:p>
        </w:tc>
        <w:tc>
          <w:tcPr>
            <w:tcW w:w="1220" w:type="dxa"/>
            <w:vAlign w:val="bottom"/>
            <w:vMerge w:val="restart"/>
          </w:tcPr>
          <w:p>
            <w:pPr>
              <w:jc w:val="right"/>
              <w:ind w:right="80"/>
              <w:spacing w:after="0"/>
              <w:rPr>
                <w:sz w:val="20"/>
                <w:szCs w:val="20"/>
                <w:color w:val="auto"/>
              </w:rPr>
            </w:pPr>
            <w:r>
              <w:rPr>
                <w:rFonts w:ascii="Arial" w:cs="Arial" w:eastAsia="Arial" w:hAnsi="Arial"/>
                <w:sz w:val="16"/>
                <w:szCs w:val="16"/>
                <w:color w:val="0B2E44"/>
              </w:rPr>
              <w:t>$193,528</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0B2E44"/>
              </w:rPr>
              <w:t>$(209,402)</w:t>
            </w:r>
          </w:p>
        </w:tc>
        <w:tc>
          <w:tcPr>
            <w:tcW w:w="0" w:type="dxa"/>
            <w:vAlign w:val="bottom"/>
          </w:tcPr>
          <w:p>
            <w:pPr>
              <w:spacing w:after="0"/>
              <w:rPr>
                <w:sz w:val="1"/>
                <w:szCs w:val="1"/>
                <w:color w:val="auto"/>
              </w:rPr>
            </w:pPr>
          </w:p>
        </w:tc>
      </w:tr>
      <w:tr>
        <w:trPr>
          <w:trHeight w:val="162"/>
        </w:trPr>
        <w:tc>
          <w:tcPr>
            <w:tcW w:w="300" w:type="dxa"/>
            <w:vAlign w:val="bottom"/>
            <w:vMerge w:val="continue"/>
          </w:tcPr>
          <w:p>
            <w:pPr>
              <w:spacing w:after="0"/>
              <w:rPr>
                <w:sz w:val="14"/>
                <w:szCs w:val="14"/>
                <w:color w:val="auto"/>
              </w:rPr>
            </w:pPr>
          </w:p>
        </w:tc>
        <w:tc>
          <w:tcPr>
            <w:tcW w:w="6020" w:type="dxa"/>
            <w:vAlign w:val="bottom"/>
          </w:tcPr>
          <w:p>
            <w:pPr>
              <w:ind w:left="100"/>
              <w:spacing w:after="0" w:line="162" w:lineRule="exact"/>
              <w:rPr>
                <w:sz w:val="20"/>
                <w:szCs w:val="20"/>
                <w:color w:val="auto"/>
              </w:rPr>
            </w:pPr>
            <w:r>
              <w:rPr>
                <w:rFonts w:ascii="Arial" w:cs="Arial" w:eastAsia="Arial" w:hAnsi="Arial"/>
                <w:sz w:val="16"/>
                <w:szCs w:val="16"/>
                <w:color w:val="0B2E44"/>
              </w:rPr>
              <w:t>Granted in Prior Fiscal Years For Which Applicable Vesting Conditions Were</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6"/>
                <w:szCs w:val="16"/>
                <w:color w:val="0B2E44"/>
              </w:rPr>
              <w:t>Satisfied During Fiscal Year</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w:t>
            </w:r>
          </w:p>
        </w:tc>
        <w:tc>
          <w:tcPr>
            <w:tcW w:w="6020" w:type="dxa"/>
            <w:vAlign w:val="bottom"/>
            <w:shd w:val="clear" w:color="auto" w:fill="DDE9F2"/>
          </w:tcPr>
          <w:p>
            <w:pPr>
              <w:ind w:left="100"/>
              <w:spacing w:after="0" w:line="168" w:lineRule="exact"/>
              <w:rPr>
                <w:sz w:val="20"/>
                <w:szCs w:val="20"/>
                <w:color w:val="auto"/>
              </w:rPr>
            </w:pPr>
            <w:r>
              <w:rPr>
                <w:rFonts w:ascii="Arial" w:cs="Arial" w:eastAsia="Arial" w:hAnsi="Arial"/>
                <w:sz w:val="16"/>
                <w:szCs w:val="16"/>
                <w:color w:val="0B2E44"/>
              </w:rPr>
              <w:t>Fair Value as of Prior Fiscal Year End of Stock Awards and Option Awards</w:t>
            </w:r>
          </w:p>
        </w:tc>
        <w:tc>
          <w:tcPr>
            <w:tcW w:w="128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w:t>
            </w:r>
          </w:p>
        </w:tc>
        <w:tc>
          <w:tcPr>
            <w:tcW w:w="1220" w:type="dxa"/>
            <w:vAlign w:val="bottom"/>
            <w:vMerge w:val="restart"/>
            <w:shd w:val="clear" w:color="auto" w:fill="DDE9F2"/>
          </w:tcPr>
          <w:p>
            <w:pPr>
              <w:jc w:val="right"/>
              <w:ind w:right="80"/>
              <w:spacing w:after="0"/>
              <w:rPr>
                <w:sz w:val="20"/>
                <w:szCs w:val="20"/>
                <w:color w:val="auto"/>
              </w:rPr>
            </w:pPr>
            <w:r>
              <w:rPr>
                <w:rFonts w:ascii="Arial" w:cs="Arial" w:eastAsia="Arial" w:hAnsi="Arial"/>
                <w:sz w:val="16"/>
                <w:szCs w:val="16"/>
                <w:color w:val="0B2E44"/>
              </w:rPr>
              <w:t>$—</w:t>
            </w:r>
          </w:p>
        </w:tc>
        <w:tc>
          <w:tcPr>
            <w:tcW w:w="1100" w:type="dxa"/>
            <w:vAlign w:val="bottom"/>
            <w:vMerge w:val="restart"/>
            <w:shd w:val="clear" w:color="auto" w:fill="DDE9F2"/>
          </w:tcPr>
          <w:p>
            <w:pPr>
              <w:jc w:val="right"/>
              <w:spacing w:after="0"/>
              <w:rPr>
                <w:sz w:val="20"/>
                <w:szCs w:val="20"/>
                <w:color w:val="auto"/>
              </w:rPr>
            </w:pPr>
            <w:r>
              <w:rPr>
                <w:rFonts w:ascii="Arial" w:cs="Arial" w:eastAsia="Arial" w:hAnsi="Arial"/>
                <w:sz w:val="16"/>
                <w:szCs w:val="16"/>
                <w:color w:val="0B2E44"/>
              </w:rPr>
              <w:t>$310,496</w:t>
            </w:r>
          </w:p>
        </w:tc>
        <w:tc>
          <w:tcPr>
            <w:tcW w:w="0" w:type="dxa"/>
            <w:vAlign w:val="bottom"/>
          </w:tcPr>
          <w:p>
            <w:pPr>
              <w:spacing w:after="0"/>
              <w:rPr>
                <w:sz w:val="1"/>
                <w:szCs w:val="1"/>
                <w:color w:val="auto"/>
              </w:rPr>
            </w:pPr>
          </w:p>
        </w:tc>
      </w:tr>
      <w:tr>
        <w:trPr>
          <w:trHeight w:val="162"/>
        </w:trPr>
        <w:tc>
          <w:tcPr>
            <w:tcW w:w="300" w:type="dxa"/>
            <w:vAlign w:val="bottom"/>
            <w:vMerge w:val="continue"/>
            <w:shd w:val="clear" w:color="auto" w:fill="DDE9F2"/>
          </w:tcPr>
          <w:p>
            <w:pPr>
              <w:spacing w:after="0"/>
              <w:rPr>
                <w:sz w:val="14"/>
                <w:szCs w:val="14"/>
                <w:color w:val="auto"/>
              </w:rPr>
            </w:pPr>
          </w:p>
        </w:tc>
        <w:tc>
          <w:tcPr>
            <w:tcW w:w="6020" w:type="dxa"/>
            <w:vAlign w:val="bottom"/>
            <w:shd w:val="clear" w:color="auto" w:fill="DDE9F2"/>
          </w:tcPr>
          <w:p>
            <w:pPr>
              <w:ind w:left="100"/>
              <w:spacing w:after="0" w:line="162" w:lineRule="exact"/>
              <w:rPr>
                <w:sz w:val="20"/>
                <w:szCs w:val="20"/>
                <w:color w:val="auto"/>
              </w:rPr>
            </w:pPr>
            <w:r>
              <w:rPr>
                <w:rFonts w:ascii="Arial" w:cs="Arial" w:eastAsia="Arial" w:hAnsi="Arial"/>
                <w:sz w:val="16"/>
                <w:szCs w:val="16"/>
                <w:color w:val="0B2E44"/>
              </w:rPr>
              <w:t>Granted in Fiscal Years That Failed to Meet Applicable Vesting Conditions</w:t>
            </w:r>
          </w:p>
        </w:tc>
        <w:tc>
          <w:tcPr>
            <w:tcW w:w="1280" w:type="dxa"/>
            <w:vAlign w:val="bottom"/>
            <w:vMerge w:val="continue"/>
            <w:shd w:val="clear" w:color="auto" w:fill="DDE9F2"/>
          </w:tcPr>
          <w:p>
            <w:pPr>
              <w:spacing w:after="0"/>
              <w:rPr>
                <w:sz w:val="14"/>
                <w:szCs w:val="14"/>
                <w:color w:val="auto"/>
              </w:rPr>
            </w:pPr>
          </w:p>
        </w:tc>
        <w:tc>
          <w:tcPr>
            <w:tcW w:w="1220" w:type="dxa"/>
            <w:vAlign w:val="bottom"/>
            <w:vMerge w:val="continue"/>
            <w:shd w:val="clear" w:color="auto" w:fill="DDE9F2"/>
          </w:tcPr>
          <w:p>
            <w:pPr>
              <w:spacing w:after="0"/>
              <w:rPr>
                <w:sz w:val="14"/>
                <w:szCs w:val="14"/>
                <w:color w:val="auto"/>
              </w:rPr>
            </w:pPr>
          </w:p>
        </w:tc>
        <w:tc>
          <w:tcPr>
            <w:tcW w:w="1100" w:type="dxa"/>
            <w:vAlign w:val="bottom"/>
            <w:vMerge w:val="continue"/>
            <w:shd w:val="clear" w:color="auto" w:fill="DDE9F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Borders>
              <w:bottom w:val="single" w:sz="8" w:color="0B2E44"/>
            </w:tcBorders>
            <w:shd w:val="clear" w:color="auto" w:fill="DDE9F2"/>
          </w:tcPr>
          <w:p>
            <w:pPr>
              <w:spacing w:after="0"/>
              <w:rPr>
                <w:sz w:val="18"/>
                <w:szCs w:val="18"/>
                <w:color w:val="auto"/>
              </w:rPr>
            </w:pPr>
          </w:p>
        </w:tc>
        <w:tc>
          <w:tcPr>
            <w:tcW w:w="6020" w:type="dxa"/>
            <w:vAlign w:val="bottom"/>
            <w:tcBorders>
              <w:bottom w:val="single" w:sz="8" w:color="0B2E44"/>
            </w:tcBorders>
            <w:shd w:val="clear" w:color="auto" w:fill="DDE9F2"/>
          </w:tcPr>
          <w:p>
            <w:pPr>
              <w:ind w:left="100"/>
              <w:spacing w:after="0"/>
              <w:rPr>
                <w:sz w:val="20"/>
                <w:szCs w:val="20"/>
                <w:color w:val="auto"/>
              </w:rPr>
            </w:pPr>
            <w:r>
              <w:rPr>
                <w:rFonts w:ascii="Arial" w:cs="Arial" w:eastAsia="Arial" w:hAnsi="Arial"/>
                <w:sz w:val="16"/>
                <w:szCs w:val="16"/>
                <w:color w:val="0B2E44"/>
              </w:rPr>
              <w:t>During Fiscal Year</w:t>
            </w:r>
          </w:p>
        </w:tc>
        <w:tc>
          <w:tcPr>
            <w:tcW w:w="1280" w:type="dxa"/>
            <w:vAlign w:val="bottom"/>
            <w:tcBorders>
              <w:bottom w:val="single" w:sz="8" w:color="0B2E44"/>
            </w:tcBorders>
            <w:shd w:val="clear" w:color="auto" w:fill="DDE9F2"/>
          </w:tcPr>
          <w:p>
            <w:pPr>
              <w:spacing w:after="0"/>
              <w:rPr>
                <w:sz w:val="18"/>
                <w:szCs w:val="18"/>
                <w:color w:val="auto"/>
              </w:rPr>
            </w:pPr>
          </w:p>
        </w:tc>
        <w:tc>
          <w:tcPr>
            <w:tcW w:w="1220" w:type="dxa"/>
            <w:vAlign w:val="bottom"/>
            <w:tcBorders>
              <w:bottom w:val="single" w:sz="8" w:color="0B2E44"/>
            </w:tcBorders>
            <w:shd w:val="clear" w:color="auto" w:fill="DDE9F2"/>
          </w:tcPr>
          <w:p>
            <w:pPr>
              <w:spacing w:after="0"/>
              <w:rPr>
                <w:sz w:val="18"/>
                <w:szCs w:val="18"/>
                <w:color w:val="auto"/>
              </w:rPr>
            </w:pPr>
          </w:p>
        </w:tc>
        <w:tc>
          <w:tcPr>
            <w:tcW w:w="1100" w:type="dxa"/>
            <w:vAlign w:val="bottom"/>
            <w:tcBorders>
              <w:bottom w:val="single" w:sz="8" w:color="0B2E44"/>
            </w:tcBorders>
            <w:shd w:val="clear" w:color="auto" w:fill="DDE9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bottom w:val="single" w:sz="8" w:color="0B2E44"/>
            </w:tcBorders>
          </w:tcPr>
          <w:p>
            <w:pPr>
              <w:ind w:left="120"/>
              <w:spacing w:after="0"/>
              <w:rPr>
                <w:sz w:val="20"/>
                <w:szCs w:val="20"/>
                <w:color w:val="auto"/>
              </w:rPr>
            </w:pPr>
            <w:r>
              <w:rPr>
                <w:rFonts w:ascii="Arial" w:cs="Arial" w:eastAsia="Arial" w:hAnsi="Arial"/>
                <w:sz w:val="16"/>
                <w:szCs w:val="16"/>
                <w:color w:val="0B2E44"/>
              </w:rPr>
              <w:t>=</w:t>
            </w:r>
          </w:p>
        </w:tc>
        <w:tc>
          <w:tcPr>
            <w:tcW w:w="6020" w:type="dxa"/>
            <w:vAlign w:val="bottom"/>
            <w:tcBorders>
              <w:bottom w:val="single" w:sz="8" w:color="0B2E44"/>
            </w:tcBorders>
          </w:tcPr>
          <w:p>
            <w:pPr>
              <w:ind w:left="100"/>
              <w:spacing w:after="0"/>
              <w:rPr>
                <w:sz w:val="20"/>
                <w:szCs w:val="20"/>
                <w:color w:val="auto"/>
              </w:rPr>
            </w:pPr>
            <w:r>
              <w:rPr>
                <w:rFonts w:ascii="Arial" w:cs="Arial" w:eastAsia="Arial" w:hAnsi="Arial"/>
                <w:sz w:val="16"/>
                <w:szCs w:val="16"/>
                <w:color w:val="0B2E44"/>
              </w:rPr>
              <w:t>Compensation Actually Paid</w:t>
            </w:r>
          </w:p>
        </w:tc>
        <w:tc>
          <w:tcPr>
            <w:tcW w:w="1280" w:type="dxa"/>
            <w:vAlign w:val="bottom"/>
            <w:tcBorders>
              <w:bottom w:val="single" w:sz="8" w:color="0B2E44"/>
            </w:tcBorders>
          </w:tcPr>
          <w:p>
            <w:pPr>
              <w:jc w:val="right"/>
              <w:ind w:right="80"/>
              <w:spacing w:after="0"/>
              <w:rPr>
                <w:sz w:val="20"/>
                <w:szCs w:val="20"/>
                <w:color w:val="auto"/>
              </w:rPr>
            </w:pPr>
            <w:r>
              <w:rPr>
                <w:rFonts w:ascii="Arial" w:cs="Arial" w:eastAsia="Arial" w:hAnsi="Arial"/>
                <w:sz w:val="16"/>
                <w:szCs w:val="16"/>
                <w:color w:val="0B2E44"/>
              </w:rPr>
              <w:t>$4,763,212</w:t>
            </w:r>
          </w:p>
        </w:tc>
        <w:tc>
          <w:tcPr>
            <w:tcW w:w="1220" w:type="dxa"/>
            <w:vAlign w:val="bottom"/>
            <w:tcBorders>
              <w:bottom w:val="single" w:sz="8" w:color="0B2E44"/>
            </w:tcBorders>
          </w:tcPr>
          <w:p>
            <w:pPr>
              <w:jc w:val="right"/>
              <w:ind w:right="80"/>
              <w:spacing w:after="0"/>
              <w:rPr>
                <w:sz w:val="20"/>
                <w:szCs w:val="20"/>
                <w:color w:val="auto"/>
              </w:rPr>
            </w:pPr>
            <w:r>
              <w:rPr>
                <w:rFonts w:ascii="Arial" w:cs="Arial" w:eastAsia="Arial" w:hAnsi="Arial"/>
                <w:sz w:val="16"/>
                <w:szCs w:val="16"/>
                <w:color w:val="0B2E44"/>
              </w:rPr>
              <w:t>$3,534,151</w:t>
            </w:r>
          </w:p>
        </w:tc>
        <w:tc>
          <w:tcPr>
            <w:tcW w:w="1100" w:type="dxa"/>
            <w:vAlign w:val="bottom"/>
            <w:tcBorders>
              <w:bottom w:val="single" w:sz="8" w:color="0B2E44"/>
            </w:tcBorders>
          </w:tcPr>
          <w:p>
            <w:pPr>
              <w:jc w:val="right"/>
              <w:spacing w:after="0"/>
              <w:rPr>
                <w:sz w:val="20"/>
                <w:szCs w:val="20"/>
                <w:color w:val="auto"/>
              </w:rPr>
            </w:pPr>
            <w:r>
              <w:rPr>
                <w:rFonts w:ascii="Arial" w:cs="Arial" w:eastAsia="Arial" w:hAnsi="Arial"/>
                <w:sz w:val="16"/>
                <w:szCs w:val="16"/>
                <w:color w:val="0B2E44"/>
              </w:rPr>
              <w:t>$1,706,699</w:t>
            </w:r>
          </w:p>
        </w:tc>
        <w:tc>
          <w:tcPr>
            <w:tcW w:w="0" w:type="dxa"/>
            <w:vAlign w:val="bottom"/>
          </w:tcPr>
          <w:p>
            <w:pPr>
              <w:spacing w:after="0"/>
              <w:rPr>
                <w:sz w:val="1"/>
                <w:szCs w:val="1"/>
                <w:color w:val="auto"/>
              </w:rPr>
            </w:pPr>
          </w:p>
        </w:tc>
      </w:tr>
    </w:tbl>
    <w:p>
      <w:pPr>
        <w:spacing w:after="0" w:line="37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3"/>
          <w:szCs w:val="13"/>
          <w:color w:val="0B2E44"/>
        </w:rPr>
      </w:pPr>
      <w:r>
        <w:rPr>
          <w:rFonts w:ascii="Arial" w:cs="Arial" w:eastAsia="Arial" w:hAnsi="Arial"/>
          <w:sz w:val="13"/>
          <w:szCs w:val="13"/>
          <w:color w:val="0B2E44"/>
        </w:rPr>
        <w:t>Pursuant to SEC rules, the comparison assumes $100 was invested on March 31, 2020. Historical stock price performance is not necessarily indicative of future stock price performance.</w:t>
      </w:r>
    </w:p>
    <w:p>
      <w:pPr>
        <w:spacing w:after="0" w:line="7" w:lineRule="exact"/>
        <w:rPr>
          <w:rFonts w:ascii="Arial" w:cs="Arial" w:eastAsia="Arial" w:hAnsi="Arial"/>
          <w:sz w:val="13"/>
          <w:szCs w:val="13"/>
          <w:color w:val="0B2E44"/>
        </w:rPr>
      </w:pPr>
    </w:p>
    <w:p>
      <w:pPr>
        <w:ind w:left="340" w:hanging="332"/>
        <w:spacing w:after="0"/>
        <w:tabs>
          <w:tab w:leader="none" w:pos="340" w:val="left"/>
        </w:tabs>
        <w:numPr>
          <w:ilvl w:val="0"/>
          <w:numId w:val="56"/>
        </w:numPr>
        <w:rPr>
          <w:rFonts w:ascii="Arial" w:cs="Arial" w:eastAsia="Arial" w:hAnsi="Arial"/>
          <w:sz w:val="13"/>
          <w:szCs w:val="13"/>
          <w:color w:val="0B2E44"/>
        </w:rPr>
      </w:pPr>
      <w:r>
        <w:rPr>
          <w:rFonts w:ascii="Arial" w:cs="Arial" w:eastAsia="Arial" w:hAnsi="Arial"/>
          <w:sz w:val="13"/>
          <w:szCs w:val="13"/>
          <w:color w:val="0B2E44"/>
        </w:rPr>
        <w:t>The Total Shareholder Return Peer Group consists of the companies included in the NASDAQ Computer Index.</w:t>
      </w:r>
    </w:p>
    <w:p>
      <w:pPr>
        <w:ind w:left="340" w:hanging="332"/>
        <w:spacing w:after="0" w:line="264" w:lineRule="auto"/>
        <w:tabs>
          <w:tab w:leader="none" w:pos="340" w:val="left"/>
        </w:tabs>
        <w:numPr>
          <w:ilvl w:val="0"/>
          <w:numId w:val="56"/>
        </w:numPr>
        <w:rPr>
          <w:rFonts w:ascii="Arial" w:cs="Arial" w:eastAsia="Arial" w:hAnsi="Arial"/>
          <w:sz w:val="13"/>
          <w:szCs w:val="13"/>
          <w:color w:val="0B2E44"/>
        </w:rPr>
      </w:pPr>
      <w:r>
        <w:rPr>
          <w:rFonts w:ascii="Arial" w:cs="Arial" w:eastAsia="Arial" w:hAnsi="Arial"/>
          <w:sz w:val="13"/>
          <w:szCs w:val="13"/>
          <w:color w:val="0B2E44"/>
        </w:rPr>
        <w:t>The measure has been designated as the “Company-Selected Measure” for fiscal year 2023, in accordance with SEC rules, and represents the most important financial performance measure (that is not otherwise required to be disclosed in the table) used by the Company to link compensation actually paid to our NEOs in fiscal year 2023.</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50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COMPENSATION TABLES | </w:t>
      </w:r>
      <w:r>
        <w:rPr>
          <w:rFonts w:ascii="Arial" w:cs="Arial" w:eastAsia="Arial" w:hAnsi="Arial"/>
          <w:sz w:val="11"/>
          <w:szCs w:val="11"/>
          <w:b w:val="1"/>
          <w:bCs w:val="1"/>
          <w:color w:val="0B2E44"/>
        </w:rPr>
        <w:t>PAY VERSUS PERFORMANCE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FF4A6A"/>
        </w:rPr>
        <w:t>Financial Performance Measures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0B2E44"/>
        </w:rPr>
        <w:t>In no particular order, the following table sets forth the company's most important financial performance measures used to link NEO compensation actually paid during fiscal year 2023 to company performance.</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4"/>
          <w:szCs w:val="14"/>
          <w:color w:val="0B2E44"/>
        </w:rPr>
        <w:t>Company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35915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color w:val="0B2E44"/>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915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91560" cy="13716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0B2E44"/>
        </w:rPr>
        <w:t>Non-GAAP EBIT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0B2E44"/>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9156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91560" cy="13716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0B2E44"/>
        </w:rPr>
        <w: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915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90" w:lineRule="exact"/>
        <w:rPr>
          <w:sz w:val="20"/>
          <w:szCs w:val="20"/>
          <w:color w:val="auto"/>
        </w:rPr>
      </w:pPr>
    </w:p>
    <w:p>
      <w:pPr>
        <w:spacing w:after="0" w:line="293" w:lineRule="auto"/>
        <w:rPr>
          <w:sz w:val="20"/>
          <w:szCs w:val="20"/>
          <w:color w:val="auto"/>
        </w:rPr>
      </w:pPr>
      <w:r>
        <w:rPr>
          <w:rFonts w:ascii="Arial" w:cs="Arial" w:eastAsia="Arial" w:hAnsi="Arial"/>
          <w:sz w:val="16"/>
          <w:szCs w:val="16"/>
          <w:color w:val="0B2E44"/>
        </w:rPr>
        <w:t xml:space="preserve">Additional information about each of these performance measures and the role of our performance in each of these measures in determining our executive compensation are discussed in greater detail in the </w:t>
      </w:r>
      <w:r>
        <w:rPr>
          <w:rFonts w:ascii="Arial" w:cs="Arial" w:eastAsia="Arial" w:hAnsi="Arial"/>
          <w:sz w:val="16"/>
          <w:szCs w:val="16"/>
          <w:i w:val="1"/>
          <w:iCs w:val="1"/>
          <w:color w:val="0B2E44"/>
        </w:rPr>
        <w:t>Compensation Discussion and Analysis.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FF4A6A"/>
        </w:rPr>
        <w:t>Analysis of Information Presented in Pay-Versus-Performance Table</w:t>
      </w:r>
    </w:p>
    <w:p>
      <w:pPr>
        <w:spacing w:after="0" w:line="374" w:lineRule="exact"/>
        <w:rPr>
          <w:sz w:val="20"/>
          <w:szCs w:val="20"/>
          <w:color w:val="auto"/>
        </w:rPr>
      </w:pPr>
    </w:p>
    <w:p>
      <w:pPr>
        <w:ind w:right="540"/>
        <w:spacing w:after="0" w:line="276" w:lineRule="auto"/>
        <w:rPr>
          <w:sz w:val="20"/>
          <w:szCs w:val="20"/>
          <w:color w:val="auto"/>
        </w:rPr>
      </w:pPr>
      <w:r>
        <w:rPr>
          <w:rFonts w:ascii="Arial" w:cs="Arial" w:eastAsia="Arial" w:hAnsi="Arial"/>
          <w:sz w:val="16"/>
          <w:szCs w:val="16"/>
          <w:color w:val="0B2E44"/>
        </w:rPr>
        <w:t>The following graph illustrates the relationship between compensation actually paid to our PEO and our non-PEO NEOs and our TSR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97790</wp:posOffset>
            </wp:positionV>
            <wp:extent cx="5143500" cy="30003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51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6"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COMPENSATION TABLES | </w:t>
      </w:r>
      <w:r>
        <w:rPr>
          <w:rFonts w:ascii="Arial" w:cs="Arial" w:eastAsia="Arial" w:hAnsi="Arial"/>
          <w:sz w:val="11"/>
          <w:szCs w:val="11"/>
          <w:b w:val="1"/>
          <w:bCs w:val="1"/>
          <w:color w:val="0B2E44"/>
        </w:rPr>
        <w:t>PAY VERSUS PERFORMANCE</w:t>
      </w:r>
    </w:p>
    <w:p>
      <w:pPr>
        <w:spacing w:after="0" w:line="311" w:lineRule="exact"/>
        <w:rPr>
          <w:sz w:val="20"/>
          <w:szCs w:val="20"/>
          <w:color w:val="auto"/>
        </w:rPr>
      </w:pPr>
    </w:p>
    <w:p>
      <w:pPr>
        <w:spacing w:after="0" w:line="276" w:lineRule="auto"/>
        <w:rPr>
          <w:sz w:val="20"/>
          <w:szCs w:val="20"/>
          <w:color w:val="auto"/>
        </w:rPr>
      </w:pPr>
      <w:r>
        <w:rPr>
          <w:rFonts w:ascii="Arial" w:cs="Arial" w:eastAsia="Arial" w:hAnsi="Arial"/>
          <w:sz w:val="16"/>
          <w:szCs w:val="16"/>
          <w:color w:val="0B2E44"/>
        </w:rPr>
        <w:t>The following graph illustrates the relationship between compensation actually paid to our PEO and our non-PEO NEOs and our net income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97790</wp:posOffset>
            </wp:positionV>
            <wp:extent cx="5143500" cy="30003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0B2E44"/>
        </w:rPr>
        <w:t>The following graph illustrates the relationship between compensation actually paid to our PEO and our non-PEO NEOs and our revenue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81280</wp:posOffset>
            </wp:positionV>
            <wp:extent cx="5143500" cy="30003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52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6" w:right="55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330835</wp:posOffset>
            </wp:positionV>
            <wp:extent cx="7029450" cy="17487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29450" cy="17487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2379345</wp:posOffset>
            </wp:positionV>
            <wp:extent cx="7115175" cy="10115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5175" cy="10115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What am I voting on?</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6"/>
          <w:szCs w:val="16"/>
          <w:color w:val="FFFFFF"/>
        </w:rPr>
        <w:t>We are asking stockholders to approve, on a non-binding basis, the frequency of future advisory votes on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Vote Recommendation</w:t>
      </w:r>
    </w:p>
    <w:p>
      <w:pPr>
        <w:spacing w:after="0" w:line="95" w:lineRule="exact"/>
        <w:rPr>
          <w:sz w:val="20"/>
          <w:szCs w:val="20"/>
          <w:color w:val="auto"/>
        </w:rPr>
      </w:pPr>
    </w:p>
    <w:p>
      <w:pPr>
        <w:ind w:right="400"/>
        <w:spacing w:after="0" w:line="228" w:lineRule="auto"/>
        <w:rPr>
          <w:sz w:val="20"/>
          <w:szCs w:val="20"/>
          <w:color w:val="auto"/>
        </w:rPr>
      </w:pPr>
      <w:r>
        <w:rPr>
          <w:rFonts w:ascii="Arial" w:cs="Arial" w:eastAsia="Arial" w:hAnsi="Arial"/>
          <w:sz w:val="16"/>
          <w:szCs w:val="16"/>
          <w:color w:val="FFFFFF"/>
        </w:rPr>
        <w:t xml:space="preserve">A frequency of </w:t>
      </w:r>
      <w:r>
        <w:rPr>
          <w:rFonts w:ascii="Arial" w:cs="Arial" w:eastAsia="Arial" w:hAnsi="Arial"/>
          <w:sz w:val="16"/>
          <w:szCs w:val="16"/>
          <w:b w:val="1"/>
          <w:bCs w:val="1"/>
          <w:color w:val="FFFFFF"/>
        </w:rPr>
        <w:t>ONE YEAR</w:t>
      </w:r>
      <w:r>
        <w:rPr>
          <w:rFonts w:ascii="Arial" w:cs="Arial" w:eastAsia="Arial" w:hAnsi="Arial"/>
          <w:sz w:val="16"/>
          <w:szCs w:val="16"/>
          <w:color w:val="FFFFFF"/>
        </w:rPr>
        <w:t xml:space="preserve"> for future advisory votes on Commvault’s compensation of our named executive officers.</w:t>
      </w:r>
    </w:p>
    <w:p>
      <w:pPr>
        <w:spacing w:after="0" w:line="200" w:lineRule="exact"/>
        <w:rPr>
          <w:sz w:val="20"/>
          <w:szCs w:val="20"/>
          <w:color w:val="auto"/>
        </w:rPr>
      </w:pPr>
    </w:p>
    <w:p>
      <w:pPr>
        <w:sectPr>
          <w:pgSz w:w="11900" w:h="16838" w:orient="portrait"/>
          <w:cols w:equalWidth="0" w:num="2">
            <w:col w:w="7520" w:space="560"/>
            <w:col w:w="3140"/>
          </w:cols>
          <w:pgMar w:left="320" w:top="126" w:right="35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0B2E44"/>
        </w:rPr>
        <w:t>Pursuant to the requirements under the Dodd-Frank Wall Street Reform and Consumer Protection Act (the “Dodd-Frank Act”) and Section 14A of the Exchange Act, we are providing our stockholders with the opportunity to vote, on a non-binding, advisory basis, for their preference as to how frequently we should seek future advisory votes on the compensation of our named executive officers (“NEOs”) as disclosed in accordance with the compensation disclosure rules of the SEC. By voting with respect to this Proposal No. 4, stockholders may indicate whether they would prefer that we conduct future advisory votes on NEO compensation once every one, two, or three years.</w:t>
      </w:r>
    </w:p>
    <w:p>
      <w:pPr>
        <w:spacing w:after="0" w:line="319" w:lineRule="exact"/>
        <w:rPr>
          <w:sz w:val="20"/>
          <w:szCs w:val="20"/>
          <w:color w:val="auto"/>
        </w:rPr>
      </w:pPr>
    </w:p>
    <w:p>
      <w:pPr>
        <w:spacing w:after="0" w:line="257" w:lineRule="auto"/>
        <w:rPr>
          <w:sz w:val="20"/>
          <w:szCs w:val="20"/>
          <w:color w:val="auto"/>
        </w:rPr>
      </w:pPr>
      <w:r>
        <w:rPr>
          <w:rFonts w:ascii="Arial" w:cs="Arial" w:eastAsia="Arial" w:hAnsi="Arial"/>
          <w:sz w:val="16"/>
          <w:szCs w:val="16"/>
          <w:color w:val="0B2E44"/>
        </w:rPr>
        <w:t>Consistent with the outcome of our stockholder advisory votes regarding the frequency of future advisory votes on NEO compensation in 2011 and 2017, we have held our advisory vote on NEO compensation every year since 2011. The Board of Directors continues to agree that advisory votes on NEO compensation should be held every year. In arriving at this recommendation, the Board of Directors considered the benefits and consequences of each option, including that an annual advisory vote on NEO compensation will allow our stockholders to provide timely, direct input on our executive compensation philosophy, policies and practices as disclosed in the proxy statement each year. In addition, we continue to believe an annual advisory vote on NEO compensation is consistent with our policy of seeking input from, and engaging in discussions with, our stockholders on corporate governance matters and our NEO compensation philosophy.</w:t>
      </w:r>
    </w:p>
    <w:p>
      <w:pPr>
        <w:spacing w:after="0" w:line="33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0B2E44"/>
        </w:rPr>
        <w:t>For the reasons discussed above, the Board of Directors recommends that stockholders vote in favor of holding an advisory vote on NEO compensation every year. In voting on this proposal, stockholders should be aware that they are not voting “for” or “against” the Board of Director’s recommendation. Rather, stockholders will be casting votes to recommend whether the frequency of future advisory votes on NEO compensation should occur every one, two or three years, or they may abstain entirely from voting on the proposal.</w:t>
      </w:r>
    </w:p>
    <w:p>
      <w:pPr>
        <w:spacing w:after="0" w:line="31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0B2E44"/>
        </w:rPr>
        <w:t>The option that receives the most votes from stockholders will be considered by the Board and TMCC as the stockholders’ recommendation as to the frequency of future advisory votes on NEO compensation. Although this advisory vote is not binding on us, as provided by law, our Board of Directors or the TMCC will review and consider the outcome of this advisory vote and, consistent with our record of stockholder engagement, will take it into account when making a determination as to when the advisory vote on NEO compensation will again be submitted to stockholders for approval at an Annual Meeting. The next stockholder vote on the frequency of future advisory votes on NEO compensation is expected to be held at the 2029 Annual Meeting.</w:t>
      </w:r>
    </w:p>
    <w:p>
      <w:pPr>
        <w:spacing w:after="0" w:line="298" w:lineRule="exact"/>
        <w:rPr>
          <w:sz w:val="20"/>
          <w:szCs w:val="20"/>
          <w:color w:val="auto"/>
        </w:rPr>
      </w:pPr>
    </w:p>
    <w:p>
      <w:pPr>
        <w:ind w:right="740"/>
        <w:spacing w:after="0" w:line="314" w:lineRule="auto"/>
        <w:rPr>
          <w:sz w:val="20"/>
          <w:szCs w:val="20"/>
          <w:color w:val="auto"/>
        </w:rPr>
      </w:pPr>
      <w:r>
        <w:rPr>
          <w:rFonts w:ascii="Arial" w:cs="Arial" w:eastAsia="Arial" w:hAnsi="Arial"/>
          <w:sz w:val="25"/>
          <w:szCs w:val="25"/>
          <w:b w:val="1"/>
          <w:bCs w:val="1"/>
          <w:color w:val="E14A6A"/>
        </w:rPr>
        <w:t>The Board of Directors unanimously recommends that you vote for “ONE YEAR” as the preferred frequency for future advisory votes on Commvault’s NEO compensation.</w:t>
      </w:r>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53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288925</wp:posOffset>
            </wp:positionV>
            <wp:extent cx="7029450" cy="17487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294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1" w:lineRule="auto"/>
        <w:rPr>
          <w:sz w:val="20"/>
          <w:szCs w:val="20"/>
          <w:color w:val="auto"/>
        </w:rPr>
      </w:pPr>
      <w:r>
        <w:rPr>
          <w:rFonts w:ascii="Arial" w:cs="Arial" w:eastAsia="Arial" w:hAnsi="Arial"/>
          <w:sz w:val="16"/>
          <w:szCs w:val="16"/>
          <w:color w:val="0B2E44"/>
        </w:rPr>
        <w:t>The Audit Committee has reviewed and discussed Commvault’s audited financial statements for the fiscal year ended March 31, 2023, with our management. In addition, the Audit Committee has discussed with Ernst &amp; Young LLP, our independent auditors, the matters required to be discussed by the applicable requirements of the Public Company Accounting Oversight Board (“PCAOB”) and the SEC.</w:t>
      </w:r>
    </w:p>
    <w:p>
      <w:pPr>
        <w:spacing w:after="0" w:line="3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0B2E44"/>
        </w:rPr>
        <w:t>The Audit Committee has received from the independent auditors written disclosures and the letter regarding the independent auditors’ communications with the Audit Committee concerning independence required by the applicable requirements of the PCAOB and has discussed with the independent auditors the firm’s independence.</w:t>
      </w:r>
    </w:p>
    <w:p>
      <w:pPr>
        <w:spacing w:after="0" w:line="14"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0B2E44"/>
        </w:rPr>
        <w:t>The Audit Committee has considered whether the services rendered by our independent public accountants with respect to audit, audit-related, tax, and other non-audit fees are compatible with maintaining the firm’s independence.</w:t>
      </w:r>
    </w:p>
    <w:p>
      <w:pPr>
        <w:spacing w:after="0" w:line="2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0B2E44"/>
        </w:rPr>
        <w:t>Based on the review and discussions referred to above, the Audit Committee recommended to the Board of Directors that Commvault’s audited financial statements for the fiscal year ended March 31, 2023, be included in our Annual Report on Form 10-K for the fiscal year ended March 31, 2023, for filing with the SEC.</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FF4A6A"/>
        </w:rPr>
        <w:t>Audit Committee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0B2E44"/>
        </w:rPr>
        <w:t>David F. Walker—Chair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0B2E44"/>
        </w:rPr>
        <w:t>Chuck Moran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B2E44"/>
        </w:rPr>
        <w:t>Shane Sanders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0B2E44"/>
        </w:rPr>
        <w:t>Arlen Shenkman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54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288925</wp:posOffset>
            </wp:positionV>
            <wp:extent cx="7029450" cy="17487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538"/>
        </w:trPr>
        <w:tc>
          <w:tcPr>
            <w:tcW w:w="7780" w:type="dxa"/>
            <w:vAlign w:val="bottom"/>
            <w:shd w:val="clear" w:color="auto" w:fill="0B2E44"/>
          </w:tcPr>
          <w:p>
            <w:pPr>
              <w:ind w:left="180"/>
              <w:spacing w:after="0"/>
              <w:rPr>
                <w:sz w:val="20"/>
                <w:szCs w:val="20"/>
                <w:color w:val="auto"/>
              </w:rPr>
            </w:pPr>
            <w:r>
              <w:rPr>
                <w:rFonts w:ascii="Arial" w:cs="Arial" w:eastAsia="Arial" w:hAnsi="Arial"/>
                <w:sz w:val="18"/>
                <w:szCs w:val="18"/>
                <w:b w:val="1"/>
                <w:bCs w:val="1"/>
                <w:color w:val="FFFFFF"/>
              </w:rPr>
              <w:t>What am I voting on?</w:t>
            </w:r>
          </w:p>
        </w:tc>
        <w:tc>
          <w:tcPr>
            <w:tcW w:w="100" w:type="dxa"/>
            <w:vAlign w:val="bottom"/>
          </w:tcPr>
          <w:p>
            <w:pPr>
              <w:spacing w:after="0"/>
              <w:rPr>
                <w:sz w:val="24"/>
                <w:szCs w:val="24"/>
                <w:color w:val="auto"/>
              </w:rPr>
            </w:pPr>
          </w:p>
        </w:tc>
        <w:tc>
          <w:tcPr>
            <w:tcW w:w="3320" w:type="dxa"/>
            <w:vAlign w:val="bottom"/>
            <w:shd w:val="clear" w:color="auto" w:fill="0B2E44"/>
          </w:tcPr>
          <w:p>
            <w:pPr>
              <w:ind w:left="180"/>
              <w:spacing w:after="0"/>
              <w:rPr>
                <w:sz w:val="20"/>
                <w:szCs w:val="20"/>
                <w:color w:val="auto"/>
              </w:rPr>
            </w:pPr>
            <w:r>
              <w:rPr>
                <w:rFonts w:ascii="Arial" w:cs="Arial" w:eastAsia="Arial" w:hAnsi="Arial"/>
                <w:sz w:val="18"/>
                <w:szCs w:val="18"/>
                <w:b w:val="1"/>
                <w:bCs w:val="1"/>
                <w:color w:val="FFFFFF"/>
              </w:rPr>
              <w:t>Vote Recommendation</w:t>
            </w:r>
          </w:p>
        </w:tc>
      </w:tr>
      <w:tr>
        <w:trPr>
          <w:trHeight w:val="221"/>
        </w:trPr>
        <w:tc>
          <w:tcPr>
            <w:tcW w:w="7780" w:type="dxa"/>
            <w:vAlign w:val="bottom"/>
            <w:shd w:val="clear" w:color="auto" w:fill="0B2E44"/>
          </w:tcPr>
          <w:p>
            <w:pPr>
              <w:ind w:left="180"/>
              <w:spacing w:after="0"/>
              <w:rPr>
                <w:sz w:val="20"/>
                <w:szCs w:val="20"/>
                <w:color w:val="auto"/>
              </w:rPr>
            </w:pPr>
            <w:r>
              <w:rPr>
                <w:rFonts w:ascii="Arial" w:cs="Arial" w:eastAsia="Arial" w:hAnsi="Arial"/>
                <w:sz w:val="16"/>
                <w:szCs w:val="16"/>
                <w:color w:val="FFFFFF"/>
              </w:rPr>
              <w:t>As a matter of good corporate governance, we are asking stockholders to ratify the appointment of</w:t>
            </w:r>
          </w:p>
        </w:tc>
        <w:tc>
          <w:tcPr>
            <w:tcW w:w="100" w:type="dxa"/>
            <w:vAlign w:val="bottom"/>
          </w:tcPr>
          <w:p>
            <w:pPr>
              <w:spacing w:after="0"/>
              <w:rPr>
                <w:sz w:val="19"/>
                <w:szCs w:val="19"/>
                <w:color w:val="auto"/>
              </w:rPr>
            </w:pPr>
          </w:p>
        </w:tc>
        <w:tc>
          <w:tcPr>
            <w:tcW w:w="3320" w:type="dxa"/>
            <w:vAlign w:val="bottom"/>
            <w:shd w:val="clear" w:color="auto" w:fill="0B2E44"/>
          </w:tcPr>
          <w:p>
            <w:pPr>
              <w:ind w:left="180"/>
              <w:spacing w:after="0"/>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ratification of the selection of the</w:t>
            </w:r>
          </w:p>
        </w:tc>
      </w:tr>
      <w:tr>
        <w:trPr>
          <w:trHeight w:val="207"/>
        </w:trPr>
        <w:tc>
          <w:tcPr>
            <w:tcW w:w="7780" w:type="dxa"/>
            <w:vAlign w:val="bottom"/>
            <w:shd w:val="clear" w:color="auto" w:fill="0B2E44"/>
          </w:tcPr>
          <w:p>
            <w:pPr>
              <w:ind w:left="180"/>
              <w:spacing w:after="0"/>
              <w:rPr>
                <w:sz w:val="20"/>
                <w:szCs w:val="20"/>
                <w:color w:val="auto"/>
              </w:rPr>
            </w:pPr>
            <w:r>
              <w:rPr>
                <w:rFonts w:ascii="Arial" w:cs="Arial" w:eastAsia="Arial" w:hAnsi="Arial"/>
                <w:sz w:val="16"/>
                <w:szCs w:val="16"/>
                <w:color w:val="FFFFFF"/>
              </w:rPr>
              <w:t>Ernst &amp; Young LLP as Commvault’s independent auditors for fiscal year 2024.</w:t>
            </w:r>
          </w:p>
        </w:tc>
        <w:tc>
          <w:tcPr>
            <w:tcW w:w="100" w:type="dxa"/>
            <w:vAlign w:val="bottom"/>
          </w:tcPr>
          <w:p>
            <w:pPr>
              <w:spacing w:after="0"/>
              <w:rPr>
                <w:sz w:val="17"/>
                <w:szCs w:val="17"/>
                <w:color w:val="auto"/>
              </w:rPr>
            </w:pPr>
          </w:p>
        </w:tc>
        <w:tc>
          <w:tcPr>
            <w:tcW w:w="3320" w:type="dxa"/>
            <w:vAlign w:val="bottom"/>
            <w:shd w:val="clear" w:color="auto" w:fill="0B2E44"/>
          </w:tcPr>
          <w:p>
            <w:pPr>
              <w:ind w:left="180"/>
              <w:spacing w:after="0"/>
              <w:rPr>
                <w:sz w:val="20"/>
                <w:szCs w:val="20"/>
                <w:color w:val="auto"/>
              </w:rPr>
            </w:pPr>
            <w:r>
              <w:rPr>
                <w:rFonts w:ascii="Arial" w:cs="Arial" w:eastAsia="Arial" w:hAnsi="Arial"/>
                <w:sz w:val="16"/>
                <w:szCs w:val="16"/>
                <w:color w:val="FFFFFF"/>
              </w:rPr>
              <w:t>auditors.</w:t>
            </w:r>
          </w:p>
        </w:tc>
      </w:tr>
      <w:tr>
        <w:trPr>
          <w:trHeight w:val="303"/>
        </w:trPr>
        <w:tc>
          <w:tcPr>
            <w:tcW w:w="7780" w:type="dxa"/>
            <w:vAlign w:val="bottom"/>
            <w:shd w:val="clear" w:color="auto" w:fill="0B2E44"/>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shd w:val="clear" w:color="auto" w:fill="0B2E44"/>
          </w:tcPr>
          <w:p>
            <w:pPr>
              <w:spacing w:after="0"/>
              <w:rPr>
                <w:sz w:val="24"/>
                <w:szCs w:val="24"/>
                <w:color w:val="auto"/>
              </w:rPr>
            </w:pPr>
          </w:p>
        </w:tc>
      </w:tr>
    </w:tbl>
    <w:p>
      <w:pPr>
        <w:spacing w:after="0" w:line="200" w:lineRule="exact"/>
        <w:rPr>
          <w:sz w:val="20"/>
          <w:szCs w:val="20"/>
          <w:color w:val="auto"/>
        </w:rPr>
      </w:pPr>
    </w:p>
    <w:p>
      <w:pPr>
        <w:spacing w:after="0" w:line="289"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0B2E44"/>
        </w:rPr>
        <w:t>Financial statements of the Company and our consolidated subsidiaries will be included in our Annual Report furnished to all stockholders. The Audit Committee of the Board of Directors has appointed Ernst &amp; Young LLP as independent public accountants for us to examine our consolidated financial statements for the fiscal year ending March 31, 2024 and has determined as a matter of good governance to seek stockholders’ ratification of the appointment. If the stockholders do not ratify the appointment, the Audit Committee will reconsider the appointment for the 2025 fiscal year, rather than the 2024 fiscal year, because of the difficulty and expense involved in changing independent auditors on short notice.</w:t>
      </w:r>
    </w:p>
    <w:p>
      <w:pPr>
        <w:spacing w:after="0" w:line="7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0B2E44"/>
        </w:rPr>
        <w:t>Ernst &amp; Young LLP has been engaged as our principal independent public accountants continuously since fiscal year 1998. Representatives of Ernst &amp; Young LLP are expected to attend the Annual Meeting. They will have the opportunity to make a statement if they wish and are also expected to be available to respond to appropriate questions.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Audit, Audit-Related, Tax, and All Other Fees</w:t>
      </w:r>
    </w:p>
    <w:p>
      <w:pPr>
        <w:spacing w:after="0" w:line="84" w:lineRule="exact"/>
        <w:rPr>
          <w:sz w:val="20"/>
          <w:szCs w:val="20"/>
          <w:color w:val="auto"/>
        </w:rPr>
      </w:pPr>
    </w:p>
    <w:p>
      <w:pPr>
        <w:ind w:right="760"/>
        <w:spacing w:after="0" w:line="293" w:lineRule="auto"/>
        <w:rPr>
          <w:sz w:val="20"/>
          <w:szCs w:val="20"/>
          <w:color w:val="auto"/>
        </w:rPr>
      </w:pPr>
      <w:r>
        <w:rPr>
          <w:rFonts w:ascii="Arial" w:cs="Arial" w:eastAsia="Arial" w:hAnsi="Arial"/>
          <w:sz w:val="16"/>
          <w:szCs w:val="16"/>
          <w:color w:val="0B2E44"/>
        </w:rPr>
        <w:t>The following table summarizes the aggregate fees and expenses billed to us for the fiscal years ended March 31, 2023 and 2022, by our principal accounting firm, Ernst &amp; Young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1800" w:type="dxa"/>
            <w:vAlign w:val="bottom"/>
          </w:tcPr>
          <w:p>
            <w:pPr>
              <w:jc w:val="right"/>
              <w:ind w:right="762"/>
              <w:spacing w:after="0"/>
              <w:rPr>
                <w:sz w:val="20"/>
                <w:szCs w:val="20"/>
                <w:color w:val="auto"/>
              </w:rPr>
            </w:pPr>
            <w:r>
              <w:rPr>
                <w:rFonts w:ascii="Arial" w:cs="Arial" w:eastAsia="Arial" w:hAnsi="Arial"/>
                <w:sz w:val="14"/>
                <w:szCs w:val="14"/>
                <w:color w:val="0B2E44"/>
              </w:rPr>
              <w:t>2023</w:t>
            </w:r>
          </w:p>
        </w:tc>
        <w:tc>
          <w:tcPr>
            <w:tcW w:w="640" w:type="dxa"/>
            <w:vAlign w:val="bottom"/>
          </w:tcPr>
          <w:p>
            <w:pPr>
              <w:jc w:val="right"/>
              <w:ind w:right="121"/>
              <w:spacing w:after="0"/>
              <w:rPr>
                <w:sz w:val="20"/>
                <w:szCs w:val="20"/>
                <w:color w:val="auto"/>
              </w:rPr>
            </w:pPr>
            <w:r>
              <w:rPr>
                <w:rFonts w:ascii="Arial" w:cs="Arial" w:eastAsia="Arial" w:hAnsi="Arial"/>
                <w:sz w:val="14"/>
                <w:szCs w:val="14"/>
                <w:color w:val="0B2E44"/>
              </w:rPr>
              <w:t>2022</w:t>
            </w:r>
          </w:p>
        </w:tc>
      </w:tr>
      <w:tr>
        <w:trPr>
          <w:trHeight w:val="25"/>
        </w:trPr>
        <w:tc>
          <w:tcPr>
            <w:tcW w:w="88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8800" w:type="dxa"/>
            <w:vAlign w:val="bottom"/>
            <w:tcBorders>
              <w:bottom w:val="single" w:sz="8" w:color="E14A6A"/>
            </w:tcBorders>
          </w:tcPr>
          <w:p>
            <w:pPr>
              <w:spacing w:after="0"/>
              <w:rPr>
                <w:sz w:val="16"/>
                <w:szCs w:val="16"/>
                <w:color w:val="auto"/>
              </w:rPr>
            </w:pPr>
          </w:p>
        </w:tc>
        <w:tc>
          <w:tcPr>
            <w:tcW w:w="1800" w:type="dxa"/>
            <w:vAlign w:val="bottom"/>
            <w:tcBorders>
              <w:bottom w:val="single" w:sz="8" w:color="E14A6A"/>
            </w:tcBorders>
          </w:tcPr>
          <w:p>
            <w:pPr>
              <w:jc w:val="right"/>
              <w:ind w:right="42"/>
              <w:spacing w:after="0"/>
              <w:rPr>
                <w:sz w:val="20"/>
                <w:szCs w:val="20"/>
                <w:color w:val="auto"/>
              </w:rPr>
            </w:pPr>
            <w:r>
              <w:rPr>
                <w:rFonts w:ascii="Arial" w:cs="Arial" w:eastAsia="Arial" w:hAnsi="Arial"/>
                <w:sz w:val="14"/>
                <w:szCs w:val="14"/>
                <w:color w:val="0B2E44"/>
              </w:rPr>
              <w:t>(In thousands)</w:t>
            </w:r>
          </w:p>
        </w:tc>
        <w:tc>
          <w:tcPr>
            <w:tcW w:w="640" w:type="dxa"/>
            <w:vAlign w:val="bottom"/>
            <w:tcBorders>
              <w:bottom w:val="single" w:sz="8" w:color="E14A6A"/>
            </w:tcBorders>
          </w:tcPr>
          <w:p>
            <w:pPr>
              <w:spacing w:after="0"/>
              <w:rPr>
                <w:sz w:val="16"/>
                <w:szCs w:val="16"/>
                <w:color w:val="auto"/>
              </w:rPr>
            </w:pPr>
          </w:p>
        </w:tc>
      </w:tr>
      <w:tr>
        <w:trPr>
          <w:trHeight w:val="212"/>
        </w:trPr>
        <w:tc>
          <w:tcPr>
            <w:tcW w:w="8800" w:type="dxa"/>
            <w:vAlign w:val="bottom"/>
          </w:tcPr>
          <w:p>
            <w:pPr>
              <w:ind w:left="120"/>
              <w:spacing w:after="0"/>
              <w:rPr>
                <w:sz w:val="20"/>
                <w:szCs w:val="20"/>
                <w:color w:val="auto"/>
              </w:rPr>
            </w:pPr>
            <w:r>
              <w:rPr>
                <w:rFonts w:ascii="Arial" w:cs="Arial" w:eastAsia="Arial" w:hAnsi="Arial"/>
                <w:sz w:val="16"/>
                <w:szCs w:val="16"/>
                <w:color w:val="0B2E44"/>
              </w:rPr>
              <w:t>Audit fees</w:t>
            </w:r>
          </w:p>
        </w:tc>
        <w:tc>
          <w:tcPr>
            <w:tcW w:w="1800" w:type="dxa"/>
            <w:vAlign w:val="bottom"/>
          </w:tcPr>
          <w:p>
            <w:pPr>
              <w:jc w:val="right"/>
              <w:ind w:right="542"/>
              <w:spacing w:after="0"/>
              <w:rPr>
                <w:sz w:val="20"/>
                <w:szCs w:val="20"/>
                <w:color w:val="auto"/>
              </w:rPr>
            </w:pPr>
            <w:r>
              <w:rPr>
                <w:rFonts w:ascii="Arial" w:cs="Arial" w:eastAsia="Arial" w:hAnsi="Arial"/>
                <w:sz w:val="16"/>
                <w:szCs w:val="16"/>
                <w:color w:val="0B2E44"/>
              </w:rPr>
              <w:t>$2,266</w:t>
            </w:r>
          </w:p>
        </w:tc>
        <w:tc>
          <w:tcPr>
            <w:tcW w:w="640" w:type="dxa"/>
            <w:vAlign w:val="bottom"/>
          </w:tcPr>
          <w:p>
            <w:pPr>
              <w:jc w:val="right"/>
              <w:spacing w:after="0"/>
              <w:rPr>
                <w:sz w:val="20"/>
                <w:szCs w:val="20"/>
                <w:color w:val="auto"/>
              </w:rPr>
            </w:pPr>
            <w:r>
              <w:rPr>
                <w:rFonts w:ascii="Arial" w:cs="Arial" w:eastAsia="Arial" w:hAnsi="Arial"/>
                <w:sz w:val="16"/>
                <w:szCs w:val="16"/>
                <w:color w:val="0B2E44"/>
              </w:rPr>
              <w:t>$2,065</w:t>
            </w:r>
          </w:p>
        </w:tc>
      </w:tr>
      <w:tr>
        <w:trPr>
          <w:trHeight w:val="219"/>
        </w:trPr>
        <w:tc>
          <w:tcPr>
            <w:tcW w:w="880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Audit-related fees</w:t>
            </w:r>
          </w:p>
        </w:tc>
        <w:tc>
          <w:tcPr>
            <w:tcW w:w="1800" w:type="dxa"/>
            <w:vAlign w:val="bottom"/>
            <w:shd w:val="clear" w:color="auto" w:fill="DDE9F2"/>
          </w:tcPr>
          <w:p>
            <w:pPr>
              <w:jc w:val="right"/>
              <w:ind w:right="542"/>
              <w:spacing w:after="0"/>
              <w:rPr>
                <w:sz w:val="20"/>
                <w:szCs w:val="20"/>
                <w:color w:val="auto"/>
              </w:rPr>
            </w:pPr>
            <w:r>
              <w:rPr>
                <w:rFonts w:ascii="Arial" w:cs="Arial" w:eastAsia="Arial" w:hAnsi="Arial"/>
                <w:sz w:val="16"/>
                <w:szCs w:val="16"/>
                <w:color w:val="0B2E44"/>
              </w:rPr>
              <w:t>10</w:t>
            </w:r>
          </w:p>
        </w:tc>
        <w:tc>
          <w:tcPr>
            <w:tcW w:w="64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10</w:t>
            </w:r>
          </w:p>
        </w:tc>
      </w:tr>
      <w:tr>
        <w:trPr>
          <w:trHeight w:val="213"/>
        </w:trPr>
        <w:tc>
          <w:tcPr>
            <w:tcW w:w="8800" w:type="dxa"/>
            <w:vAlign w:val="bottom"/>
          </w:tcPr>
          <w:p>
            <w:pPr>
              <w:ind w:left="120"/>
              <w:spacing w:after="0"/>
              <w:rPr>
                <w:sz w:val="20"/>
                <w:szCs w:val="20"/>
                <w:color w:val="auto"/>
              </w:rPr>
            </w:pPr>
            <w:r>
              <w:rPr>
                <w:rFonts w:ascii="Arial" w:cs="Arial" w:eastAsia="Arial" w:hAnsi="Arial"/>
                <w:sz w:val="16"/>
                <w:szCs w:val="16"/>
                <w:color w:val="0B2E44"/>
              </w:rPr>
              <w:t>Tax fees</w:t>
            </w:r>
          </w:p>
        </w:tc>
        <w:tc>
          <w:tcPr>
            <w:tcW w:w="1800" w:type="dxa"/>
            <w:vAlign w:val="bottom"/>
          </w:tcPr>
          <w:p>
            <w:pPr>
              <w:jc w:val="right"/>
              <w:ind w:right="542"/>
              <w:spacing w:after="0"/>
              <w:rPr>
                <w:sz w:val="20"/>
                <w:szCs w:val="20"/>
                <w:color w:val="auto"/>
              </w:rPr>
            </w:pPr>
            <w:r>
              <w:rPr>
                <w:rFonts w:ascii="Arial" w:cs="Arial" w:eastAsia="Arial" w:hAnsi="Arial"/>
                <w:sz w:val="16"/>
                <w:szCs w:val="16"/>
                <w:color w:val="0B2E44"/>
              </w:rPr>
              <w:t>1,149</w:t>
            </w:r>
          </w:p>
        </w:tc>
        <w:tc>
          <w:tcPr>
            <w:tcW w:w="640" w:type="dxa"/>
            <w:vAlign w:val="bottom"/>
          </w:tcPr>
          <w:p>
            <w:pPr>
              <w:jc w:val="right"/>
              <w:spacing w:after="0"/>
              <w:rPr>
                <w:sz w:val="20"/>
                <w:szCs w:val="20"/>
                <w:color w:val="auto"/>
              </w:rPr>
            </w:pPr>
            <w:r>
              <w:rPr>
                <w:rFonts w:ascii="Arial" w:cs="Arial" w:eastAsia="Arial" w:hAnsi="Arial"/>
                <w:sz w:val="16"/>
                <w:szCs w:val="16"/>
                <w:color w:val="0B2E44"/>
              </w:rPr>
              <w:t>1,198</w:t>
            </w:r>
          </w:p>
        </w:tc>
      </w:tr>
      <w:tr>
        <w:trPr>
          <w:trHeight w:val="216"/>
        </w:trPr>
        <w:tc>
          <w:tcPr>
            <w:tcW w:w="8800" w:type="dxa"/>
            <w:vAlign w:val="bottom"/>
            <w:tcBorders>
              <w:bottom w:val="single" w:sz="8" w:color="auto"/>
            </w:tcBorders>
            <w:shd w:val="clear" w:color="auto" w:fill="DDE9F2"/>
          </w:tcPr>
          <w:p>
            <w:pPr>
              <w:ind w:left="120"/>
              <w:spacing w:after="0"/>
              <w:rPr>
                <w:sz w:val="20"/>
                <w:szCs w:val="20"/>
                <w:color w:val="auto"/>
              </w:rPr>
            </w:pPr>
            <w:r>
              <w:rPr>
                <w:rFonts w:ascii="Arial" w:cs="Arial" w:eastAsia="Arial" w:hAnsi="Arial"/>
                <w:sz w:val="16"/>
                <w:szCs w:val="16"/>
                <w:color w:val="0B2E44"/>
              </w:rPr>
              <w:t>All other fees</w:t>
            </w:r>
          </w:p>
        </w:tc>
        <w:tc>
          <w:tcPr>
            <w:tcW w:w="1800" w:type="dxa"/>
            <w:vAlign w:val="bottom"/>
            <w:tcBorders>
              <w:bottom w:val="single" w:sz="8" w:color="auto"/>
            </w:tcBorders>
            <w:shd w:val="clear" w:color="auto" w:fill="DDE9F2"/>
          </w:tcPr>
          <w:p>
            <w:pPr>
              <w:jc w:val="right"/>
              <w:ind w:right="542"/>
              <w:spacing w:after="0"/>
              <w:rPr>
                <w:sz w:val="20"/>
                <w:szCs w:val="20"/>
                <w:color w:val="auto"/>
              </w:rPr>
            </w:pPr>
            <w:r>
              <w:rPr>
                <w:rFonts w:ascii="Arial" w:cs="Arial" w:eastAsia="Arial" w:hAnsi="Arial"/>
                <w:sz w:val="16"/>
                <w:szCs w:val="16"/>
                <w:color w:val="0B2E44"/>
              </w:rPr>
              <w:t>—</w:t>
            </w:r>
          </w:p>
        </w:tc>
        <w:tc>
          <w:tcPr>
            <w:tcW w:w="640" w:type="dxa"/>
            <w:vAlign w:val="bottom"/>
            <w:tcBorders>
              <w:bottom w:val="single" w:sz="8" w:color="auto"/>
            </w:tcBorders>
            <w:shd w:val="clear" w:color="auto" w:fill="DDE9F2"/>
          </w:tcPr>
          <w:p>
            <w:pPr>
              <w:jc w:val="right"/>
              <w:spacing w:after="0"/>
              <w:rPr>
                <w:sz w:val="20"/>
                <w:szCs w:val="20"/>
                <w:color w:val="auto"/>
              </w:rPr>
            </w:pPr>
            <w:r>
              <w:rPr>
                <w:rFonts w:ascii="Arial" w:cs="Arial" w:eastAsia="Arial" w:hAnsi="Arial"/>
                <w:sz w:val="16"/>
                <w:szCs w:val="16"/>
                <w:color w:val="0B2E44"/>
              </w:rPr>
              <w:t>—</w:t>
            </w:r>
          </w:p>
        </w:tc>
      </w:tr>
      <w:tr>
        <w:trPr>
          <w:trHeight w:val="209"/>
        </w:trPr>
        <w:tc>
          <w:tcPr>
            <w:tcW w:w="8800" w:type="dxa"/>
            <w:vAlign w:val="bottom"/>
            <w:tcBorders>
              <w:bottom w:val="single" w:sz="8" w:color="092E44"/>
            </w:tcBorders>
          </w:tcPr>
          <w:p>
            <w:pPr>
              <w:spacing w:after="0"/>
              <w:rPr>
                <w:sz w:val="18"/>
                <w:szCs w:val="18"/>
                <w:color w:val="auto"/>
              </w:rPr>
            </w:pPr>
          </w:p>
        </w:tc>
        <w:tc>
          <w:tcPr>
            <w:tcW w:w="1800" w:type="dxa"/>
            <w:vAlign w:val="bottom"/>
            <w:tcBorders>
              <w:bottom w:val="single" w:sz="8" w:color="092E44"/>
            </w:tcBorders>
          </w:tcPr>
          <w:p>
            <w:pPr>
              <w:jc w:val="right"/>
              <w:ind w:right="542"/>
              <w:spacing w:after="0"/>
              <w:rPr>
                <w:sz w:val="20"/>
                <w:szCs w:val="20"/>
                <w:color w:val="auto"/>
              </w:rPr>
            </w:pPr>
            <w:r>
              <w:rPr>
                <w:rFonts w:ascii="Arial" w:cs="Arial" w:eastAsia="Arial" w:hAnsi="Arial"/>
                <w:sz w:val="16"/>
                <w:szCs w:val="16"/>
                <w:color w:val="0B2E44"/>
              </w:rPr>
              <w:t>$3,425</w:t>
            </w:r>
          </w:p>
        </w:tc>
        <w:tc>
          <w:tcPr>
            <w:tcW w:w="640" w:type="dxa"/>
            <w:vAlign w:val="bottom"/>
            <w:tcBorders>
              <w:bottom w:val="single" w:sz="8" w:color="092E44"/>
            </w:tcBorders>
          </w:tcPr>
          <w:p>
            <w:pPr>
              <w:jc w:val="right"/>
              <w:spacing w:after="0"/>
              <w:rPr>
                <w:sz w:val="20"/>
                <w:szCs w:val="20"/>
                <w:color w:val="auto"/>
              </w:rPr>
            </w:pPr>
            <w:r>
              <w:rPr>
                <w:rFonts w:ascii="Arial" w:cs="Arial" w:eastAsia="Arial" w:hAnsi="Arial"/>
                <w:sz w:val="16"/>
                <w:szCs w:val="16"/>
                <w:color w:val="0B2E44"/>
              </w:rPr>
              <w:t>$3,273</w:t>
            </w:r>
          </w:p>
        </w:tc>
      </w:tr>
    </w:tbl>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color w:val="E14A6A"/>
        </w:rPr>
        <w:t>Audit Fees—</w:t>
      </w:r>
      <w:r>
        <w:rPr>
          <w:rFonts w:ascii="Arial" w:cs="Arial" w:eastAsia="Arial" w:hAnsi="Arial"/>
          <w:sz w:val="16"/>
          <w:szCs w:val="16"/>
          <w:color w:val="092E44"/>
        </w:rPr>
        <w:t>all services necessary to perform an audit of the consolidated financial statements of our company; the reviews of our company’s quarterly</w:t>
      </w:r>
      <w:r>
        <w:rPr>
          <w:rFonts w:ascii="Arial" w:cs="Arial" w:eastAsia="Arial" w:hAnsi="Arial"/>
          <w:sz w:val="16"/>
          <w:szCs w:val="16"/>
          <w:b w:val="1"/>
          <w:bCs w:val="1"/>
          <w:color w:val="E14A6A"/>
        </w:rPr>
        <w:t xml:space="preserve"> </w:t>
      </w:r>
      <w:r>
        <w:rPr>
          <w:rFonts w:ascii="Arial" w:cs="Arial" w:eastAsia="Arial" w:hAnsi="Arial"/>
          <w:sz w:val="16"/>
          <w:szCs w:val="16"/>
          <w:color w:val="092E44"/>
        </w:rPr>
        <w:t>reports on Form 10-Q; services in connection with statutory and regulatory filings or engagements; statutory audits; consents and review of documents filed with the SEC.</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E14A6A"/>
        </w:rPr>
        <w:t>Audit Related Fees—</w:t>
      </w:r>
      <w:r>
        <w:rPr>
          <w:rFonts w:ascii="Arial" w:cs="Arial" w:eastAsia="Arial" w:hAnsi="Arial"/>
          <w:sz w:val="16"/>
          <w:szCs w:val="16"/>
          <w:color w:val="092E44"/>
        </w:rPr>
        <w:t>subscription to EY Online Research Tool.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E14A6A"/>
        </w:rPr>
        <w:t>Tax Fees—</w:t>
      </w:r>
      <w:r>
        <w:rPr>
          <w:rFonts w:ascii="Arial" w:cs="Arial" w:eastAsia="Arial" w:hAnsi="Arial"/>
          <w:sz w:val="16"/>
          <w:szCs w:val="16"/>
          <w:color w:val="092E44"/>
        </w:rPr>
        <w:t>tax compliance; tax planning; and other tax advice.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E14A6A"/>
        </w:rPr>
        <w:t>All Other Fees—</w:t>
      </w:r>
      <w:r>
        <w:rPr>
          <w:rFonts w:ascii="Arial" w:cs="Arial" w:eastAsia="Arial" w:hAnsi="Arial"/>
          <w:sz w:val="16"/>
          <w:szCs w:val="16"/>
          <w:color w:val="092E44"/>
        </w:rPr>
        <w:t>any other work that is not Audit, Audit-Related, or a Tax Service.</w:t>
      </w:r>
    </w:p>
    <w:p>
      <w:pPr>
        <w:spacing w:after="0" w:line="135" w:lineRule="exact"/>
        <w:rPr>
          <w:sz w:val="20"/>
          <w:szCs w:val="20"/>
          <w:color w:val="auto"/>
        </w:rPr>
      </w:pPr>
    </w:p>
    <w:p>
      <w:pPr>
        <w:ind w:right="640"/>
        <w:spacing w:after="0" w:line="276" w:lineRule="auto"/>
        <w:rPr>
          <w:sz w:val="20"/>
          <w:szCs w:val="20"/>
          <w:color w:val="auto"/>
        </w:rPr>
      </w:pPr>
      <w:r>
        <w:rPr>
          <w:rFonts w:ascii="Arial" w:cs="Arial" w:eastAsia="Arial" w:hAnsi="Arial"/>
          <w:sz w:val="16"/>
          <w:szCs w:val="16"/>
          <w:color w:val="092E44"/>
        </w:rPr>
        <w:t>In considering the nature of the services provided by Ernst &amp; Young LLP, the Audit Committee determined that such services are compatible with the provision of independent audit services. The Audit Committee discussed these services with Ernst &amp; Young LLP and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55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092E44"/>
        </w:rPr>
        <w:t xml:space="preserve">PROPOSAL NO. 5: RATIFICATION OF THE APPOINTMENT OF INDEPENDENT AUDITORS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AUDIT, AUDIT-RELATED, TAX, AND ALL OTHER FEES</w:t>
      </w:r>
    </w:p>
    <w:p>
      <w:pPr>
        <w:spacing w:after="0" w:line="122"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color w:val="092E44"/>
        </w:rPr>
        <w:t>our management to determine that they are permitted under the rules and regulations concerning auditor independence promulgated by the SEC to implement the Sarbanes-Oxley Act of 2002.</w:t>
      </w:r>
    </w:p>
    <w:p>
      <w:pPr>
        <w:spacing w:after="0" w:line="285" w:lineRule="exact"/>
        <w:rPr>
          <w:sz w:val="20"/>
          <w:szCs w:val="20"/>
          <w:color w:val="auto"/>
        </w:rPr>
      </w:pPr>
    </w:p>
    <w:p>
      <w:pPr>
        <w:ind w:right="560"/>
        <w:spacing w:after="0" w:line="307" w:lineRule="auto"/>
        <w:rPr>
          <w:sz w:val="20"/>
          <w:szCs w:val="20"/>
          <w:color w:val="auto"/>
        </w:rPr>
      </w:pPr>
      <w:r>
        <w:rPr>
          <w:rFonts w:ascii="Arial" w:cs="Arial" w:eastAsia="Arial" w:hAnsi="Arial"/>
          <w:sz w:val="25"/>
          <w:szCs w:val="25"/>
          <w:b w:val="1"/>
          <w:bCs w:val="1"/>
          <w:color w:val="E14A6A"/>
        </w:rPr>
        <w:t>Policy on Audit Committee Pre-Approval of Audit and Non-Audit Services of Independent Auditor</w:t>
      </w:r>
    </w:p>
    <w:p>
      <w:pPr>
        <w:spacing w:after="0" w:line="262" w:lineRule="auto"/>
        <w:rPr>
          <w:sz w:val="20"/>
          <w:szCs w:val="20"/>
          <w:color w:val="auto"/>
        </w:rPr>
      </w:pPr>
      <w:r>
        <w:rPr>
          <w:rFonts w:ascii="Arial" w:cs="Arial" w:eastAsia="Arial" w:hAnsi="Arial"/>
          <w:sz w:val="16"/>
          <w:szCs w:val="16"/>
          <w:color w:val="0B2E44"/>
        </w:rPr>
        <w:t>The Audit Committee is responsible for appointing, setting compensation for, and overseeing the work of the independent auditor. The Audit Committee has established a policy regarding pre-approval of permissible non-audit services provided by the independent auditor. Generally, pre-approvals may be made by the chairperson of the Audit Committee and ratified by the full Audit Committee at its next meeting thereafter. All of the services performed by Ernst &amp; Young LLP in the year ended March 31, 2023, were pre-approved in accordance with the pre-approval policy adopted by the Audit Committee.</w:t>
      </w: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The Board of Directors recommends that you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56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296545</wp:posOffset>
            </wp:positionV>
            <wp:extent cx="7115175" cy="2922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5175" cy="292290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What am I voting on?</w:t>
      </w:r>
    </w:p>
    <w:p>
      <w:pPr>
        <w:spacing w:after="0" w:line="103" w:lineRule="exact"/>
        <w:rPr>
          <w:sz w:val="20"/>
          <w:szCs w:val="20"/>
          <w:color w:val="auto"/>
        </w:rPr>
      </w:pPr>
    </w:p>
    <w:p>
      <w:pPr>
        <w:ind w:left="200"/>
        <w:spacing w:after="0" w:line="230" w:lineRule="auto"/>
        <w:rPr>
          <w:sz w:val="20"/>
          <w:szCs w:val="20"/>
          <w:color w:val="auto"/>
        </w:rPr>
      </w:pPr>
      <w:r>
        <w:rPr>
          <w:rFonts w:ascii="Arial" w:cs="Arial" w:eastAsia="Arial" w:hAnsi="Arial"/>
          <w:sz w:val="16"/>
          <w:szCs w:val="16"/>
          <w:color w:val="FFFFFF"/>
        </w:rPr>
        <w:t>In order to continue to offer equity compensation to Commvault officers and employees, we need to increase the number of shares that are authorized for issuance under the 2016 Omnibus Incentive Plan by 3.2 million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Vote Recommendation</w:t>
      </w:r>
    </w:p>
    <w:p>
      <w:pPr>
        <w:spacing w:after="0" w:line="95" w:lineRule="exact"/>
        <w:rPr>
          <w:sz w:val="20"/>
          <w:szCs w:val="20"/>
          <w:color w:val="auto"/>
        </w:rPr>
      </w:pPr>
    </w:p>
    <w:p>
      <w:pPr>
        <w:ind w:right="360"/>
        <w:spacing w:after="0" w:line="234" w:lineRule="auto"/>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an additional 3.2 million shares</w:t>
      </w:r>
      <w:r>
        <w:rPr>
          <w:rFonts w:ascii="Arial" w:cs="Arial" w:eastAsia="Arial" w:hAnsi="Arial"/>
          <w:sz w:val="16"/>
          <w:szCs w:val="16"/>
          <w:b w:val="1"/>
          <w:bCs w:val="1"/>
          <w:color w:val="FFFFFF"/>
        </w:rPr>
        <w:t xml:space="preserve"> </w:t>
      </w:r>
      <w:r>
        <w:rPr>
          <w:rFonts w:ascii="Arial" w:cs="Arial" w:eastAsia="Arial" w:hAnsi="Arial"/>
          <w:sz w:val="16"/>
          <w:szCs w:val="16"/>
          <w:color w:val="FFFFFF"/>
        </w:rPr>
        <w:t>available for issuance under the 2016 Omnibus Incentive Plan, as amended.</w:t>
      </w:r>
    </w:p>
    <w:p>
      <w:pPr>
        <w:spacing w:after="0" w:line="200" w:lineRule="exact"/>
        <w:rPr>
          <w:sz w:val="20"/>
          <w:szCs w:val="20"/>
          <w:color w:val="auto"/>
        </w:rPr>
      </w:pPr>
    </w:p>
    <w:p>
      <w:pPr>
        <w:sectPr>
          <w:pgSz w:w="11900" w:h="16838" w:orient="portrait"/>
          <w:cols w:equalWidth="0" w:num="2">
            <w:col w:w="7600" w:space="480"/>
            <w:col w:w="3100"/>
          </w:cols>
          <w:pgMar w:left="320" w:top="126" w:right="39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spacing w:after="0" w:line="270" w:lineRule="auto"/>
        <w:rPr>
          <w:sz w:val="20"/>
          <w:szCs w:val="20"/>
          <w:color w:val="auto"/>
        </w:rPr>
      </w:pPr>
      <w:r>
        <w:rPr>
          <w:rFonts w:ascii="Arial" w:cs="Arial" w:eastAsia="Arial" w:hAnsi="Arial"/>
          <w:sz w:val="16"/>
          <w:szCs w:val="16"/>
          <w:color w:val="0B2E44"/>
        </w:rPr>
        <w:t>Our Board of Directors believes it is important for employees to have an equity interest in our company, and recommends an additional 3.2 million shares for issuance under the 2016 Incentive Plan to stockholders for approval. This increase in the number of shares available for issuance should ensure we can grant our customary incentive awards for the foreseeable future.</w:t>
      </w:r>
    </w:p>
    <w:p>
      <w:pPr>
        <w:spacing w:after="0" w:line="14"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0B2E44"/>
        </w:rPr>
        <w:t>The following summary of the 2016 Incentive Plan is qualified in its entirety by the complete text of the 2016 Incentive Plan contained in the Company’s public filings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Background</w:t>
      </w:r>
    </w:p>
    <w:p>
      <w:pPr>
        <w:spacing w:after="0" w:line="13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0B2E44"/>
        </w:rPr>
        <w:t>We previously maintained the Commvault Systems, Inc. 1996 Stock Option Plan and the 2006 Long-Term Stock Incentive Plan (together, the “Prior Plans”). As of the date of this proxy statement, a total of [ ] shares of Commvault common stock remain available to be issued upon exercise or settlement of outstanding awards under the Prior Plans.</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As described below under “Description of 2016 Incentive Plan—Types of Awards,” the 2016 Incentive Plan authorizes a broad range of awards, including stock options (“Options”), stock appreciation rights (“SARs”), Full Value Awards (including restricted stock, restricted stock units (“RSUs”), performance shares or units, and other stock-based awards) and cash-based awards. As of the date of this proxy statement, [ ] shares of Commvault common stock (and no stock options) have been granted under the 2016 Incentive Plan, out of a total of 11,050,000 reserved for issuance. This proposal will reserve an additional 3,200,000 shares of common stock for issuance under the 2016 Incentive Plan.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B2E44"/>
        </w:rPr>
        <w:t>On July [ ], 2023, the last reported sale price of our Common Stock on the NASDAQ stock market was $[ ] per share.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57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PROPOSAL NO. 6: APPROVAL ADDITIONAL SHARES FOR ISSUANCE UNDER THE 2016 OMNIBUS INCENTIVE PLAN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KEY DATA</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Key Data</w:t>
      </w:r>
    </w:p>
    <w:p>
      <w:pPr>
        <w:spacing w:after="0" w:line="97"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0B2E44"/>
        </w:rPr>
        <w:t>The following table includes information regarding outstanding equity awards and shares available for future awards under our Prior Plans and the 2016 Incentive Plan as of 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ind w:left="120"/>
              <w:spacing w:after="0"/>
              <w:rPr>
                <w:sz w:val="20"/>
                <w:szCs w:val="20"/>
                <w:color w:val="auto"/>
              </w:rPr>
            </w:pPr>
            <w:r>
              <w:rPr>
                <w:rFonts w:ascii="Arial" w:cs="Arial" w:eastAsia="Arial" w:hAnsi="Arial"/>
                <w:sz w:val="16"/>
                <w:szCs w:val="16"/>
                <w:color w:val="0B2E44"/>
              </w:rPr>
              <w:t>Options</w:t>
            </w: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Arial" w:cs="Arial" w:eastAsia="Arial" w:hAnsi="Arial"/>
                <w:sz w:val="16"/>
                <w:szCs w:val="16"/>
                <w:color w:val="0B2E44"/>
              </w:rPr>
              <w:t>523,664</w:t>
            </w:r>
          </w:p>
        </w:tc>
        <w:tc>
          <w:tcPr>
            <w:tcW w:w="0" w:type="dxa"/>
            <w:vAlign w:val="bottom"/>
          </w:tcPr>
          <w:p>
            <w:pPr>
              <w:spacing w:after="0"/>
              <w:rPr>
                <w:sz w:val="1"/>
                <w:szCs w:val="1"/>
                <w:color w:val="auto"/>
              </w:rPr>
            </w:pPr>
          </w:p>
        </w:tc>
      </w:tr>
      <w:tr>
        <w:trPr>
          <w:trHeight w:val="219"/>
        </w:trPr>
        <w:tc>
          <w:tcPr>
            <w:tcW w:w="4900" w:type="dxa"/>
            <w:vAlign w:val="bottom"/>
            <w:gridSpan w:val="3"/>
            <w:shd w:val="clear" w:color="auto" w:fill="DDE9F2"/>
          </w:tcPr>
          <w:p>
            <w:pPr>
              <w:ind w:left="120"/>
              <w:spacing w:after="0"/>
              <w:rPr>
                <w:sz w:val="20"/>
                <w:szCs w:val="20"/>
                <w:color w:val="auto"/>
              </w:rPr>
            </w:pPr>
            <w:r>
              <w:rPr>
                <w:rFonts w:ascii="Arial" w:cs="Arial" w:eastAsia="Arial" w:hAnsi="Arial"/>
                <w:sz w:val="16"/>
                <w:szCs w:val="16"/>
                <w:color w:val="0B2E44"/>
              </w:rPr>
              <w:t>Weighted Average Exercise Price of Outstanding Options</w:t>
            </w:r>
          </w:p>
        </w:tc>
        <w:tc>
          <w:tcPr>
            <w:tcW w:w="1700" w:type="dxa"/>
            <w:vAlign w:val="bottom"/>
            <w:shd w:val="clear" w:color="auto" w:fill="DDE9F2"/>
          </w:tcPr>
          <w:p>
            <w:pPr>
              <w:spacing w:after="0"/>
              <w:rPr>
                <w:sz w:val="19"/>
                <w:szCs w:val="19"/>
                <w:color w:val="auto"/>
              </w:rPr>
            </w:pPr>
          </w:p>
        </w:tc>
        <w:tc>
          <w:tcPr>
            <w:tcW w:w="1360" w:type="dxa"/>
            <w:vAlign w:val="bottom"/>
            <w:shd w:val="clear" w:color="auto" w:fill="DDE9F2"/>
          </w:tcPr>
          <w:p>
            <w:pPr>
              <w:spacing w:after="0"/>
              <w:rPr>
                <w:sz w:val="19"/>
                <w:szCs w:val="19"/>
                <w:color w:val="auto"/>
              </w:rPr>
            </w:pPr>
          </w:p>
        </w:tc>
        <w:tc>
          <w:tcPr>
            <w:tcW w:w="1720" w:type="dxa"/>
            <w:vAlign w:val="bottom"/>
            <w:shd w:val="clear" w:color="auto" w:fill="DDE9F2"/>
          </w:tcPr>
          <w:p>
            <w:pPr>
              <w:spacing w:after="0"/>
              <w:rPr>
                <w:sz w:val="19"/>
                <w:szCs w:val="19"/>
                <w:color w:val="auto"/>
              </w:rPr>
            </w:pPr>
          </w:p>
        </w:tc>
        <w:tc>
          <w:tcPr>
            <w:tcW w:w="1560" w:type="dxa"/>
            <w:vAlign w:val="bottom"/>
            <w:shd w:val="clear" w:color="auto" w:fill="DDE9F2"/>
          </w:tcPr>
          <w:p>
            <w:pPr>
              <w:jc w:val="right"/>
              <w:ind w:right="22"/>
              <w:spacing w:after="0"/>
              <w:rPr>
                <w:sz w:val="20"/>
                <w:szCs w:val="20"/>
                <w:color w:val="auto"/>
              </w:rPr>
            </w:pPr>
            <w:r>
              <w:rPr>
                <w:rFonts w:ascii="Arial" w:cs="Arial" w:eastAsia="Arial" w:hAnsi="Arial"/>
                <w:sz w:val="16"/>
                <w:szCs w:val="16"/>
                <w:color w:val="0B2E44"/>
              </w:rPr>
              <w:t>$74.95</w:t>
            </w:r>
          </w:p>
        </w:tc>
        <w:tc>
          <w:tcPr>
            <w:tcW w:w="0" w:type="dxa"/>
            <w:vAlign w:val="bottom"/>
          </w:tcPr>
          <w:p>
            <w:pPr>
              <w:spacing w:after="0"/>
              <w:rPr>
                <w:sz w:val="1"/>
                <w:szCs w:val="1"/>
                <w:color w:val="auto"/>
              </w:rPr>
            </w:pPr>
          </w:p>
        </w:tc>
      </w:tr>
      <w:tr>
        <w:trPr>
          <w:trHeight w:val="213"/>
        </w:trPr>
        <w:tc>
          <w:tcPr>
            <w:tcW w:w="4900" w:type="dxa"/>
            <w:vAlign w:val="bottom"/>
            <w:gridSpan w:val="3"/>
          </w:tcPr>
          <w:p>
            <w:pPr>
              <w:ind w:left="120"/>
              <w:spacing w:after="0"/>
              <w:rPr>
                <w:sz w:val="20"/>
                <w:szCs w:val="20"/>
                <w:color w:val="auto"/>
              </w:rPr>
            </w:pPr>
            <w:r>
              <w:rPr>
                <w:rFonts w:ascii="Arial" w:cs="Arial" w:eastAsia="Arial" w:hAnsi="Arial"/>
                <w:sz w:val="16"/>
                <w:szCs w:val="16"/>
                <w:color w:val="0B2E44"/>
              </w:rPr>
              <w:t>Weighted Average Remaining Term of Outstanding Options</w:t>
            </w: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Arial" w:cs="Arial" w:eastAsia="Arial" w:hAnsi="Arial"/>
                <w:sz w:val="16"/>
                <w:szCs w:val="16"/>
                <w:color w:val="0B2E44"/>
              </w:rPr>
              <w:t>0.68 years</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DDE9F2"/>
          </w:tcPr>
          <w:p>
            <w:pPr>
              <w:ind w:left="120"/>
              <w:spacing w:after="0"/>
              <w:rPr>
                <w:sz w:val="20"/>
                <w:szCs w:val="20"/>
                <w:color w:val="auto"/>
              </w:rPr>
            </w:pPr>
            <w:r>
              <w:rPr>
                <w:rFonts w:ascii="Arial" w:cs="Arial" w:eastAsia="Arial" w:hAnsi="Arial"/>
                <w:sz w:val="16"/>
                <w:szCs w:val="16"/>
                <w:color w:val="0B2E44"/>
              </w:rPr>
              <w:t>Non-Vested Time-Vesting Restricted Stock Units</w:t>
            </w:r>
          </w:p>
        </w:tc>
        <w:tc>
          <w:tcPr>
            <w:tcW w:w="1300" w:type="dxa"/>
            <w:vAlign w:val="bottom"/>
            <w:shd w:val="clear" w:color="auto" w:fill="DDE9F2"/>
          </w:tcPr>
          <w:p>
            <w:pPr>
              <w:spacing w:after="0"/>
              <w:rPr>
                <w:sz w:val="19"/>
                <w:szCs w:val="19"/>
                <w:color w:val="auto"/>
              </w:rPr>
            </w:pPr>
          </w:p>
        </w:tc>
        <w:tc>
          <w:tcPr>
            <w:tcW w:w="1700" w:type="dxa"/>
            <w:vAlign w:val="bottom"/>
            <w:shd w:val="clear" w:color="auto" w:fill="DDE9F2"/>
          </w:tcPr>
          <w:p>
            <w:pPr>
              <w:spacing w:after="0"/>
              <w:rPr>
                <w:sz w:val="19"/>
                <w:szCs w:val="19"/>
                <w:color w:val="auto"/>
              </w:rPr>
            </w:pPr>
          </w:p>
        </w:tc>
        <w:tc>
          <w:tcPr>
            <w:tcW w:w="1360" w:type="dxa"/>
            <w:vAlign w:val="bottom"/>
            <w:shd w:val="clear" w:color="auto" w:fill="DDE9F2"/>
          </w:tcPr>
          <w:p>
            <w:pPr>
              <w:spacing w:after="0"/>
              <w:rPr>
                <w:sz w:val="19"/>
                <w:szCs w:val="19"/>
                <w:color w:val="auto"/>
              </w:rPr>
            </w:pPr>
          </w:p>
        </w:tc>
        <w:tc>
          <w:tcPr>
            <w:tcW w:w="1720" w:type="dxa"/>
            <w:vAlign w:val="bottom"/>
            <w:shd w:val="clear" w:color="auto" w:fill="DDE9F2"/>
          </w:tcPr>
          <w:p>
            <w:pPr>
              <w:spacing w:after="0"/>
              <w:rPr>
                <w:sz w:val="19"/>
                <w:szCs w:val="19"/>
                <w:color w:val="auto"/>
              </w:rPr>
            </w:pPr>
          </w:p>
        </w:tc>
        <w:tc>
          <w:tcPr>
            <w:tcW w:w="1560" w:type="dxa"/>
            <w:vAlign w:val="bottom"/>
            <w:shd w:val="clear" w:color="auto" w:fill="DDE9F2"/>
          </w:tcPr>
          <w:p>
            <w:pPr>
              <w:jc w:val="right"/>
              <w:ind w:right="22"/>
              <w:spacing w:after="0"/>
              <w:rPr>
                <w:sz w:val="20"/>
                <w:szCs w:val="20"/>
                <w:color w:val="auto"/>
              </w:rPr>
            </w:pPr>
            <w:r>
              <w:rPr>
                <w:rFonts w:ascii="Arial" w:cs="Arial" w:eastAsia="Arial" w:hAnsi="Arial"/>
                <w:sz w:val="16"/>
                <w:szCs w:val="16"/>
                <w:color w:val="0B2E44"/>
              </w:rPr>
              <w:t>2,474,293</w:t>
            </w:r>
          </w:p>
        </w:tc>
        <w:tc>
          <w:tcPr>
            <w:tcW w:w="0" w:type="dxa"/>
            <w:vAlign w:val="bottom"/>
          </w:tcPr>
          <w:p>
            <w:pPr>
              <w:spacing w:after="0"/>
              <w:rPr>
                <w:sz w:val="1"/>
                <w:szCs w:val="1"/>
                <w:color w:val="auto"/>
              </w:rPr>
            </w:pPr>
          </w:p>
        </w:tc>
      </w:tr>
      <w:tr>
        <w:trPr>
          <w:trHeight w:val="213"/>
        </w:trPr>
        <w:tc>
          <w:tcPr>
            <w:tcW w:w="3600" w:type="dxa"/>
            <w:vAlign w:val="bottom"/>
            <w:gridSpan w:val="2"/>
          </w:tcPr>
          <w:p>
            <w:pPr>
              <w:ind w:left="120"/>
              <w:spacing w:after="0"/>
              <w:rPr>
                <w:sz w:val="20"/>
                <w:szCs w:val="20"/>
                <w:color w:val="auto"/>
              </w:rPr>
            </w:pPr>
            <w:r>
              <w:rPr>
                <w:rFonts w:ascii="Arial" w:cs="Arial" w:eastAsia="Arial" w:hAnsi="Arial"/>
                <w:sz w:val="16"/>
                <w:szCs w:val="16"/>
                <w:color w:val="0B2E44"/>
              </w:rPr>
              <w:t>Performance-Vesting Shares</w:t>
            </w: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Arial" w:cs="Arial" w:eastAsia="Arial" w:hAnsi="Arial"/>
                <w:sz w:val="16"/>
                <w:szCs w:val="16"/>
                <w:color w:val="0B2E44"/>
              </w:rPr>
              <w:t>494,133</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0B2E44"/>
            </w:tcBorders>
            <w:shd w:val="clear" w:color="auto" w:fill="DDE9F2"/>
          </w:tcPr>
          <w:p>
            <w:pPr>
              <w:ind w:left="120"/>
              <w:spacing w:after="0"/>
              <w:rPr>
                <w:sz w:val="20"/>
                <w:szCs w:val="20"/>
                <w:color w:val="auto"/>
              </w:rPr>
            </w:pPr>
            <w:r>
              <w:rPr>
                <w:rFonts w:ascii="Arial" w:cs="Arial" w:eastAsia="Arial" w:hAnsi="Arial"/>
                <w:sz w:val="16"/>
                <w:szCs w:val="16"/>
                <w:color w:val="0B2E44"/>
              </w:rPr>
              <w:t>Shares Available for Grant</w:t>
            </w:r>
          </w:p>
        </w:tc>
        <w:tc>
          <w:tcPr>
            <w:tcW w:w="1540" w:type="dxa"/>
            <w:vAlign w:val="bottom"/>
            <w:tcBorders>
              <w:bottom w:val="single" w:sz="8" w:color="0B2E44"/>
            </w:tcBorders>
            <w:shd w:val="clear" w:color="auto" w:fill="DDE9F2"/>
          </w:tcPr>
          <w:p>
            <w:pPr>
              <w:spacing w:after="0"/>
              <w:rPr>
                <w:sz w:val="18"/>
                <w:szCs w:val="18"/>
                <w:color w:val="auto"/>
              </w:rPr>
            </w:pPr>
          </w:p>
        </w:tc>
        <w:tc>
          <w:tcPr>
            <w:tcW w:w="1300" w:type="dxa"/>
            <w:vAlign w:val="bottom"/>
            <w:tcBorders>
              <w:bottom w:val="single" w:sz="8" w:color="0B2E44"/>
            </w:tcBorders>
            <w:shd w:val="clear" w:color="auto" w:fill="DDE9F2"/>
          </w:tcPr>
          <w:p>
            <w:pPr>
              <w:spacing w:after="0"/>
              <w:rPr>
                <w:sz w:val="18"/>
                <w:szCs w:val="18"/>
                <w:color w:val="auto"/>
              </w:rPr>
            </w:pPr>
          </w:p>
        </w:tc>
        <w:tc>
          <w:tcPr>
            <w:tcW w:w="1700" w:type="dxa"/>
            <w:vAlign w:val="bottom"/>
            <w:tcBorders>
              <w:bottom w:val="single" w:sz="8" w:color="0B2E44"/>
            </w:tcBorders>
            <w:shd w:val="clear" w:color="auto" w:fill="DDE9F2"/>
          </w:tcPr>
          <w:p>
            <w:pPr>
              <w:spacing w:after="0"/>
              <w:rPr>
                <w:sz w:val="18"/>
                <w:szCs w:val="18"/>
                <w:color w:val="auto"/>
              </w:rPr>
            </w:pPr>
          </w:p>
        </w:tc>
        <w:tc>
          <w:tcPr>
            <w:tcW w:w="1360" w:type="dxa"/>
            <w:vAlign w:val="bottom"/>
            <w:tcBorders>
              <w:bottom w:val="single" w:sz="8" w:color="0B2E44"/>
            </w:tcBorders>
            <w:shd w:val="clear" w:color="auto" w:fill="DDE9F2"/>
          </w:tcPr>
          <w:p>
            <w:pPr>
              <w:spacing w:after="0"/>
              <w:rPr>
                <w:sz w:val="18"/>
                <w:szCs w:val="18"/>
                <w:color w:val="auto"/>
              </w:rPr>
            </w:pPr>
          </w:p>
        </w:tc>
        <w:tc>
          <w:tcPr>
            <w:tcW w:w="1720" w:type="dxa"/>
            <w:vAlign w:val="bottom"/>
            <w:tcBorders>
              <w:bottom w:val="single" w:sz="8" w:color="0B2E44"/>
            </w:tcBorders>
            <w:shd w:val="clear" w:color="auto" w:fill="DDE9F2"/>
          </w:tcPr>
          <w:p>
            <w:pPr>
              <w:spacing w:after="0"/>
              <w:rPr>
                <w:sz w:val="18"/>
                <w:szCs w:val="18"/>
                <w:color w:val="auto"/>
              </w:rPr>
            </w:pPr>
          </w:p>
        </w:tc>
        <w:tc>
          <w:tcPr>
            <w:tcW w:w="1560" w:type="dxa"/>
            <w:vAlign w:val="bottom"/>
            <w:tcBorders>
              <w:bottom w:val="single" w:sz="8" w:color="0B2E44"/>
            </w:tcBorders>
            <w:shd w:val="clear" w:color="auto" w:fill="DDE9F2"/>
          </w:tcPr>
          <w:p>
            <w:pPr>
              <w:jc w:val="right"/>
              <w:ind w:right="22"/>
              <w:spacing w:after="0"/>
              <w:rPr>
                <w:sz w:val="20"/>
                <w:szCs w:val="20"/>
                <w:color w:val="auto"/>
              </w:rPr>
            </w:pPr>
            <w:r>
              <w:rPr>
                <w:rFonts w:ascii="Arial" w:cs="Arial" w:eastAsia="Arial" w:hAnsi="Arial"/>
                <w:sz w:val="16"/>
                <w:szCs w:val="16"/>
                <w:color w:val="0B2E44"/>
              </w:rPr>
              <w:t>1,147,903</w:t>
            </w:r>
          </w:p>
        </w:tc>
        <w:tc>
          <w:tcPr>
            <w:tcW w:w="0" w:type="dxa"/>
            <w:vAlign w:val="bottom"/>
          </w:tcPr>
          <w:p>
            <w:pPr>
              <w:spacing w:after="0"/>
              <w:rPr>
                <w:sz w:val="1"/>
                <w:szCs w:val="1"/>
                <w:color w:val="auto"/>
              </w:rPr>
            </w:pPr>
          </w:p>
        </w:tc>
      </w:tr>
      <w:tr>
        <w:trPr>
          <w:trHeight w:val="503"/>
        </w:trPr>
        <w:tc>
          <w:tcPr>
            <w:tcW w:w="6600" w:type="dxa"/>
            <w:vAlign w:val="bottom"/>
            <w:gridSpan w:val="4"/>
          </w:tcPr>
          <w:p>
            <w:pPr>
              <w:spacing w:after="0"/>
              <w:rPr>
                <w:sz w:val="20"/>
                <w:szCs w:val="20"/>
                <w:color w:val="auto"/>
              </w:rPr>
            </w:pPr>
            <w:r>
              <w:rPr>
                <w:rFonts w:ascii="Arial" w:cs="Arial" w:eastAsia="Arial" w:hAnsi="Arial"/>
                <w:sz w:val="16"/>
                <w:szCs w:val="16"/>
                <w:color w:val="0B2E44"/>
              </w:rPr>
              <w:t>The following table summarizes our equity usage during the three most recent fiscal years.</w:t>
            </w: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0B2E44"/>
              </w:rPr>
              <w:t>Weighted Average</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00" w:type="dxa"/>
            <w:vAlign w:val="bottom"/>
          </w:tcPr>
          <w:p>
            <w:pPr>
              <w:jc w:val="right"/>
              <w:ind w:right="184"/>
              <w:spacing w:after="0" w:line="149" w:lineRule="exact"/>
              <w:rPr>
                <w:sz w:val="20"/>
                <w:szCs w:val="20"/>
                <w:color w:val="auto"/>
              </w:rPr>
            </w:pPr>
            <w:r>
              <w:rPr>
                <w:rFonts w:ascii="Arial" w:cs="Arial" w:eastAsia="Arial" w:hAnsi="Arial"/>
                <w:sz w:val="14"/>
                <w:szCs w:val="14"/>
                <w:color w:val="0B2E44"/>
              </w:rPr>
              <w:t>Financial</w:t>
            </w:r>
          </w:p>
        </w:tc>
        <w:tc>
          <w:tcPr>
            <w:tcW w:w="1700" w:type="dxa"/>
            <w:vAlign w:val="bottom"/>
          </w:tcPr>
          <w:p>
            <w:pPr>
              <w:jc w:val="right"/>
              <w:ind w:right="404"/>
              <w:spacing w:after="0" w:line="149" w:lineRule="exact"/>
              <w:rPr>
                <w:sz w:val="20"/>
                <w:szCs w:val="20"/>
                <w:color w:val="auto"/>
              </w:rPr>
            </w:pPr>
            <w:r>
              <w:rPr>
                <w:rFonts w:ascii="Arial" w:cs="Arial" w:eastAsia="Arial" w:hAnsi="Arial"/>
                <w:sz w:val="14"/>
                <w:szCs w:val="14"/>
                <w:color w:val="0B2E44"/>
              </w:rPr>
              <w:t>Financial</w:t>
            </w:r>
          </w:p>
        </w:tc>
        <w:tc>
          <w:tcPr>
            <w:tcW w:w="1360" w:type="dxa"/>
            <w:vAlign w:val="bottom"/>
          </w:tcPr>
          <w:p>
            <w:pPr>
              <w:spacing w:after="0"/>
              <w:rPr>
                <w:sz w:val="12"/>
                <w:szCs w:val="12"/>
                <w:color w:val="auto"/>
              </w:rPr>
            </w:pPr>
          </w:p>
        </w:tc>
        <w:tc>
          <w:tcPr>
            <w:tcW w:w="1720" w:type="dxa"/>
            <w:vAlign w:val="bottom"/>
            <w:vMerge w:val="restart"/>
          </w:tcPr>
          <w:p>
            <w:pPr>
              <w:jc w:val="right"/>
              <w:ind w:right="283"/>
              <w:spacing w:after="0"/>
              <w:rPr>
                <w:sz w:val="20"/>
                <w:szCs w:val="20"/>
                <w:color w:val="auto"/>
              </w:rPr>
            </w:pPr>
            <w:r>
              <w:rPr>
                <w:rFonts w:ascii="Arial" w:cs="Arial" w:eastAsia="Arial" w:hAnsi="Arial"/>
                <w:sz w:val="14"/>
                <w:szCs w:val="14"/>
                <w:color w:val="auto"/>
              </w:rPr>
              <w:t>Market-Based</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0B2E44"/>
              </w:rPr>
              <w:t>Common Shares</w:t>
            </w:r>
          </w:p>
        </w:tc>
        <w:tc>
          <w:tcPr>
            <w:tcW w:w="0" w:type="dxa"/>
            <w:vAlign w:val="bottom"/>
          </w:tcPr>
          <w:p>
            <w:pPr>
              <w:spacing w:after="0"/>
              <w:rPr>
                <w:sz w:val="1"/>
                <w:szCs w:val="1"/>
                <w:color w:val="auto"/>
              </w:rPr>
            </w:pPr>
          </w:p>
        </w:tc>
      </w:tr>
      <w:tr>
        <w:trPr>
          <w:trHeight w:val="140"/>
        </w:trPr>
        <w:tc>
          <w:tcPr>
            <w:tcW w:w="2060" w:type="dxa"/>
            <w:vAlign w:val="bottom"/>
            <w:vMerge w:val="restart"/>
          </w:tcPr>
          <w:p>
            <w:pPr>
              <w:ind w:left="140"/>
              <w:spacing w:after="0"/>
              <w:rPr>
                <w:sz w:val="20"/>
                <w:szCs w:val="20"/>
                <w:color w:val="auto"/>
              </w:rPr>
            </w:pPr>
            <w:r>
              <w:rPr>
                <w:rFonts w:ascii="Arial" w:cs="Arial" w:eastAsia="Arial" w:hAnsi="Arial"/>
                <w:sz w:val="14"/>
                <w:szCs w:val="14"/>
                <w:color w:val="0B2E44"/>
              </w:rPr>
              <w:t>Time Period</w:t>
            </w:r>
          </w:p>
        </w:tc>
        <w:tc>
          <w:tcPr>
            <w:tcW w:w="1540" w:type="dxa"/>
            <w:vAlign w:val="bottom"/>
          </w:tcPr>
          <w:p>
            <w:pPr>
              <w:jc w:val="right"/>
              <w:ind w:right="463"/>
              <w:spacing w:after="0" w:line="141" w:lineRule="exact"/>
              <w:rPr>
                <w:sz w:val="20"/>
                <w:szCs w:val="20"/>
                <w:color w:val="auto"/>
              </w:rPr>
            </w:pPr>
            <w:r>
              <w:rPr>
                <w:rFonts w:ascii="Arial" w:cs="Arial" w:eastAsia="Arial" w:hAnsi="Arial"/>
                <w:sz w:val="14"/>
                <w:szCs w:val="14"/>
                <w:color w:val="0B2E44"/>
              </w:rPr>
              <w:t>Time-Vesting</w:t>
            </w:r>
          </w:p>
        </w:tc>
        <w:tc>
          <w:tcPr>
            <w:tcW w:w="1300" w:type="dxa"/>
            <w:vAlign w:val="bottom"/>
          </w:tcPr>
          <w:p>
            <w:pPr>
              <w:jc w:val="right"/>
              <w:ind w:right="184"/>
              <w:spacing w:after="0" w:line="141" w:lineRule="exact"/>
              <w:rPr>
                <w:sz w:val="20"/>
                <w:szCs w:val="20"/>
                <w:color w:val="auto"/>
              </w:rPr>
            </w:pPr>
            <w:r>
              <w:rPr>
                <w:rFonts w:ascii="Arial" w:cs="Arial" w:eastAsia="Arial" w:hAnsi="Arial"/>
                <w:sz w:val="14"/>
                <w:szCs w:val="14"/>
                <w:color w:val="0B2E44"/>
              </w:rPr>
              <w:t>Performance</w:t>
            </w:r>
          </w:p>
        </w:tc>
        <w:tc>
          <w:tcPr>
            <w:tcW w:w="1700" w:type="dxa"/>
            <w:vAlign w:val="bottom"/>
          </w:tcPr>
          <w:p>
            <w:pPr>
              <w:jc w:val="right"/>
              <w:ind w:right="404"/>
              <w:spacing w:after="0" w:line="141" w:lineRule="exact"/>
              <w:rPr>
                <w:sz w:val="20"/>
                <w:szCs w:val="20"/>
                <w:color w:val="auto"/>
              </w:rPr>
            </w:pPr>
            <w:r>
              <w:rPr>
                <w:rFonts w:ascii="Arial" w:cs="Arial" w:eastAsia="Arial" w:hAnsi="Arial"/>
                <w:sz w:val="14"/>
                <w:szCs w:val="14"/>
                <w:color w:val="0B2E44"/>
              </w:rPr>
              <w:t>Performance</w:t>
            </w:r>
          </w:p>
        </w:tc>
        <w:tc>
          <w:tcPr>
            <w:tcW w:w="1360" w:type="dxa"/>
            <w:vAlign w:val="bottom"/>
          </w:tcPr>
          <w:p>
            <w:pPr>
              <w:jc w:val="right"/>
              <w:ind w:right="163"/>
              <w:spacing w:after="0" w:line="141" w:lineRule="exact"/>
              <w:rPr>
                <w:sz w:val="20"/>
                <w:szCs w:val="20"/>
                <w:color w:val="auto"/>
              </w:rPr>
            </w:pPr>
            <w:r>
              <w:rPr>
                <w:rFonts w:ascii="Arial" w:cs="Arial" w:eastAsia="Arial" w:hAnsi="Arial"/>
                <w:sz w:val="14"/>
                <w:szCs w:val="14"/>
                <w:color w:val="0B2E44"/>
              </w:rPr>
              <w:t>Market-Based</w:t>
            </w:r>
          </w:p>
        </w:tc>
        <w:tc>
          <w:tcPr>
            <w:tcW w:w="1720" w:type="dxa"/>
            <w:vAlign w:val="bottom"/>
            <w:vMerge w:val="continue"/>
          </w:tcPr>
          <w:p>
            <w:pPr>
              <w:spacing w:after="0"/>
              <w:rPr>
                <w:sz w:val="12"/>
                <w:szCs w:val="12"/>
                <w:color w:val="auto"/>
              </w:rPr>
            </w:pPr>
          </w:p>
        </w:tc>
        <w:tc>
          <w:tcPr>
            <w:tcW w:w="1560" w:type="dxa"/>
            <w:vAlign w:val="bottom"/>
          </w:tcPr>
          <w:p>
            <w:pPr>
              <w:jc w:val="right"/>
              <w:spacing w:after="0" w:line="141" w:lineRule="exact"/>
              <w:rPr>
                <w:sz w:val="20"/>
                <w:szCs w:val="20"/>
                <w:color w:val="auto"/>
              </w:rPr>
            </w:pPr>
            <w:r>
              <w:rPr>
                <w:rFonts w:ascii="Arial" w:cs="Arial" w:eastAsia="Arial" w:hAnsi="Arial"/>
                <w:sz w:val="14"/>
                <w:szCs w:val="14"/>
                <w:color w:val="0B2E44"/>
              </w:rPr>
              <w:t>Outstanding</w:t>
            </w:r>
          </w:p>
        </w:tc>
        <w:tc>
          <w:tcPr>
            <w:tcW w:w="0" w:type="dxa"/>
            <w:vAlign w:val="bottom"/>
          </w:tcPr>
          <w:p>
            <w:pPr>
              <w:spacing w:after="0"/>
              <w:rPr>
                <w:sz w:val="1"/>
                <w:szCs w:val="1"/>
                <w:color w:val="auto"/>
              </w:rPr>
            </w:pPr>
          </w:p>
        </w:tc>
      </w:tr>
      <w:tr>
        <w:trPr>
          <w:trHeight w:val="186"/>
        </w:trPr>
        <w:tc>
          <w:tcPr>
            <w:tcW w:w="2060" w:type="dxa"/>
            <w:vAlign w:val="bottom"/>
            <w:tcBorders>
              <w:bottom w:val="single" w:sz="8" w:color="E14A6A"/>
            </w:tcBorders>
            <w:vMerge w:val="continue"/>
          </w:tcPr>
          <w:p>
            <w:pPr>
              <w:spacing w:after="0"/>
              <w:rPr>
                <w:sz w:val="16"/>
                <w:szCs w:val="16"/>
                <w:color w:val="auto"/>
              </w:rPr>
            </w:pPr>
          </w:p>
        </w:tc>
        <w:tc>
          <w:tcPr>
            <w:tcW w:w="1540" w:type="dxa"/>
            <w:vAlign w:val="bottom"/>
            <w:tcBorders>
              <w:bottom w:val="single" w:sz="8" w:color="E14A6A"/>
            </w:tcBorders>
          </w:tcPr>
          <w:p>
            <w:pPr>
              <w:jc w:val="right"/>
              <w:ind w:right="463"/>
              <w:spacing w:after="0"/>
              <w:rPr>
                <w:sz w:val="20"/>
                <w:szCs w:val="20"/>
                <w:color w:val="auto"/>
              </w:rPr>
            </w:pPr>
            <w:r>
              <w:rPr>
                <w:rFonts w:ascii="Arial" w:cs="Arial" w:eastAsia="Arial" w:hAnsi="Arial"/>
                <w:sz w:val="14"/>
                <w:szCs w:val="14"/>
                <w:color w:val="0B2E44"/>
              </w:rPr>
              <w:t>RSUs Granted</w:t>
            </w:r>
          </w:p>
        </w:tc>
        <w:tc>
          <w:tcPr>
            <w:tcW w:w="1300" w:type="dxa"/>
            <w:vAlign w:val="bottom"/>
            <w:tcBorders>
              <w:bottom w:val="single" w:sz="8" w:color="E14A6A"/>
            </w:tcBorders>
          </w:tcPr>
          <w:p>
            <w:pPr>
              <w:jc w:val="right"/>
              <w:ind w:right="184"/>
              <w:spacing w:after="0"/>
              <w:rPr>
                <w:sz w:val="20"/>
                <w:szCs w:val="20"/>
                <w:color w:val="auto"/>
              </w:rPr>
            </w:pPr>
            <w:r>
              <w:rPr>
                <w:rFonts w:ascii="Arial" w:cs="Arial" w:eastAsia="Arial" w:hAnsi="Arial"/>
                <w:sz w:val="14"/>
                <w:szCs w:val="14"/>
                <w:color w:val="0B2E44"/>
              </w:rPr>
              <w:t>Shares Granted</w:t>
            </w:r>
          </w:p>
        </w:tc>
        <w:tc>
          <w:tcPr>
            <w:tcW w:w="1700" w:type="dxa"/>
            <w:vAlign w:val="bottom"/>
            <w:tcBorders>
              <w:bottom w:val="single" w:sz="8" w:color="E14A6A"/>
            </w:tcBorders>
          </w:tcPr>
          <w:p>
            <w:pPr>
              <w:jc w:val="right"/>
              <w:ind w:right="404"/>
              <w:spacing w:after="0"/>
              <w:rPr>
                <w:sz w:val="20"/>
                <w:szCs w:val="20"/>
                <w:color w:val="auto"/>
              </w:rPr>
            </w:pPr>
            <w:r>
              <w:rPr>
                <w:rFonts w:ascii="Arial" w:cs="Arial" w:eastAsia="Arial" w:hAnsi="Arial"/>
                <w:sz w:val="14"/>
                <w:szCs w:val="14"/>
                <w:color w:val="0B2E44"/>
              </w:rPr>
              <w:t>Shares Earned</w:t>
            </w:r>
          </w:p>
        </w:tc>
        <w:tc>
          <w:tcPr>
            <w:tcW w:w="1360" w:type="dxa"/>
            <w:vAlign w:val="bottom"/>
            <w:tcBorders>
              <w:bottom w:val="single" w:sz="8" w:color="E14A6A"/>
            </w:tcBorders>
          </w:tcPr>
          <w:p>
            <w:pPr>
              <w:jc w:val="right"/>
              <w:ind w:right="163"/>
              <w:spacing w:after="0"/>
              <w:rPr>
                <w:sz w:val="20"/>
                <w:szCs w:val="20"/>
                <w:color w:val="auto"/>
              </w:rPr>
            </w:pPr>
            <w:r>
              <w:rPr>
                <w:rFonts w:ascii="Arial" w:cs="Arial" w:eastAsia="Arial" w:hAnsi="Arial"/>
                <w:sz w:val="14"/>
                <w:szCs w:val="14"/>
                <w:color w:val="0B2E44"/>
              </w:rPr>
              <w:t>Shares Granted</w:t>
            </w:r>
          </w:p>
        </w:tc>
        <w:tc>
          <w:tcPr>
            <w:tcW w:w="1720" w:type="dxa"/>
            <w:vAlign w:val="bottom"/>
            <w:tcBorders>
              <w:bottom w:val="single" w:sz="8" w:color="E14A6A"/>
            </w:tcBorders>
          </w:tcPr>
          <w:p>
            <w:pPr>
              <w:jc w:val="right"/>
              <w:ind w:right="283"/>
              <w:spacing w:after="0"/>
              <w:rPr>
                <w:sz w:val="20"/>
                <w:szCs w:val="20"/>
                <w:color w:val="auto"/>
              </w:rPr>
            </w:pPr>
            <w:r>
              <w:rPr>
                <w:rFonts w:ascii="Arial" w:cs="Arial" w:eastAsia="Arial" w:hAnsi="Arial"/>
                <w:sz w:val="14"/>
                <w:szCs w:val="14"/>
                <w:color w:val="auto"/>
              </w:rPr>
              <w:t>Shares Earned(1)</w:t>
            </w:r>
          </w:p>
        </w:tc>
        <w:tc>
          <w:tcPr>
            <w:tcW w:w="156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B2E44"/>
              </w:rPr>
              <w:t>(Diluted)</w:t>
            </w:r>
          </w:p>
        </w:tc>
        <w:tc>
          <w:tcPr>
            <w:tcW w:w="0" w:type="dxa"/>
            <w:vAlign w:val="bottom"/>
          </w:tcPr>
          <w:p>
            <w:pPr>
              <w:spacing w:after="0"/>
              <w:rPr>
                <w:sz w:val="1"/>
                <w:szCs w:val="1"/>
                <w:color w:val="auto"/>
              </w:rPr>
            </w:pPr>
          </w:p>
        </w:tc>
      </w:tr>
      <w:tr>
        <w:trPr>
          <w:trHeight w:val="213"/>
        </w:trPr>
        <w:tc>
          <w:tcPr>
            <w:tcW w:w="206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Fiscal 2023</w:t>
            </w:r>
          </w:p>
        </w:tc>
        <w:tc>
          <w:tcPr>
            <w:tcW w:w="1540" w:type="dxa"/>
            <w:vAlign w:val="bottom"/>
            <w:shd w:val="clear" w:color="auto" w:fill="DDE9F2"/>
          </w:tcPr>
          <w:p>
            <w:pPr>
              <w:jc w:val="right"/>
              <w:ind w:right="543"/>
              <w:spacing w:after="0"/>
              <w:rPr>
                <w:sz w:val="20"/>
                <w:szCs w:val="20"/>
                <w:color w:val="auto"/>
              </w:rPr>
            </w:pPr>
            <w:r>
              <w:rPr>
                <w:rFonts w:ascii="Arial" w:cs="Arial" w:eastAsia="Arial" w:hAnsi="Arial"/>
                <w:sz w:val="16"/>
                <w:szCs w:val="16"/>
                <w:color w:val="0B2E44"/>
              </w:rPr>
              <w:t>1,560,712</w:t>
            </w:r>
          </w:p>
        </w:tc>
        <w:tc>
          <w:tcPr>
            <w:tcW w:w="1300" w:type="dxa"/>
            <w:vAlign w:val="bottom"/>
            <w:shd w:val="clear" w:color="auto" w:fill="DDE9F2"/>
          </w:tcPr>
          <w:p>
            <w:pPr>
              <w:jc w:val="right"/>
              <w:ind w:right="264"/>
              <w:spacing w:after="0"/>
              <w:rPr>
                <w:sz w:val="20"/>
                <w:szCs w:val="20"/>
                <w:color w:val="auto"/>
              </w:rPr>
            </w:pPr>
            <w:r>
              <w:rPr>
                <w:rFonts w:ascii="Arial" w:cs="Arial" w:eastAsia="Arial" w:hAnsi="Arial"/>
                <w:sz w:val="16"/>
                <w:szCs w:val="16"/>
                <w:color w:val="0B2E44"/>
              </w:rPr>
              <w:t>125,919</w:t>
            </w:r>
          </w:p>
        </w:tc>
        <w:tc>
          <w:tcPr>
            <w:tcW w:w="1700" w:type="dxa"/>
            <w:vAlign w:val="bottom"/>
            <w:shd w:val="clear" w:color="auto" w:fill="DDE9F2"/>
          </w:tcPr>
          <w:p>
            <w:pPr>
              <w:jc w:val="right"/>
              <w:ind w:right="484"/>
              <w:spacing w:after="0"/>
              <w:rPr>
                <w:sz w:val="20"/>
                <w:szCs w:val="20"/>
                <w:color w:val="auto"/>
              </w:rPr>
            </w:pPr>
            <w:r>
              <w:rPr>
                <w:rFonts w:ascii="Arial" w:cs="Arial" w:eastAsia="Arial" w:hAnsi="Arial"/>
                <w:sz w:val="16"/>
                <w:szCs w:val="16"/>
                <w:color w:val="0B2E44"/>
              </w:rPr>
              <w:t>161,176</w:t>
            </w:r>
          </w:p>
        </w:tc>
        <w:tc>
          <w:tcPr>
            <w:tcW w:w="1360" w:type="dxa"/>
            <w:vAlign w:val="bottom"/>
            <w:shd w:val="clear" w:color="auto" w:fill="DDE9F2"/>
          </w:tcPr>
          <w:p>
            <w:pPr>
              <w:jc w:val="right"/>
              <w:ind w:right="243"/>
              <w:spacing w:after="0"/>
              <w:rPr>
                <w:sz w:val="20"/>
                <w:szCs w:val="20"/>
                <w:color w:val="auto"/>
              </w:rPr>
            </w:pPr>
            <w:r>
              <w:rPr>
                <w:rFonts w:ascii="Arial" w:cs="Arial" w:eastAsia="Arial" w:hAnsi="Arial"/>
                <w:sz w:val="16"/>
                <w:szCs w:val="16"/>
                <w:color w:val="0B2E44"/>
              </w:rPr>
              <w:t>125,919</w:t>
            </w:r>
          </w:p>
        </w:tc>
        <w:tc>
          <w:tcPr>
            <w:tcW w:w="1720" w:type="dxa"/>
            <w:vAlign w:val="bottom"/>
            <w:shd w:val="clear" w:color="auto" w:fill="DDE9F2"/>
          </w:tcPr>
          <w:p>
            <w:pPr>
              <w:jc w:val="right"/>
              <w:ind w:right="363"/>
              <w:spacing w:after="0"/>
              <w:rPr>
                <w:sz w:val="20"/>
                <w:szCs w:val="20"/>
                <w:color w:val="auto"/>
              </w:rPr>
            </w:pPr>
            <w:r>
              <w:rPr>
                <w:rFonts w:ascii="Arial" w:cs="Arial" w:eastAsia="Arial" w:hAnsi="Arial"/>
                <w:sz w:val="16"/>
                <w:szCs w:val="16"/>
                <w:color w:val="0B2E44"/>
              </w:rPr>
              <w:t>156,983</w:t>
            </w:r>
          </w:p>
        </w:tc>
        <w:tc>
          <w:tcPr>
            <w:tcW w:w="1560" w:type="dxa"/>
            <w:vAlign w:val="bottom"/>
            <w:shd w:val="clear" w:color="auto" w:fill="DDE9F2"/>
          </w:tcPr>
          <w:p>
            <w:pPr>
              <w:jc w:val="right"/>
              <w:ind w:right="22"/>
              <w:spacing w:after="0"/>
              <w:rPr>
                <w:sz w:val="20"/>
                <w:szCs w:val="20"/>
                <w:color w:val="auto"/>
              </w:rPr>
            </w:pPr>
            <w:r>
              <w:rPr>
                <w:rFonts w:ascii="Arial" w:cs="Arial" w:eastAsia="Arial" w:hAnsi="Arial"/>
                <w:sz w:val="16"/>
                <w:szCs w:val="16"/>
                <w:color w:val="0B2E44"/>
              </w:rPr>
              <w:t>44,664,000</w:t>
            </w:r>
          </w:p>
        </w:tc>
        <w:tc>
          <w:tcPr>
            <w:tcW w:w="0" w:type="dxa"/>
            <w:vAlign w:val="bottom"/>
          </w:tcPr>
          <w:p>
            <w:pPr>
              <w:spacing w:after="0"/>
              <w:rPr>
                <w:sz w:val="1"/>
                <w:szCs w:val="1"/>
                <w:color w:val="auto"/>
              </w:rPr>
            </w:pPr>
          </w:p>
        </w:tc>
      </w:tr>
      <w:tr>
        <w:trPr>
          <w:trHeight w:val="213"/>
        </w:trPr>
        <w:tc>
          <w:tcPr>
            <w:tcW w:w="2060" w:type="dxa"/>
            <w:vAlign w:val="bottom"/>
          </w:tcPr>
          <w:p>
            <w:pPr>
              <w:ind w:left="120"/>
              <w:spacing w:after="0"/>
              <w:rPr>
                <w:sz w:val="20"/>
                <w:szCs w:val="20"/>
                <w:color w:val="auto"/>
              </w:rPr>
            </w:pPr>
            <w:r>
              <w:rPr>
                <w:rFonts w:ascii="Arial" w:cs="Arial" w:eastAsia="Arial" w:hAnsi="Arial"/>
                <w:sz w:val="16"/>
                <w:szCs w:val="16"/>
                <w:color w:val="0B2E44"/>
              </w:rPr>
              <w:t>Fiscal 2022</w:t>
            </w:r>
          </w:p>
        </w:tc>
        <w:tc>
          <w:tcPr>
            <w:tcW w:w="1540" w:type="dxa"/>
            <w:vAlign w:val="bottom"/>
          </w:tcPr>
          <w:p>
            <w:pPr>
              <w:jc w:val="right"/>
              <w:ind w:right="543"/>
              <w:spacing w:after="0"/>
              <w:rPr>
                <w:sz w:val="20"/>
                <w:szCs w:val="20"/>
                <w:color w:val="auto"/>
              </w:rPr>
            </w:pPr>
            <w:r>
              <w:rPr>
                <w:rFonts w:ascii="Arial" w:cs="Arial" w:eastAsia="Arial" w:hAnsi="Arial"/>
                <w:sz w:val="16"/>
                <w:szCs w:val="16"/>
                <w:color w:val="0B2E44"/>
              </w:rPr>
              <w:t>1,727,891</w:t>
            </w:r>
          </w:p>
        </w:tc>
        <w:tc>
          <w:tcPr>
            <w:tcW w:w="1300" w:type="dxa"/>
            <w:vAlign w:val="bottom"/>
          </w:tcPr>
          <w:p>
            <w:pPr>
              <w:jc w:val="right"/>
              <w:ind w:right="264"/>
              <w:spacing w:after="0"/>
              <w:rPr>
                <w:sz w:val="20"/>
                <w:szCs w:val="20"/>
                <w:color w:val="auto"/>
              </w:rPr>
            </w:pPr>
            <w:r>
              <w:rPr>
                <w:rFonts w:ascii="Arial" w:cs="Arial" w:eastAsia="Arial" w:hAnsi="Arial"/>
                <w:sz w:val="16"/>
                <w:szCs w:val="16"/>
                <w:color w:val="0B2E44"/>
              </w:rPr>
              <w:t>118,929</w:t>
            </w:r>
          </w:p>
        </w:tc>
        <w:tc>
          <w:tcPr>
            <w:tcW w:w="1700" w:type="dxa"/>
            <w:vAlign w:val="bottom"/>
          </w:tcPr>
          <w:p>
            <w:pPr>
              <w:jc w:val="right"/>
              <w:ind w:right="484"/>
              <w:spacing w:after="0"/>
              <w:rPr>
                <w:sz w:val="20"/>
                <w:szCs w:val="20"/>
                <w:color w:val="auto"/>
              </w:rPr>
            </w:pPr>
            <w:r>
              <w:rPr>
                <w:rFonts w:ascii="Arial" w:cs="Arial" w:eastAsia="Arial" w:hAnsi="Arial"/>
                <w:sz w:val="16"/>
                <w:szCs w:val="16"/>
                <w:color w:val="0B2E44"/>
              </w:rPr>
              <w:t>185,189</w:t>
            </w:r>
          </w:p>
        </w:tc>
        <w:tc>
          <w:tcPr>
            <w:tcW w:w="1360" w:type="dxa"/>
            <w:vAlign w:val="bottom"/>
          </w:tcPr>
          <w:p>
            <w:pPr>
              <w:jc w:val="right"/>
              <w:ind w:right="243"/>
              <w:spacing w:after="0"/>
              <w:rPr>
                <w:sz w:val="20"/>
                <w:szCs w:val="20"/>
                <w:color w:val="auto"/>
              </w:rPr>
            </w:pPr>
            <w:r>
              <w:rPr>
                <w:rFonts w:ascii="Arial" w:cs="Arial" w:eastAsia="Arial" w:hAnsi="Arial"/>
                <w:sz w:val="16"/>
                <w:szCs w:val="16"/>
                <w:color w:val="0B2E44"/>
              </w:rPr>
              <w:t>105,386</w:t>
            </w:r>
          </w:p>
        </w:tc>
        <w:tc>
          <w:tcPr>
            <w:tcW w:w="1720" w:type="dxa"/>
            <w:vAlign w:val="bottom"/>
          </w:tcPr>
          <w:p>
            <w:pPr>
              <w:jc w:val="right"/>
              <w:ind w:right="363"/>
              <w:spacing w:after="0"/>
              <w:rPr>
                <w:sz w:val="20"/>
                <w:szCs w:val="20"/>
                <w:color w:val="auto"/>
              </w:rPr>
            </w:pPr>
            <w:r>
              <w:rPr>
                <w:rFonts w:ascii="Arial" w:cs="Arial" w:eastAsia="Arial" w:hAnsi="Arial"/>
                <w:sz w:val="16"/>
                <w:szCs w:val="16"/>
                <w:color w:val="0B2E44"/>
              </w:rPr>
              <w:t>104,683</w:t>
            </w:r>
          </w:p>
        </w:tc>
        <w:tc>
          <w:tcPr>
            <w:tcW w:w="1560" w:type="dxa"/>
            <w:vAlign w:val="bottom"/>
          </w:tcPr>
          <w:p>
            <w:pPr>
              <w:jc w:val="right"/>
              <w:ind w:right="22"/>
              <w:spacing w:after="0"/>
              <w:rPr>
                <w:sz w:val="20"/>
                <w:szCs w:val="20"/>
                <w:color w:val="auto"/>
              </w:rPr>
            </w:pPr>
            <w:r>
              <w:rPr>
                <w:rFonts w:ascii="Arial" w:cs="Arial" w:eastAsia="Arial" w:hAnsi="Arial"/>
                <w:sz w:val="16"/>
                <w:szCs w:val="16"/>
                <w:color w:val="0B2E44"/>
              </w:rPr>
              <w:t>47,220,000</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092E44"/>
            </w:tcBorders>
            <w:shd w:val="clear" w:color="auto" w:fill="DDE9F2"/>
          </w:tcPr>
          <w:p>
            <w:pPr>
              <w:ind w:left="120"/>
              <w:spacing w:after="0"/>
              <w:rPr>
                <w:sz w:val="20"/>
                <w:szCs w:val="20"/>
                <w:color w:val="auto"/>
              </w:rPr>
            </w:pPr>
            <w:r>
              <w:rPr>
                <w:rFonts w:ascii="Arial" w:cs="Arial" w:eastAsia="Arial" w:hAnsi="Arial"/>
                <w:sz w:val="16"/>
                <w:szCs w:val="16"/>
                <w:color w:val="0B2E44"/>
              </w:rPr>
              <w:t>Fiscal 2021</w:t>
            </w:r>
          </w:p>
        </w:tc>
        <w:tc>
          <w:tcPr>
            <w:tcW w:w="1540" w:type="dxa"/>
            <w:vAlign w:val="bottom"/>
            <w:tcBorders>
              <w:bottom w:val="single" w:sz="8" w:color="092E44"/>
            </w:tcBorders>
            <w:shd w:val="clear" w:color="auto" w:fill="DDE9F2"/>
          </w:tcPr>
          <w:p>
            <w:pPr>
              <w:jc w:val="right"/>
              <w:ind w:right="543"/>
              <w:spacing w:after="0"/>
              <w:rPr>
                <w:sz w:val="20"/>
                <w:szCs w:val="20"/>
                <w:color w:val="auto"/>
              </w:rPr>
            </w:pPr>
            <w:r>
              <w:rPr>
                <w:rFonts w:ascii="Arial" w:cs="Arial" w:eastAsia="Arial" w:hAnsi="Arial"/>
                <w:sz w:val="16"/>
                <w:szCs w:val="16"/>
                <w:color w:val="0B2E44"/>
              </w:rPr>
              <w:t>1,797,021</w:t>
            </w:r>
          </w:p>
        </w:tc>
        <w:tc>
          <w:tcPr>
            <w:tcW w:w="1300" w:type="dxa"/>
            <w:vAlign w:val="bottom"/>
            <w:tcBorders>
              <w:bottom w:val="single" w:sz="8" w:color="092E44"/>
            </w:tcBorders>
            <w:shd w:val="clear" w:color="auto" w:fill="DDE9F2"/>
          </w:tcPr>
          <w:p>
            <w:pPr>
              <w:jc w:val="right"/>
              <w:ind w:right="264"/>
              <w:spacing w:after="0"/>
              <w:rPr>
                <w:sz w:val="20"/>
                <w:szCs w:val="20"/>
                <w:color w:val="auto"/>
              </w:rPr>
            </w:pPr>
            <w:r>
              <w:rPr>
                <w:rFonts w:ascii="Arial" w:cs="Arial" w:eastAsia="Arial" w:hAnsi="Arial"/>
                <w:sz w:val="16"/>
                <w:szCs w:val="16"/>
                <w:color w:val="0B2E44"/>
              </w:rPr>
              <w:t>—</w:t>
            </w:r>
          </w:p>
        </w:tc>
        <w:tc>
          <w:tcPr>
            <w:tcW w:w="1700" w:type="dxa"/>
            <w:vAlign w:val="bottom"/>
            <w:tcBorders>
              <w:bottom w:val="single" w:sz="8" w:color="092E44"/>
            </w:tcBorders>
            <w:shd w:val="clear" w:color="auto" w:fill="DDE9F2"/>
          </w:tcPr>
          <w:p>
            <w:pPr>
              <w:jc w:val="right"/>
              <w:ind w:right="484"/>
              <w:spacing w:after="0"/>
              <w:rPr>
                <w:sz w:val="20"/>
                <w:szCs w:val="20"/>
                <w:color w:val="auto"/>
              </w:rPr>
            </w:pPr>
            <w:r>
              <w:rPr>
                <w:rFonts w:ascii="Arial" w:cs="Arial" w:eastAsia="Arial" w:hAnsi="Arial"/>
                <w:sz w:val="16"/>
                <w:szCs w:val="16"/>
                <w:color w:val="0B2E44"/>
              </w:rPr>
              <w:t>—</w:t>
            </w:r>
          </w:p>
        </w:tc>
        <w:tc>
          <w:tcPr>
            <w:tcW w:w="1360" w:type="dxa"/>
            <w:vAlign w:val="bottom"/>
            <w:tcBorders>
              <w:bottom w:val="single" w:sz="8" w:color="092E44"/>
            </w:tcBorders>
            <w:shd w:val="clear" w:color="auto" w:fill="DDE9F2"/>
          </w:tcPr>
          <w:p>
            <w:pPr>
              <w:jc w:val="right"/>
              <w:ind w:right="243"/>
              <w:spacing w:after="0"/>
              <w:rPr>
                <w:sz w:val="20"/>
                <w:szCs w:val="20"/>
                <w:color w:val="auto"/>
              </w:rPr>
            </w:pPr>
            <w:r>
              <w:rPr>
                <w:rFonts w:ascii="Arial" w:cs="Arial" w:eastAsia="Arial" w:hAnsi="Arial"/>
                <w:sz w:val="16"/>
                <w:szCs w:val="16"/>
                <w:color w:val="0B2E44"/>
              </w:rPr>
              <w:t>298,585</w:t>
            </w:r>
          </w:p>
        </w:tc>
        <w:tc>
          <w:tcPr>
            <w:tcW w:w="1720" w:type="dxa"/>
            <w:vAlign w:val="bottom"/>
            <w:tcBorders>
              <w:bottom w:val="single" w:sz="8" w:color="092E44"/>
            </w:tcBorders>
            <w:shd w:val="clear" w:color="auto" w:fill="DDE9F2"/>
          </w:tcPr>
          <w:p>
            <w:pPr>
              <w:jc w:val="right"/>
              <w:ind w:right="363"/>
              <w:spacing w:after="0"/>
              <w:rPr>
                <w:sz w:val="20"/>
                <w:szCs w:val="20"/>
                <w:color w:val="auto"/>
              </w:rPr>
            </w:pPr>
            <w:r>
              <w:rPr>
                <w:rFonts w:ascii="Arial" w:cs="Arial" w:eastAsia="Arial" w:hAnsi="Arial"/>
                <w:sz w:val="16"/>
                <w:szCs w:val="16"/>
                <w:color w:val="0B2E44"/>
              </w:rPr>
              <w:t>304,557</w:t>
            </w:r>
          </w:p>
        </w:tc>
        <w:tc>
          <w:tcPr>
            <w:tcW w:w="1560" w:type="dxa"/>
            <w:vAlign w:val="bottom"/>
            <w:tcBorders>
              <w:bottom w:val="single" w:sz="8" w:color="092E44"/>
            </w:tcBorders>
            <w:shd w:val="clear" w:color="auto" w:fill="DDE9F2"/>
          </w:tcPr>
          <w:p>
            <w:pPr>
              <w:jc w:val="right"/>
              <w:ind w:right="22"/>
              <w:spacing w:after="0"/>
              <w:rPr>
                <w:sz w:val="20"/>
                <w:szCs w:val="20"/>
                <w:color w:val="auto"/>
              </w:rPr>
            </w:pPr>
            <w:r>
              <w:rPr>
                <w:rFonts w:ascii="Arial" w:cs="Arial" w:eastAsia="Arial" w:hAnsi="Arial"/>
                <w:sz w:val="16"/>
                <w:szCs w:val="16"/>
                <w:color w:val="0B2E44"/>
              </w:rPr>
              <w:t>46,652,000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3"/>
          <w:szCs w:val="13"/>
          <w:color w:val="092E44"/>
        </w:rPr>
      </w:pPr>
      <w:r>
        <w:rPr>
          <w:rFonts w:ascii="Arial" w:cs="Arial" w:eastAsia="Arial" w:hAnsi="Arial"/>
          <w:sz w:val="13"/>
          <w:szCs w:val="13"/>
          <w:color w:val="092E44"/>
        </w:rPr>
        <w:t>Unvested market-based shares are represented at present value as of May 31, 2023. The number of shares may vary until actual results are confirmed.</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Description of the 2016 Incentive Plan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Purpose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0B2E44"/>
        </w:rPr>
        <w:t>The purpose of the 2016 Incentive Plan is to:</w:t>
      </w:r>
    </w:p>
    <w:p>
      <w:pPr>
        <w:spacing w:after="0" w:line="73"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6"/>
          <w:szCs w:val="16"/>
          <w:color w:val="FF4A6A"/>
        </w:rPr>
      </w:pPr>
      <w:r>
        <w:rPr>
          <w:rFonts w:ascii="Arial" w:cs="Arial" w:eastAsia="Arial" w:hAnsi="Arial"/>
          <w:sz w:val="16"/>
          <w:szCs w:val="16"/>
          <w:color w:val="0B2E44"/>
        </w:rPr>
        <w:t>attract and retain talented executives and employees,</w:t>
      </w:r>
    </w:p>
    <w:p>
      <w:pPr>
        <w:spacing w:after="0" w:line="59" w:lineRule="exact"/>
        <w:rPr>
          <w:rFonts w:ascii="Arial" w:cs="Arial" w:eastAsia="Arial" w:hAnsi="Arial"/>
          <w:sz w:val="16"/>
          <w:szCs w:val="16"/>
          <w:color w:val="FF4A6A"/>
        </w:rPr>
      </w:pPr>
    </w:p>
    <w:p>
      <w:pPr>
        <w:ind w:left="120" w:right="380" w:hanging="112"/>
        <w:spacing w:after="0" w:line="276" w:lineRule="auto"/>
        <w:tabs>
          <w:tab w:leader="none" w:pos="253" w:val="left"/>
        </w:tabs>
        <w:numPr>
          <w:ilvl w:val="0"/>
          <w:numId w:val="58"/>
        </w:numPr>
        <w:rPr>
          <w:rFonts w:ascii="Arial" w:cs="Arial" w:eastAsia="Arial" w:hAnsi="Arial"/>
          <w:sz w:val="16"/>
          <w:szCs w:val="16"/>
          <w:color w:val="FF4A6A"/>
        </w:rPr>
      </w:pPr>
      <w:r>
        <w:rPr>
          <w:rFonts w:ascii="Arial" w:cs="Arial" w:eastAsia="Arial" w:hAnsi="Arial"/>
          <w:sz w:val="16"/>
          <w:szCs w:val="16"/>
          <w:color w:val="0B2E44"/>
        </w:rPr>
        <w:t>advance the interests of Commvault and our stockholders by providing eligible employees and executives with appropriate incentives to perform in a superior manner and achieve long-range goals,</w:t>
      </w:r>
    </w:p>
    <w:p>
      <w:pPr>
        <w:spacing w:after="0" w:line="22" w:lineRule="exact"/>
        <w:rPr>
          <w:rFonts w:ascii="Arial" w:cs="Arial" w:eastAsia="Arial" w:hAnsi="Arial"/>
          <w:sz w:val="16"/>
          <w:szCs w:val="16"/>
          <w:color w:val="FF4A6A"/>
        </w:rPr>
      </w:pPr>
    </w:p>
    <w:p>
      <w:pPr>
        <w:ind w:left="240" w:hanging="232"/>
        <w:spacing w:after="0"/>
        <w:tabs>
          <w:tab w:leader="none" w:pos="240" w:val="left"/>
        </w:tabs>
        <w:numPr>
          <w:ilvl w:val="0"/>
          <w:numId w:val="58"/>
        </w:numPr>
        <w:rPr>
          <w:rFonts w:ascii="Arial" w:cs="Arial" w:eastAsia="Arial" w:hAnsi="Arial"/>
          <w:sz w:val="16"/>
          <w:szCs w:val="16"/>
          <w:color w:val="FF4A6A"/>
        </w:rPr>
      </w:pPr>
      <w:r>
        <w:rPr>
          <w:rFonts w:ascii="Arial" w:cs="Arial" w:eastAsia="Arial" w:hAnsi="Arial"/>
          <w:sz w:val="16"/>
          <w:szCs w:val="16"/>
          <w:color w:val="0B2E44"/>
        </w:rPr>
        <w:t>enhance the link between performance and compensation for plan participants, and</w:t>
      </w:r>
    </w:p>
    <w:p>
      <w:pPr>
        <w:spacing w:after="0" w:line="59" w:lineRule="exact"/>
        <w:rPr>
          <w:rFonts w:ascii="Arial" w:cs="Arial" w:eastAsia="Arial" w:hAnsi="Arial"/>
          <w:sz w:val="16"/>
          <w:szCs w:val="16"/>
          <w:color w:val="FF4A6A"/>
        </w:rPr>
      </w:pPr>
    </w:p>
    <w:p>
      <w:pPr>
        <w:ind w:left="240" w:hanging="232"/>
        <w:spacing w:after="0"/>
        <w:tabs>
          <w:tab w:leader="none" w:pos="240" w:val="left"/>
        </w:tabs>
        <w:numPr>
          <w:ilvl w:val="0"/>
          <w:numId w:val="58"/>
        </w:numPr>
        <w:rPr>
          <w:rFonts w:ascii="Arial" w:cs="Arial" w:eastAsia="Arial" w:hAnsi="Arial"/>
          <w:sz w:val="16"/>
          <w:szCs w:val="16"/>
          <w:color w:val="FF4A6A"/>
        </w:rPr>
      </w:pPr>
      <w:r>
        <w:rPr>
          <w:rFonts w:ascii="Arial" w:cs="Arial" w:eastAsia="Arial" w:hAnsi="Arial"/>
          <w:sz w:val="16"/>
          <w:szCs w:val="16"/>
          <w:color w:val="0B2E44"/>
        </w:rPr>
        <w:t>provide incentive compensation opportunities that are competitive with those offered by other similar companies.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Administration</w:t>
      </w:r>
    </w:p>
    <w:p>
      <w:pPr>
        <w:spacing w:after="0" w:line="66" w:lineRule="exact"/>
        <w:rPr>
          <w:sz w:val="20"/>
          <w:szCs w:val="20"/>
          <w:color w:val="auto"/>
        </w:rPr>
      </w:pPr>
    </w:p>
    <w:p>
      <w:pPr>
        <w:ind w:right="380"/>
        <w:spacing w:after="0" w:line="258" w:lineRule="auto"/>
        <w:rPr>
          <w:sz w:val="20"/>
          <w:szCs w:val="20"/>
          <w:color w:val="auto"/>
        </w:rPr>
      </w:pPr>
      <w:r>
        <w:rPr>
          <w:rFonts w:ascii="Arial" w:cs="Arial" w:eastAsia="Arial" w:hAnsi="Arial"/>
          <w:sz w:val="16"/>
          <w:szCs w:val="16"/>
          <w:color w:val="0B2E44"/>
        </w:rPr>
        <w:t>For awards to Commvault officers and employees, the 2016 Incentive Plan is administered by the TMCC which selects award recipients under the 2016 Incentive Plan, the types of awards to be granted, and the applicable terms, conditions, performance criteria, restrictions, and other provisions of such awards. The TMCC also has the authority to conclusively interpret the 2016 Incentive Plan and to adopt rules and procedures relating to the Plan and awards made thereunder. Subject to stock exchange listing rules and applicable law, the TMCC may delegate all or any portion of its responsibilities or powers under the 2016 Incentive Plan.</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Eligibility</w:t>
      </w:r>
    </w:p>
    <w:p>
      <w:pPr>
        <w:spacing w:after="0" w:line="6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0B2E44"/>
        </w:rPr>
        <w:t>All officers, directors, or other employees of Commvault or a related company; all consultants, independent contractors, or agents of Commvault or a related company; and individuals who are expected to become officers, employees, directors, consultants, independent contractors, or agents of Commvault or a related company, are eligible to receive awards under the 2016 Incentive Plan, with two limitations. Specifically, awards to a person who is expected to become a service provider to Commvault or a related company cannot be effective before such person’s service begins, and incentive stock options (“ISOs”) may only be granted to employees of Commvault or a related company that satisfies certain requirements in the Internal Revenue Code. For purposes of eligibility, a company is a “related company” for any period during which we own (directly or indirectly) at least 50% of voting power or ownership interests in such entity or such entity owns (directly or indirectly) at least 50% of the voting power of our stock.</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58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PROPOSAL NO. 6: APPROVAL ADDITIONAL SHARES FOR ISSUANCE UNDER THE 2016 OMNIBUS INCENTIVE PLAN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36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0B2E44"/>
        </w:rPr>
        <w:t>In fiscal year 2023, we granted equity awards of the type authorized under the 2016 Incentive Plan to 1,613 individuals. As of March 31, 2023, 2,791 persons (including 2,779 employees, 10 non-employee directors and 2 consultants) were eligible to receive awards under the 2016 Incentive Plan.</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Shares of Common Stock Available for Awards</w:t>
      </w:r>
    </w:p>
    <w:p>
      <w:pPr>
        <w:spacing w:after="0" w:line="134"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0B2E44"/>
        </w:rPr>
        <w:t>Awards may be made under the 2016 Incentive Plan with respect to Common Stock that is authorized but unissued or, as permitted by applicable law, held or acquired by Commvault as treasury shares, including shares of Common Stock purchased in the open market or in private transactions. At the discretion of the Committee, an award under the 2016 Incentive Plan may be settled in cash rather than Common Stock.</w:t>
      </w:r>
    </w:p>
    <w:p>
      <w:pPr>
        <w:spacing w:after="0" w:line="88"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0B2E44"/>
        </w:rPr>
        <w:t>The maximum number of shares of Common Stock that may be delivered under the 2016 Incentive Plan is 11,050,000. Assuming this proposal is approved, that maximum number will be increased to 14,250,000 shares. Any shares of Common Stock covered by an award under the 2016 Incentive Plan that is forfeited, expires, or is terminated without issuance of shares of Common Stock (including shares of Common Stock that are attributable to awards that are settled in cash), and shares of Common Stock that are withheld in payment of taxes payable with respect to the vesting or settlement of a Full Value Award will thereafter be available for further grants under the 2016 Incentive Plan. Shares of Common Stock that are tendered or withheld in payment of the exercise price of an Option or shares of Common Stock that are tendered or withheld in payment of taxes payable with respect to the exercise of an Option or SAR will not be available for further grants under the 2016 Incentive Plan. Shares subject to a Stock Appreciation Right that are not issued in connection with the stock settlement of that Stock Appreciation Right upon its exercise will not again become available for further grants under the 2016 Incentive Plan.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0B2E44"/>
        </w:rPr>
        <w:t>The following additional limits apply to awards under the 2016 Incentive Plan:</w:t>
      </w:r>
    </w:p>
    <w:p>
      <w:pPr>
        <w:spacing w:after="0" w:line="113" w:lineRule="exact"/>
        <w:rPr>
          <w:sz w:val="20"/>
          <w:szCs w:val="20"/>
          <w:color w:val="auto"/>
        </w:rPr>
      </w:pPr>
    </w:p>
    <w:p>
      <w:pPr>
        <w:ind w:left="120" w:hanging="112"/>
        <w:spacing w:after="0"/>
        <w:tabs>
          <w:tab w:leader="none" w:pos="120" w:val="left"/>
        </w:tabs>
        <w:numPr>
          <w:ilvl w:val="0"/>
          <w:numId w:val="59"/>
        </w:numPr>
        <w:rPr>
          <w:rFonts w:ascii="Arial" w:cs="Arial" w:eastAsia="Arial" w:hAnsi="Arial"/>
          <w:sz w:val="16"/>
          <w:szCs w:val="16"/>
          <w:color w:val="FF4A6A"/>
        </w:rPr>
      </w:pPr>
      <w:r>
        <w:rPr>
          <w:rFonts w:ascii="Arial" w:cs="Arial" w:eastAsia="Arial" w:hAnsi="Arial"/>
          <w:sz w:val="16"/>
          <w:szCs w:val="16"/>
          <w:color w:val="0B2E44"/>
        </w:rPr>
        <w:t>no more than 3,550,000 shares of Common Stock may be subject to ISOs;</w:t>
      </w:r>
    </w:p>
    <w:p>
      <w:pPr>
        <w:spacing w:after="0" w:line="140" w:lineRule="exact"/>
        <w:rPr>
          <w:rFonts w:ascii="Arial" w:cs="Arial" w:eastAsia="Arial" w:hAnsi="Arial"/>
          <w:sz w:val="16"/>
          <w:szCs w:val="16"/>
          <w:color w:val="FF4A6A"/>
        </w:rPr>
      </w:pPr>
    </w:p>
    <w:p>
      <w:pPr>
        <w:ind w:left="120" w:right="220" w:hanging="112"/>
        <w:spacing w:after="0" w:line="293" w:lineRule="auto"/>
        <w:tabs>
          <w:tab w:leader="none" w:pos="133" w:val="left"/>
        </w:tabs>
        <w:numPr>
          <w:ilvl w:val="0"/>
          <w:numId w:val="59"/>
        </w:numPr>
        <w:rPr>
          <w:rFonts w:ascii="Arial" w:cs="Arial" w:eastAsia="Arial" w:hAnsi="Arial"/>
          <w:sz w:val="16"/>
          <w:szCs w:val="16"/>
          <w:color w:val="FF4A6A"/>
        </w:rPr>
      </w:pPr>
      <w:r>
        <w:rPr>
          <w:rFonts w:ascii="Arial" w:cs="Arial" w:eastAsia="Arial" w:hAnsi="Arial"/>
          <w:sz w:val="16"/>
          <w:szCs w:val="16"/>
          <w:color w:val="0B2E44"/>
        </w:rPr>
        <w:t>the maximum number of shares of Common Stock that may be covered by Options and SARs that are intended to be performance-based compensation and that are granted to any one participant in any one calendar year is 500,000;</w:t>
      </w:r>
    </w:p>
    <w:p>
      <w:pPr>
        <w:spacing w:after="0" w:line="50" w:lineRule="exact"/>
        <w:rPr>
          <w:rFonts w:ascii="Arial" w:cs="Arial" w:eastAsia="Arial" w:hAnsi="Arial"/>
          <w:sz w:val="16"/>
          <w:szCs w:val="16"/>
          <w:color w:val="FF4A6A"/>
        </w:rPr>
      </w:pPr>
    </w:p>
    <w:p>
      <w:pPr>
        <w:ind w:left="120" w:right="160" w:hanging="112"/>
        <w:spacing w:after="0" w:line="278" w:lineRule="auto"/>
        <w:tabs>
          <w:tab w:leader="none" w:pos="133" w:val="left"/>
        </w:tabs>
        <w:numPr>
          <w:ilvl w:val="0"/>
          <w:numId w:val="59"/>
        </w:numPr>
        <w:rPr>
          <w:rFonts w:ascii="Arial" w:cs="Arial" w:eastAsia="Arial" w:hAnsi="Arial"/>
          <w:sz w:val="16"/>
          <w:szCs w:val="16"/>
          <w:color w:val="FF4A6A"/>
        </w:rPr>
      </w:pPr>
      <w:r>
        <w:rPr>
          <w:rFonts w:ascii="Arial" w:cs="Arial" w:eastAsia="Arial" w:hAnsi="Arial"/>
          <w:sz w:val="16"/>
          <w:szCs w:val="16"/>
          <w:color w:val="0B2E44"/>
        </w:rPr>
        <w:t>the maximum number of shares of Common Stock that may be delivered pursuant to any Full Value Award that is intended to be performance-based compensation granted to any one participant during any calendar year is 250,000, regardless of whether settlement of the award is to occur before, at the time of, or after vesting; and</w:t>
      </w:r>
    </w:p>
    <w:p>
      <w:pPr>
        <w:spacing w:after="0" w:line="62" w:lineRule="exact"/>
        <w:rPr>
          <w:rFonts w:ascii="Arial" w:cs="Arial" w:eastAsia="Arial" w:hAnsi="Arial"/>
          <w:sz w:val="16"/>
          <w:szCs w:val="16"/>
          <w:color w:val="FF4A6A"/>
        </w:rPr>
      </w:pPr>
    </w:p>
    <w:p>
      <w:pPr>
        <w:ind w:left="120" w:hanging="112"/>
        <w:spacing w:after="0" w:line="293" w:lineRule="auto"/>
        <w:tabs>
          <w:tab w:leader="none" w:pos="133" w:val="left"/>
        </w:tabs>
        <w:numPr>
          <w:ilvl w:val="0"/>
          <w:numId w:val="59"/>
        </w:numPr>
        <w:rPr>
          <w:rFonts w:ascii="Arial" w:cs="Arial" w:eastAsia="Arial" w:hAnsi="Arial"/>
          <w:sz w:val="16"/>
          <w:szCs w:val="16"/>
          <w:color w:val="FF4A6A"/>
        </w:rPr>
      </w:pPr>
      <w:r>
        <w:rPr>
          <w:rFonts w:ascii="Arial" w:cs="Arial" w:eastAsia="Arial" w:hAnsi="Arial"/>
          <w:sz w:val="16"/>
          <w:szCs w:val="16"/>
          <w:color w:val="0B2E44"/>
        </w:rPr>
        <w:t>in the case of Cash Incentive Awards (as described below) that are intended to be performance-based compensation, the maximum amount payable to any one participant with respect to any performance period of twelve months (pro-rated for performance periods that are not twelve months) is $2,500,000.</w:t>
      </w:r>
    </w:p>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If a Full Value Award or Cash Incentive Award that is intended to be performance-based compensation is denominated in shares but an equivalent amount of cash is delivered (or vice versa), the foregoing limitations will be applied based on the methodology the TMCC uses to convert shares of Common Stock to cash (or vice versa). If delivery of cash or shares of Common Stock is deferred until after the cash or shares are earned, there will not be any adjustment in the amount delivered to reflect interim changes in the stock price.</w:t>
      </w:r>
    </w:p>
    <w:p>
      <w:pPr>
        <w:spacing w:after="0" w:line="74"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0B2E44"/>
        </w:rPr>
        <w:t>Awards granted to independent directors for any calendar year may not exceed $500,000 ($1,000,000 for the initial year of directorship), determined as of the date of grant.</w:t>
      </w:r>
    </w:p>
    <w:p>
      <w:pPr>
        <w:spacing w:after="0" w:line="50"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0B2E44"/>
        </w:rPr>
        <w:t>In the event of a corporate transaction (including a stock dividend, stock split, reverse stock split, extraordinary cash dividend, recapitalization, reorganization, merger, consolidation, split-up, spin-off, exchange of shares, sale of assets or subsidiaries, or combination) that affects the Common Stock such that the TMCC determines an adjustment is warranted in order to preserve the benefits or prevent the enlargement of benefits of awards under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B2E44"/>
        </w:rPr>
        <w:t>2016 Incentive Plan, the TMCC will adjust awards in a manner it determines to be equitable in its discretion. Specifically, the TMCC may:</w:t>
      </w:r>
    </w:p>
    <w:p>
      <w:pPr>
        <w:spacing w:after="0" w:line="115" w:lineRule="exact"/>
        <w:rPr>
          <w:sz w:val="20"/>
          <w:szCs w:val="20"/>
          <w:color w:val="auto"/>
        </w:rPr>
      </w:pPr>
    </w:p>
    <w:p>
      <w:pPr>
        <w:ind w:left="120" w:hanging="112"/>
        <w:spacing w:after="0"/>
        <w:tabs>
          <w:tab w:leader="none" w:pos="120" w:val="left"/>
        </w:tabs>
        <w:numPr>
          <w:ilvl w:val="0"/>
          <w:numId w:val="60"/>
        </w:numPr>
        <w:rPr>
          <w:rFonts w:ascii="Arial" w:cs="Arial" w:eastAsia="Arial" w:hAnsi="Arial"/>
          <w:sz w:val="16"/>
          <w:szCs w:val="16"/>
          <w:color w:val="FF4A6A"/>
        </w:rPr>
      </w:pPr>
      <w:r>
        <w:rPr>
          <w:rFonts w:ascii="Arial" w:cs="Arial" w:eastAsia="Arial" w:hAnsi="Arial"/>
          <w:sz w:val="16"/>
          <w:szCs w:val="16"/>
          <w:color w:val="0B2E44"/>
        </w:rPr>
        <w:t>adjust the number and kind of shares that may be delivered under the 2016 Incentive Plan (including adjusting the individual limitations described above);</w:t>
      </w:r>
    </w:p>
    <w:p>
      <w:pPr>
        <w:spacing w:after="0" w:line="126" w:lineRule="exact"/>
        <w:rPr>
          <w:rFonts w:ascii="Arial" w:cs="Arial" w:eastAsia="Arial" w:hAnsi="Arial"/>
          <w:sz w:val="16"/>
          <w:szCs w:val="16"/>
          <w:color w:val="FF4A6A"/>
        </w:rPr>
      </w:pPr>
    </w:p>
    <w:p>
      <w:pPr>
        <w:ind w:left="120" w:hanging="112"/>
        <w:spacing w:after="0"/>
        <w:tabs>
          <w:tab w:leader="none" w:pos="120" w:val="left"/>
        </w:tabs>
        <w:numPr>
          <w:ilvl w:val="0"/>
          <w:numId w:val="60"/>
        </w:numPr>
        <w:rPr>
          <w:rFonts w:ascii="Arial" w:cs="Arial" w:eastAsia="Arial" w:hAnsi="Arial"/>
          <w:sz w:val="16"/>
          <w:szCs w:val="16"/>
          <w:color w:val="FF4A6A"/>
        </w:rPr>
      </w:pPr>
      <w:r>
        <w:rPr>
          <w:rFonts w:ascii="Arial" w:cs="Arial" w:eastAsia="Arial" w:hAnsi="Arial"/>
          <w:sz w:val="16"/>
          <w:szCs w:val="16"/>
          <w:color w:val="0B2E44"/>
        </w:rPr>
        <w:t>adjust the number and kind of shares subject to outstanding awards;</w:t>
      </w:r>
    </w:p>
    <w:p>
      <w:pPr>
        <w:spacing w:after="0" w:line="126" w:lineRule="exact"/>
        <w:rPr>
          <w:rFonts w:ascii="Arial" w:cs="Arial" w:eastAsia="Arial" w:hAnsi="Arial"/>
          <w:sz w:val="16"/>
          <w:szCs w:val="16"/>
          <w:color w:val="FF4A6A"/>
        </w:rPr>
      </w:pPr>
    </w:p>
    <w:p>
      <w:pPr>
        <w:ind w:left="120" w:hanging="112"/>
        <w:spacing w:after="0"/>
        <w:tabs>
          <w:tab w:leader="none" w:pos="120" w:val="left"/>
        </w:tabs>
        <w:numPr>
          <w:ilvl w:val="0"/>
          <w:numId w:val="60"/>
        </w:numPr>
        <w:rPr>
          <w:rFonts w:ascii="Arial" w:cs="Arial" w:eastAsia="Arial" w:hAnsi="Arial"/>
          <w:sz w:val="16"/>
          <w:szCs w:val="16"/>
          <w:color w:val="FF4A6A"/>
        </w:rPr>
      </w:pPr>
      <w:r>
        <w:rPr>
          <w:rFonts w:ascii="Arial" w:cs="Arial" w:eastAsia="Arial" w:hAnsi="Arial"/>
          <w:sz w:val="16"/>
          <w:szCs w:val="16"/>
          <w:color w:val="0B2E44"/>
        </w:rPr>
        <w:t>adjust the exercise price of outstanding Options and SARs;</w:t>
      </w:r>
    </w:p>
    <w:p>
      <w:pPr>
        <w:spacing w:after="0" w:line="126" w:lineRule="exact"/>
        <w:rPr>
          <w:rFonts w:ascii="Arial" w:cs="Arial" w:eastAsia="Arial" w:hAnsi="Arial"/>
          <w:sz w:val="16"/>
          <w:szCs w:val="16"/>
          <w:color w:val="FF4A6A"/>
        </w:rPr>
      </w:pPr>
    </w:p>
    <w:p>
      <w:pPr>
        <w:ind w:left="120" w:right="680" w:hanging="112"/>
        <w:spacing w:after="0" w:line="293" w:lineRule="auto"/>
        <w:tabs>
          <w:tab w:leader="none" w:pos="133" w:val="left"/>
        </w:tabs>
        <w:numPr>
          <w:ilvl w:val="0"/>
          <w:numId w:val="60"/>
        </w:numPr>
        <w:rPr>
          <w:rFonts w:ascii="Arial" w:cs="Arial" w:eastAsia="Arial" w:hAnsi="Arial"/>
          <w:sz w:val="16"/>
          <w:szCs w:val="16"/>
          <w:color w:val="FF4A6A"/>
        </w:rPr>
      </w:pPr>
      <w:r>
        <w:rPr>
          <w:rFonts w:ascii="Arial" w:cs="Arial" w:eastAsia="Arial" w:hAnsi="Arial"/>
          <w:sz w:val="16"/>
          <w:szCs w:val="16"/>
          <w:color w:val="0B2E44"/>
        </w:rPr>
        <w:t>replace awards with other awards that the TMCC determines have comparable value and that are based on stock of a company resulting from the transaction; and</w:t>
      </w:r>
    </w:p>
    <w:p>
      <w:pPr>
        <w:spacing w:after="0" w:line="63" w:lineRule="exact"/>
        <w:rPr>
          <w:rFonts w:ascii="Arial" w:cs="Arial" w:eastAsia="Arial" w:hAnsi="Arial"/>
          <w:sz w:val="16"/>
          <w:szCs w:val="16"/>
          <w:color w:val="FF4A6A"/>
        </w:rPr>
      </w:pPr>
    </w:p>
    <w:p>
      <w:pPr>
        <w:jc w:val="both"/>
        <w:ind w:left="120" w:right="80" w:hanging="112"/>
        <w:spacing w:after="0" w:line="270" w:lineRule="auto"/>
        <w:tabs>
          <w:tab w:leader="none" w:pos="133" w:val="left"/>
        </w:tabs>
        <w:numPr>
          <w:ilvl w:val="0"/>
          <w:numId w:val="60"/>
        </w:numPr>
        <w:rPr>
          <w:rFonts w:ascii="Arial" w:cs="Arial" w:eastAsia="Arial" w:hAnsi="Arial"/>
          <w:sz w:val="16"/>
          <w:szCs w:val="16"/>
          <w:color w:val="FF4A6A"/>
        </w:rPr>
      </w:pPr>
      <w:r>
        <w:rPr>
          <w:rFonts w:ascii="Arial" w:cs="Arial" w:eastAsia="Arial" w:hAnsi="Arial"/>
          <w:sz w:val="16"/>
          <w:szCs w:val="16"/>
          <w:color w:val="0B2E44"/>
        </w:rPr>
        <w:t>cancel any award in return for cash payment of the award’s current value, determined as though the award is fully vested at the time of payment, provided that in the case of an Option or SAR, the amount of such payment may be the excess of the value of the shares of Common Stock subject to the Option or SAR at the time of the transaction over the exercise price.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59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B2E44"/>
        </w:rPr>
        <w:t xml:space="preserve">PROPOSAL NO. 6: APPROVAL OF ADDITIONAL SHARES FOR ISSUANCE UNDER THE 2016 OMNIBUS INCENTIVE PLAN | </w:t>
      </w:r>
      <w:r>
        <w:rPr>
          <w:rFonts w:ascii="Arial" w:cs="Arial" w:eastAsia="Arial" w:hAnsi="Arial"/>
          <w:sz w:val="11"/>
          <w:szCs w:val="11"/>
          <w:b w:val="1"/>
          <w:bCs w:val="1"/>
          <w:color w:val="0B2E44"/>
        </w:rPr>
        <w:t>DESCRIPTION OF THE 2016 INCENTIVE PLAN</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Types of Awards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E14A6A"/>
        </w:rPr>
        <w:t>Options</w:t>
      </w:r>
    </w:p>
    <w:p>
      <w:pPr>
        <w:spacing w:after="0" w:line="6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0B2E44"/>
        </w:rPr>
        <w:t>The TMCC may grant Options to purchase shares of Common Stock in the form of ISOs or non-qualified stock options (“NQOs”). The exercise price of an Option cannot be less than the fair market value of a share of Common Stock on the date the Option is granted. ISOs may only be granted to employees of Commvault or our permitted corporate subsidiaries and must satisfy other requirements of Section 422 of the Internal Revenue Code. An Option that does not satisfy the requirements for an ISO will be treated as a NQO.</w:t>
      </w:r>
    </w:p>
    <w:p>
      <w:pPr>
        <w:spacing w:after="0" w:line="2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Except for reductions approved by our stockholders or adjustment for corporate transactions, the exercise price of an Option may not be decreased after the date of grant, nor may an Option be surrendered to us as consideration for the grant of a replacement Option or SAR with a lower exercise price or for a Full Value Award. In addition, except as approved by our stockholders, no Option granted under the 2016 Incentive Plan may be surrendered to us in consideration of a cash payment if, at the time of such surrender, the exercise price of the Option is greater than the fair market value of a share of Common Stock.</w:t>
      </w:r>
    </w:p>
    <w:p>
      <w:pPr>
        <w:spacing w:after="0" w:line="22" w:lineRule="exact"/>
        <w:rPr>
          <w:sz w:val="20"/>
          <w:szCs w:val="20"/>
          <w:color w:val="auto"/>
        </w:rPr>
      </w:pPr>
    </w:p>
    <w:p>
      <w:pPr>
        <w:spacing w:after="0" w:line="260" w:lineRule="auto"/>
        <w:rPr>
          <w:sz w:val="20"/>
          <w:szCs w:val="20"/>
          <w:color w:val="auto"/>
        </w:rPr>
      </w:pPr>
      <w:r>
        <w:rPr>
          <w:rFonts w:ascii="Arial" w:cs="Arial" w:eastAsia="Arial" w:hAnsi="Arial"/>
          <w:sz w:val="16"/>
          <w:szCs w:val="16"/>
          <w:color w:val="0B2E44"/>
        </w:rPr>
        <w:t>Options will be exercisable in accordance with the terms established by the TMCC. The full exercise price of each share of Common Stock purchased upon the exercise of any Option must be paid at the time of exercise (except if the exercise price is payable through the use of cash equivalents, it may be paid as soon as practicable after exercise). Subject to applicable law, the exercise price of an Option may be payable in cash or cash equivalents, shares of Common Stock (valued at fair market value as of the day of exercise), or a combination thereof. The Committee may, in its discretion, impose such conditions, restrictions, and contingencies on the shares of Common Stock acquired pursuant to the exercise of an Option as the Committee determines to be desirable, including conformity with our recoupment or clawback policies as in effect from time to time. Except as provided by the TMCC, an Option will expire on the earlier of:</w:t>
      </w:r>
    </w:p>
    <w:p>
      <w:pPr>
        <w:spacing w:after="0" w:line="76" w:lineRule="exact"/>
        <w:rPr>
          <w:sz w:val="20"/>
          <w:szCs w:val="20"/>
          <w:color w:val="auto"/>
        </w:rPr>
      </w:pPr>
    </w:p>
    <w:p>
      <w:pPr>
        <w:ind w:left="120" w:hanging="112"/>
        <w:spacing w:after="0"/>
        <w:tabs>
          <w:tab w:leader="none" w:pos="120" w:val="left"/>
        </w:tabs>
        <w:numPr>
          <w:ilvl w:val="0"/>
          <w:numId w:val="61"/>
        </w:numPr>
        <w:rPr>
          <w:rFonts w:ascii="Arial" w:cs="Arial" w:eastAsia="Arial" w:hAnsi="Arial"/>
          <w:sz w:val="16"/>
          <w:szCs w:val="16"/>
          <w:color w:val="FF4A6A"/>
        </w:rPr>
      </w:pPr>
      <w:r>
        <w:rPr>
          <w:rFonts w:ascii="Arial" w:cs="Arial" w:eastAsia="Arial" w:hAnsi="Arial"/>
          <w:sz w:val="16"/>
          <w:szCs w:val="16"/>
          <w:color w:val="0B2E44"/>
        </w:rPr>
        <w:t>the 30</w:t>
      </w:r>
      <w:r>
        <w:rPr>
          <w:rFonts w:ascii="Arial" w:cs="Arial" w:eastAsia="Arial" w:hAnsi="Arial"/>
          <w:sz w:val="8"/>
          <w:szCs w:val="8"/>
          <w:color w:val="0B2E44"/>
        </w:rPr>
        <w:t>th</w:t>
      </w:r>
      <w:r>
        <w:rPr>
          <w:rFonts w:ascii="Arial" w:cs="Arial" w:eastAsia="Arial" w:hAnsi="Arial"/>
          <w:sz w:val="16"/>
          <w:szCs w:val="16"/>
          <w:color w:val="0B2E44"/>
        </w:rPr>
        <w:t xml:space="preserve"> day after the participant’s employment or service terminates for any reason other than for cause (as defined in the 2016 Incentive Plan), and</w:t>
      </w:r>
    </w:p>
    <w:p>
      <w:pPr>
        <w:spacing w:after="0" w:line="126" w:lineRule="exact"/>
        <w:rPr>
          <w:rFonts w:ascii="Arial" w:cs="Arial" w:eastAsia="Arial" w:hAnsi="Arial"/>
          <w:sz w:val="16"/>
          <w:szCs w:val="16"/>
          <w:color w:val="FF4A6A"/>
        </w:rPr>
      </w:pPr>
    </w:p>
    <w:p>
      <w:pPr>
        <w:ind w:left="120" w:hanging="112"/>
        <w:spacing w:after="0"/>
        <w:tabs>
          <w:tab w:leader="none" w:pos="120" w:val="left"/>
        </w:tabs>
        <w:numPr>
          <w:ilvl w:val="0"/>
          <w:numId w:val="61"/>
        </w:numPr>
        <w:rPr>
          <w:rFonts w:ascii="Arial" w:cs="Arial" w:eastAsia="Arial" w:hAnsi="Arial"/>
          <w:sz w:val="16"/>
          <w:szCs w:val="16"/>
          <w:color w:val="FF4A6A"/>
        </w:rPr>
      </w:pPr>
      <w:r>
        <w:rPr>
          <w:rFonts w:ascii="Arial" w:cs="Arial" w:eastAsia="Arial" w:hAnsi="Arial"/>
          <w:sz w:val="16"/>
          <w:szCs w:val="16"/>
          <w:color w:val="0B2E44"/>
        </w:rPr>
        <w:t>the day on which the participant’s employment or service terminates for cause.</w:t>
      </w:r>
    </w:p>
    <w:p>
      <w:pPr>
        <w:spacing w:after="0" w:line="7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0B2E44"/>
        </w:rPr>
        <w:t>In any event, an Option will expire no later than the 10th anniversary of the date on which it is granted (or such shorter period required by the rules of any stock exchange on which the Common Stock is listed).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E14A6A"/>
        </w:rPr>
        <w:t>SARs</w:t>
      </w:r>
    </w:p>
    <w:p>
      <w:pPr>
        <w:spacing w:after="0" w:line="66"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0B2E44"/>
        </w:rPr>
        <w:t>A SAR entitles the holder to receive the amount (in cash or shares of Common Stock) by which the fair market value of a specified number of shares of Common Stock on the exercise date exceeds an exercise price established by the Committee. The exercise price of a SAR cannot be less than the fair market value of a share of Common Stock on the date the SAR is granted. SARs are generally subject to the same terms and restrictions as apply to Options to the extent relevant, including the prohibition on lowering the exercise price, exchanges for cash or other awards, the expiration date provisions, and the minimum vesting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E14A6A"/>
        </w:rPr>
        <w:t>Full Value Awards</w:t>
      </w:r>
    </w:p>
    <w:p>
      <w:pPr>
        <w:spacing w:after="0" w:line="6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A Full Value Award is a grant of one or more shares of Common Stock or a right to receive one or more shares of Common Stock in the future (including restricted stock, restricted stock units, deferred stock units, performance stock, and performance stock units). Grants may be subject to such conditions, restrictions, and contingencies as determined by the Committee, including provisions relating to dividend or dividend equivalent rights and deferred payment or settlement, but no dividends or dividend equivalent rights will be paid or settled on performance-based awards that have not been earned.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E14A6A"/>
        </w:rPr>
        <w:t>Cash Incentive Awards</w:t>
      </w:r>
    </w:p>
    <w:p>
      <w:pPr>
        <w:spacing w:after="0" w:line="6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0B2E44"/>
        </w:rPr>
        <w:t>A Cash Incentive Award is the grant of a right to receive a payment of cash (or, in the discretion of the Committee, shares of Common Stock with an equivalent value) that is contingent on achievement of performance objectives over a specified period of time. The grant of Cash Incentive Awards may also be subject to such other conditions, restrictions, and contingencies as the Committee determines, including provisions relating to deferred payment.</w:t>
      </w:r>
    </w:p>
    <w:p>
      <w:pPr>
        <w:spacing w:after="0" w:line="1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0B2E44"/>
        </w:rPr>
        <w:t>No award may vest, in whole or in part, before the first anniversary of the date of grant or, in the case of vesting based upon the attainment of performance-based objectives, the first anniversary of the commencement of the period over which performance is evaluated, except for a limited number of awards (covering up to 5% of the shares available for issuance under the 2016 Incentive Plan) or upon death, disability or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60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PROPOSAL NO. 6: APPROVAL OF ADDITIONAL SHARES FOR ISSUANCE UNDER THE 2016 OMNIBUS INCENTIVE PLAN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Change in Control</w:t>
      </w:r>
    </w:p>
    <w:p>
      <w:pPr>
        <w:spacing w:after="0" w:line="6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0B2E44"/>
        </w:rPr>
        <w:t>If (i) a Change in Control (as defined in the 2016 Incentive Plan) occurs before an award vests and before the holder’s separation from service, and (ii) such award remains outstanding following the Change in Control (whether by substitution with another award or otherwise), and (iii) the participant’s service is involuntarily terminated by the Company or a related company (or any successor thereto), other than for cause, on or within two years following the Change in Control, then:</w:t>
      </w:r>
    </w:p>
    <w:p>
      <w:pPr>
        <w:spacing w:after="0" w:line="74" w:lineRule="exact"/>
        <w:rPr>
          <w:sz w:val="20"/>
          <w:szCs w:val="20"/>
          <w:color w:val="auto"/>
        </w:rPr>
      </w:pPr>
    </w:p>
    <w:p>
      <w:pPr>
        <w:ind w:left="120" w:hanging="112"/>
        <w:spacing w:after="0"/>
        <w:tabs>
          <w:tab w:leader="none" w:pos="120" w:val="left"/>
        </w:tabs>
        <w:numPr>
          <w:ilvl w:val="0"/>
          <w:numId w:val="62"/>
        </w:numPr>
        <w:rPr>
          <w:rFonts w:ascii="Arial" w:cs="Arial" w:eastAsia="Arial" w:hAnsi="Arial"/>
          <w:sz w:val="16"/>
          <w:szCs w:val="16"/>
          <w:color w:val="FF4A6A"/>
        </w:rPr>
      </w:pPr>
      <w:r>
        <w:rPr>
          <w:rFonts w:ascii="Arial" w:cs="Arial" w:eastAsia="Arial" w:hAnsi="Arial"/>
          <w:sz w:val="16"/>
          <w:szCs w:val="16"/>
          <w:color w:val="0B2E44"/>
        </w:rPr>
        <w:t>the participant’s outstanding Options and SARS, if any, will become fully exercisable; and</w:t>
      </w:r>
    </w:p>
    <w:p>
      <w:pPr>
        <w:spacing w:after="0" w:line="140" w:lineRule="exact"/>
        <w:rPr>
          <w:rFonts w:ascii="Arial" w:cs="Arial" w:eastAsia="Arial" w:hAnsi="Arial"/>
          <w:sz w:val="16"/>
          <w:szCs w:val="16"/>
          <w:color w:val="FF4A6A"/>
        </w:rPr>
      </w:pPr>
    </w:p>
    <w:p>
      <w:pPr>
        <w:ind w:left="120" w:right="260" w:hanging="112"/>
        <w:spacing w:after="0" w:line="270" w:lineRule="auto"/>
        <w:tabs>
          <w:tab w:leader="none" w:pos="133" w:val="left"/>
        </w:tabs>
        <w:numPr>
          <w:ilvl w:val="0"/>
          <w:numId w:val="62"/>
        </w:numPr>
        <w:rPr>
          <w:rFonts w:ascii="Arial" w:cs="Arial" w:eastAsia="Arial" w:hAnsi="Arial"/>
          <w:sz w:val="16"/>
          <w:szCs w:val="16"/>
          <w:color w:val="FF4A6A"/>
        </w:rPr>
      </w:pPr>
      <w:r>
        <w:rPr>
          <w:rFonts w:ascii="Arial" w:cs="Arial" w:eastAsia="Arial" w:hAnsi="Arial"/>
          <w:sz w:val="16"/>
          <w:szCs w:val="16"/>
          <w:color w:val="0B2E44"/>
        </w:rPr>
        <w:t>the participant’s Full Value awards will become fully vested and the Committee will determine the extent to which the associated performance conditions are met, taking into account actual performance and/or the passage of time, in accordance with the terms of the 2016 Incentive Plan and the applicable award agreement.</w:t>
      </w:r>
    </w:p>
    <w:p>
      <w:pPr>
        <w:spacing w:after="0" w:line="27"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0B2E44"/>
        </w:rPr>
        <w:t>To the extent any provision of the 2016 Incentive Plan or an award agreement would cause a payment of deferred compensation that is subject to section 409A of the Code to be made upon the occurrence of a Change in Control, then such payment will not be deferred unless such Change in Control also constitutes a “change in ownership,” “change in effective control,” or “change in ownership of a substantial portion of the Company’s assets” within the meaning of section 409A of the Code.</w:t>
      </w:r>
    </w:p>
    <w:p>
      <w:pPr>
        <w:spacing w:after="0" w:line="2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0B2E44"/>
        </w:rPr>
        <w:t>If an award does not remain outstanding following a Change in Control, the TMCC will determine the vesting and other terms and conditions of the award in connection with the Change in Control in accordance with the terms of the 2016 Incentive Plan.</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Non-U.S. Employees</w:t>
      </w:r>
    </w:p>
    <w:p>
      <w:pPr>
        <w:spacing w:after="0" w:line="66"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0B2E44"/>
        </w:rPr>
        <w:t>The Committee may grant awards to eligible individuals who are foreign nationals on terms and conditions different from those specified in the 2016 Incentive Plan as may, in the Committee’s judgment, be necessary or desirable to foster and promote achievement of the purposes of the 2016 Incentive Plan. Similarly, the TMCC may make such modifications, amendments, procedures, and subplans as may be necessary or advisable to comply with provisions of laws in other countries or jurisdictions in which Commvault or a related company operates or has employees, but may not increase the share limitations under the 2016 Incentive Plan or otherwise change any provision of the Plan that would require stockholder approval.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Other 2016 Incentive Plan Information</w:t>
      </w:r>
    </w:p>
    <w:p>
      <w:pPr>
        <w:spacing w:after="0" w:line="1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Awards under the 2016 Incentive Plan are not transferable except as designated by the holder by will or by laws of descent and distribution or, unless otherwise provided by the TMCC, pursuant to a qualified domestic relations order. Unless otherwise provided by the Committee, awards (other than an ISO) may be transferred to or for the benefit of the holder’s family (including, without limitation, to a trust or partnership for the benefit of family) in accordance with rules established by the TMCC.</w:t>
      </w:r>
    </w:p>
    <w:p>
      <w:pPr>
        <w:spacing w:after="0" w:line="8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0B2E44"/>
        </w:rPr>
        <w:t>All awards and other payments under the 2016 Incentive Plan are subject to withholding of all applicable taxes. With the consent of the Committee, withholding obligations may be satisfied with previously owned shares of Common Stock or shares of Common Stock to which the participant is otherwise entitled under the 2016 Incentive Plan. Shares of Common Stock that have been held less than six months may only be used to satisfy minimum withholding requirements (or other rates that will not have a negative accounting impact).</w:t>
      </w:r>
    </w:p>
    <w:p>
      <w:pPr>
        <w:spacing w:after="0" w:line="7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0B2E44"/>
        </w:rPr>
        <w:t>The Board may, at any time, amend or terminate the 2016 Incentive Plan, and the Board or the TMCC may amend any award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before the date such amendment is adopted. The provisions of the 2016 Incentive Plan that prohibit repricing of Options and SARs cannot be amended unless the amendment is approved by our stockholders, and no other amendment will be made to the 2016 Incentive Plan without the approval of our stockholders if such approval is required by law or the rules of any stock exchange on which the Common Stock is listed. Adjustment to awards made in connection with corporate transactions are not subject to the foregoing restrictions.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U.S. Federal Income Tax Considerations</w:t>
      </w:r>
    </w:p>
    <w:p>
      <w:pPr>
        <w:spacing w:after="0" w:line="66" w:lineRule="exact"/>
        <w:rPr>
          <w:sz w:val="20"/>
          <w:szCs w:val="20"/>
          <w:color w:val="auto"/>
        </w:rPr>
      </w:pPr>
    </w:p>
    <w:p>
      <w:pPr>
        <w:spacing w:after="0" w:line="262" w:lineRule="auto"/>
        <w:rPr>
          <w:sz w:val="20"/>
          <w:szCs w:val="20"/>
          <w:color w:val="auto"/>
        </w:rPr>
      </w:pPr>
      <w:r>
        <w:rPr>
          <w:rFonts w:ascii="Arial" w:cs="Arial" w:eastAsia="Arial" w:hAnsi="Arial"/>
          <w:sz w:val="16"/>
          <w:szCs w:val="16"/>
          <w:color w:val="0B2E44"/>
        </w:rPr>
        <w:t>The discussion that follows is a summary, based on current law, of some significant U.S. federal income tax considerations relating to awards under the 2016 Incentive Plan. This does not purport to be a complete description of the federal income tax aspects of the 2016 Incentive Plan. In addition, participants may be subject to foreign, state, and local taxes and employment taxes in connection with stock purchased under the 2016 Incentive Plan. Participants should consult with a tax adviser to determine how the tax laws apply in their personal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E14A6A"/>
        </w:rPr>
        <w:t>NQOs</w:t>
      </w:r>
    </w:p>
    <w:p>
      <w:pPr>
        <w:spacing w:after="0" w:line="6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0B2E44"/>
        </w:rPr>
        <w:t>The grant of an NQO will not result in taxable income to the participant. Except as described below, the participant will realize ordinary income at the time of exercise in an amount equal to the excess of the fair market value of the shares of Common Stock acquired over the exercise price for those shares, and Commvault will be entitled to a corresponding deduction. Gains or losses realized by the participant upon disposition of such shares of Common Stock will be treated as capital gains and losses, with a basis equal to the fair market value of the shares of Common Stock at the time of exercise.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61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1"/>
          <w:szCs w:val="11"/>
          <w:color w:val="0B2E44"/>
        </w:rPr>
        <w:t xml:space="preserve">PROPOSAL NO. 6: APPROVAL OF ADDITIONAL SHARES FOR ISSUANCE UNDER THE 2016 OMNIBUS INCENTIVE PLAN | </w:t>
      </w:r>
      <w:r>
        <w:rPr>
          <w:rFonts w:ascii="Arial" w:cs="Arial" w:eastAsia="Arial" w:hAnsi="Arial"/>
          <w:sz w:val="11"/>
          <w:szCs w:val="11"/>
          <w:b w:val="1"/>
          <w:bCs w:val="1"/>
          <w:color w:val="0B2E44"/>
        </w:rPr>
        <w:t>DESCRIPTION OF THE 2016 INCENTIVE PLAN</w:t>
      </w:r>
    </w:p>
    <w:p>
      <w:pPr>
        <w:spacing w:after="0" w:line="378" w:lineRule="exact"/>
        <w:rPr>
          <w:sz w:val="20"/>
          <w:szCs w:val="20"/>
          <w:color w:val="auto"/>
        </w:rPr>
      </w:pPr>
    </w:p>
    <w:p>
      <w:pPr>
        <w:spacing w:after="0" w:line="259" w:lineRule="auto"/>
        <w:rPr>
          <w:sz w:val="20"/>
          <w:szCs w:val="20"/>
          <w:color w:val="auto"/>
        </w:rPr>
      </w:pPr>
      <w:r>
        <w:rPr>
          <w:rFonts w:ascii="Arial" w:cs="Arial" w:eastAsia="Arial" w:hAnsi="Arial"/>
          <w:sz w:val="16"/>
          <w:szCs w:val="16"/>
          <w:color w:val="0B2E44"/>
        </w:rPr>
        <w:t>The exercise of an NQO through the delivery of previously acquired Common Stock will generally be treated as a non-taxable, like-kind exchange as to the number of shares of Common Stock surrendered and the identical number of shares of Common Stock received under the Option. That number of shares will take the same basis and, for capital gains purposes, the same holding period as the shares of Common Stock that are given up. The value of the shares of Common Stock received upon such an exchange that exceed the number of shares given up will be includible as ordinary income to the participant at the time of exercise. The excess shares of Common Stock will have a new holding period for capital gain purposes and a basis equal to the value of such shares determined at the time of exercise.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E14A6A"/>
        </w:rPr>
        <w:t>ISO</w:t>
      </w:r>
    </w:p>
    <w:p>
      <w:pPr>
        <w:spacing w:after="0" w:line="120"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0B2E44"/>
        </w:rPr>
        <w:t>The grant of an ISO will not result in taxable income to the participant. The exercise of an ISO will not result in taxable income to the participant if the participant was, without a break in service, an employee of Commvault or a corporate subsidiary during the period beginning on the date the Option was granted and ending three months prior to the date of exercise (one year prior to the date of exercise if the participant is disabled, as that term is defined in the Internal Revenue Code).</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B2E44"/>
        </w:rPr>
        <w:t>The excess of the fair market value of the shares of Common Stock at the time of the exercise of an ISO over the exercise price is an adjustment that is included in the calculation of the participant’s alternative minimum taxable income for the tax year in which the ISO is exercised. For purposes of determining alternative minimum tax liability for the year of disposition of the shares of Common Stock acquired pursuant to the ISO exercise, the participant will have a basis in those shares equal to the fair market value of the shares of Common Stock at the time of exercise.</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0B2E44"/>
        </w:rPr>
        <w:t>If a participant does not sell or otherwise dispose of the shares of Common Stock within two years from the date of the grant of the ISO or within one year after receiving the transfer of such shares, then, upon disposition of such shares of Common Stock, any amount realized in excess of the exercise price will be taxed to the participant as capital gain, and Commvault will not be entitled to any deduction for federal income tax purposes. A capital loss will be recognized to the extent the amount realized is less than the exercise price. If a participant sells or otherwise disposes of the shares of Common Stock sooner than two years from the date of grant of the ISO or one year after receiving the transfer of such shares, then the participant will generally realize ordinary income, and Commvault will be allowed a corresponding deduction, at the time of the disposition of the shares, in an amount equal to the lesser of</w:t>
      </w:r>
    </w:p>
    <w:p>
      <w:pPr>
        <w:spacing w:after="0" w:line="1" w:lineRule="exact"/>
        <w:rPr>
          <w:sz w:val="20"/>
          <w:szCs w:val="20"/>
          <w:color w:val="auto"/>
        </w:rPr>
      </w:pPr>
    </w:p>
    <w:p>
      <w:pPr>
        <w:ind w:firstLine="8"/>
        <w:spacing w:after="0" w:line="260" w:lineRule="auto"/>
        <w:tabs>
          <w:tab w:leader="none" w:pos="243" w:val="left"/>
        </w:tabs>
        <w:numPr>
          <w:ilvl w:val="0"/>
          <w:numId w:val="63"/>
        </w:numPr>
        <w:rPr>
          <w:rFonts w:ascii="Arial" w:cs="Arial" w:eastAsia="Arial" w:hAnsi="Arial"/>
          <w:sz w:val="16"/>
          <w:szCs w:val="16"/>
          <w:color w:val="0B2E44"/>
        </w:rPr>
      </w:pPr>
      <w:r>
        <w:rPr>
          <w:rFonts w:ascii="Arial" w:cs="Arial" w:eastAsia="Arial" w:hAnsi="Arial"/>
          <w:sz w:val="16"/>
          <w:szCs w:val="16"/>
          <w:color w:val="0B2E44"/>
        </w:rPr>
        <w:t>the excess of the fair market value of the shares of Common Stock on the date of exercise over the exercise price, or (b) the excess, if any, of the amount realized upon disposition of the shares of Common Stock over the exercise price. If the amount realized exceeds the value of the shares of Common Stock on the date of exercise, any additional amount will be capital gain. If the amount realized is less than the exercise price, the participant will recognize no income, and a capital loss will be recognized equal to the excess of the exercise price over the amount realized upon the disposition of the shares.</w:t>
      </w:r>
    </w:p>
    <w:p>
      <w:pPr>
        <w:spacing w:after="0" w:line="7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0B2E44"/>
        </w:rPr>
        <w:t>The exercise of an ISO through the exchange of previously acquired stock will generally be treated in the same manner as such an exchange in connection with the exercise of an NQO—that is, as a non-taxable, like-kind exchange as to the number of shares of Common Stock given up and the identical number of shares received under the Option. That number of shares of Common Stock will take the same basis and, for capital gain purposes, the same holding period as the shares that are given up. However, such holding period will not satisfy the one-year holding period required for the new shares of Common Stock to receive ISO treatment. Shares received in excess of the number of shares of Common Stock given up will have a new holding period and will have a basis of zero or the amount of cash, if any, paid as part of the exercise price. A disqualifying disposition (a disposition before the end of the applicable holding period) with respect to any of the shares of Common Stock received from the exchange will be treated as a disqualifying disposition of the shares with the lowest basis.</w:t>
      </w:r>
    </w:p>
    <w:p>
      <w:pPr>
        <w:spacing w:after="0" w:line="7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0B2E44"/>
        </w:rPr>
        <w:t>If the exercise price of an ISO is paid with shares of Common Stock acquired through a prior exercise of an ISO, gain will be realized on the shares given up (taxed as ordinary income) if those shares of Common Stock have not been held for the minimum ISO holding period (two years from the date of grant and one year from the date of transfer), but the exchange will not affect the tax treatment of the shares of Common Stock received.</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E14A6A"/>
        </w:rPr>
        <w:t>SARs</w:t>
      </w:r>
    </w:p>
    <w:p>
      <w:pPr>
        <w:spacing w:after="0" w:line="66"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0B2E44"/>
        </w:rPr>
        <w:t>A participant generally will not realize any taxable income upon the grant of a SAR. Upon the exercise of a SAR, the participant will recognize ordinary income in an amount equal to the amount of cash and/or the fair market value, at the date of exercise, of the shares of Common Stock received as a result of such exercise. Commvault will generally be entitled to a deduction in the same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62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PROPOSAL NO. 6: APPROVAL OF ADDITIONAL SHARES FOR ISSUANCE UNDER THE 2016 OMNIBUS INCENTIVE PLAN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E14A6A"/>
        </w:rPr>
        <w:t>Full Value Awards</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0B2E44"/>
        </w:rPr>
        <w:t>The federal income tax consequences of a Full Value Award will depend on the type of award, and in particular, whether the shares are subject to a substantial risk of forfeiture (determined under Internal Revenue Code rules) at the time of the grant. If the shares are subject to a substantial risk of forfeiture, the participant will not recognize taxable income at the time of the grant. Instead, when the restrictions on the shares lapse (meaning the shares are no longer subject to a substantial risk of forfeiture), the participant will recognize ordinary taxable income in an amount equal to the fair market value of the shares at that time. If the shares are not subject to a substantial risk of forfeiture or if the participant elects to be taxed at the time of the grant of such shares under section 83(b) of the Internal Revenue Code, the participant will recognize taxable income when the shares are granted in an amount equal to the fair market value of such shares at the time, determined without regard to any of the restrictions. If the shares are forfeited before the restrictions lapse, the participant will not be entitled to a corresponding deduction. The participant’s tax basis in the shares will be the amount recognized as income attributable to such shares. Gain or loss recognized by the participant on a subsequent disposition of any such shares is capital gain or loss if the shares are otherwise capital assets.</w:t>
      </w:r>
    </w:p>
    <w:p>
      <w:pPr>
        <w:spacing w:after="0" w:line="29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B2E44"/>
        </w:rPr>
        <w:t>In the case of other Full Value Awards, such as restricted stock units or performance stock units, the participant generally will not have taxable income upon the grant of the award so long as there are restrictions on such awards that constitute a substantial risk of forfeiture. Participants will generally recognize ordinary income when the restrictions on awards lapse, on the date of grant if there are no such restrictions, or, in certain cases, when the award is settled. At that time, the participant will recognize taxable income equal to the cash or the fair market value of the shares issuable in payment of such award, and such amount will be the tax basis for any shares received. In the case of an award that does not constitute property at the time of grant (such as an award of units), participants will generally recognize ordinary income when the award is paid or settled.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0B2E44"/>
        </w:rPr>
        <w:t>Commvault generally will be entitled to a tax deduction in the same amount, and at the same time, as the income recognized by a participant.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E14A6A"/>
        </w:rPr>
        <w:t>Parachute Payments</w:t>
      </w:r>
    </w:p>
    <w:p>
      <w:pPr>
        <w:spacing w:after="0" w:line="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0B2E44"/>
        </w:rPr>
        <w:t>Any acceleration of the vesting or payment of awards under the 2016 Incentive Plan in the event of a change in control in the Company may cause part or all of the consideration involved to be treated as an “excess parachute payment” under the Internal Revenue Code, which may subject the participant to a 20% excise tax and preclude a deduction by the Company.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E14A6A"/>
        </w:rPr>
        <w:t>Performance-Based Compensation</w:t>
      </w:r>
    </w:p>
    <w:p>
      <w:pPr>
        <w:spacing w:after="0" w:line="66"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0B2E44"/>
        </w:rPr>
        <w:t>Because of changes to Section 162(m) of the Internal Revenue Code that eliminated favorable tax treatment for performance-based compensation of the type awarded under the 2016 Incentive Plan, the TMCC reserves the right to modify compensation that was initially intended to be exempt from Section 162(m) if it determines that such modifications are consistent with the Company’s business needs.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E14A6A"/>
        </w:rPr>
        <w:t>New Plan Benefits</w:t>
      </w:r>
    </w:p>
    <w:p>
      <w:pPr>
        <w:spacing w:after="0" w:line="6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B2E44"/>
        </w:rPr>
        <w:t>Future benefits under the 2016 Incentive Plan as proposed to be amended cannot be determined at this time because the grants are at the discretion of the TMCC and because their value may depend upon the satisfaction of vesting conditions and the future price of the Company’s stock. During fiscal 2023, the TMCC granted time- and performance-based restricted stock units (with performance-based restricted stock units measured at the target level of performance) to the following individuals and groups: Mr. Mirchandani, 155,465; Mr. Merrill 30,228; Mr. Di Blasio, 48,365; executive officers who are not named executive officers, 10,364; non-employee members of the board of directors, 35,422 time-based restricted stock units; employees and contractors other than executive officers, 1,532,706 time-based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63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 xml:space="preserve">PROPOSAL NO. 6: APPROVAL OF ADDITIONAL SHARES FOR ISSUANCE UNDER THE 2016 OMNIBUS INCENTIVE PLAN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2023 EQUITY COMPENSATION PLAN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E14A6A"/>
        </w:rPr>
        <w:t>Fiscal 2023 Equity Compensation Plan Information</w:t>
      </w:r>
    </w:p>
    <w:p>
      <w:pPr>
        <w:spacing w:after="0" w:line="84"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0B2E44"/>
        </w:rPr>
        <w:t>The following table provides information as of March 31, 2023 with respect to the shares of our Common Stock that may be issuable upon the exercise of options, warrants and rights.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0B2E44"/>
              </w:rPr>
              <w:t>Number of Securities</w:t>
            </w:r>
          </w:p>
        </w:tc>
        <w:tc>
          <w:tcPr>
            <w:tcW w:w="0" w:type="dxa"/>
            <w:vAlign w:val="bottom"/>
          </w:tcPr>
          <w:p>
            <w:pPr>
              <w:spacing w:after="0"/>
              <w:rPr>
                <w:sz w:val="1"/>
                <w:szCs w:val="1"/>
                <w:color w:val="auto"/>
              </w:rPr>
            </w:pPr>
          </w:p>
        </w:tc>
      </w:tr>
      <w:tr>
        <w:trPr>
          <w:trHeight w:val="140"/>
        </w:trPr>
        <w:tc>
          <w:tcPr>
            <w:tcW w:w="4400" w:type="dxa"/>
            <w:vAlign w:val="bottom"/>
          </w:tcPr>
          <w:p>
            <w:pPr>
              <w:spacing w:after="0"/>
              <w:rPr>
                <w:sz w:val="12"/>
                <w:szCs w:val="12"/>
                <w:color w:val="auto"/>
              </w:rPr>
            </w:pPr>
          </w:p>
        </w:tc>
        <w:tc>
          <w:tcPr>
            <w:tcW w:w="2560" w:type="dxa"/>
            <w:vAlign w:val="bottom"/>
            <w:vMerge w:val="restart"/>
          </w:tcPr>
          <w:p>
            <w:pPr>
              <w:jc w:val="right"/>
              <w:ind w:right="264"/>
              <w:spacing w:after="0"/>
              <w:rPr>
                <w:sz w:val="20"/>
                <w:szCs w:val="20"/>
                <w:color w:val="auto"/>
              </w:rPr>
            </w:pPr>
            <w:r>
              <w:rPr>
                <w:rFonts w:ascii="Arial" w:cs="Arial" w:eastAsia="Arial" w:hAnsi="Arial"/>
                <w:sz w:val="14"/>
                <w:szCs w:val="14"/>
                <w:color w:val="0B2E44"/>
              </w:rPr>
              <w:t>Number of Securities to be</w:t>
            </w:r>
          </w:p>
        </w:tc>
        <w:tc>
          <w:tcPr>
            <w:tcW w:w="1940" w:type="dxa"/>
            <w:vAlign w:val="bottom"/>
          </w:tcPr>
          <w:p>
            <w:pPr>
              <w:jc w:val="right"/>
              <w:ind w:right="345"/>
              <w:spacing w:after="0" w:line="141" w:lineRule="exact"/>
              <w:rPr>
                <w:sz w:val="20"/>
                <w:szCs w:val="20"/>
                <w:color w:val="auto"/>
              </w:rPr>
            </w:pPr>
            <w:r>
              <w:rPr>
                <w:rFonts w:ascii="Arial" w:cs="Arial" w:eastAsia="Arial" w:hAnsi="Arial"/>
                <w:sz w:val="14"/>
                <w:szCs w:val="14"/>
                <w:color w:val="0B2E44"/>
              </w:rPr>
              <w:t>Weighted-Average</w:t>
            </w:r>
          </w:p>
        </w:tc>
        <w:tc>
          <w:tcPr>
            <w:tcW w:w="2340" w:type="dxa"/>
            <w:vAlign w:val="bottom"/>
          </w:tcPr>
          <w:p>
            <w:pPr>
              <w:jc w:val="right"/>
              <w:spacing w:after="0" w:line="141" w:lineRule="exact"/>
              <w:rPr>
                <w:sz w:val="20"/>
                <w:szCs w:val="20"/>
                <w:color w:val="auto"/>
              </w:rPr>
            </w:pPr>
            <w:r>
              <w:rPr>
                <w:rFonts w:ascii="Arial" w:cs="Arial" w:eastAsia="Arial" w:hAnsi="Arial"/>
                <w:sz w:val="14"/>
                <w:szCs w:val="14"/>
                <w:color w:val="0B2E44"/>
              </w:rPr>
              <w:t>that Remained Available for</w:t>
            </w: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1940" w:type="dxa"/>
            <w:vAlign w:val="bottom"/>
          </w:tcPr>
          <w:p>
            <w:pPr>
              <w:jc w:val="right"/>
              <w:ind w:right="345"/>
              <w:spacing w:after="0" w:line="143" w:lineRule="exact"/>
              <w:rPr>
                <w:sz w:val="20"/>
                <w:szCs w:val="20"/>
                <w:color w:val="auto"/>
              </w:rPr>
            </w:pPr>
            <w:r>
              <w:rPr>
                <w:rFonts w:ascii="Arial" w:cs="Arial" w:eastAsia="Arial" w:hAnsi="Arial"/>
                <w:sz w:val="14"/>
                <w:szCs w:val="14"/>
                <w:color w:val="0B2E44"/>
              </w:rPr>
              <w:t>Exercise Price of</w:t>
            </w:r>
          </w:p>
        </w:tc>
        <w:tc>
          <w:tcPr>
            <w:tcW w:w="2340" w:type="dxa"/>
            <w:vAlign w:val="bottom"/>
          </w:tcPr>
          <w:p>
            <w:pPr>
              <w:jc w:val="right"/>
              <w:spacing w:after="0" w:line="143" w:lineRule="exact"/>
              <w:rPr>
                <w:sz w:val="20"/>
                <w:szCs w:val="20"/>
                <w:color w:val="auto"/>
              </w:rPr>
            </w:pPr>
            <w:r>
              <w:rPr>
                <w:rFonts w:ascii="Arial" w:cs="Arial" w:eastAsia="Arial" w:hAnsi="Arial"/>
                <w:sz w:val="14"/>
                <w:szCs w:val="14"/>
                <w:color w:val="0B2E44"/>
              </w:rPr>
              <w:t>Future Issuance Under Equity</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560" w:type="dxa"/>
            <w:vAlign w:val="bottom"/>
          </w:tcPr>
          <w:p>
            <w:pPr>
              <w:jc w:val="right"/>
              <w:ind w:right="264"/>
              <w:spacing w:after="0" w:line="149" w:lineRule="exact"/>
              <w:rPr>
                <w:sz w:val="20"/>
                <w:szCs w:val="20"/>
                <w:color w:val="auto"/>
              </w:rPr>
            </w:pPr>
            <w:r>
              <w:rPr>
                <w:rFonts w:ascii="Arial" w:cs="Arial" w:eastAsia="Arial" w:hAnsi="Arial"/>
                <w:sz w:val="14"/>
                <w:szCs w:val="14"/>
                <w:color w:val="0B2E44"/>
              </w:rPr>
              <w:t>Issued Upon Exercise of</w:t>
            </w:r>
          </w:p>
        </w:tc>
        <w:tc>
          <w:tcPr>
            <w:tcW w:w="1940" w:type="dxa"/>
            <w:vAlign w:val="bottom"/>
          </w:tcPr>
          <w:p>
            <w:pPr>
              <w:jc w:val="right"/>
              <w:ind w:right="345"/>
              <w:spacing w:after="0" w:line="149" w:lineRule="exact"/>
              <w:rPr>
                <w:sz w:val="20"/>
                <w:szCs w:val="20"/>
                <w:color w:val="auto"/>
              </w:rPr>
            </w:pPr>
            <w:r>
              <w:rPr>
                <w:rFonts w:ascii="Arial" w:cs="Arial" w:eastAsia="Arial" w:hAnsi="Arial"/>
                <w:sz w:val="14"/>
                <w:szCs w:val="14"/>
                <w:color w:val="0B2E44"/>
              </w:rPr>
              <w:t>Outstanding</w:t>
            </w:r>
          </w:p>
        </w:tc>
        <w:tc>
          <w:tcPr>
            <w:tcW w:w="2340" w:type="dxa"/>
            <w:vAlign w:val="bottom"/>
          </w:tcPr>
          <w:p>
            <w:pPr>
              <w:jc w:val="right"/>
              <w:spacing w:after="0" w:line="149" w:lineRule="exact"/>
              <w:rPr>
                <w:sz w:val="20"/>
                <w:szCs w:val="20"/>
                <w:color w:val="auto"/>
              </w:rPr>
            </w:pPr>
            <w:r>
              <w:rPr>
                <w:rFonts w:ascii="Arial" w:cs="Arial" w:eastAsia="Arial" w:hAnsi="Arial"/>
                <w:sz w:val="14"/>
                <w:szCs w:val="14"/>
                <w:color w:val="0B2E44"/>
              </w:rPr>
              <w:t>Plans (Excluding</w:t>
            </w:r>
          </w:p>
        </w:tc>
        <w:tc>
          <w:tcPr>
            <w:tcW w:w="0" w:type="dxa"/>
            <w:vAlign w:val="bottom"/>
          </w:tcPr>
          <w:p>
            <w:pPr>
              <w:spacing w:after="0"/>
              <w:rPr>
                <w:sz w:val="1"/>
                <w:szCs w:val="1"/>
                <w:color w:val="auto"/>
              </w:rPr>
            </w:pPr>
          </w:p>
        </w:tc>
      </w:tr>
      <w:tr>
        <w:trPr>
          <w:trHeight w:val="140"/>
        </w:trPr>
        <w:tc>
          <w:tcPr>
            <w:tcW w:w="4400" w:type="dxa"/>
            <w:vAlign w:val="bottom"/>
            <w:vMerge w:val="restart"/>
          </w:tcPr>
          <w:p>
            <w:pPr>
              <w:ind w:left="140"/>
              <w:spacing w:after="0"/>
              <w:rPr>
                <w:sz w:val="20"/>
                <w:szCs w:val="20"/>
                <w:color w:val="auto"/>
              </w:rPr>
            </w:pPr>
            <w:r>
              <w:rPr>
                <w:rFonts w:ascii="Arial" w:cs="Arial" w:eastAsia="Arial" w:hAnsi="Arial"/>
                <w:sz w:val="14"/>
                <w:szCs w:val="14"/>
                <w:color w:val="0B2E44"/>
              </w:rPr>
              <w:t>Plan Category</w:t>
            </w:r>
          </w:p>
        </w:tc>
        <w:tc>
          <w:tcPr>
            <w:tcW w:w="2560" w:type="dxa"/>
            <w:vAlign w:val="bottom"/>
          </w:tcPr>
          <w:p>
            <w:pPr>
              <w:jc w:val="right"/>
              <w:ind w:right="264"/>
              <w:spacing w:after="0" w:line="141" w:lineRule="exact"/>
              <w:rPr>
                <w:sz w:val="20"/>
                <w:szCs w:val="20"/>
                <w:color w:val="auto"/>
              </w:rPr>
            </w:pPr>
            <w:r>
              <w:rPr>
                <w:rFonts w:ascii="Arial" w:cs="Arial" w:eastAsia="Arial" w:hAnsi="Arial"/>
                <w:sz w:val="14"/>
                <w:szCs w:val="14"/>
                <w:color w:val="0B2E44"/>
              </w:rPr>
              <w:t>Outstanding Options,</w:t>
            </w:r>
          </w:p>
        </w:tc>
        <w:tc>
          <w:tcPr>
            <w:tcW w:w="1940" w:type="dxa"/>
            <w:vAlign w:val="bottom"/>
          </w:tcPr>
          <w:p>
            <w:pPr>
              <w:jc w:val="right"/>
              <w:ind w:right="345"/>
              <w:spacing w:after="0" w:line="141" w:lineRule="exact"/>
              <w:rPr>
                <w:sz w:val="20"/>
                <w:szCs w:val="20"/>
                <w:color w:val="auto"/>
              </w:rPr>
            </w:pPr>
            <w:r>
              <w:rPr>
                <w:rFonts w:ascii="Arial" w:cs="Arial" w:eastAsia="Arial" w:hAnsi="Arial"/>
                <w:sz w:val="14"/>
                <w:szCs w:val="14"/>
                <w:color w:val="0B2E44"/>
              </w:rPr>
              <w:t>Options, Warrants</w:t>
            </w:r>
          </w:p>
        </w:tc>
        <w:tc>
          <w:tcPr>
            <w:tcW w:w="2340" w:type="dxa"/>
            <w:vAlign w:val="bottom"/>
          </w:tcPr>
          <w:p>
            <w:pPr>
              <w:jc w:val="right"/>
              <w:spacing w:after="0" w:line="141" w:lineRule="exact"/>
              <w:rPr>
                <w:sz w:val="20"/>
                <w:szCs w:val="20"/>
                <w:color w:val="auto"/>
              </w:rPr>
            </w:pPr>
            <w:r>
              <w:rPr>
                <w:rFonts w:ascii="Arial" w:cs="Arial" w:eastAsia="Arial" w:hAnsi="Arial"/>
                <w:sz w:val="14"/>
                <w:szCs w:val="14"/>
                <w:color w:val="0B2E44"/>
              </w:rPr>
              <w:t>Securities Reflected in</w:t>
            </w:r>
          </w:p>
        </w:tc>
        <w:tc>
          <w:tcPr>
            <w:tcW w:w="0" w:type="dxa"/>
            <w:vAlign w:val="bottom"/>
          </w:tcPr>
          <w:p>
            <w:pPr>
              <w:spacing w:after="0"/>
              <w:rPr>
                <w:sz w:val="1"/>
                <w:szCs w:val="1"/>
                <w:color w:val="auto"/>
              </w:rPr>
            </w:pPr>
          </w:p>
        </w:tc>
      </w:tr>
      <w:tr>
        <w:trPr>
          <w:trHeight w:val="182"/>
        </w:trPr>
        <w:tc>
          <w:tcPr>
            <w:tcW w:w="4400" w:type="dxa"/>
            <w:vAlign w:val="bottom"/>
            <w:vMerge w:val="continue"/>
          </w:tcPr>
          <w:p>
            <w:pPr>
              <w:spacing w:after="0"/>
              <w:rPr>
                <w:sz w:val="15"/>
                <w:szCs w:val="15"/>
                <w:color w:val="auto"/>
              </w:rPr>
            </w:pPr>
          </w:p>
        </w:tc>
        <w:tc>
          <w:tcPr>
            <w:tcW w:w="2560" w:type="dxa"/>
            <w:vAlign w:val="bottom"/>
          </w:tcPr>
          <w:p>
            <w:pPr>
              <w:jc w:val="right"/>
              <w:ind w:right="264"/>
              <w:spacing w:after="0"/>
              <w:rPr>
                <w:sz w:val="20"/>
                <w:szCs w:val="20"/>
                <w:color w:val="auto"/>
              </w:rPr>
            </w:pPr>
            <w:r>
              <w:rPr>
                <w:rFonts w:ascii="Arial" w:cs="Arial" w:eastAsia="Arial" w:hAnsi="Arial"/>
                <w:sz w:val="14"/>
                <w:szCs w:val="14"/>
                <w:color w:val="0B2E44"/>
              </w:rPr>
              <w:t>Warrants and Rights (a)</w:t>
            </w:r>
          </w:p>
        </w:tc>
        <w:tc>
          <w:tcPr>
            <w:tcW w:w="1940" w:type="dxa"/>
            <w:vAlign w:val="bottom"/>
          </w:tcPr>
          <w:p>
            <w:pPr>
              <w:jc w:val="right"/>
              <w:ind w:right="345"/>
              <w:spacing w:after="0"/>
              <w:rPr>
                <w:sz w:val="20"/>
                <w:szCs w:val="20"/>
                <w:color w:val="auto"/>
              </w:rPr>
            </w:pPr>
            <w:r>
              <w:rPr>
                <w:rFonts w:ascii="Arial" w:cs="Arial" w:eastAsia="Arial" w:hAnsi="Arial"/>
                <w:sz w:val="14"/>
                <w:szCs w:val="14"/>
                <w:color w:val="0B2E44"/>
              </w:rPr>
              <w:t>and Rights (b)(2)</w:t>
            </w:r>
          </w:p>
        </w:tc>
        <w:tc>
          <w:tcPr>
            <w:tcW w:w="2340" w:type="dxa"/>
            <w:vAlign w:val="bottom"/>
          </w:tcPr>
          <w:p>
            <w:pPr>
              <w:jc w:val="right"/>
              <w:spacing w:after="0"/>
              <w:rPr>
                <w:sz w:val="20"/>
                <w:szCs w:val="20"/>
                <w:color w:val="auto"/>
              </w:rPr>
            </w:pPr>
            <w:r>
              <w:rPr>
                <w:rFonts w:ascii="Arial" w:cs="Arial" w:eastAsia="Arial" w:hAnsi="Arial"/>
                <w:sz w:val="14"/>
                <w:szCs w:val="14"/>
                <w:color w:val="0B2E44"/>
              </w:rPr>
              <w:t>Column (a)(c))</w:t>
            </w:r>
          </w:p>
        </w:tc>
        <w:tc>
          <w:tcPr>
            <w:tcW w:w="0" w:type="dxa"/>
            <w:vAlign w:val="bottom"/>
          </w:tcPr>
          <w:p>
            <w:pPr>
              <w:spacing w:after="0"/>
              <w:rPr>
                <w:sz w:val="1"/>
                <w:szCs w:val="1"/>
                <w:color w:val="auto"/>
              </w:rPr>
            </w:pPr>
          </w:p>
        </w:tc>
      </w:tr>
      <w:tr>
        <w:trPr>
          <w:trHeight w:val="20"/>
        </w:trPr>
        <w:tc>
          <w:tcPr>
            <w:tcW w:w="4400" w:type="dxa"/>
            <w:vAlign w:val="bottom"/>
            <w:tcBorders>
              <w:bottom w:val="single" w:sz="8" w:color="E14A6A"/>
            </w:tcBorders>
          </w:tcPr>
          <w:p>
            <w:pPr>
              <w:spacing w:after="0" w:line="20" w:lineRule="exact"/>
              <w:rPr>
                <w:sz w:val="1"/>
                <w:szCs w:val="1"/>
                <w:color w:val="auto"/>
              </w:rPr>
            </w:pPr>
          </w:p>
        </w:tc>
        <w:tc>
          <w:tcPr>
            <w:tcW w:w="2560" w:type="dxa"/>
            <w:vAlign w:val="bottom"/>
            <w:tcBorders>
              <w:bottom w:val="single" w:sz="8" w:color="E14A6A"/>
            </w:tcBorders>
          </w:tcPr>
          <w:p>
            <w:pPr>
              <w:spacing w:after="0" w:line="20" w:lineRule="exact"/>
              <w:rPr>
                <w:sz w:val="1"/>
                <w:szCs w:val="1"/>
                <w:color w:val="auto"/>
              </w:rPr>
            </w:pPr>
          </w:p>
        </w:tc>
        <w:tc>
          <w:tcPr>
            <w:tcW w:w="1940" w:type="dxa"/>
            <w:vAlign w:val="bottom"/>
            <w:tcBorders>
              <w:bottom w:val="single" w:sz="8" w:color="E14A6A"/>
            </w:tcBorders>
          </w:tcPr>
          <w:p>
            <w:pPr>
              <w:spacing w:after="0" w:line="20" w:lineRule="exact"/>
              <w:rPr>
                <w:sz w:val="1"/>
                <w:szCs w:val="1"/>
                <w:color w:val="auto"/>
              </w:rPr>
            </w:pPr>
          </w:p>
        </w:tc>
        <w:tc>
          <w:tcPr>
            <w:tcW w:w="2340" w:type="dxa"/>
            <w:vAlign w:val="bottom"/>
            <w:tcBorders>
              <w:bottom w:val="single" w:sz="8" w:color="E14A6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0B2E44"/>
              </w:rPr>
              <w:t>Equity compensation plans approved by security</w:t>
            </w:r>
          </w:p>
        </w:tc>
        <w:tc>
          <w:tcPr>
            <w:tcW w:w="2560" w:type="dxa"/>
            <w:vAlign w:val="bottom"/>
            <w:vMerge w:val="restart"/>
          </w:tcPr>
          <w:p>
            <w:pPr>
              <w:jc w:val="right"/>
              <w:ind w:right="344"/>
              <w:spacing w:after="0"/>
              <w:rPr>
                <w:sz w:val="20"/>
                <w:szCs w:val="20"/>
                <w:color w:val="auto"/>
              </w:rPr>
            </w:pPr>
            <w:r>
              <w:rPr>
                <w:rFonts w:ascii="Arial" w:cs="Arial" w:eastAsia="Arial" w:hAnsi="Arial"/>
                <w:sz w:val="16"/>
                <w:szCs w:val="16"/>
                <w:color w:val="0B2E44"/>
              </w:rPr>
              <w:t>3,506,672</w:t>
            </w:r>
          </w:p>
        </w:tc>
        <w:tc>
          <w:tcPr>
            <w:tcW w:w="1940" w:type="dxa"/>
            <w:vAlign w:val="bottom"/>
            <w:vMerge w:val="restart"/>
          </w:tcPr>
          <w:p>
            <w:pPr>
              <w:jc w:val="right"/>
              <w:ind w:right="425"/>
              <w:spacing w:after="0"/>
              <w:rPr>
                <w:sz w:val="20"/>
                <w:szCs w:val="20"/>
                <w:color w:val="auto"/>
              </w:rPr>
            </w:pPr>
            <w:r>
              <w:rPr>
                <w:rFonts w:ascii="Arial" w:cs="Arial" w:eastAsia="Arial" w:hAnsi="Arial"/>
                <w:sz w:val="16"/>
                <w:szCs w:val="16"/>
                <w:color w:val="0B2E44"/>
              </w:rPr>
              <w:t>$73.58</w:t>
            </w:r>
          </w:p>
        </w:tc>
        <w:tc>
          <w:tcPr>
            <w:tcW w:w="2340" w:type="dxa"/>
            <w:vAlign w:val="bottom"/>
            <w:vMerge w:val="restart"/>
          </w:tcPr>
          <w:p>
            <w:pPr>
              <w:jc w:val="right"/>
              <w:ind w:right="25"/>
              <w:spacing w:after="0"/>
              <w:rPr>
                <w:sz w:val="20"/>
                <w:szCs w:val="20"/>
                <w:color w:val="auto"/>
              </w:rPr>
            </w:pPr>
            <w:r>
              <w:rPr>
                <w:rFonts w:ascii="Arial" w:cs="Arial" w:eastAsia="Arial" w:hAnsi="Arial"/>
                <w:sz w:val="16"/>
                <w:szCs w:val="16"/>
                <w:color w:val="0B2E44"/>
              </w:rPr>
              <w:t>1,758,398</w:t>
            </w:r>
          </w:p>
        </w:tc>
        <w:tc>
          <w:tcPr>
            <w:tcW w:w="0" w:type="dxa"/>
            <w:vAlign w:val="bottom"/>
          </w:tcPr>
          <w:p>
            <w:pPr>
              <w:spacing w:after="0"/>
              <w:rPr>
                <w:sz w:val="1"/>
                <w:szCs w:val="1"/>
                <w:color w:val="auto"/>
              </w:rPr>
            </w:pPr>
          </w:p>
        </w:tc>
      </w:tr>
      <w:tr>
        <w:trPr>
          <w:trHeight w:val="112"/>
        </w:trPr>
        <w:tc>
          <w:tcPr>
            <w:tcW w:w="4400" w:type="dxa"/>
            <w:vAlign w:val="bottom"/>
            <w:vMerge w:val="restart"/>
          </w:tcPr>
          <w:p>
            <w:pPr>
              <w:ind w:left="120"/>
              <w:spacing w:after="0"/>
              <w:rPr>
                <w:sz w:val="20"/>
                <w:szCs w:val="20"/>
                <w:color w:val="auto"/>
              </w:rPr>
            </w:pPr>
            <w:r>
              <w:rPr>
                <w:rFonts w:ascii="Arial" w:cs="Arial" w:eastAsia="Arial" w:hAnsi="Arial"/>
                <w:sz w:val="16"/>
                <w:szCs w:val="16"/>
                <w:color w:val="0B2E44"/>
              </w:rPr>
              <w:t>holders(1)</w:t>
            </w:r>
          </w:p>
        </w:tc>
        <w:tc>
          <w:tcPr>
            <w:tcW w:w="256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40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DE9F2"/>
          </w:tcPr>
          <w:p>
            <w:pPr>
              <w:ind w:left="120"/>
              <w:spacing w:after="0"/>
              <w:rPr>
                <w:sz w:val="20"/>
                <w:szCs w:val="20"/>
                <w:color w:val="auto"/>
              </w:rPr>
            </w:pPr>
            <w:r>
              <w:rPr>
                <w:rFonts w:ascii="Arial" w:cs="Arial" w:eastAsia="Arial" w:hAnsi="Arial"/>
                <w:sz w:val="16"/>
                <w:szCs w:val="16"/>
                <w:color w:val="0B2E44"/>
              </w:rPr>
              <w:t>Equity compensation plans not approved by security</w:t>
            </w:r>
          </w:p>
        </w:tc>
        <w:tc>
          <w:tcPr>
            <w:tcW w:w="2560" w:type="dxa"/>
            <w:vAlign w:val="bottom"/>
            <w:vMerge w:val="restart"/>
            <w:shd w:val="clear" w:color="auto" w:fill="DDE9F2"/>
          </w:tcPr>
          <w:p>
            <w:pPr>
              <w:jc w:val="right"/>
              <w:ind w:right="344"/>
              <w:spacing w:after="0"/>
              <w:rPr>
                <w:sz w:val="20"/>
                <w:szCs w:val="20"/>
                <w:color w:val="auto"/>
              </w:rPr>
            </w:pPr>
            <w:r>
              <w:rPr>
                <w:rFonts w:ascii="Arial" w:cs="Arial" w:eastAsia="Arial" w:hAnsi="Arial"/>
                <w:sz w:val="16"/>
                <w:szCs w:val="16"/>
                <w:color w:val="0B2E44"/>
              </w:rPr>
              <w:t>—</w:t>
            </w:r>
          </w:p>
        </w:tc>
        <w:tc>
          <w:tcPr>
            <w:tcW w:w="1940" w:type="dxa"/>
            <w:vAlign w:val="bottom"/>
            <w:vMerge w:val="restart"/>
            <w:shd w:val="clear" w:color="auto" w:fill="DDE9F2"/>
          </w:tcPr>
          <w:p>
            <w:pPr>
              <w:jc w:val="right"/>
              <w:ind w:right="425"/>
              <w:spacing w:after="0"/>
              <w:rPr>
                <w:sz w:val="20"/>
                <w:szCs w:val="20"/>
                <w:color w:val="auto"/>
              </w:rPr>
            </w:pPr>
            <w:r>
              <w:rPr>
                <w:rFonts w:ascii="Arial" w:cs="Arial" w:eastAsia="Arial" w:hAnsi="Arial"/>
                <w:sz w:val="16"/>
                <w:szCs w:val="16"/>
                <w:color w:val="0B2E44"/>
              </w:rPr>
              <w:t>—</w:t>
            </w:r>
          </w:p>
        </w:tc>
        <w:tc>
          <w:tcPr>
            <w:tcW w:w="2340" w:type="dxa"/>
            <w:vAlign w:val="bottom"/>
            <w:vMerge w:val="restart"/>
            <w:shd w:val="clear" w:color="auto" w:fill="DDE9F2"/>
          </w:tcPr>
          <w:p>
            <w:pPr>
              <w:jc w:val="right"/>
              <w:ind w:right="25"/>
              <w:spacing w:after="0"/>
              <w:rPr>
                <w:sz w:val="20"/>
                <w:szCs w:val="20"/>
                <w:color w:val="auto"/>
              </w:rPr>
            </w:pPr>
            <w:r>
              <w:rPr>
                <w:rFonts w:ascii="Arial" w:cs="Arial" w:eastAsia="Arial" w:hAnsi="Arial"/>
                <w:sz w:val="16"/>
                <w:szCs w:val="16"/>
                <w:color w:val="0B2E44"/>
              </w:rPr>
              <w:t>—</w:t>
            </w:r>
          </w:p>
        </w:tc>
        <w:tc>
          <w:tcPr>
            <w:tcW w:w="0" w:type="dxa"/>
            <w:vAlign w:val="bottom"/>
          </w:tcPr>
          <w:p>
            <w:pPr>
              <w:spacing w:after="0"/>
              <w:rPr>
                <w:sz w:val="1"/>
                <w:szCs w:val="1"/>
                <w:color w:val="auto"/>
              </w:rPr>
            </w:pPr>
          </w:p>
        </w:tc>
      </w:tr>
      <w:tr>
        <w:trPr>
          <w:trHeight w:val="112"/>
        </w:trPr>
        <w:tc>
          <w:tcPr>
            <w:tcW w:w="4400" w:type="dxa"/>
            <w:vAlign w:val="bottom"/>
            <w:vMerge w:val="restart"/>
            <w:shd w:val="clear" w:color="auto" w:fill="DDE9F2"/>
          </w:tcPr>
          <w:p>
            <w:pPr>
              <w:ind w:left="120"/>
              <w:spacing w:after="0"/>
              <w:rPr>
                <w:sz w:val="20"/>
                <w:szCs w:val="20"/>
                <w:color w:val="auto"/>
              </w:rPr>
            </w:pPr>
            <w:r>
              <w:rPr>
                <w:rFonts w:ascii="Arial" w:cs="Arial" w:eastAsia="Arial" w:hAnsi="Arial"/>
                <w:sz w:val="16"/>
                <w:szCs w:val="16"/>
                <w:color w:val="0B2E44"/>
              </w:rPr>
              <w:t>holders</w:t>
            </w:r>
          </w:p>
        </w:tc>
        <w:tc>
          <w:tcPr>
            <w:tcW w:w="2560" w:type="dxa"/>
            <w:vAlign w:val="bottom"/>
            <w:vMerge w:val="continue"/>
            <w:shd w:val="clear" w:color="auto" w:fill="DDE9F2"/>
          </w:tcPr>
          <w:p>
            <w:pPr>
              <w:spacing w:after="0"/>
              <w:rPr>
                <w:sz w:val="9"/>
                <w:szCs w:val="9"/>
                <w:color w:val="auto"/>
              </w:rPr>
            </w:pPr>
          </w:p>
        </w:tc>
        <w:tc>
          <w:tcPr>
            <w:tcW w:w="1940" w:type="dxa"/>
            <w:vAlign w:val="bottom"/>
            <w:vMerge w:val="continue"/>
            <w:shd w:val="clear" w:color="auto" w:fill="DDE9F2"/>
          </w:tcPr>
          <w:p>
            <w:pPr>
              <w:spacing w:after="0"/>
              <w:rPr>
                <w:sz w:val="9"/>
                <w:szCs w:val="9"/>
                <w:color w:val="auto"/>
              </w:rPr>
            </w:pPr>
          </w:p>
        </w:tc>
        <w:tc>
          <w:tcPr>
            <w:tcW w:w="2340" w:type="dxa"/>
            <w:vAlign w:val="bottom"/>
            <w:vMerge w:val="continue"/>
            <w:shd w:val="clear" w:color="auto" w:fill="DDE9F2"/>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400" w:type="dxa"/>
            <w:vAlign w:val="bottom"/>
            <w:tcBorders>
              <w:bottom w:val="single" w:sz="8" w:color="DDE9F2"/>
            </w:tcBorders>
            <w:vMerge w:val="continue"/>
            <w:shd w:val="clear" w:color="auto" w:fill="DDE9F2"/>
          </w:tcPr>
          <w:p>
            <w:pPr>
              <w:spacing w:after="0"/>
              <w:rPr>
                <w:sz w:val="11"/>
                <w:szCs w:val="11"/>
                <w:color w:val="auto"/>
              </w:rPr>
            </w:pPr>
          </w:p>
        </w:tc>
        <w:tc>
          <w:tcPr>
            <w:tcW w:w="2560" w:type="dxa"/>
            <w:vAlign w:val="bottom"/>
            <w:tcBorders>
              <w:bottom w:val="single" w:sz="8" w:color="DDE9F2"/>
            </w:tcBorders>
            <w:shd w:val="clear" w:color="auto" w:fill="DDE9F2"/>
          </w:tcPr>
          <w:p>
            <w:pPr>
              <w:spacing w:after="0"/>
              <w:rPr>
                <w:sz w:val="11"/>
                <w:szCs w:val="11"/>
                <w:color w:val="auto"/>
              </w:rPr>
            </w:pPr>
          </w:p>
        </w:tc>
        <w:tc>
          <w:tcPr>
            <w:tcW w:w="1940" w:type="dxa"/>
            <w:vAlign w:val="bottom"/>
            <w:tcBorders>
              <w:bottom w:val="single" w:sz="8" w:color="DDE9F2"/>
            </w:tcBorders>
            <w:shd w:val="clear" w:color="auto" w:fill="DDE9F2"/>
          </w:tcPr>
          <w:p>
            <w:pPr>
              <w:spacing w:after="0"/>
              <w:rPr>
                <w:sz w:val="11"/>
                <w:szCs w:val="11"/>
                <w:color w:val="auto"/>
              </w:rPr>
            </w:pPr>
          </w:p>
        </w:tc>
        <w:tc>
          <w:tcPr>
            <w:tcW w:w="2340" w:type="dxa"/>
            <w:vAlign w:val="bottom"/>
            <w:tcBorders>
              <w:bottom w:val="single" w:sz="8" w:color="DDE9F2"/>
            </w:tcBorders>
            <w:shd w:val="clear" w:color="auto" w:fill="DDE9F2"/>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092E44"/>
              <w:bottom w:val="single" w:sz="8" w:color="092E44"/>
            </w:tcBorders>
          </w:tcPr>
          <w:p>
            <w:pPr>
              <w:ind w:left="120"/>
              <w:spacing w:after="0"/>
              <w:rPr>
                <w:sz w:val="20"/>
                <w:szCs w:val="20"/>
                <w:color w:val="auto"/>
              </w:rPr>
            </w:pPr>
            <w:r>
              <w:rPr>
                <w:rFonts w:ascii="Arial" w:cs="Arial" w:eastAsia="Arial" w:hAnsi="Arial"/>
                <w:sz w:val="16"/>
                <w:szCs w:val="16"/>
                <w:color w:val="0B2E44"/>
              </w:rPr>
              <w:t>Totals</w:t>
            </w:r>
          </w:p>
        </w:tc>
        <w:tc>
          <w:tcPr>
            <w:tcW w:w="2560" w:type="dxa"/>
            <w:vAlign w:val="bottom"/>
            <w:tcBorders>
              <w:top w:val="single" w:sz="8" w:color="092E44"/>
              <w:bottom w:val="single" w:sz="8" w:color="092E44"/>
            </w:tcBorders>
          </w:tcPr>
          <w:p>
            <w:pPr>
              <w:jc w:val="right"/>
              <w:ind w:right="344"/>
              <w:spacing w:after="0"/>
              <w:rPr>
                <w:sz w:val="20"/>
                <w:szCs w:val="20"/>
                <w:color w:val="auto"/>
              </w:rPr>
            </w:pPr>
            <w:r>
              <w:rPr>
                <w:rFonts w:ascii="Arial" w:cs="Arial" w:eastAsia="Arial" w:hAnsi="Arial"/>
                <w:sz w:val="16"/>
                <w:szCs w:val="16"/>
                <w:color w:val="0B2E44"/>
              </w:rPr>
              <w:t>3,506,672</w:t>
            </w:r>
          </w:p>
        </w:tc>
        <w:tc>
          <w:tcPr>
            <w:tcW w:w="1940" w:type="dxa"/>
            <w:vAlign w:val="bottom"/>
            <w:tcBorders>
              <w:top w:val="single" w:sz="8" w:color="092E44"/>
              <w:bottom w:val="single" w:sz="8" w:color="092E44"/>
            </w:tcBorders>
          </w:tcPr>
          <w:p>
            <w:pPr>
              <w:jc w:val="right"/>
              <w:ind w:right="425"/>
              <w:spacing w:after="0"/>
              <w:rPr>
                <w:sz w:val="20"/>
                <w:szCs w:val="20"/>
                <w:color w:val="auto"/>
              </w:rPr>
            </w:pPr>
            <w:r>
              <w:rPr>
                <w:rFonts w:ascii="Arial" w:cs="Arial" w:eastAsia="Arial" w:hAnsi="Arial"/>
                <w:sz w:val="16"/>
                <w:szCs w:val="16"/>
                <w:color w:val="0B2E44"/>
              </w:rPr>
              <w:t>$73.58</w:t>
            </w:r>
          </w:p>
        </w:tc>
        <w:tc>
          <w:tcPr>
            <w:tcW w:w="2340" w:type="dxa"/>
            <w:vAlign w:val="bottom"/>
            <w:tcBorders>
              <w:top w:val="single" w:sz="8" w:color="092E44"/>
              <w:bottom w:val="single" w:sz="8" w:color="092E44"/>
            </w:tcBorders>
          </w:tcPr>
          <w:p>
            <w:pPr>
              <w:jc w:val="right"/>
              <w:ind w:right="25"/>
              <w:spacing w:after="0"/>
              <w:rPr>
                <w:sz w:val="20"/>
                <w:szCs w:val="20"/>
                <w:color w:val="auto"/>
              </w:rPr>
            </w:pPr>
            <w:r>
              <w:rPr>
                <w:rFonts w:ascii="Arial" w:cs="Arial" w:eastAsia="Arial" w:hAnsi="Arial"/>
                <w:sz w:val="16"/>
                <w:szCs w:val="16"/>
                <w:color w:val="0B2E44"/>
              </w:rPr>
              <w:t>1,758,398</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right="160" w:hanging="332"/>
        <w:spacing w:after="0" w:line="262" w:lineRule="auto"/>
        <w:tabs>
          <w:tab w:leader="none" w:pos="255" w:val="left"/>
        </w:tabs>
        <w:numPr>
          <w:ilvl w:val="0"/>
          <w:numId w:val="64"/>
        </w:numPr>
        <w:rPr>
          <w:rFonts w:ascii="Arial" w:cs="Arial" w:eastAsia="Arial" w:hAnsi="Arial"/>
          <w:sz w:val="12"/>
          <w:szCs w:val="12"/>
          <w:color w:val="0B2E44"/>
        </w:rPr>
      </w:pPr>
      <w:r>
        <w:rPr>
          <w:rFonts w:ascii="Arial" w:cs="Arial" w:eastAsia="Arial" w:hAnsi="Arial"/>
          <w:sz w:val="12"/>
          <w:szCs w:val="12"/>
          <w:color w:val="0B2E44"/>
        </w:rPr>
        <w:t>Consists of shares of common stock to be issued upon exercise of outstanding options and vesting of restricted stock units ("RSUs"), including performance stock award units ("PSUs"), under our 2016 Incentive Plan. These amounts do not include potentially issuable shares under the Employee Stock Purchase Plan (the "ESPP"). We have reserved approximately 107,000 shares for the future issuance of shares under the ESPP. See "Note 11. Stock Plans" in Item 8 of our Annual Report filed on Form 10-K for the year ended March 31, 2023 for additional information.</w:t>
      </w:r>
    </w:p>
    <w:p>
      <w:pPr>
        <w:spacing w:after="0" w:line="1" w:lineRule="exact"/>
        <w:rPr>
          <w:rFonts w:ascii="Arial" w:cs="Arial" w:eastAsia="Arial" w:hAnsi="Arial"/>
          <w:sz w:val="12"/>
          <w:szCs w:val="12"/>
          <w:color w:val="0B2E44"/>
        </w:rPr>
      </w:pPr>
    </w:p>
    <w:p>
      <w:pPr>
        <w:ind w:left="260" w:hanging="252"/>
        <w:spacing w:after="0"/>
        <w:tabs>
          <w:tab w:leader="none" w:pos="260" w:val="left"/>
        </w:tabs>
        <w:numPr>
          <w:ilvl w:val="0"/>
          <w:numId w:val="64"/>
        </w:numPr>
        <w:rPr>
          <w:rFonts w:ascii="Arial" w:cs="Arial" w:eastAsia="Arial" w:hAnsi="Arial"/>
          <w:sz w:val="13"/>
          <w:szCs w:val="13"/>
          <w:color w:val="0B2E44"/>
        </w:rPr>
      </w:pPr>
      <w:r>
        <w:rPr>
          <w:rFonts w:ascii="Arial" w:cs="Arial" w:eastAsia="Arial" w:hAnsi="Arial"/>
          <w:sz w:val="13"/>
          <w:szCs w:val="13"/>
          <w:color w:val="0B2E44"/>
        </w:rPr>
        <w:t>The weighted-average exercise price does not consider the shares issuable upon vesting of outstanding RSUs and PSUs, which have no exercise price.</w:t>
      </w:r>
    </w:p>
    <w:p>
      <w:pPr>
        <w:spacing w:after="0" w:line="200" w:lineRule="exact"/>
        <w:rPr>
          <w:sz w:val="20"/>
          <w:szCs w:val="20"/>
          <w:color w:val="auto"/>
        </w:rPr>
      </w:pPr>
    </w:p>
    <w:p>
      <w:pPr>
        <w:spacing w:after="0" w:line="261" w:lineRule="exact"/>
        <w:rPr>
          <w:sz w:val="20"/>
          <w:szCs w:val="20"/>
          <w:color w:val="auto"/>
        </w:rPr>
      </w:pPr>
    </w:p>
    <w:p>
      <w:pPr>
        <w:ind w:right="280"/>
        <w:spacing w:after="0" w:line="314" w:lineRule="auto"/>
        <w:rPr>
          <w:sz w:val="20"/>
          <w:szCs w:val="20"/>
          <w:color w:val="auto"/>
        </w:rPr>
      </w:pPr>
      <w:r>
        <w:rPr>
          <w:rFonts w:ascii="Arial" w:cs="Arial" w:eastAsia="Arial" w:hAnsi="Arial"/>
          <w:sz w:val="25"/>
          <w:szCs w:val="25"/>
          <w:b w:val="1"/>
          <w:bCs w:val="1"/>
          <w:color w:val="E14A6A"/>
        </w:rPr>
        <w:t>The Board of Directors recommends that you vote FOR approval of an additional 3.2 million shares available for issuance under the 2016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64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460375</wp:posOffset>
            </wp:positionV>
            <wp:extent cx="7029450" cy="17405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2945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092E44"/>
        </w:rPr>
        <w:t xml:space="preserve">This proxy statement is furnished in connection with the solicitation on behalf of the Board of Directors of Commvault Systems, Inc. of proxies to be voted at the Annual Meeting of Stockholders, including any adjournment or postponement thereof. This proxy statement is first being made available at </w:t>
      </w:r>
      <w:r>
        <w:rPr>
          <w:rFonts w:ascii="Arial" w:cs="Arial" w:eastAsia="Arial" w:hAnsi="Arial"/>
          <w:sz w:val="16"/>
          <w:szCs w:val="16"/>
          <w:u w:val="single" w:color="auto"/>
          <w:color w:val="E14A6A"/>
        </w:rPr>
        <w:t>www.edocumentview.com/CVLT</w:t>
      </w:r>
      <w:r>
        <w:rPr>
          <w:rFonts w:ascii="Arial" w:cs="Arial" w:eastAsia="Arial" w:hAnsi="Arial"/>
          <w:sz w:val="16"/>
          <w:szCs w:val="16"/>
          <w:color w:val="092E44"/>
        </w:rPr>
        <w:t>, and we intend to begin distribution of the Notice Regarding the Availability of Proxy Materials to stockholders on or about</w:t>
      </w:r>
      <w:r>
        <w:rPr>
          <w:rFonts w:ascii="Arial" w:cs="Arial" w:eastAsia="Arial" w:hAnsi="Arial"/>
          <w:sz w:val="16"/>
          <w:szCs w:val="16"/>
          <w:color w:val="E14A6A"/>
        </w:rPr>
        <w:t xml:space="preserve"> </w:t>
      </w:r>
      <w:r>
        <w:rPr>
          <w:rFonts w:ascii="Arial" w:cs="Arial" w:eastAsia="Arial" w:hAnsi="Arial"/>
          <w:sz w:val="16"/>
          <w:szCs w:val="16"/>
          <w:color w:val="092E44"/>
        </w:rPr>
        <w:t xml:space="preserve">July [ ], 2023. A copy of our annual report on Form 10-K for the fiscal year ended March 31, 2023, which includes audited financial statements, is also being made available concurrently with the proxy statement at </w:t>
      </w:r>
      <w:r>
        <w:rPr>
          <w:rFonts w:ascii="Arial" w:cs="Arial" w:eastAsia="Arial" w:hAnsi="Arial"/>
          <w:sz w:val="16"/>
          <w:szCs w:val="16"/>
          <w:u w:val="single" w:color="auto"/>
          <w:color w:val="E14A6A"/>
        </w:rPr>
        <w:t>www.edocumentview.com/CVLT</w:t>
      </w:r>
      <w:r>
        <w:rPr>
          <w:rFonts w:ascii="Arial" w:cs="Arial" w:eastAsia="Arial" w:hAnsi="Arial"/>
          <w:sz w:val="16"/>
          <w:szCs w:val="16"/>
          <w:color w:val="092E44"/>
        </w:rPr>
        <w:t>.</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640" w:type="dxa"/>
            <w:vAlign w:val="bottom"/>
            <w:shd w:val="clear" w:color="auto" w:fill="0B2E44"/>
          </w:tcPr>
          <w:p>
            <w:pPr>
              <w:jc w:val="center"/>
              <w:spacing w:after="0"/>
              <w:rPr>
                <w:sz w:val="20"/>
                <w:szCs w:val="20"/>
                <w:color w:val="auto"/>
              </w:rPr>
            </w:pPr>
            <w:r>
              <w:rPr>
                <w:rFonts w:ascii="Arial" w:cs="Arial" w:eastAsia="Arial" w:hAnsi="Arial"/>
                <w:sz w:val="18"/>
                <w:szCs w:val="18"/>
                <w:b w:val="1"/>
                <w:bCs w:val="1"/>
                <w:color w:val="FFFFFF"/>
                <w:w w:val="99"/>
              </w:rPr>
              <w:t>Time and Date:</w:t>
            </w:r>
          </w:p>
        </w:tc>
        <w:tc>
          <w:tcPr>
            <w:tcW w:w="100" w:type="dxa"/>
            <w:vAlign w:val="bottom"/>
          </w:tcPr>
          <w:p>
            <w:pPr>
              <w:spacing w:after="0"/>
              <w:rPr>
                <w:sz w:val="20"/>
                <w:szCs w:val="20"/>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8"/>
                <w:szCs w:val="18"/>
                <w:b w:val="1"/>
                <w:bCs w:val="1"/>
                <w:color w:val="FFFFFF"/>
                <w:w w:val="98"/>
              </w:rPr>
              <w:t>Location:</w:t>
            </w:r>
          </w:p>
        </w:tc>
        <w:tc>
          <w:tcPr>
            <w:tcW w:w="100" w:type="dxa"/>
            <w:vAlign w:val="bottom"/>
          </w:tcPr>
          <w:p>
            <w:pPr>
              <w:spacing w:after="0"/>
              <w:rPr>
                <w:sz w:val="20"/>
                <w:szCs w:val="20"/>
                <w:color w:val="auto"/>
              </w:rPr>
            </w:pPr>
          </w:p>
        </w:tc>
        <w:tc>
          <w:tcPr>
            <w:tcW w:w="3640" w:type="dxa"/>
            <w:vAlign w:val="bottom"/>
            <w:shd w:val="clear" w:color="auto" w:fill="0B2E44"/>
          </w:tcPr>
          <w:p>
            <w:pPr>
              <w:jc w:val="center"/>
              <w:spacing w:after="0"/>
              <w:rPr>
                <w:sz w:val="20"/>
                <w:szCs w:val="20"/>
                <w:color w:val="auto"/>
              </w:rPr>
            </w:pPr>
            <w:r>
              <w:rPr>
                <w:rFonts w:ascii="Arial" w:cs="Arial" w:eastAsia="Arial" w:hAnsi="Arial"/>
                <w:sz w:val="18"/>
                <w:szCs w:val="18"/>
                <w:b w:val="1"/>
                <w:bCs w:val="1"/>
                <w:color w:val="FFFFFF"/>
                <w:w w:val="99"/>
              </w:rPr>
              <w:t>Record Date:</w:t>
            </w:r>
          </w:p>
        </w:tc>
      </w:tr>
      <w:tr>
        <w:trPr>
          <w:trHeight w:val="207"/>
        </w:trPr>
        <w:tc>
          <w:tcPr>
            <w:tcW w:w="3640" w:type="dxa"/>
            <w:vAlign w:val="bottom"/>
            <w:shd w:val="clear" w:color="auto" w:fill="0B2E44"/>
          </w:tcPr>
          <w:p>
            <w:pPr>
              <w:jc w:val="center"/>
              <w:spacing w:after="0"/>
              <w:rPr>
                <w:sz w:val="20"/>
                <w:szCs w:val="20"/>
                <w:color w:val="auto"/>
              </w:rPr>
            </w:pPr>
            <w:r>
              <w:rPr>
                <w:rFonts w:ascii="Arial" w:cs="Arial" w:eastAsia="Arial" w:hAnsi="Arial"/>
                <w:sz w:val="16"/>
                <w:szCs w:val="16"/>
                <w:color w:val="FFFFFF"/>
                <w:w w:val="99"/>
              </w:rPr>
              <w:t>Tuesday, August 29, 2023</w:t>
            </w:r>
          </w:p>
        </w:tc>
        <w:tc>
          <w:tcPr>
            <w:tcW w:w="100" w:type="dxa"/>
            <w:vAlign w:val="bottom"/>
          </w:tcPr>
          <w:p>
            <w:pPr>
              <w:spacing w:after="0"/>
              <w:rPr>
                <w:sz w:val="17"/>
                <w:szCs w:val="17"/>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6"/>
                <w:szCs w:val="16"/>
                <w:color w:val="FFFFFF"/>
              </w:rPr>
              <w:t>Virtual only</w:t>
            </w:r>
          </w:p>
        </w:tc>
        <w:tc>
          <w:tcPr>
            <w:tcW w:w="100" w:type="dxa"/>
            <w:vAlign w:val="bottom"/>
          </w:tcPr>
          <w:p>
            <w:pPr>
              <w:spacing w:after="0"/>
              <w:rPr>
                <w:sz w:val="17"/>
                <w:szCs w:val="17"/>
                <w:color w:val="auto"/>
              </w:rPr>
            </w:pPr>
          </w:p>
        </w:tc>
        <w:tc>
          <w:tcPr>
            <w:tcW w:w="3640" w:type="dxa"/>
            <w:vAlign w:val="bottom"/>
            <w:shd w:val="clear" w:color="auto" w:fill="0B2E44"/>
          </w:tcPr>
          <w:p>
            <w:pPr>
              <w:jc w:val="center"/>
              <w:spacing w:after="0"/>
              <w:rPr>
                <w:sz w:val="20"/>
                <w:szCs w:val="20"/>
                <w:color w:val="auto"/>
              </w:rPr>
            </w:pPr>
            <w:r>
              <w:rPr>
                <w:rFonts w:ascii="Arial" w:cs="Arial" w:eastAsia="Arial" w:hAnsi="Arial"/>
                <w:sz w:val="16"/>
                <w:szCs w:val="16"/>
                <w:color w:val="FFFFFF"/>
              </w:rPr>
              <w:t>June 30, 2023</w:t>
            </w:r>
          </w:p>
        </w:tc>
      </w:tr>
      <w:tr>
        <w:trPr>
          <w:trHeight w:val="222"/>
        </w:trPr>
        <w:tc>
          <w:tcPr>
            <w:tcW w:w="3640" w:type="dxa"/>
            <w:vAlign w:val="bottom"/>
            <w:shd w:val="clear" w:color="auto" w:fill="0B2E44"/>
          </w:tcPr>
          <w:p>
            <w:pPr>
              <w:jc w:val="center"/>
              <w:spacing w:after="0"/>
              <w:rPr>
                <w:sz w:val="20"/>
                <w:szCs w:val="20"/>
                <w:color w:val="auto"/>
              </w:rPr>
            </w:pPr>
            <w:r>
              <w:rPr>
                <w:rFonts w:ascii="Arial" w:cs="Arial" w:eastAsia="Arial" w:hAnsi="Arial"/>
                <w:sz w:val="16"/>
                <w:szCs w:val="16"/>
                <w:color w:val="FFFFFF"/>
              </w:rPr>
              <w:t>9:00 a.m., Eastern Time</w:t>
            </w:r>
          </w:p>
        </w:tc>
        <w:tc>
          <w:tcPr>
            <w:tcW w:w="100" w:type="dxa"/>
            <w:vAlign w:val="bottom"/>
          </w:tcPr>
          <w:p>
            <w:pPr>
              <w:spacing w:after="0"/>
              <w:rPr>
                <w:sz w:val="19"/>
                <w:szCs w:val="19"/>
                <w:color w:val="auto"/>
              </w:rPr>
            </w:pPr>
          </w:p>
        </w:tc>
        <w:tc>
          <w:tcPr>
            <w:tcW w:w="3680" w:type="dxa"/>
            <w:vAlign w:val="bottom"/>
            <w:shd w:val="clear" w:color="auto" w:fill="0B2E44"/>
          </w:tcPr>
          <w:p>
            <w:pPr>
              <w:jc w:val="center"/>
              <w:spacing w:after="0"/>
              <w:rPr>
                <w:sz w:val="20"/>
                <w:szCs w:val="20"/>
                <w:color w:val="auto"/>
              </w:rPr>
            </w:pPr>
            <w:r>
              <w:rPr>
                <w:rFonts w:ascii="Arial" w:cs="Arial" w:eastAsia="Arial" w:hAnsi="Arial"/>
                <w:sz w:val="16"/>
                <w:szCs w:val="16"/>
                <w:color w:val="FF4A6A"/>
              </w:rPr>
              <w:t>http://ir.commvault.com/annual-meeting</w:t>
            </w:r>
          </w:p>
        </w:tc>
        <w:tc>
          <w:tcPr>
            <w:tcW w:w="100" w:type="dxa"/>
            <w:vAlign w:val="bottom"/>
          </w:tcPr>
          <w:p>
            <w:pPr>
              <w:spacing w:after="0"/>
              <w:rPr>
                <w:sz w:val="19"/>
                <w:szCs w:val="19"/>
                <w:color w:val="auto"/>
              </w:rPr>
            </w:pPr>
          </w:p>
        </w:tc>
        <w:tc>
          <w:tcPr>
            <w:tcW w:w="3640" w:type="dxa"/>
            <w:vAlign w:val="bottom"/>
            <w:shd w:val="clear" w:color="auto" w:fill="0B2E44"/>
          </w:tcPr>
          <w:p>
            <w:pPr>
              <w:spacing w:after="0"/>
              <w:rPr>
                <w:sz w:val="19"/>
                <w:szCs w:val="19"/>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092E44"/>
        </w:rPr>
        <w:t>How can I participate in the virtual annual meeting?</w:t>
      </w:r>
    </w:p>
    <w:p>
      <w:pPr>
        <w:spacing w:after="0" w:line="66" w:lineRule="exact"/>
        <w:rPr>
          <w:sz w:val="20"/>
          <w:szCs w:val="20"/>
          <w:color w:val="auto"/>
        </w:rPr>
      </w:pPr>
    </w:p>
    <w:p>
      <w:pPr>
        <w:spacing w:after="0" w:line="262" w:lineRule="auto"/>
        <w:rPr>
          <w:sz w:val="20"/>
          <w:szCs w:val="20"/>
          <w:color w:val="auto"/>
        </w:rPr>
      </w:pPr>
      <w:r>
        <w:rPr>
          <w:rFonts w:ascii="Arial" w:cs="Arial" w:eastAsia="Arial" w:hAnsi="Arial"/>
          <w:sz w:val="16"/>
          <w:szCs w:val="16"/>
          <w:color w:val="092E44"/>
        </w:rPr>
        <w:t xml:space="preserve">Our virtual annual meeting format will enable all stockholders to participate, regardless of their location. To participate in the Annual Meeting, please access the meeting website at </w:t>
      </w:r>
      <w:r>
        <w:rPr>
          <w:rFonts w:ascii="Arial" w:cs="Arial" w:eastAsia="Arial" w:hAnsi="Arial"/>
          <w:sz w:val="16"/>
          <w:szCs w:val="16"/>
          <w:u w:val="single" w:color="auto"/>
          <w:color w:val="E14A6A"/>
        </w:rPr>
        <w:t>http://ir.commvault.com/annual-meeting</w:t>
      </w:r>
      <w:r>
        <w:rPr>
          <w:rFonts w:ascii="Arial" w:cs="Arial" w:eastAsia="Arial" w:hAnsi="Arial"/>
          <w:sz w:val="16"/>
          <w:szCs w:val="16"/>
          <w:color w:val="092E44"/>
        </w:rPr>
        <w:t xml:space="preserve"> and follow the instructions found there. You will be required to establish your identity as a stockholder in order to vote and to view the list of registered stockholders as of the record date during the meeting. Please have the control number found on your Notice of Internet Availability of Proxy Materials available.</w:t>
      </w:r>
    </w:p>
    <w:p>
      <w:pPr>
        <w:spacing w:after="0" w:line="33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092E44"/>
        </w:rPr>
        <w:t xml:space="preserve">Stockholders can submit questions for the Annual Meeting’s question and answer session prior to or during the meeting through </w:t>
      </w:r>
      <w:r>
        <w:rPr>
          <w:rFonts w:ascii="Arial" w:cs="Arial" w:eastAsia="Arial" w:hAnsi="Arial"/>
          <w:sz w:val="16"/>
          <w:szCs w:val="16"/>
          <w:u w:val="single" w:color="auto"/>
          <w:color w:val="E14A6A"/>
        </w:rPr>
        <w:t>http://ir.commvault.com/annual-meeting</w:t>
      </w:r>
      <w:r>
        <w:rPr>
          <w:rFonts w:ascii="Arial" w:cs="Arial" w:eastAsia="Arial" w:hAnsi="Arial"/>
          <w:sz w:val="16"/>
          <w:szCs w:val="16"/>
          <w:color w:val="092E44"/>
        </w:rPr>
        <w:t>. Once the meeting has concluded, the webcast will be available for replay on the Investor Relations section of our</w:t>
      </w:r>
      <w:r>
        <w:rPr>
          <w:rFonts w:ascii="Arial" w:cs="Arial" w:eastAsia="Arial" w:hAnsi="Arial"/>
          <w:sz w:val="16"/>
          <w:szCs w:val="16"/>
          <w:color w:val="E14A6A"/>
        </w:rPr>
        <w:t xml:space="preserve"> </w:t>
      </w:r>
      <w:r>
        <w:rPr>
          <w:rFonts w:ascii="Arial" w:cs="Arial" w:eastAsia="Arial" w:hAnsi="Arial"/>
          <w:sz w:val="16"/>
          <w:szCs w:val="16"/>
          <w:color w:val="092E44"/>
        </w:rPr>
        <w:t>website for 12 months.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092E44"/>
        </w:rPr>
        <w:t>Who is entitled to vote at the Annual Meeting?</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092E44"/>
        </w:rPr>
        <w:t xml:space="preserve">The record date for determining stockholders entitled to vote at the Annual Meeting was June 30, 2023. On that date, 43,973,876 shares of Commvault common stock were outstanding and entitled to vote. Each stockholder is entitled to one vote for each share of common stock held of record for each matter to be considered. A list of stockholders entitled to vote at the Annual Meeting will be available for examination by stockholders by arrangement made with Commvault during the 10 days preceding the meeting and also will be available for examination during the Annual Meeting. Information regarding how to examine the stockholder list is available at the meeting website at </w:t>
      </w:r>
      <w:r>
        <w:rPr>
          <w:rFonts w:ascii="Arial" w:cs="Arial" w:eastAsia="Arial" w:hAnsi="Arial"/>
          <w:sz w:val="16"/>
          <w:szCs w:val="16"/>
          <w:u w:val="single" w:color="auto"/>
          <w:color w:val="E14A6A"/>
        </w:rPr>
        <w:t>http://ir.commvault.com/annual-meeting</w:t>
      </w:r>
      <w:r>
        <w:rPr>
          <w:rFonts w:ascii="Arial" w:cs="Arial" w:eastAsia="Arial" w:hAnsi="Arial"/>
          <w:sz w:val="16"/>
          <w:szCs w:val="16"/>
          <w:color w:val="092E44"/>
        </w:rPr>
        <w:t>.</w:t>
      </w:r>
    </w:p>
    <w:p>
      <w:pPr>
        <w:spacing w:after="0" w:line="9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092E44"/>
        </w:rPr>
        <w:t>The presence at the Annual Meeting, in person (including virtually) or by proxy, of holders of a majority of the issued and outstanding shares of common stock entitled to vote thereat as of the record date is considered a quorum for the transaction of business. If you submit a properly completed proxy or if you appear at the Annual Meeting to vote in person (including virtually), your shares of common stock will be considered part of the quorum. Abstentions and broker non-votes will be counted for the purpose of establishing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65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ADDITIONAL INFORMATION ABOUT THE ANNUAL MEETING</w:t>
      </w:r>
    </w:p>
    <w:p>
      <w:pPr>
        <w:spacing w:after="0" w:line="30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0B2E44"/>
        </w:rPr>
        <w:t>If you choose to vote your shares at the Annual Meeting, you will be required to provide your control number, which is included in the Notice Regarding the Availability of Proxy Materials that you received. If you hold your Commvault shares through a broker, bank, or other nominee, you may vote during the Annual Meeting only if you obtain a signed proxy from your bank, broker, or other nominee giving you the right to vote the shares. You will be asked to submit that proxy to Commvault via the email address provided on the meeting website at or prior to the Annual Meeting, along with an account statement or letter from the broker, bank, or other nominee indicating that you are the beneficial owner of the shares and that you were the beneficial owner of the shares on June 30, 2023.</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What proposals will be considered at the Annual Meeting, and how does the Board recommend that I vote?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0B2E44"/>
        </w:rPr>
        <w:t>The following table summarizes the matters we expect to present to stockholders during the Annual Meeting.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4"/>
                <w:szCs w:val="14"/>
                <w:color w:val="092E44"/>
              </w:rPr>
              <w:t>Effect of</w:t>
            </w: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80" w:type="dxa"/>
            <w:vAlign w:val="bottom"/>
          </w:tcPr>
          <w:p>
            <w:pPr>
              <w:ind w:left="60"/>
              <w:spacing w:after="0" w:line="143" w:lineRule="exact"/>
              <w:rPr>
                <w:sz w:val="20"/>
                <w:szCs w:val="20"/>
                <w:color w:val="auto"/>
              </w:rPr>
            </w:pPr>
            <w:r>
              <w:rPr>
                <w:rFonts w:ascii="Arial" w:cs="Arial" w:eastAsia="Arial" w:hAnsi="Arial"/>
                <w:sz w:val="14"/>
                <w:szCs w:val="14"/>
                <w:color w:val="092E44"/>
              </w:rPr>
              <w:t>abstentions,</w:t>
            </w:r>
          </w:p>
        </w:tc>
        <w:tc>
          <w:tcPr>
            <w:tcW w:w="0" w:type="dxa"/>
            <w:vAlign w:val="bottom"/>
          </w:tcPr>
          <w:p>
            <w:pPr>
              <w:spacing w:after="0"/>
              <w:rPr>
                <w:sz w:val="1"/>
                <w:szCs w:val="1"/>
                <w:color w:val="auto"/>
              </w:rPr>
            </w:pPr>
          </w:p>
        </w:tc>
      </w:tr>
      <w:tr>
        <w:trPr>
          <w:trHeight w:val="148"/>
        </w:trPr>
        <w:tc>
          <w:tcPr>
            <w:tcW w:w="2420" w:type="dxa"/>
            <w:vAlign w:val="bottom"/>
            <w:vMerge w:val="restart"/>
          </w:tcPr>
          <w:p>
            <w:pPr>
              <w:ind w:left="140"/>
              <w:spacing w:after="0"/>
              <w:rPr>
                <w:sz w:val="20"/>
                <w:szCs w:val="20"/>
                <w:color w:val="auto"/>
              </w:rPr>
            </w:pPr>
            <w:r>
              <w:rPr>
                <w:rFonts w:ascii="Arial" w:cs="Arial" w:eastAsia="Arial" w:hAnsi="Arial"/>
                <w:sz w:val="14"/>
                <w:szCs w:val="14"/>
                <w:color w:val="092E44"/>
              </w:rPr>
              <w:t>Proposal</w:t>
            </w:r>
          </w:p>
        </w:tc>
        <w:tc>
          <w:tcPr>
            <w:tcW w:w="1680" w:type="dxa"/>
            <w:vAlign w:val="bottom"/>
          </w:tcPr>
          <w:p>
            <w:pPr>
              <w:spacing w:after="0"/>
              <w:rPr>
                <w:sz w:val="12"/>
                <w:szCs w:val="12"/>
                <w:color w:val="auto"/>
              </w:rPr>
            </w:pPr>
          </w:p>
        </w:tc>
        <w:tc>
          <w:tcPr>
            <w:tcW w:w="1540" w:type="dxa"/>
            <w:vAlign w:val="bottom"/>
          </w:tcPr>
          <w:p>
            <w:pPr>
              <w:ind w:left="240"/>
              <w:spacing w:after="0" w:line="149" w:lineRule="exact"/>
              <w:rPr>
                <w:sz w:val="20"/>
                <w:szCs w:val="20"/>
                <w:color w:val="auto"/>
              </w:rPr>
            </w:pPr>
            <w:r>
              <w:rPr>
                <w:rFonts w:ascii="Arial" w:cs="Arial" w:eastAsia="Arial" w:hAnsi="Arial"/>
                <w:sz w:val="14"/>
                <w:szCs w:val="14"/>
                <w:color w:val="092E44"/>
              </w:rPr>
              <w:t>Board</w:t>
            </w:r>
          </w:p>
        </w:tc>
        <w:tc>
          <w:tcPr>
            <w:tcW w:w="4220" w:type="dxa"/>
            <w:vAlign w:val="bottom"/>
          </w:tcPr>
          <w:p>
            <w:pPr>
              <w:spacing w:after="0"/>
              <w:rPr>
                <w:sz w:val="12"/>
                <w:szCs w:val="12"/>
                <w:color w:val="auto"/>
              </w:rPr>
            </w:pP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092E44"/>
              </w:rPr>
              <w:t>and broker</w:t>
            </w:r>
          </w:p>
        </w:tc>
        <w:tc>
          <w:tcPr>
            <w:tcW w:w="0" w:type="dxa"/>
            <w:vAlign w:val="bottom"/>
          </w:tcPr>
          <w:p>
            <w:pPr>
              <w:spacing w:after="0"/>
              <w:rPr>
                <w:sz w:val="1"/>
                <w:szCs w:val="1"/>
                <w:color w:val="auto"/>
              </w:rPr>
            </w:pPr>
          </w:p>
        </w:tc>
      </w:tr>
      <w:tr>
        <w:trPr>
          <w:trHeight w:val="181"/>
        </w:trPr>
        <w:tc>
          <w:tcPr>
            <w:tcW w:w="2420" w:type="dxa"/>
            <w:vAlign w:val="bottom"/>
            <w:tcBorders>
              <w:bottom w:val="single" w:sz="8" w:color="E14A6A"/>
            </w:tcBorders>
            <w:vMerge w:val="continue"/>
          </w:tcPr>
          <w:p>
            <w:pPr>
              <w:spacing w:after="0"/>
              <w:rPr>
                <w:sz w:val="15"/>
                <w:szCs w:val="15"/>
                <w:color w:val="auto"/>
              </w:rPr>
            </w:pPr>
          </w:p>
        </w:tc>
        <w:tc>
          <w:tcPr>
            <w:tcW w:w="1680" w:type="dxa"/>
            <w:vAlign w:val="bottom"/>
            <w:tcBorders>
              <w:bottom w:val="single" w:sz="8" w:color="E14A6A"/>
            </w:tcBorders>
          </w:tcPr>
          <w:p>
            <w:pPr>
              <w:ind w:left="60"/>
              <w:spacing w:after="0"/>
              <w:rPr>
                <w:sz w:val="20"/>
                <w:szCs w:val="20"/>
                <w:color w:val="auto"/>
              </w:rPr>
            </w:pPr>
            <w:r>
              <w:rPr>
                <w:rFonts w:ascii="Arial" w:cs="Arial" w:eastAsia="Arial" w:hAnsi="Arial"/>
                <w:sz w:val="14"/>
                <w:szCs w:val="14"/>
                <w:color w:val="092E44"/>
              </w:rPr>
              <w:t>Voting options</w:t>
            </w:r>
          </w:p>
        </w:tc>
        <w:tc>
          <w:tcPr>
            <w:tcW w:w="1540" w:type="dxa"/>
            <w:vAlign w:val="bottom"/>
            <w:tcBorders>
              <w:bottom w:val="single" w:sz="8" w:color="E14A6A"/>
            </w:tcBorders>
          </w:tcPr>
          <w:p>
            <w:pPr>
              <w:ind w:left="240"/>
              <w:spacing w:after="0"/>
              <w:rPr>
                <w:sz w:val="20"/>
                <w:szCs w:val="20"/>
                <w:color w:val="auto"/>
              </w:rPr>
            </w:pPr>
            <w:r>
              <w:rPr>
                <w:rFonts w:ascii="Arial" w:cs="Arial" w:eastAsia="Arial" w:hAnsi="Arial"/>
                <w:sz w:val="14"/>
                <w:szCs w:val="14"/>
                <w:color w:val="092E44"/>
              </w:rPr>
              <w:t>recommendation</w:t>
            </w:r>
          </w:p>
        </w:tc>
        <w:tc>
          <w:tcPr>
            <w:tcW w:w="4220" w:type="dxa"/>
            <w:vAlign w:val="bottom"/>
            <w:tcBorders>
              <w:bottom w:val="single" w:sz="8" w:color="E14A6A"/>
            </w:tcBorders>
          </w:tcPr>
          <w:p>
            <w:pPr>
              <w:ind w:left="200"/>
              <w:spacing w:after="0"/>
              <w:rPr>
                <w:sz w:val="20"/>
                <w:szCs w:val="20"/>
                <w:color w:val="auto"/>
              </w:rPr>
            </w:pPr>
            <w:r>
              <w:rPr>
                <w:rFonts w:ascii="Arial" w:cs="Arial" w:eastAsia="Arial" w:hAnsi="Arial"/>
                <w:sz w:val="14"/>
                <w:szCs w:val="14"/>
                <w:color w:val="092E44"/>
              </w:rPr>
              <w:t>Vote required to pass</w:t>
            </w:r>
          </w:p>
        </w:tc>
        <w:tc>
          <w:tcPr>
            <w:tcW w:w="1380" w:type="dxa"/>
            <w:vAlign w:val="bottom"/>
            <w:tcBorders>
              <w:bottom w:val="single" w:sz="8" w:color="E14A6A"/>
            </w:tcBorders>
          </w:tcPr>
          <w:p>
            <w:pPr>
              <w:ind w:left="60"/>
              <w:spacing w:after="0"/>
              <w:rPr>
                <w:sz w:val="20"/>
                <w:szCs w:val="20"/>
                <w:color w:val="auto"/>
              </w:rPr>
            </w:pPr>
            <w:r>
              <w:rPr>
                <w:rFonts w:ascii="Arial" w:cs="Arial" w:eastAsia="Arial" w:hAnsi="Arial"/>
                <w:sz w:val="14"/>
                <w:szCs w:val="14"/>
                <w:color w:val="092E44"/>
              </w:rPr>
              <w:t>non-votes(1)</w:t>
            </w:r>
          </w:p>
        </w:tc>
        <w:tc>
          <w:tcPr>
            <w:tcW w:w="0" w:type="dxa"/>
            <w:vAlign w:val="bottom"/>
          </w:tcPr>
          <w:p>
            <w:pPr>
              <w:spacing w:after="0"/>
              <w:rPr>
                <w:sz w:val="1"/>
                <w:szCs w:val="1"/>
                <w:color w:val="auto"/>
              </w:rPr>
            </w:pPr>
          </w:p>
        </w:tc>
      </w:tr>
      <w:tr>
        <w:trPr>
          <w:trHeight w:val="205"/>
        </w:trPr>
        <w:tc>
          <w:tcPr>
            <w:tcW w:w="2420" w:type="dxa"/>
            <w:vAlign w:val="bottom"/>
          </w:tcPr>
          <w:p>
            <w:pPr>
              <w:ind w:left="120"/>
              <w:spacing w:after="0"/>
              <w:rPr>
                <w:sz w:val="20"/>
                <w:szCs w:val="20"/>
                <w:color w:val="auto"/>
              </w:rPr>
            </w:pPr>
            <w:r>
              <w:rPr>
                <w:rFonts w:ascii="Arial" w:cs="Arial" w:eastAsia="Arial" w:hAnsi="Arial"/>
                <w:sz w:val="16"/>
                <w:szCs w:val="16"/>
                <w:color w:val="092E44"/>
              </w:rPr>
              <w:t>Election of directors</w:t>
            </w:r>
          </w:p>
        </w:tc>
        <w:tc>
          <w:tcPr>
            <w:tcW w:w="1680" w:type="dxa"/>
            <w:vAlign w:val="bottom"/>
          </w:tcPr>
          <w:p>
            <w:pPr>
              <w:ind w:left="60"/>
              <w:spacing w:after="0"/>
              <w:rPr>
                <w:sz w:val="20"/>
                <w:szCs w:val="20"/>
                <w:color w:val="auto"/>
              </w:rPr>
            </w:pPr>
            <w:r>
              <w:rPr>
                <w:rFonts w:ascii="Arial" w:cs="Arial" w:eastAsia="Arial" w:hAnsi="Arial"/>
                <w:sz w:val="16"/>
                <w:szCs w:val="16"/>
                <w:color w:val="092E44"/>
              </w:rPr>
              <w:t>FOR, AGAINST, or</w:t>
            </w:r>
          </w:p>
        </w:tc>
        <w:tc>
          <w:tcPr>
            <w:tcW w:w="1540" w:type="dxa"/>
            <w:vAlign w:val="bottom"/>
          </w:tcPr>
          <w:p>
            <w:pPr>
              <w:ind w:left="240"/>
              <w:spacing w:after="0"/>
              <w:rPr>
                <w:sz w:val="20"/>
                <w:szCs w:val="20"/>
                <w:color w:val="auto"/>
              </w:rPr>
            </w:pPr>
            <w:r>
              <w:rPr>
                <w:rFonts w:ascii="Arial" w:cs="Arial" w:eastAsia="Arial" w:hAnsi="Arial"/>
                <w:sz w:val="16"/>
                <w:szCs w:val="16"/>
                <w:b w:val="1"/>
                <w:bCs w:val="1"/>
                <w:color w:val="E14A6A"/>
              </w:rPr>
              <w:t xml:space="preserve">FOR </w:t>
            </w:r>
            <w:r>
              <w:rPr>
                <w:rFonts w:ascii="Arial" w:cs="Arial" w:eastAsia="Arial" w:hAnsi="Arial"/>
                <w:sz w:val="16"/>
                <w:szCs w:val="16"/>
                <w:b w:val="1"/>
                <w:bCs w:val="1"/>
                <w:color w:val="092E44"/>
              </w:rPr>
              <w:t>each</w:t>
            </w:r>
          </w:p>
        </w:tc>
        <w:tc>
          <w:tcPr>
            <w:tcW w:w="4220" w:type="dxa"/>
            <w:vAlign w:val="bottom"/>
          </w:tcPr>
          <w:p>
            <w:pPr>
              <w:ind w:left="200"/>
              <w:spacing w:after="0"/>
              <w:rPr>
                <w:sz w:val="20"/>
                <w:szCs w:val="20"/>
                <w:color w:val="auto"/>
              </w:rPr>
            </w:pPr>
            <w:r>
              <w:rPr>
                <w:rFonts w:ascii="Arial" w:cs="Arial" w:eastAsia="Arial" w:hAnsi="Arial"/>
                <w:sz w:val="16"/>
                <w:szCs w:val="16"/>
                <w:color w:val="092E44"/>
              </w:rPr>
              <w:t>Each nominee must receive the affirmative vote of a</w:t>
            </w:r>
          </w:p>
        </w:tc>
        <w:tc>
          <w:tcPr>
            <w:tcW w:w="1380" w:type="dxa"/>
            <w:vAlign w:val="bottom"/>
          </w:tcPr>
          <w:p>
            <w:pPr>
              <w:ind w:left="6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197"/>
        </w:trPr>
        <w:tc>
          <w:tcPr>
            <w:tcW w:w="2420" w:type="dxa"/>
            <w:vAlign w:val="bottom"/>
          </w:tcPr>
          <w:p>
            <w:pPr>
              <w:spacing w:after="0"/>
              <w:rPr>
                <w:sz w:val="17"/>
                <w:szCs w:val="17"/>
                <w:color w:val="auto"/>
              </w:rPr>
            </w:pPr>
          </w:p>
        </w:tc>
        <w:tc>
          <w:tcPr>
            <w:tcW w:w="1680" w:type="dxa"/>
            <w:vAlign w:val="bottom"/>
          </w:tcPr>
          <w:p>
            <w:pPr>
              <w:ind w:left="60"/>
              <w:spacing w:after="0"/>
              <w:rPr>
                <w:sz w:val="20"/>
                <w:szCs w:val="20"/>
                <w:color w:val="auto"/>
              </w:rPr>
            </w:pPr>
            <w:r>
              <w:rPr>
                <w:rFonts w:ascii="Arial" w:cs="Arial" w:eastAsia="Arial" w:hAnsi="Arial"/>
                <w:sz w:val="16"/>
                <w:szCs w:val="16"/>
                <w:color w:val="092E44"/>
              </w:rPr>
              <w:t>ABSTAIN for</w:t>
            </w:r>
          </w:p>
        </w:tc>
        <w:tc>
          <w:tcPr>
            <w:tcW w:w="1540" w:type="dxa"/>
            <w:vAlign w:val="bottom"/>
          </w:tcPr>
          <w:p>
            <w:pPr>
              <w:ind w:left="240"/>
              <w:spacing w:after="0"/>
              <w:rPr>
                <w:sz w:val="20"/>
                <w:szCs w:val="20"/>
                <w:color w:val="auto"/>
              </w:rPr>
            </w:pPr>
            <w:r>
              <w:rPr>
                <w:rFonts w:ascii="Arial" w:cs="Arial" w:eastAsia="Arial" w:hAnsi="Arial"/>
                <w:sz w:val="16"/>
                <w:szCs w:val="16"/>
                <w:b w:val="1"/>
                <w:bCs w:val="1"/>
                <w:color w:val="092E44"/>
              </w:rPr>
              <w:t>nominee</w:t>
            </w:r>
          </w:p>
        </w:tc>
        <w:tc>
          <w:tcPr>
            <w:tcW w:w="4220" w:type="dxa"/>
            <w:vAlign w:val="bottom"/>
          </w:tcPr>
          <w:p>
            <w:pPr>
              <w:ind w:left="200"/>
              <w:spacing w:after="0"/>
              <w:rPr>
                <w:sz w:val="20"/>
                <w:szCs w:val="20"/>
                <w:color w:val="auto"/>
              </w:rPr>
            </w:pPr>
            <w:r>
              <w:rPr>
                <w:rFonts w:ascii="Arial" w:cs="Arial" w:eastAsia="Arial" w:hAnsi="Arial"/>
                <w:sz w:val="16"/>
                <w:szCs w:val="16"/>
                <w:color w:val="092E44"/>
              </w:rPr>
              <w:t>majority of the votes cast on the proposal.</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7"/>
                <w:szCs w:val="17"/>
                <w:color w:val="auto"/>
              </w:rPr>
            </w:pPr>
          </w:p>
        </w:tc>
        <w:tc>
          <w:tcPr>
            <w:tcW w:w="1680" w:type="dxa"/>
            <w:vAlign w:val="bottom"/>
          </w:tcPr>
          <w:p>
            <w:pPr>
              <w:ind w:left="60"/>
              <w:spacing w:after="0"/>
              <w:rPr>
                <w:sz w:val="20"/>
                <w:szCs w:val="20"/>
                <w:color w:val="auto"/>
              </w:rPr>
            </w:pPr>
            <w:r>
              <w:rPr>
                <w:rFonts w:ascii="Arial" w:cs="Arial" w:eastAsia="Arial" w:hAnsi="Arial"/>
                <w:sz w:val="16"/>
                <w:szCs w:val="16"/>
                <w:color w:val="092E44"/>
              </w:rPr>
              <w:t>each nominee</w:t>
            </w:r>
          </w:p>
        </w:tc>
        <w:tc>
          <w:tcPr>
            <w:tcW w:w="15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420" w:type="dxa"/>
            <w:vAlign w:val="bottom"/>
            <w:shd w:val="clear" w:color="auto" w:fill="DDE9F2"/>
          </w:tcPr>
          <w:p>
            <w:pPr>
              <w:ind w:left="120"/>
              <w:spacing w:after="0" w:line="175" w:lineRule="exact"/>
              <w:rPr>
                <w:sz w:val="20"/>
                <w:szCs w:val="20"/>
                <w:color w:val="auto"/>
              </w:rPr>
            </w:pPr>
            <w:r>
              <w:rPr>
                <w:rFonts w:ascii="Arial" w:cs="Arial" w:eastAsia="Arial" w:hAnsi="Arial"/>
                <w:sz w:val="16"/>
                <w:szCs w:val="16"/>
                <w:color w:val="092E44"/>
              </w:rPr>
              <w:t>Approval to amend</w:t>
            </w:r>
          </w:p>
        </w:tc>
        <w:tc>
          <w:tcPr>
            <w:tcW w:w="1680" w:type="dxa"/>
            <w:vAlign w:val="bottom"/>
            <w:shd w:val="clear" w:color="auto" w:fill="DDE9F2"/>
          </w:tcPr>
          <w:p>
            <w:pPr>
              <w:ind w:left="60"/>
              <w:spacing w:after="0" w:line="175" w:lineRule="exact"/>
              <w:rPr>
                <w:sz w:val="20"/>
                <w:szCs w:val="20"/>
                <w:color w:val="auto"/>
              </w:rPr>
            </w:pPr>
            <w:r>
              <w:rPr>
                <w:rFonts w:ascii="Arial" w:cs="Arial" w:eastAsia="Arial" w:hAnsi="Arial"/>
                <w:sz w:val="16"/>
                <w:szCs w:val="16"/>
                <w:color w:val="092E44"/>
              </w:rPr>
              <w:t>FOR, AGAINST, or</w:t>
            </w:r>
          </w:p>
        </w:tc>
        <w:tc>
          <w:tcPr>
            <w:tcW w:w="1540" w:type="dxa"/>
            <w:vAlign w:val="bottom"/>
            <w:shd w:val="clear" w:color="auto" w:fill="DDE9F2"/>
          </w:tcPr>
          <w:p>
            <w:pPr>
              <w:ind w:left="240"/>
              <w:spacing w:after="0" w:line="175" w:lineRule="exact"/>
              <w:rPr>
                <w:sz w:val="20"/>
                <w:szCs w:val="20"/>
                <w:color w:val="auto"/>
              </w:rPr>
            </w:pPr>
            <w:r>
              <w:rPr>
                <w:rFonts w:ascii="Arial" w:cs="Arial" w:eastAsia="Arial" w:hAnsi="Arial"/>
                <w:sz w:val="16"/>
                <w:szCs w:val="16"/>
                <w:b w:val="1"/>
                <w:bCs w:val="1"/>
                <w:color w:val="E14A6A"/>
              </w:rPr>
              <w:t>FOR</w:t>
            </w:r>
          </w:p>
        </w:tc>
        <w:tc>
          <w:tcPr>
            <w:tcW w:w="4220" w:type="dxa"/>
            <w:vAlign w:val="bottom"/>
            <w:shd w:val="clear" w:color="auto" w:fill="DDE9F2"/>
          </w:tcPr>
          <w:p>
            <w:pPr>
              <w:ind w:left="200"/>
              <w:spacing w:after="0" w:line="175" w:lineRule="exact"/>
              <w:rPr>
                <w:sz w:val="20"/>
                <w:szCs w:val="20"/>
                <w:color w:val="auto"/>
              </w:rPr>
            </w:pPr>
            <w:r>
              <w:rPr>
                <w:rFonts w:ascii="Arial" w:cs="Arial" w:eastAsia="Arial" w:hAnsi="Arial"/>
                <w:sz w:val="16"/>
                <w:szCs w:val="16"/>
                <w:color w:val="092E44"/>
              </w:rPr>
              <w:t>The affirmative vote of stockholders of a majority of the</w:t>
            </w:r>
          </w:p>
        </w:tc>
        <w:tc>
          <w:tcPr>
            <w:tcW w:w="1380" w:type="dxa"/>
            <w:vAlign w:val="bottom"/>
            <w:shd w:val="clear" w:color="auto" w:fill="DDE9F2"/>
          </w:tcPr>
          <w:p>
            <w:pPr>
              <w:ind w:left="60"/>
              <w:spacing w:after="0" w:line="175" w:lineRule="exact"/>
              <w:rPr>
                <w:sz w:val="20"/>
                <w:szCs w:val="20"/>
                <w:color w:val="auto"/>
              </w:rPr>
            </w:pPr>
            <w:r>
              <w:rPr>
                <w:rFonts w:ascii="Arial" w:cs="Arial" w:eastAsia="Arial" w:hAnsi="Arial"/>
                <w:sz w:val="16"/>
                <w:szCs w:val="16"/>
                <w:color w:val="092E44"/>
              </w:rPr>
              <w:t>Treated as</w:t>
            </w:r>
          </w:p>
        </w:tc>
        <w:tc>
          <w:tcPr>
            <w:tcW w:w="0" w:type="dxa"/>
            <w:vAlign w:val="bottom"/>
          </w:tcPr>
          <w:p>
            <w:pPr>
              <w:spacing w:after="0"/>
              <w:rPr>
                <w:sz w:val="1"/>
                <w:szCs w:val="1"/>
                <w:color w:val="auto"/>
              </w:rPr>
            </w:pPr>
          </w:p>
        </w:tc>
      </w:tr>
      <w:tr>
        <w:trPr>
          <w:trHeight w:val="219"/>
        </w:trPr>
        <w:tc>
          <w:tcPr>
            <w:tcW w:w="2420" w:type="dxa"/>
            <w:vAlign w:val="bottom"/>
            <w:shd w:val="clear" w:color="auto" w:fill="DDE9F2"/>
          </w:tcPr>
          <w:p>
            <w:pPr>
              <w:ind w:left="120"/>
              <w:spacing w:after="0"/>
              <w:rPr>
                <w:sz w:val="20"/>
                <w:szCs w:val="20"/>
                <w:color w:val="auto"/>
              </w:rPr>
            </w:pPr>
            <w:r>
              <w:rPr>
                <w:rFonts w:ascii="Arial" w:cs="Arial" w:eastAsia="Arial" w:hAnsi="Arial"/>
                <w:sz w:val="16"/>
                <w:szCs w:val="16"/>
                <w:color w:val="092E44"/>
              </w:rPr>
              <w:t>Commvault’s Amended and</w:t>
            </w:r>
          </w:p>
        </w:tc>
        <w:tc>
          <w:tcPr>
            <w:tcW w:w="168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ABSTAIN</w:t>
            </w:r>
          </w:p>
        </w:tc>
        <w:tc>
          <w:tcPr>
            <w:tcW w:w="1540" w:type="dxa"/>
            <w:vAlign w:val="bottom"/>
            <w:shd w:val="clear" w:color="auto" w:fill="DDE9F2"/>
          </w:tcPr>
          <w:p>
            <w:pPr>
              <w:spacing w:after="0"/>
              <w:rPr>
                <w:sz w:val="19"/>
                <w:szCs w:val="19"/>
                <w:color w:val="auto"/>
              </w:rPr>
            </w:pPr>
          </w:p>
        </w:tc>
        <w:tc>
          <w:tcPr>
            <w:tcW w:w="422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outstanding shares of stock entitled to vote on the</w:t>
            </w:r>
          </w:p>
        </w:tc>
        <w:tc>
          <w:tcPr>
            <w:tcW w:w="138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vote AGAINST</w:t>
            </w:r>
          </w:p>
        </w:tc>
        <w:tc>
          <w:tcPr>
            <w:tcW w:w="0" w:type="dxa"/>
            <w:vAlign w:val="bottom"/>
          </w:tcPr>
          <w:p>
            <w:pPr>
              <w:spacing w:after="0"/>
              <w:rPr>
                <w:sz w:val="1"/>
                <w:szCs w:val="1"/>
                <w:color w:val="auto"/>
              </w:rPr>
            </w:pPr>
          </w:p>
        </w:tc>
      </w:tr>
      <w:tr>
        <w:trPr>
          <w:trHeight w:val="203"/>
        </w:trPr>
        <w:tc>
          <w:tcPr>
            <w:tcW w:w="2420" w:type="dxa"/>
            <w:vAlign w:val="bottom"/>
            <w:shd w:val="clear" w:color="auto" w:fill="DDE9F2"/>
          </w:tcPr>
          <w:p>
            <w:pPr>
              <w:ind w:left="120"/>
              <w:spacing w:after="0"/>
              <w:rPr>
                <w:sz w:val="20"/>
                <w:szCs w:val="20"/>
                <w:color w:val="auto"/>
              </w:rPr>
            </w:pPr>
            <w:r>
              <w:rPr>
                <w:rFonts w:ascii="Arial" w:cs="Arial" w:eastAsia="Arial" w:hAnsi="Arial"/>
                <w:sz w:val="16"/>
                <w:szCs w:val="16"/>
                <w:color w:val="092E44"/>
              </w:rPr>
              <w:t>Restated Certificate of</w:t>
            </w:r>
          </w:p>
        </w:tc>
        <w:tc>
          <w:tcPr>
            <w:tcW w:w="1680" w:type="dxa"/>
            <w:vAlign w:val="bottom"/>
            <w:shd w:val="clear" w:color="auto" w:fill="DDE9F2"/>
          </w:tcPr>
          <w:p>
            <w:pPr>
              <w:spacing w:after="0"/>
              <w:rPr>
                <w:sz w:val="17"/>
                <w:szCs w:val="17"/>
                <w:color w:val="auto"/>
              </w:rPr>
            </w:pPr>
          </w:p>
        </w:tc>
        <w:tc>
          <w:tcPr>
            <w:tcW w:w="1540" w:type="dxa"/>
            <w:vAlign w:val="bottom"/>
            <w:shd w:val="clear" w:color="auto" w:fill="DDE9F2"/>
          </w:tcPr>
          <w:p>
            <w:pPr>
              <w:spacing w:after="0"/>
              <w:rPr>
                <w:sz w:val="17"/>
                <w:szCs w:val="17"/>
                <w:color w:val="auto"/>
              </w:rPr>
            </w:pPr>
          </w:p>
        </w:tc>
        <w:tc>
          <w:tcPr>
            <w:tcW w:w="422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proposal.</w:t>
            </w:r>
          </w:p>
        </w:tc>
        <w:tc>
          <w:tcPr>
            <w:tcW w:w="1380" w:type="dxa"/>
            <w:vAlign w:val="bottom"/>
            <w:shd w:val="clear" w:color="auto" w:fill="DDE9F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DDE9F2"/>
          </w:tcPr>
          <w:p>
            <w:pPr>
              <w:ind w:left="120"/>
              <w:spacing w:after="0"/>
              <w:rPr>
                <w:sz w:val="20"/>
                <w:szCs w:val="20"/>
                <w:color w:val="auto"/>
              </w:rPr>
            </w:pPr>
            <w:r>
              <w:rPr>
                <w:rFonts w:ascii="Arial" w:cs="Arial" w:eastAsia="Arial" w:hAnsi="Arial"/>
                <w:sz w:val="16"/>
                <w:szCs w:val="16"/>
                <w:color w:val="092E44"/>
              </w:rPr>
              <w:t>Incorporation to include officer</w:t>
            </w:r>
          </w:p>
        </w:tc>
        <w:tc>
          <w:tcPr>
            <w:tcW w:w="1680" w:type="dxa"/>
            <w:vAlign w:val="bottom"/>
            <w:shd w:val="clear" w:color="auto" w:fill="DDE9F2"/>
          </w:tcPr>
          <w:p>
            <w:pPr>
              <w:spacing w:after="0"/>
              <w:rPr>
                <w:sz w:val="16"/>
                <w:szCs w:val="16"/>
                <w:color w:val="auto"/>
              </w:rPr>
            </w:pPr>
          </w:p>
        </w:tc>
        <w:tc>
          <w:tcPr>
            <w:tcW w:w="1540" w:type="dxa"/>
            <w:vAlign w:val="bottom"/>
            <w:shd w:val="clear" w:color="auto" w:fill="DDE9F2"/>
          </w:tcPr>
          <w:p>
            <w:pPr>
              <w:spacing w:after="0"/>
              <w:rPr>
                <w:sz w:val="16"/>
                <w:szCs w:val="16"/>
                <w:color w:val="auto"/>
              </w:rPr>
            </w:pPr>
          </w:p>
        </w:tc>
        <w:tc>
          <w:tcPr>
            <w:tcW w:w="4220" w:type="dxa"/>
            <w:vAlign w:val="bottom"/>
            <w:shd w:val="clear" w:color="auto" w:fill="DDE9F2"/>
          </w:tcPr>
          <w:p>
            <w:pPr>
              <w:spacing w:after="0"/>
              <w:rPr>
                <w:sz w:val="16"/>
                <w:szCs w:val="16"/>
                <w:color w:val="auto"/>
              </w:rPr>
            </w:pPr>
          </w:p>
        </w:tc>
        <w:tc>
          <w:tcPr>
            <w:tcW w:w="1380" w:type="dxa"/>
            <w:vAlign w:val="bottom"/>
            <w:shd w:val="clear" w:color="auto" w:fill="DDE9F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DDE9F2"/>
            </w:tcBorders>
            <w:shd w:val="clear" w:color="auto" w:fill="DDE9F2"/>
          </w:tcPr>
          <w:p>
            <w:pPr>
              <w:ind w:left="120"/>
              <w:spacing w:after="0"/>
              <w:rPr>
                <w:sz w:val="20"/>
                <w:szCs w:val="20"/>
                <w:color w:val="auto"/>
              </w:rPr>
            </w:pPr>
            <w:r>
              <w:rPr>
                <w:rFonts w:ascii="Arial" w:cs="Arial" w:eastAsia="Arial" w:hAnsi="Arial"/>
                <w:sz w:val="16"/>
                <w:szCs w:val="16"/>
                <w:color w:val="092E44"/>
              </w:rPr>
              <w:t>exculpation</w:t>
            </w:r>
          </w:p>
        </w:tc>
        <w:tc>
          <w:tcPr>
            <w:tcW w:w="1680" w:type="dxa"/>
            <w:vAlign w:val="bottom"/>
            <w:tcBorders>
              <w:bottom w:val="single" w:sz="8" w:color="DDE9F2"/>
            </w:tcBorders>
            <w:shd w:val="clear" w:color="auto" w:fill="DDE9F2"/>
          </w:tcPr>
          <w:p>
            <w:pPr>
              <w:spacing w:after="0"/>
              <w:rPr>
                <w:sz w:val="19"/>
                <w:szCs w:val="19"/>
                <w:color w:val="auto"/>
              </w:rPr>
            </w:pPr>
          </w:p>
        </w:tc>
        <w:tc>
          <w:tcPr>
            <w:tcW w:w="1540" w:type="dxa"/>
            <w:vAlign w:val="bottom"/>
            <w:tcBorders>
              <w:bottom w:val="single" w:sz="8" w:color="DDE9F2"/>
            </w:tcBorders>
            <w:shd w:val="clear" w:color="auto" w:fill="DDE9F2"/>
          </w:tcPr>
          <w:p>
            <w:pPr>
              <w:spacing w:after="0"/>
              <w:rPr>
                <w:sz w:val="19"/>
                <w:szCs w:val="19"/>
                <w:color w:val="auto"/>
              </w:rPr>
            </w:pPr>
          </w:p>
        </w:tc>
        <w:tc>
          <w:tcPr>
            <w:tcW w:w="4220" w:type="dxa"/>
            <w:vAlign w:val="bottom"/>
            <w:tcBorders>
              <w:bottom w:val="single" w:sz="8" w:color="DDE9F2"/>
            </w:tcBorders>
            <w:shd w:val="clear" w:color="auto" w:fill="DDE9F2"/>
          </w:tcPr>
          <w:p>
            <w:pPr>
              <w:spacing w:after="0"/>
              <w:rPr>
                <w:sz w:val="19"/>
                <w:szCs w:val="19"/>
                <w:color w:val="auto"/>
              </w:rPr>
            </w:pPr>
          </w:p>
        </w:tc>
        <w:tc>
          <w:tcPr>
            <w:tcW w:w="1380" w:type="dxa"/>
            <w:vAlign w:val="bottom"/>
            <w:tcBorders>
              <w:bottom w:val="single" w:sz="8" w:color="DDE9F2"/>
            </w:tcBorders>
            <w:shd w:val="clear" w:color="auto" w:fill="DDE9F2"/>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092E44"/>
              </w:rPr>
              <w:t>Advisory vote on Commvault’s</w:t>
            </w:r>
          </w:p>
        </w:tc>
        <w:tc>
          <w:tcPr>
            <w:tcW w:w="1680" w:type="dxa"/>
            <w:vAlign w:val="bottom"/>
          </w:tcPr>
          <w:p>
            <w:pPr>
              <w:ind w:left="60"/>
              <w:spacing w:after="0"/>
              <w:rPr>
                <w:sz w:val="20"/>
                <w:szCs w:val="20"/>
                <w:color w:val="auto"/>
              </w:rPr>
            </w:pPr>
            <w:r>
              <w:rPr>
                <w:rFonts w:ascii="Arial" w:cs="Arial" w:eastAsia="Arial" w:hAnsi="Arial"/>
                <w:sz w:val="16"/>
                <w:szCs w:val="16"/>
                <w:color w:val="092E44"/>
              </w:rPr>
              <w:t>FOR, AGAINST, or</w:t>
            </w:r>
          </w:p>
        </w:tc>
        <w:tc>
          <w:tcPr>
            <w:tcW w:w="1540" w:type="dxa"/>
            <w:vAlign w:val="bottom"/>
          </w:tcPr>
          <w:p>
            <w:pPr>
              <w:ind w:left="240"/>
              <w:spacing w:after="0"/>
              <w:rPr>
                <w:sz w:val="20"/>
                <w:szCs w:val="20"/>
                <w:color w:val="auto"/>
              </w:rPr>
            </w:pPr>
            <w:r>
              <w:rPr>
                <w:rFonts w:ascii="Arial" w:cs="Arial" w:eastAsia="Arial" w:hAnsi="Arial"/>
                <w:sz w:val="16"/>
                <w:szCs w:val="16"/>
                <w:b w:val="1"/>
                <w:bCs w:val="1"/>
                <w:color w:val="E14A6A"/>
              </w:rPr>
              <w:t>FOR</w:t>
            </w:r>
          </w:p>
        </w:tc>
        <w:tc>
          <w:tcPr>
            <w:tcW w:w="4220" w:type="dxa"/>
            <w:vAlign w:val="bottom"/>
          </w:tcPr>
          <w:p>
            <w:pPr>
              <w:ind w:left="200"/>
              <w:spacing w:after="0"/>
              <w:rPr>
                <w:sz w:val="20"/>
                <w:szCs w:val="20"/>
                <w:color w:val="auto"/>
              </w:rPr>
            </w:pPr>
            <w:r>
              <w:rPr>
                <w:rFonts w:ascii="Arial" w:cs="Arial" w:eastAsia="Arial" w:hAnsi="Arial"/>
                <w:sz w:val="16"/>
                <w:szCs w:val="16"/>
                <w:color w:val="092E44"/>
              </w:rPr>
              <w:t>As a non-binding, advisory vote, there is no specific</w:t>
            </w:r>
          </w:p>
        </w:tc>
        <w:tc>
          <w:tcPr>
            <w:tcW w:w="1380" w:type="dxa"/>
            <w:vAlign w:val="bottom"/>
          </w:tcPr>
          <w:p>
            <w:pPr>
              <w:ind w:left="6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189"/>
        </w:trPr>
        <w:tc>
          <w:tcPr>
            <w:tcW w:w="2420" w:type="dxa"/>
            <w:vAlign w:val="bottom"/>
          </w:tcPr>
          <w:p>
            <w:pPr>
              <w:ind w:left="120"/>
              <w:spacing w:after="0"/>
              <w:rPr>
                <w:sz w:val="20"/>
                <w:szCs w:val="20"/>
                <w:color w:val="auto"/>
              </w:rPr>
            </w:pPr>
            <w:r>
              <w:rPr>
                <w:rFonts w:ascii="Arial" w:cs="Arial" w:eastAsia="Arial" w:hAnsi="Arial"/>
                <w:sz w:val="16"/>
                <w:szCs w:val="16"/>
                <w:color w:val="092E44"/>
              </w:rPr>
              <w:t>executive compensation</w:t>
            </w:r>
          </w:p>
        </w:tc>
        <w:tc>
          <w:tcPr>
            <w:tcW w:w="1680" w:type="dxa"/>
            <w:vAlign w:val="bottom"/>
          </w:tcPr>
          <w:p>
            <w:pPr>
              <w:ind w:left="60"/>
              <w:spacing w:after="0"/>
              <w:rPr>
                <w:sz w:val="20"/>
                <w:szCs w:val="20"/>
                <w:color w:val="auto"/>
              </w:rPr>
            </w:pPr>
            <w:r>
              <w:rPr>
                <w:rFonts w:ascii="Arial" w:cs="Arial" w:eastAsia="Arial" w:hAnsi="Arial"/>
                <w:sz w:val="16"/>
                <w:szCs w:val="16"/>
                <w:color w:val="092E44"/>
              </w:rPr>
              <w:t>ABSTAIN</w:t>
            </w:r>
          </w:p>
        </w:tc>
        <w:tc>
          <w:tcPr>
            <w:tcW w:w="154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approval requirement. However, Commvault’s Board of</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Directors will review and consider the outcome of this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advisory vote and will take it into account when making</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future compensation decisions.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DDE9F2"/>
          </w:tcPr>
          <w:p>
            <w:pPr>
              <w:ind w:left="120"/>
              <w:spacing w:after="0"/>
              <w:rPr>
                <w:sz w:val="20"/>
                <w:szCs w:val="20"/>
                <w:color w:val="auto"/>
              </w:rPr>
            </w:pPr>
            <w:r>
              <w:rPr>
                <w:rFonts w:ascii="Arial" w:cs="Arial" w:eastAsia="Arial" w:hAnsi="Arial"/>
                <w:sz w:val="16"/>
                <w:szCs w:val="16"/>
                <w:color w:val="092E44"/>
              </w:rPr>
              <w:t>Advisory vote on the frequency</w:t>
            </w:r>
          </w:p>
        </w:tc>
        <w:tc>
          <w:tcPr>
            <w:tcW w:w="168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ONE YEAR,</w:t>
            </w:r>
          </w:p>
        </w:tc>
        <w:tc>
          <w:tcPr>
            <w:tcW w:w="1540" w:type="dxa"/>
            <w:vAlign w:val="bottom"/>
            <w:shd w:val="clear" w:color="auto" w:fill="DDE9F2"/>
          </w:tcPr>
          <w:p>
            <w:pPr>
              <w:ind w:left="240"/>
              <w:spacing w:after="0"/>
              <w:rPr>
                <w:sz w:val="20"/>
                <w:szCs w:val="20"/>
                <w:color w:val="auto"/>
              </w:rPr>
            </w:pPr>
            <w:r>
              <w:rPr>
                <w:rFonts w:ascii="Arial" w:cs="Arial" w:eastAsia="Arial" w:hAnsi="Arial"/>
                <w:sz w:val="16"/>
                <w:szCs w:val="16"/>
                <w:b w:val="1"/>
                <w:bCs w:val="1"/>
                <w:color w:val="E14A6A"/>
              </w:rPr>
              <w:t>ONE YEAR</w:t>
            </w:r>
          </w:p>
        </w:tc>
        <w:tc>
          <w:tcPr>
            <w:tcW w:w="422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As a non-binding, advisory vote, there is no specific</w:t>
            </w:r>
          </w:p>
        </w:tc>
        <w:tc>
          <w:tcPr>
            <w:tcW w:w="138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189"/>
        </w:trPr>
        <w:tc>
          <w:tcPr>
            <w:tcW w:w="2420" w:type="dxa"/>
            <w:vAlign w:val="bottom"/>
            <w:shd w:val="clear" w:color="auto" w:fill="DDE9F2"/>
          </w:tcPr>
          <w:p>
            <w:pPr>
              <w:ind w:left="120"/>
              <w:spacing w:after="0"/>
              <w:rPr>
                <w:sz w:val="20"/>
                <w:szCs w:val="20"/>
                <w:color w:val="auto"/>
              </w:rPr>
            </w:pPr>
            <w:r>
              <w:rPr>
                <w:rFonts w:ascii="Arial" w:cs="Arial" w:eastAsia="Arial" w:hAnsi="Arial"/>
                <w:sz w:val="16"/>
                <w:szCs w:val="16"/>
                <w:color w:val="092E44"/>
              </w:rPr>
              <w:t>of future advisory votes on</w:t>
            </w:r>
          </w:p>
        </w:tc>
        <w:tc>
          <w:tcPr>
            <w:tcW w:w="168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TWO YEARS,</w:t>
            </w:r>
          </w:p>
        </w:tc>
        <w:tc>
          <w:tcPr>
            <w:tcW w:w="1540" w:type="dxa"/>
            <w:vAlign w:val="bottom"/>
            <w:shd w:val="clear" w:color="auto" w:fill="DDE9F2"/>
          </w:tcPr>
          <w:p>
            <w:pPr>
              <w:spacing w:after="0"/>
              <w:rPr>
                <w:sz w:val="16"/>
                <w:szCs w:val="16"/>
                <w:color w:val="auto"/>
              </w:rPr>
            </w:pPr>
          </w:p>
        </w:tc>
        <w:tc>
          <w:tcPr>
            <w:tcW w:w="422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approval requirement. However, Commvault’s Board of</w:t>
            </w:r>
          </w:p>
        </w:tc>
        <w:tc>
          <w:tcPr>
            <w:tcW w:w="1380" w:type="dxa"/>
            <w:vAlign w:val="bottom"/>
            <w:shd w:val="clear" w:color="auto" w:fill="DDE9F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DDE9F2"/>
          </w:tcPr>
          <w:p>
            <w:pPr>
              <w:ind w:left="120"/>
              <w:spacing w:after="0"/>
              <w:rPr>
                <w:sz w:val="20"/>
                <w:szCs w:val="20"/>
                <w:color w:val="auto"/>
              </w:rPr>
            </w:pPr>
            <w:r>
              <w:rPr>
                <w:rFonts w:ascii="Arial" w:cs="Arial" w:eastAsia="Arial" w:hAnsi="Arial"/>
                <w:sz w:val="16"/>
                <w:szCs w:val="16"/>
                <w:color w:val="092E44"/>
              </w:rPr>
              <w:t>Commvault’s executive</w:t>
            </w:r>
          </w:p>
        </w:tc>
        <w:tc>
          <w:tcPr>
            <w:tcW w:w="168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THREE YEARS, or</w:t>
            </w:r>
          </w:p>
        </w:tc>
        <w:tc>
          <w:tcPr>
            <w:tcW w:w="1540" w:type="dxa"/>
            <w:vAlign w:val="bottom"/>
            <w:shd w:val="clear" w:color="auto" w:fill="DDE9F2"/>
          </w:tcPr>
          <w:p>
            <w:pPr>
              <w:spacing w:after="0"/>
              <w:rPr>
                <w:sz w:val="17"/>
                <w:szCs w:val="17"/>
                <w:color w:val="auto"/>
              </w:rPr>
            </w:pPr>
          </w:p>
        </w:tc>
        <w:tc>
          <w:tcPr>
            <w:tcW w:w="422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Directors will consider the frequency (every one, two or</w:t>
            </w:r>
          </w:p>
        </w:tc>
        <w:tc>
          <w:tcPr>
            <w:tcW w:w="1380" w:type="dxa"/>
            <w:vAlign w:val="bottom"/>
            <w:shd w:val="clear" w:color="auto" w:fill="DDE9F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DDE9F2"/>
          </w:tcPr>
          <w:p>
            <w:pPr>
              <w:ind w:left="120"/>
              <w:spacing w:after="0"/>
              <w:rPr>
                <w:sz w:val="20"/>
                <w:szCs w:val="20"/>
                <w:color w:val="auto"/>
              </w:rPr>
            </w:pPr>
            <w:r>
              <w:rPr>
                <w:rFonts w:ascii="Arial" w:cs="Arial" w:eastAsia="Arial" w:hAnsi="Arial"/>
                <w:sz w:val="16"/>
                <w:szCs w:val="16"/>
                <w:color w:val="092E44"/>
              </w:rPr>
              <w:t>compensation</w:t>
            </w:r>
          </w:p>
        </w:tc>
        <w:tc>
          <w:tcPr>
            <w:tcW w:w="168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ABSTAIN</w:t>
            </w:r>
          </w:p>
        </w:tc>
        <w:tc>
          <w:tcPr>
            <w:tcW w:w="1540" w:type="dxa"/>
            <w:vAlign w:val="bottom"/>
            <w:shd w:val="clear" w:color="auto" w:fill="DDE9F2"/>
          </w:tcPr>
          <w:p>
            <w:pPr>
              <w:spacing w:after="0"/>
              <w:rPr>
                <w:sz w:val="16"/>
                <w:szCs w:val="16"/>
                <w:color w:val="auto"/>
              </w:rPr>
            </w:pPr>
          </w:p>
        </w:tc>
        <w:tc>
          <w:tcPr>
            <w:tcW w:w="422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three years) receiving the most votes as the frequency</w:t>
            </w:r>
          </w:p>
        </w:tc>
        <w:tc>
          <w:tcPr>
            <w:tcW w:w="1380" w:type="dxa"/>
            <w:vAlign w:val="bottom"/>
            <w:shd w:val="clear" w:color="auto" w:fill="DDE9F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20" w:type="dxa"/>
            <w:vAlign w:val="bottom"/>
            <w:shd w:val="clear" w:color="auto" w:fill="DDE9F2"/>
          </w:tcPr>
          <w:p>
            <w:pPr>
              <w:spacing w:after="0"/>
              <w:rPr>
                <w:sz w:val="19"/>
                <w:szCs w:val="19"/>
                <w:color w:val="auto"/>
              </w:rPr>
            </w:pPr>
          </w:p>
        </w:tc>
        <w:tc>
          <w:tcPr>
            <w:tcW w:w="1680" w:type="dxa"/>
            <w:vAlign w:val="bottom"/>
            <w:shd w:val="clear" w:color="auto" w:fill="DDE9F2"/>
          </w:tcPr>
          <w:p>
            <w:pPr>
              <w:spacing w:after="0"/>
              <w:rPr>
                <w:sz w:val="19"/>
                <w:szCs w:val="19"/>
                <w:color w:val="auto"/>
              </w:rPr>
            </w:pPr>
          </w:p>
        </w:tc>
        <w:tc>
          <w:tcPr>
            <w:tcW w:w="1540" w:type="dxa"/>
            <w:vAlign w:val="bottom"/>
            <w:shd w:val="clear" w:color="auto" w:fill="DDE9F2"/>
          </w:tcPr>
          <w:p>
            <w:pPr>
              <w:spacing w:after="0"/>
              <w:rPr>
                <w:sz w:val="19"/>
                <w:szCs w:val="19"/>
                <w:color w:val="auto"/>
              </w:rPr>
            </w:pPr>
          </w:p>
        </w:tc>
        <w:tc>
          <w:tcPr>
            <w:tcW w:w="422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recommended by stockholders.</w:t>
            </w:r>
          </w:p>
        </w:tc>
        <w:tc>
          <w:tcPr>
            <w:tcW w:w="1380" w:type="dxa"/>
            <w:vAlign w:val="bottom"/>
            <w:shd w:val="clear" w:color="auto" w:fill="DDE9F2"/>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6" w:lineRule="exact"/>
        <w:rPr>
          <w:sz w:val="20"/>
          <w:szCs w:val="20"/>
          <w:color w:val="auto"/>
        </w:rPr>
      </w:pPr>
    </w:p>
    <w:p>
      <w:pPr>
        <w:ind w:left="120"/>
        <w:spacing w:after="0"/>
        <w:tabs>
          <w:tab w:leader="none" w:pos="2460" w:val="left"/>
        </w:tabs>
        <w:rPr>
          <w:sz w:val="20"/>
          <w:szCs w:val="20"/>
          <w:color w:val="auto"/>
        </w:rPr>
      </w:pPr>
      <w:r>
        <w:rPr>
          <w:rFonts w:ascii="Arial" w:cs="Arial" w:eastAsia="Arial" w:hAnsi="Arial"/>
          <w:sz w:val="16"/>
          <w:szCs w:val="16"/>
          <w:color w:val="092E44"/>
        </w:rPr>
        <w:t>Ratification of the independent</w:t>
      </w:r>
      <w:r>
        <w:rPr>
          <w:sz w:val="20"/>
          <w:szCs w:val="20"/>
          <w:color w:val="auto"/>
        </w:rPr>
        <w:tab/>
      </w:r>
      <w:r>
        <w:rPr>
          <w:rFonts w:ascii="Arial" w:cs="Arial" w:eastAsia="Arial" w:hAnsi="Arial"/>
          <w:sz w:val="15"/>
          <w:szCs w:val="15"/>
          <w:color w:val="092E44"/>
        </w:rPr>
        <w:t>FOR, AGAINST, or</w:t>
      </w:r>
    </w:p>
    <w:p>
      <w:pPr>
        <w:spacing w:after="0" w:line="23" w:lineRule="exact"/>
        <w:rPr>
          <w:sz w:val="20"/>
          <w:szCs w:val="20"/>
          <w:color w:val="auto"/>
        </w:rPr>
      </w:pPr>
    </w:p>
    <w:p>
      <w:pPr>
        <w:ind w:left="120"/>
        <w:spacing w:after="0"/>
        <w:tabs>
          <w:tab w:leader="none" w:pos="2460" w:val="left"/>
        </w:tabs>
        <w:rPr>
          <w:sz w:val="20"/>
          <w:szCs w:val="20"/>
          <w:color w:val="auto"/>
        </w:rPr>
      </w:pPr>
      <w:r>
        <w:rPr>
          <w:rFonts w:ascii="Arial" w:cs="Arial" w:eastAsia="Arial" w:hAnsi="Arial"/>
          <w:sz w:val="16"/>
          <w:szCs w:val="16"/>
          <w:color w:val="092E44"/>
        </w:rPr>
        <w:t>auditors</w:t>
      </w:r>
      <w:r>
        <w:rPr>
          <w:sz w:val="20"/>
          <w:szCs w:val="20"/>
          <w:color w:val="auto"/>
        </w:rPr>
        <w:tab/>
      </w:r>
      <w:r>
        <w:rPr>
          <w:rFonts w:ascii="Arial" w:cs="Arial" w:eastAsia="Arial" w:hAnsi="Arial"/>
          <w:sz w:val="16"/>
          <w:szCs w:val="16"/>
          <w:color w:val="092E44"/>
        </w:rPr>
        <w:t>ABSTAIN</w:t>
      </w:r>
    </w:p>
    <w:p>
      <w:pPr>
        <w:spacing w:after="0" w:line="55" w:lineRule="exact"/>
        <w:rPr>
          <w:sz w:val="20"/>
          <w:szCs w:val="20"/>
          <w:color w:val="auto"/>
        </w:rPr>
      </w:pPr>
    </w:p>
    <w:p>
      <w:pPr>
        <w:ind w:left="120"/>
        <w:spacing w:after="0"/>
        <w:tabs>
          <w:tab w:leader="none" w:pos="2460" w:val="left"/>
        </w:tabs>
        <w:rPr>
          <w:sz w:val="20"/>
          <w:szCs w:val="20"/>
          <w:color w:val="auto"/>
        </w:rPr>
      </w:pPr>
      <w:r>
        <w:rPr>
          <w:rFonts w:ascii="Arial" w:cs="Arial" w:eastAsia="Arial" w:hAnsi="Arial"/>
          <w:sz w:val="16"/>
          <w:szCs w:val="16"/>
          <w:color w:val="092E44"/>
        </w:rPr>
        <w:t>Approval of additional shares</w:t>
      </w:r>
      <w:r>
        <w:rPr>
          <w:sz w:val="20"/>
          <w:szCs w:val="20"/>
          <w:color w:val="auto"/>
        </w:rPr>
        <w:tab/>
      </w:r>
      <w:r>
        <w:rPr>
          <w:rFonts w:ascii="Arial" w:cs="Arial" w:eastAsia="Arial" w:hAnsi="Arial"/>
          <w:sz w:val="15"/>
          <w:szCs w:val="15"/>
          <w:color w:val="092E44"/>
        </w:rPr>
        <w:t>FOR, AGAINST, or</w:t>
      </w:r>
    </w:p>
    <w:p>
      <w:pPr>
        <w:spacing w:after="0" w:line="23" w:lineRule="exact"/>
        <w:rPr>
          <w:sz w:val="20"/>
          <w:szCs w:val="20"/>
          <w:color w:val="auto"/>
        </w:rPr>
      </w:pPr>
    </w:p>
    <w:p>
      <w:pPr>
        <w:ind w:left="120"/>
        <w:spacing w:after="0"/>
        <w:tabs>
          <w:tab w:leader="none" w:pos="2460" w:val="left"/>
        </w:tabs>
        <w:rPr>
          <w:sz w:val="20"/>
          <w:szCs w:val="20"/>
          <w:color w:val="auto"/>
        </w:rPr>
      </w:pPr>
      <w:r>
        <w:rPr>
          <w:rFonts w:ascii="Arial" w:cs="Arial" w:eastAsia="Arial" w:hAnsi="Arial"/>
          <w:sz w:val="16"/>
          <w:szCs w:val="16"/>
          <w:color w:val="092E44"/>
        </w:rPr>
        <w:t>to be available for issuance</w:t>
      </w:r>
      <w:r>
        <w:rPr>
          <w:sz w:val="20"/>
          <w:szCs w:val="20"/>
          <w:color w:val="auto"/>
        </w:rPr>
        <w:tab/>
      </w:r>
      <w:r>
        <w:rPr>
          <w:rFonts w:ascii="Arial" w:cs="Arial" w:eastAsia="Arial" w:hAnsi="Arial"/>
          <w:sz w:val="15"/>
          <w:szCs w:val="15"/>
          <w:color w:val="092E44"/>
        </w:rPr>
        <w:t>ABSTAIN</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color w:val="092E44"/>
        </w:rPr>
        <w:t>under Commvault’s 2016</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092E44"/>
        </w:rPr>
        <w:t>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E14A6A"/>
        </w:rPr>
        <w:t>FOR</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E14A6A"/>
        </w:rPr>
        <w:t>FOR</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092E44"/>
        </w:rPr>
        <w:t>The affirmative vote of a majority of the votes cast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-9525</wp:posOffset>
            </wp:positionV>
            <wp:extent cx="7132320" cy="531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93" w:lineRule="auto"/>
        <w:rPr>
          <w:sz w:val="20"/>
          <w:szCs w:val="20"/>
          <w:color w:val="auto"/>
        </w:rPr>
      </w:pPr>
      <w:r>
        <w:rPr>
          <w:rFonts w:ascii="Arial" w:cs="Arial" w:eastAsia="Arial" w:hAnsi="Arial"/>
          <w:sz w:val="16"/>
          <w:szCs w:val="16"/>
          <w:color w:val="092E44"/>
        </w:rPr>
        <w:t>The affirmative vote of a majority of the votes cast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235585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92E44"/>
        </w:rPr>
        <w:t>No effect</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92E44"/>
        </w:rPr>
        <w:t>No effect</w:t>
      </w:r>
    </w:p>
    <w:p>
      <w:pPr>
        <w:spacing w:after="0" w:line="795" w:lineRule="exact"/>
        <w:rPr>
          <w:sz w:val="20"/>
          <w:szCs w:val="20"/>
          <w:color w:val="auto"/>
        </w:rPr>
      </w:pPr>
    </w:p>
    <w:p>
      <w:pPr>
        <w:sectPr>
          <w:pgSz w:w="11900" w:h="16838" w:orient="portrait"/>
          <w:cols w:equalWidth="0" w:num="4">
            <w:col w:w="3820" w:space="520"/>
            <w:col w:w="780" w:space="720"/>
            <w:col w:w="3800" w:space="280"/>
            <w:col w:w="1320"/>
          </w:cols>
          <w:pgMar w:left="320" w:top="126" w:right="339" w:bottom="1440" w:gutter="0" w:footer="0" w:header="0"/>
          <w:type w:val="continuous"/>
        </w:sectPr>
      </w:pPr>
    </w:p>
    <w:p>
      <w:pPr>
        <w:ind w:left="340" w:hanging="332"/>
        <w:spacing w:after="0"/>
        <w:tabs>
          <w:tab w:leader="none" w:pos="340" w:val="left"/>
        </w:tabs>
        <w:numPr>
          <w:ilvl w:val="0"/>
          <w:numId w:val="65"/>
        </w:numPr>
        <w:rPr>
          <w:rFonts w:ascii="Arial" w:cs="Arial" w:eastAsia="Arial" w:hAnsi="Arial"/>
          <w:sz w:val="12"/>
          <w:szCs w:val="12"/>
          <w:color w:val="092E44"/>
        </w:rPr>
      </w:pPr>
      <w:r>
        <w:rPr>
          <w:rFonts w:ascii="Arial" w:cs="Arial" w:eastAsia="Arial" w:hAnsi="Arial"/>
          <w:sz w:val="12"/>
          <w:szCs w:val="12"/>
          <w:color w:val="092E44"/>
        </w:rPr>
        <w:t>For an explanation of broker non-votes, please see “How can I vote if I hold my Commvault stock through a broker?”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66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ADDITIONAL INFORMATION ABOUT THE ANNUAL MEETING</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92E44"/>
        </w:rPr>
        <w:t>How can I vote if I do not plan to attend the Annual Meeting?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092E44"/>
        </w:rPr>
        <w:t>Registered stockholders of record may provide voting instructions before the Annual Meeting in one of three ways:</w:t>
      </w:r>
    </w:p>
    <w:p>
      <w:pPr>
        <w:spacing w:after="0" w:line="287" w:lineRule="exact"/>
        <w:rPr>
          <w:sz w:val="20"/>
          <w:szCs w:val="20"/>
          <w:color w:val="auto"/>
        </w:rPr>
      </w:pPr>
    </w:p>
    <w:p>
      <w:pPr>
        <w:jc w:val="both"/>
        <w:ind w:left="1340"/>
        <w:spacing w:after="0"/>
        <w:tabs>
          <w:tab w:leader="none" w:pos="3228" w:val="left"/>
        </w:tabs>
        <w:rPr>
          <w:sz w:val="20"/>
          <w:szCs w:val="20"/>
          <w:color w:val="auto"/>
        </w:rPr>
      </w:pPr>
      <w:r>
        <w:rPr>
          <w:rFonts w:ascii="Arial" w:cs="Arial" w:eastAsia="Arial" w:hAnsi="Arial"/>
          <w:sz w:val="18"/>
          <w:szCs w:val="18"/>
          <w:b w:val="1"/>
          <w:bCs w:val="1"/>
          <w:color w:val="E14A6A"/>
        </w:rPr>
        <w:t>Mail:</w:t>
      </w:r>
      <w:r>
        <w:rPr>
          <w:sz w:val="20"/>
          <w:szCs w:val="20"/>
          <w:color w:val="auto"/>
        </w:rPr>
        <w:tab/>
      </w:r>
      <w:r>
        <w:rPr>
          <w:sz w:val="1"/>
          <w:szCs w:val="1"/>
          <w:color w:val="auto"/>
        </w:rPr>
        <w:drawing>
          <wp:inline distT="0" distB="0" distL="0" distR="0">
            <wp:extent cx="334010" cy="30035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4010" cy="300355"/>
                    </a:xfrm>
                    <a:prstGeom prst="rect">
                      <a:avLst/>
                    </a:prstGeom>
                    <a:noFill/>
                    <a:ln>
                      <a:noFill/>
                    </a:ln>
                  </pic:spPr>
                </pic:pic>
              </a:graphicData>
            </a:graphic>
          </wp:inline>
        </w:drawing>
      </w:r>
      <w:r>
        <w:rPr>
          <w:rFonts w:ascii="Arial" w:cs="Arial" w:eastAsia="Arial" w:hAnsi="Arial"/>
          <w:sz w:val="18"/>
          <w:szCs w:val="18"/>
          <w:b w:val="1"/>
          <w:bCs w:val="1"/>
          <w:color w:val="E14A6A"/>
        </w:rPr>
        <w:t xml:space="preserve">   Online before the Meeting:                </w:t>
      </w:r>
      <w:r>
        <w:rPr>
          <w:sz w:val="1"/>
          <w:szCs w:val="1"/>
          <w:color w:val="auto"/>
        </w:rPr>
        <w:drawing>
          <wp:inline distT="0" distB="0" distL="0" distR="0">
            <wp:extent cx="300355" cy="30035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0355" cy="300355"/>
                    </a:xfrm>
                    <a:prstGeom prst="rect">
                      <a:avLst/>
                    </a:prstGeom>
                    <a:noFill/>
                    <a:ln>
                      <a:noFill/>
                    </a:ln>
                  </pic:spPr>
                </pic:pic>
              </a:graphicData>
            </a:graphic>
          </wp:inline>
        </w:drawing>
      </w:r>
      <w:r>
        <w:rPr>
          <w:rFonts w:ascii="Arial" w:cs="Arial" w:eastAsia="Arial" w:hAnsi="Arial"/>
          <w:sz w:val="18"/>
          <w:szCs w:val="18"/>
          <w:b w:val="1"/>
          <w:bCs w:val="1"/>
          <w:color w:val="E14A6A"/>
        </w:rPr>
        <w:t xml:space="preserv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-264795</wp:posOffset>
            </wp:positionV>
            <wp:extent cx="351790" cy="2311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1790" cy="23114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98" w:lineRule="exact"/>
        <w:rPr>
          <w:sz w:val="20"/>
          <w:szCs w:val="20"/>
          <w:color w:val="auto"/>
        </w:rPr>
      </w:pPr>
    </w:p>
    <w:p>
      <w:pPr>
        <w:ind w:left="260"/>
        <w:spacing w:after="0"/>
        <w:rPr>
          <w:sz w:val="20"/>
          <w:szCs w:val="20"/>
          <w:color w:val="auto"/>
        </w:rPr>
      </w:pPr>
      <w:r>
        <w:rPr>
          <w:rFonts w:ascii="Arial" w:cs="Arial" w:eastAsia="Arial" w:hAnsi="Arial"/>
          <w:sz w:val="16"/>
          <w:szCs w:val="16"/>
          <w:color w:val="092E44"/>
        </w:rPr>
        <w:t>Sign, date and return your proxy card in the enclosed envelope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76" w:lineRule="auto"/>
        <w:rPr>
          <w:sz w:val="20"/>
          <w:szCs w:val="20"/>
          <w:color w:val="auto"/>
        </w:rPr>
      </w:pPr>
      <w:r>
        <w:rPr>
          <w:rFonts w:ascii="Arial" w:cs="Arial" w:eastAsia="Arial" w:hAnsi="Arial"/>
          <w:sz w:val="16"/>
          <w:szCs w:val="16"/>
          <w:color w:val="092E44"/>
        </w:rPr>
        <w:t xml:space="preserve">Visit </w:t>
      </w:r>
      <w:r>
        <w:rPr>
          <w:rFonts w:ascii="Arial" w:cs="Arial" w:eastAsia="Arial" w:hAnsi="Arial"/>
          <w:sz w:val="16"/>
          <w:szCs w:val="16"/>
          <w:u w:val="single" w:color="auto"/>
          <w:color w:val="E14A6A"/>
        </w:rPr>
        <w:t>www.investorvote.com/CVLT</w:t>
      </w:r>
      <w:r>
        <w:rPr>
          <w:rFonts w:ascii="Arial" w:cs="Arial" w:eastAsia="Arial" w:hAnsi="Arial"/>
          <w:sz w:val="16"/>
          <w:szCs w:val="16"/>
          <w:color w:val="092E44"/>
        </w:rPr>
        <w:t xml:space="preserve"> and finish voting before 3:00 a.m. EST on August 29, 2023.</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340"/>
        <w:spacing w:after="0"/>
        <w:rPr>
          <w:sz w:val="20"/>
          <w:szCs w:val="20"/>
          <w:color w:val="auto"/>
        </w:rPr>
      </w:pPr>
      <w:r>
        <w:rPr>
          <w:rFonts w:ascii="Arial" w:cs="Arial" w:eastAsia="Arial" w:hAnsi="Arial"/>
          <w:sz w:val="16"/>
          <w:szCs w:val="16"/>
          <w:color w:val="092E44"/>
        </w:rPr>
        <w:t>Call the telephone number on your proxy card</w:t>
      </w:r>
    </w:p>
    <w:p>
      <w:pPr>
        <w:spacing w:after="0" w:line="252" w:lineRule="exact"/>
        <w:rPr>
          <w:sz w:val="20"/>
          <w:szCs w:val="20"/>
          <w:color w:val="auto"/>
        </w:rPr>
      </w:pPr>
    </w:p>
    <w:p>
      <w:pPr>
        <w:sectPr>
          <w:pgSz w:w="11900" w:h="16838" w:orient="portrait"/>
          <w:cols w:equalWidth="0" w:num="3">
            <w:col w:w="3100" w:space="160"/>
            <w:col w:w="4480" w:space="220"/>
            <w:col w:w="3260"/>
          </w:cols>
          <w:pgMar w:left="320" w:top="126" w:right="359" w:bottom="1440" w:gutter="0" w:footer="0" w:header="0"/>
          <w:type w:val="continuous"/>
        </w:sectPr>
      </w:pPr>
    </w:p>
    <w:p>
      <w:pPr>
        <w:ind w:right="560"/>
        <w:spacing w:after="0" w:line="293" w:lineRule="auto"/>
        <w:rPr>
          <w:sz w:val="20"/>
          <w:szCs w:val="20"/>
          <w:color w:val="auto"/>
        </w:rPr>
      </w:pPr>
      <w:r>
        <w:rPr>
          <w:rFonts w:ascii="Arial" w:cs="Arial" w:eastAsia="Arial" w:hAnsi="Arial"/>
          <w:sz w:val="16"/>
          <w:szCs w:val="16"/>
          <w:color w:val="092E44"/>
        </w:rPr>
        <w:t>All properly completed, unrevoked proxies received prior to the close of voting at the Annual Meeting will be voted in accordance with the instructions provided.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How can I vote if I hold my Commvault stock through a broker?</w:t>
      </w:r>
    </w:p>
    <w:p>
      <w:pPr>
        <w:spacing w:after="0" w:line="66" w:lineRule="exact"/>
        <w:rPr>
          <w:sz w:val="20"/>
          <w:szCs w:val="20"/>
          <w:color w:val="auto"/>
        </w:rPr>
      </w:pPr>
    </w:p>
    <w:p>
      <w:pPr>
        <w:spacing w:after="0" w:line="258" w:lineRule="auto"/>
        <w:rPr>
          <w:sz w:val="20"/>
          <w:szCs w:val="20"/>
          <w:color w:val="auto"/>
        </w:rPr>
      </w:pPr>
      <w:r>
        <w:rPr>
          <w:rFonts w:ascii="Arial" w:cs="Arial" w:eastAsia="Arial" w:hAnsi="Arial"/>
          <w:sz w:val="16"/>
          <w:szCs w:val="16"/>
          <w:color w:val="0B2E44"/>
        </w:rPr>
        <w:t>If you hold your shares through a bank, broker, or other nominee (meaning you are the “beneficial owner” of shares owned by someone else) your broker will ask how you want your shares to be voted. If you give voting instructions, your broker will vote your shares as you direct. If you do not provide voting instructions, your broker is only permitted to vote your shares on Proposal 5 regarding ratification of the auditors. Brokers holding shares beneficially owned by their clients do not have the authority to cast votes with respect to the election of directors, amendments to our corporate charter, executive compensation, frequency of advisory voting on executive compensation or the amendment to our incentive plan unless they have received instructions from the beneficial owner of the shares. If you do not provide instructions to your broker, your vote will not be counted with respect to Proposal No. 1 (the election of nine directors for a one-year term), Proposal No. 2 (approval to amend our amended and restated certificate of incorporation to include officer exculpation), Proposal No. 3 (the advisory vote on executive compensation), Proposal No. 4 (the advisory vote on the frequency of future advisory votes on</w:t>
      </w:r>
    </w:p>
    <w:p>
      <w:pPr>
        <w:spacing w:after="0" w:line="24"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0B2E44"/>
        </w:rPr>
        <w:t>executive compensation), or Proposal 6 (the approval of the amendment to our incentive plan). This is called a “broker non-vote.” Please submit voting instructions to your broker by 11:59 p.m. Eastern time on August 28, 2023.</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What if I return a proxy card but don’t mark all of my choices?</w:t>
      </w:r>
    </w:p>
    <w:p>
      <w:pPr>
        <w:spacing w:after="0" w:line="6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0B2E44"/>
        </w:rPr>
        <w:t>If we have a properly executed, unrevoked proxy card that does not specifically direct the voting of shares, the shares represented by such proxy will be voted (i) FOR the election of all nominees for election as director described in this proxy statement, (ii) FOR approval to amend the amended and restated certificate of incorporation to include officer exculpation, (iii) FOR approval, on an advisory basis, of our executive compensation, (iv) FOR approval, on an advisory basis, of an advisory executive compensation vote every ONE YEAR, (v) FOR the ratification of the appointment of Ernst &amp; Young LLP as our independent public accountants for the fiscal year ending March 31, 2024, (vi) FOR the approval of an additional 3.2 million shares to be available for issuance under the 2016 Incentive Plan, as amended by the Sixth Amendment, and (vii) in accordance with the judgment of the individuals named on the proxy card as to such other matters as may properly come before the Annual Meeting.</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What if I change my mind after I vote?</w:t>
      </w:r>
    </w:p>
    <w:p>
      <w:pPr>
        <w:spacing w:after="0" w:line="6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0B2E44"/>
        </w:rPr>
        <w:t>You can revoke your proxy at any time prior to the voting at the Annual Meeting by submitting a later-dated proxy (including a later-dated proxy via the Internet or telephone), by giving timely written notice of such revocation to our Corporate Secretary, or by attending the Annual Meeting and voting in person (virtually). If you attend the Annual Meeting and do not vote, it will not affect any previously submitted proxy or voting instructions.</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0B2E44"/>
        </w:rPr>
        <w:t>Who is paying for this solicitation?</w:t>
      </w:r>
    </w:p>
    <w:p>
      <w:pPr>
        <w:spacing w:after="0" w:line="66"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0B2E44"/>
        </w:rPr>
        <w:t>Commvault will pay all expenses related to the solicitation of proxies. Solicitation will be made by mail, and may be made by directors, officers, and employees, personally or by telephone, email, or other electronic means. Proxy cards and material also will be distributed to beneficial owners of our stock through brokers, custodians, nominees, and other like parties, and we expect to reimburse such parties for their charges and expenses.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92E44"/>
        </w:rPr>
        <w:t>How can I submit a proposal or a nomination for the 2024 annual meeting?</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E14A6A"/>
        </w:rPr>
        <w:t>Stockholder proposals to be included in Commvault’s Proxy Statement</w:t>
      </w:r>
    </w:p>
    <w:p>
      <w:pPr>
        <w:spacing w:after="0" w:line="66"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0B2E44"/>
        </w:rPr>
        <w:t>We must receive any stockholder proposal to be considered for inclusion in our proxy statement and form of proxy relating to the 2024 annual meeting of stockholders by March 13, 2024. Such submissions must comply with applicable SEC rules, including without limitation Rule 14a-8.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67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1"/>
          <w:szCs w:val="11"/>
          <w:color w:val="092E44"/>
        </w:rPr>
        <w:t>ADDITIONAL INFORMATION ABOUT THE ANNUAL MEETING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E14A6A"/>
        </w:rPr>
        <w:t>Stockholder nominations under proxy access</w:t>
      </w:r>
    </w:p>
    <w:p>
      <w:pPr>
        <w:spacing w:after="0" w:line="66" w:lineRule="exact"/>
        <w:rPr>
          <w:sz w:val="20"/>
          <w:szCs w:val="20"/>
          <w:color w:val="auto"/>
        </w:rPr>
      </w:pPr>
    </w:p>
    <w:p>
      <w:pPr>
        <w:spacing w:after="0" w:line="262" w:lineRule="auto"/>
        <w:rPr>
          <w:sz w:val="20"/>
          <w:szCs w:val="20"/>
          <w:color w:val="auto"/>
        </w:rPr>
      </w:pPr>
      <w:r>
        <w:rPr>
          <w:rFonts w:ascii="Arial" w:cs="Arial" w:eastAsia="Arial" w:hAnsi="Arial"/>
          <w:sz w:val="16"/>
          <w:szCs w:val="16"/>
          <w:color w:val="0B2E44"/>
        </w:rPr>
        <w:t>Our Bylaws permit qualifying stockholders to include a certain number of director nominees in our proxy statement. For any such nomination for our 2024 annual meeting to be timely, we must receive notice and certain required information at our principal executive offices between February 12, 2024 and March 13, 2024. Stockholders who make nominations pursuant to our proxy access provision should be mindful of the requirements set forth in our Bylaws, which are available on the Investor Relations section of our website.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E14A6A"/>
        </w:rPr>
        <w:t>Other stockholder proposals</w:t>
      </w:r>
    </w:p>
    <w:p>
      <w:pPr>
        <w:spacing w:after="0" w:line="66"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0B2E44"/>
        </w:rPr>
        <w:t>If you wish to submit a proposal for consideration at the 2024 stockholder meeting or to nominate a candidate for election as a director at that meeting without utilizing our proxy access provision, we must receive notice and certain required information at our principal executive offices no later than April 12, 2024. Any such notice must describe the proposal or nomination in sufficient detail for the matter to be summarized on the agenda for the meeting. Among other things, the notice must set forth:</w:t>
      </w:r>
    </w:p>
    <w:p>
      <w:pPr>
        <w:spacing w:after="0" w:line="88" w:lineRule="exact"/>
        <w:rPr>
          <w:sz w:val="20"/>
          <w:szCs w:val="20"/>
          <w:color w:val="auto"/>
        </w:rPr>
      </w:pPr>
    </w:p>
    <w:p>
      <w:pPr>
        <w:ind w:left="120" w:right="120" w:hanging="112"/>
        <w:spacing w:after="0" w:line="293" w:lineRule="auto"/>
        <w:tabs>
          <w:tab w:leader="none" w:pos="133" w:val="left"/>
        </w:tabs>
        <w:numPr>
          <w:ilvl w:val="0"/>
          <w:numId w:val="66"/>
        </w:numPr>
        <w:rPr>
          <w:rFonts w:ascii="Arial" w:cs="Arial" w:eastAsia="Arial" w:hAnsi="Arial"/>
          <w:sz w:val="16"/>
          <w:szCs w:val="16"/>
          <w:color w:val="FF4A6A"/>
        </w:rPr>
      </w:pPr>
      <w:r>
        <w:rPr>
          <w:rFonts w:ascii="Arial" w:cs="Arial" w:eastAsia="Arial" w:hAnsi="Arial"/>
          <w:sz w:val="16"/>
          <w:szCs w:val="16"/>
          <w:color w:val="0B2E44"/>
        </w:rPr>
        <w:t>the name and address, as it appears on our books, of the stockholder who intends to make the proposal or nomination and the beneficial owner, if any, on whose behalf the nomination or proposal is made;</w:t>
      </w:r>
    </w:p>
    <w:p>
      <w:pPr>
        <w:spacing w:after="0" w:line="50" w:lineRule="exact"/>
        <w:rPr>
          <w:rFonts w:ascii="Arial" w:cs="Arial" w:eastAsia="Arial" w:hAnsi="Arial"/>
          <w:sz w:val="16"/>
          <w:szCs w:val="16"/>
          <w:color w:val="FF4A6A"/>
        </w:rPr>
      </w:pPr>
    </w:p>
    <w:p>
      <w:pPr>
        <w:ind w:left="120" w:right="340" w:hanging="112"/>
        <w:spacing w:after="0" w:line="311" w:lineRule="auto"/>
        <w:tabs>
          <w:tab w:leader="none" w:pos="133" w:val="left"/>
        </w:tabs>
        <w:numPr>
          <w:ilvl w:val="0"/>
          <w:numId w:val="66"/>
        </w:numPr>
        <w:rPr>
          <w:rFonts w:ascii="Arial" w:cs="Arial" w:eastAsia="Arial" w:hAnsi="Arial"/>
          <w:sz w:val="16"/>
          <w:szCs w:val="16"/>
          <w:color w:val="FF4A6A"/>
        </w:rPr>
      </w:pPr>
      <w:r>
        <w:rPr>
          <w:rFonts w:ascii="Arial" w:cs="Arial" w:eastAsia="Arial" w:hAnsi="Arial"/>
          <w:sz w:val="16"/>
          <w:szCs w:val="16"/>
          <w:color w:val="0B2E44"/>
        </w:rPr>
        <w:t>a representation that the stockholder is a holder of record of our stock entitled to vote at the meeting and intends to appear in person or by proxy at the meeting to present such proposal or nomination;</w:t>
      </w:r>
    </w:p>
    <w:p>
      <w:pPr>
        <w:spacing w:after="0" w:line="36" w:lineRule="exact"/>
        <w:rPr>
          <w:rFonts w:ascii="Arial" w:cs="Arial" w:eastAsia="Arial" w:hAnsi="Arial"/>
          <w:sz w:val="16"/>
          <w:szCs w:val="16"/>
          <w:color w:val="FF4A6A"/>
        </w:rPr>
      </w:pPr>
    </w:p>
    <w:p>
      <w:pPr>
        <w:ind w:left="120" w:hanging="112"/>
        <w:spacing w:after="0"/>
        <w:tabs>
          <w:tab w:leader="none" w:pos="120" w:val="left"/>
        </w:tabs>
        <w:numPr>
          <w:ilvl w:val="0"/>
          <w:numId w:val="66"/>
        </w:numPr>
        <w:rPr>
          <w:rFonts w:ascii="Arial" w:cs="Arial" w:eastAsia="Arial" w:hAnsi="Arial"/>
          <w:sz w:val="16"/>
          <w:szCs w:val="16"/>
          <w:color w:val="FF4A6A"/>
        </w:rPr>
      </w:pPr>
      <w:r>
        <w:rPr>
          <w:rFonts w:ascii="Arial" w:cs="Arial" w:eastAsia="Arial" w:hAnsi="Arial"/>
          <w:sz w:val="16"/>
          <w:szCs w:val="16"/>
          <w:color w:val="0B2E44"/>
        </w:rPr>
        <w:t>whether the stockholder plans to deliver or solicit proxies from other stockholders; and</w:t>
      </w:r>
    </w:p>
    <w:p>
      <w:pPr>
        <w:spacing w:after="0" w:line="126" w:lineRule="exact"/>
        <w:rPr>
          <w:rFonts w:ascii="Arial" w:cs="Arial" w:eastAsia="Arial" w:hAnsi="Arial"/>
          <w:sz w:val="16"/>
          <w:szCs w:val="16"/>
          <w:color w:val="FF4A6A"/>
        </w:rPr>
      </w:pPr>
    </w:p>
    <w:p>
      <w:pPr>
        <w:ind w:left="120" w:hanging="112"/>
        <w:spacing w:after="0"/>
        <w:tabs>
          <w:tab w:leader="none" w:pos="120" w:val="left"/>
        </w:tabs>
        <w:numPr>
          <w:ilvl w:val="0"/>
          <w:numId w:val="66"/>
        </w:numPr>
        <w:rPr>
          <w:rFonts w:ascii="Arial" w:cs="Arial" w:eastAsia="Arial" w:hAnsi="Arial"/>
          <w:sz w:val="16"/>
          <w:szCs w:val="16"/>
          <w:color w:val="FF4A6A"/>
        </w:rPr>
      </w:pPr>
      <w:r>
        <w:rPr>
          <w:rFonts w:ascii="Arial" w:cs="Arial" w:eastAsia="Arial" w:hAnsi="Arial"/>
          <w:sz w:val="16"/>
          <w:szCs w:val="16"/>
          <w:color w:val="0B2E44"/>
        </w:rPr>
        <w:t>the class and number of our shares that the stockholder beneficially owns.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0B2E44"/>
        </w:rPr>
        <w:t>If you are nominating a candidate to be elected as a director, your notice must include the following additional information:</w:t>
      </w:r>
    </w:p>
    <w:p>
      <w:pPr>
        <w:spacing w:after="0" w:line="127"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6"/>
          <w:szCs w:val="16"/>
          <w:color w:val="0B2E44"/>
        </w:rPr>
      </w:pPr>
      <w:r>
        <w:rPr>
          <w:rFonts w:ascii="Arial" w:cs="Arial" w:eastAsia="Arial" w:hAnsi="Arial"/>
          <w:sz w:val="16"/>
          <w:szCs w:val="16"/>
          <w:color w:val="0B2E44"/>
        </w:rPr>
        <w:t>the name and address of any person to be nominated,</w:t>
      </w:r>
    </w:p>
    <w:p>
      <w:pPr>
        <w:spacing w:after="0" w:line="126" w:lineRule="exact"/>
        <w:rPr>
          <w:rFonts w:ascii="Arial" w:cs="Arial" w:eastAsia="Arial" w:hAnsi="Arial"/>
          <w:sz w:val="16"/>
          <w:szCs w:val="16"/>
          <w:color w:val="0B2E44"/>
        </w:rPr>
      </w:pPr>
    </w:p>
    <w:p>
      <w:pPr>
        <w:ind w:right="160" w:firstLine="8"/>
        <w:spacing w:after="0" w:line="293" w:lineRule="auto"/>
        <w:tabs>
          <w:tab w:leader="none" w:pos="240" w:val="left"/>
        </w:tabs>
        <w:numPr>
          <w:ilvl w:val="0"/>
          <w:numId w:val="67"/>
        </w:numPr>
        <w:rPr>
          <w:rFonts w:ascii="Arial" w:cs="Arial" w:eastAsia="Arial" w:hAnsi="Arial"/>
          <w:sz w:val="16"/>
          <w:szCs w:val="16"/>
          <w:color w:val="0B2E44"/>
        </w:rPr>
      </w:pPr>
      <w:r>
        <w:rPr>
          <w:rFonts w:ascii="Arial" w:cs="Arial" w:eastAsia="Arial" w:hAnsi="Arial"/>
          <w:sz w:val="16"/>
          <w:szCs w:val="16"/>
          <w:color w:val="0B2E44"/>
        </w:rPr>
        <w:t>a description of all arrangements or understandings between you and each nominee and any other person or persons (naming such person or persons) pursuant to which the nomination or nominations are to be made,</w:t>
      </w:r>
    </w:p>
    <w:p>
      <w:pPr>
        <w:spacing w:after="0" w:line="50" w:lineRule="exact"/>
        <w:rPr>
          <w:rFonts w:ascii="Arial" w:cs="Arial" w:eastAsia="Arial" w:hAnsi="Arial"/>
          <w:sz w:val="16"/>
          <w:szCs w:val="16"/>
          <w:color w:val="0B2E44"/>
        </w:rPr>
      </w:pPr>
    </w:p>
    <w:p>
      <w:pPr>
        <w:ind w:right="380" w:firstLine="8"/>
        <w:spacing w:after="0" w:line="311" w:lineRule="auto"/>
        <w:tabs>
          <w:tab w:leader="none" w:pos="276" w:val="left"/>
        </w:tabs>
        <w:numPr>
          <w:ilvl w:val="0"/>
          <w:numId w:val="67"/>
        </w:numPr>
        <w:rPr>
          <w:rFonts w:ascii="Arial" w:cs="Arial" w:eastAsia="Arial" w:hAnsi="Arial"/>
          <w:sz w:val="16"/>
          <w:szCs w:val="16"/>
          <w:color w:val="0B2E44"/>
        </w:rPr>
      </w:pPr>
      <w:r>
        <w:rPr>
          <w:rFonts w:ascii="Arial" w:cs="Arial" w:eastAsia="Arial" w:hAnsi="Arial"/>
          <w:sz w:val="16"/>
          <w:szCs w:val="16"/>
          <w:color w:val="0B2E44"/>
        </w:rPr>
        <w:t>such other information regarding each nominee as would be required to be included in a proxy statement filed pursuant to Regulation 14A under the Securities Exchange Act of 1934, as amended,</w:t>
      </w:r>
    </w:p>
    <w:p>
      <w:pPr>
        <w:spacing w:after="0" w:line="36" w:lineRule="exact"/>
        <w:rPr>
          <w:rFonts w:ascii="Arial" w:cs="Arial" w:eastAsia="Arial" w:hAnsi="Arial"/>
          <w:sz w:val="16"/>
          <w:szCs w:val="16"/>
          <w:color w:val="0B2E44"/>
        </w:rPr>
      </w:pPr>
    </w:p>
    <w:p>
      <w:pPr>
        <w:ind w:left="300" w:hanging="292"/>
        <w:spacing w:after="0"/>
        <w:tabs>
          <w:tab w:leader="none" w:pos="300" w:val="left"/>
        </w:tabs>
        <w:numPr>
          <w:ilvl w:val="0"/>
          <w:numId w:val="67"/>
        </w:numPr>
        <w:rPr>
          <w:rFonts w:ascii="Arial" w:cs="Arial" w:eastAsia="Arial" w:hAnsi="Arial"/>
          <w:sz w:val="16"/>
          <w:szCs w:val="16"/>
          <w:color w:val="0B2E44"/>
        </w:rPr>
      </w:pPr>
      <w:r>
        <w:rPr>
          <w:rFonts w:ascii="Arial" w:cs="Arial" w:eastAsia="Arial" w:hAnsi="Arial"/>
          <w:sz w:val="16"/>
          <w:szCs w:val="16"/>
          <w:color w:val="0B2E44"/>
        </w:rPr>
        <w:t>the consent of each nominee to serve as a director if so elected, and</w:t>
      </w:r>
    </w:p>
    <w:p>
      <w:pPr>
        <w:spacing w:after="0" w:line="126" w:lineRule="exact"/>
        <w:rPr>
          <w:rFonts w:ascii="Arial" w:cs="Arial" w:eastAsia="Arial" w:hAnsi="Arial"/>
          <w:sz w:val="16"/>
          <w:szCs w:val="16"/>
          <w:color w:val="0B2E44"/>
        </w:rPr>
      </w:pPr>
    </w:p>
    <w:p>
      <w:pPr>
        <w:ind w:left="260" w:hanging="252"/>
        <w:spacing w:after="0"/>
        <w:tabs>
          <w:tab w:leader="none" w:pos="260" w:val="left"/>
        </w:tabs>
        <w:numPr>
          <w:ilvl w:val="0"/>
          <w:numId w:val="67"/>
        </w:numPr>
        <w:rPr>
          <w:rFonts w:ascii="Arial" w:cs="Arial" w:eastAsia="Arial" w:hAnsi="Arial"/>
          <w:sz w:val="16"/>
          <w:szCs w:val="16"/>
          <w:color w:val="0B2E44"/>
        </w:rPr>
      </w:pPr>
      <w:r>
        <w:rPr>
          <w:rFonts w:ascii="Arial" w:cs="Arial" w:eastAsia="Arial" w:hAnsi="Arial"/>
          <w:sz w:val="16"/>
          <w:szCs w:val="16"/>
          <w:color w:val="0B2E44"/>
        </w:rPr>
        <w:t>such other information as is set forth in our Bylaws, which are available on the Investor Relations section of our website.</w:t>
      </w:r>
    </w:p>
    <w:p>
      <w:pPr>
        <w:spacing w:after="0" w:line="73" w:lineRule="exact"/>
        <w:rPr>
          <w:sz w:val="20"/>
          <w:szCs w:val="20"/>
          <w:color w:val="auto"/>
        </w:rPr>
      </w:pPr>
    </w:p>
    <w:p>
      <w:pPr>
        <w:ind w:right="3020"/>
        <w:spacing w:after="0" w:line="338" w:lineRule="auto"/>
        <w:rPr>
          <w:sz w:val="20"/>
          <w:szCs w:val="20"/>
          <w:color w:val="auto"/>
        </w:rPr>
      </w:pPr>
      <w:r>
        <w:rPr>
          <w:rFonts w:ascii="Arial" w:cs="Arial" w:eastAsia="Arial" w:hAnsi="Arial"/>
          <w:sz w:val="16"/>
          <w:szCs w:val="16"/>
          <w:color w:val="0B2E44"/>
        </w:rPr>
        <w:t>In addition to satisfying the requirements of our bylaws, including the earlier notice deadlines set out above and therein, to comply with universal proxy rules, stockholders who intend to solicit proxies in support of director nominees other than our nominees must also provide notice that sets forth the information required by Rule 14a-19 of the Securities Exchange Act of 1934, as amended, no later than June 30, 2024.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92E44"/>
        </w:rPr>
        <w:t>****</w:t>
      </w:r>
    </w:p>
    <w:p>
      <w:pPr>
        <w:spacing w:after="0" w:line="6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0B2E44"/>
        </w:rPr>
        <w:t>To the extent this proxy statement is incorporated by reference in any other filing by us under the Securities Act of 1933, as amended, or the Securities Exchange Act of 1934, as amended, the information included or incorporated in the section of this proxy statement entitled “Audit Committee Report” will not be deemed to be incorporated, unless specifically provided otherwise in such filing.</w:t>
      </w:r>
    </w:p>
    <w:p>
      <w:pPr>
        <w:spacing w:after="0" w:line="27" w:lineRule="exact"/>
        <w:rPr>
          <w:sz w:val="20"/>
          <w:szCs w:val="20"/>
          <w:color w:val="auto"/>
        </w:rPr>
      </w:pPr>
    </w:p>
    <w:p>
      <w:pPr>
        <w:jc w:val="both"/>
        <w:ind w:right="220"/>
        <w:spacing w:after="0" w:line="258" w:lineRule="auto"/>
        <w:rPr>
          <w:sz w:val="20"/>
          <w:szCs w:val="20"/>
          <w:color w:val="auto"/>
        </w:rPr>
      </w:pPr>
      <w:r>
        <w:rPr>
          <w:rFonts w:ascii="Arial" w:cs="Arial" w:eastAsia="Arial" w:hAnsi="Arial"/>
          <w:sz w:val="16"/>
          <w:szCs w:val="16"/>
          <w:color w:val="0B2E44"/>
        </w:rPr>
        <w:t>We will furnish without charge to each person whose proxy is being solicited, upon written request, a copy of our annual report on Form 10-K for the fiscal year ended March 31, 2023, as filed with the SEC, including the financial statements and schedules thereto. Requests for copies of such report should be directed to Danielle Sheer, Chief Legal and Chief Compliance Officer, and Corporate Secretary Commvault Systems, Inc., 1 Commvault Way, Tinton Falls, New Jersey 07724. A copy of our annual report on Form 10-K for the fiscal year ended March 31, 2023, is also being made available concurrently with the proxy statement a</w:t>
      </w:r>
      <w:r>
        <w:rPr>
          <w:rFonts w:ascii="Arial" w:cs="Arial" w:eastAsia="Arial" w:hAnsi="Arial"/>
          <w:sz w:val="16"/>
          <w:szCs w:val="16"/>
          <w:color w:val="092E44"/>
        </w:rPr>
        <w:t>t</w:t>
      </w:r>
      <w:r>
        <w:rPr>
          <w:rFonts w:ascii="Arial" w:cs="Arial" w:eastAsia="Arial" w:hAnsi="Arial"/>
          <w:sz w:val="16"/>
          <w:szCs w:val="16"/>
          <w:color w:val="0B2E44"/>
        </w:rPr>
        <w:t xml:space="preserve"> </w:t>
      </w:r>
      <w:r>
        <w:rPr>
          <w:rFonts w:ascii="Arial" w:cs="Arial" w:eastAsia="Arial" w:hAnsi="Arial"/>
          <w:sz w:val="16"/>
          <w:szCs w:val="16"/>
          <w:u w:val="single" w:color="auto"/>
          <w:color w:val="E14A6A"/>
        </w:rPr>
        <w:t>www.edocumentview.com/CVLT</w:t>
      </w:r>
      <w:r>
        <w:rPr>
          <w:rFonts w:ascii="Arial" w:cs="Arial" w:eastAsia="Arial" w:hAnsi="Arial"/>
          <w:sz w:val="16"/>
          <w:szCs w:val="16"/>
          <w:color w:val="092E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037590" cy="445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375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Danielle Sheer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92E44"/>
        </w:rPr>
        <w:t>Chief Legal and Compliance Officer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68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288925</wp:posOffset>
            </wp:positionV>
            <wp:extent cx="7029450" cy="17487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294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0B2E44"/>
        </w:rPr>
        <w:t>The following table provides a reconciliation of our reported GAAP results to the non-GAAP financial measures discussed above and used in certain of our named executive officers’ fiscal 2023 compensation arrangements. The following results are based on the accounting principles that were used to prepare the fiscal 2023 consolidated financial statements included in our Annual Report on Form 10-K for the year ended March 31, 2023. Amounts below are 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3"/>
          </w:tcPr>
          <w:p>
            <w:pPr>
              <w:jc w:val="center"/>
              <w:ind w:right="199"/>
              <w:spacing w:after="0"/>
              <w:rPr>
                <w:sz w:val="20"/>
                <w:szCs w:val="20"/>
                <w:color w:val="auto"/>
              </w:rPr>
            </w:pPr>
            <w:r>
              <w:rPr>
                <w:rFonts w:ascii="Arial" w:cs="Arial" w:eastAsia="Arial" w:hAnsi="Arial"/>
                <w:sz w:val="14"/>
                <w:szCs w:val="14"/>
                <w:color w:val="auto"/>
              </w:rPr>
              <w:t>Fiscal Year Ended</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54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40" w:type="dxa"/>
            <w:vAlign w:val="bottom"/>
            <w:tcBorders>
              <w:bottom w:val="single" w:sz="8" w:color="E14A6A"/>
            </w:tcBorders>
          </w:tcPr>
          <w:p>
            <w:pPr>
              <w:spacing w:after="0"/>
              <w:rPr>
                <w:sz w:val="17"/>
                <w:szCs w:val="17"/>
                <w:color w:val="auto"/>
              </w:rPr>
            </w:pPr>
          </w:p>
        </w:tc>
        <w:tc>
          <w:tcPr>
            <w:tcW w:w="280" w:type="dxa"/>
            <w:vAlign w:val="bottom"/>
            <w:tcBorders>
              <w:bottom w:val="single" w:sz="8" w:color="E14A6A"/>
            </w:tcBorders>
          </w:tcPr>
          <w:p>
            <w:pPr>
              <w:spacing w:after="0"/>
              <w:rPr>
                <w:sz w:val="17"/>
                <w:szCs w:val="17"/>
                <w:color w:val="auto"/>
              </w:rPr>
            </w:pPr>
          </w:p>
        </w:tc>
        <w:tc>
          <w:tcPr>
            <w:tcW w:w="980" w:type="dxa"/>
            <w:vAlign w:val="bottom"/>
            <w:tcBorders>
              <w:bottom w:val="single" w:sz="8" w:color="E14A6A"/>
            </w:tcBorders>
          </w:tcPr>
          <w:p>
            <w:pPr>
              <w:jc w:val="right"/>
              <w:ind w:right="400"/>
              <w:spacing w:after="0"/>
              <w:rPr>
                <w:sz w:val="20"/>
                <w:szCs w:val="20"/>
                <w:color w:val="auto"/>
              </w:rPr>
            </w:pPr>
            <w:r>
              <w:rPr>
                <w:rFonts w:ascii="Arial" w:cs="Arial" w:eastAsia="Arial" w:hAnsi="Arial"/>
                <w:sz w:val="14"/>
                <w:szCs w:val="14"/>
                <w:color w:val="0B2E44"/>
              </w:rPr>
              <w:t>2023</w:t>
            </w:r>
          </w:p>
        </w:tc>
        <w:tc>
          <w:tcPr>
            <w:tcW w:w="440" w:type="dxa"/>
            <w:vAlign w:val="bottom"/>
            <w:tcBorders>
              <w:bottom w:val="single" w:sz="8" w:color="E14A6A"/>
            </w:tcBorders>
          </w:tcPr>
          <w:p>
            <w:pPr>
              <w:spacing w:after="0"/>
              <w:rPr>
                <w:sz w:val="17"/>
                <w:szCs w:val="17"/>
                <w:color w:val="auto"/>
              </w:rPr>
            </w:pPr>
          </w:p>
        </w:tc>
        <w:tc>
          <w:tcPr>
            <w:tcW w:w="900" w:type="dxa"/>
            <w:vAlign w:val="bottom"/>
            <w:tcBorders>
              <w:bottom w:val="single" w:sz="8" w:color="E14A6A"/>
            </w:tcBorders>
          </w:tcPr>
          <w:p>
            <w:pPr>
              <w:jc w:val="right"/>
              <w:ind w:right="439"/>
              <w:spacing w:after="0"/>
              <w:rPr>
                <w:sz w:val="20"/>
                <w:szCs w:val="20"/>
                <w:color w:val="auto"/>
              </w:rPr>
            </w:pPr>
            <w:r>
              <w:rPr>
                <w:rFonts w:ascii="Arial" w:cs="Arial" w:eastAsia="Arial" w:hAnsi="Arial"/>
                <w:sz w:val="14"/>
                <w:szCs w:val="14"/>
                <w:color w:val="0B2E44"/>
              </w:rPr>
              <w:t>2022</w:t>
            </w:r>
          </w:p>
        </w:tc>
        <w:tc>
          <w:tcPr>
            <w:tcW w:w="0" w:type="dxa"/>
            <w:vAlign w:val="bottom"/>
          </w:tcPr>
          <w:p>
            <w:pPr>
              <w:spacing w:after="0"/>
              <w:rPr>
                <w:sz w:val="1"/>
                <w:szCs w:val="1"/>
                <w:color w:val="auto"/>
              </w:rPr>
            </w:pPr>
          </w:p>
        </w:tc>
      </w:tr>
      <w:tr>
        <w:trPr>
          <w:trHeight w:val="216"/>
        </w:trPr>
        <w:tc>
          <w:tcPr>
            <w:tcW w:w="8640" w:type="dxa"/>
            <w:vAlign w:val="bottom"/>
          </w:tcPr>
          <w:p>
            <w:pPr>
              <w:ind w:left="120"/>
              <w:spacing w:after="0"/>
              <w:rPr>
                <w:sz w:val="20"/>
                <w:szCs w:val="20"/>
                <w:color w:val="auto"/>
              </w:rPr>
            </w:pPr>
            <w:r>
              <w:rPr>
                <w:rFonts w:ascii="Arial" w:cs="Arial" w:eastAsia="Arial" w:hAnsi="Arial"/>
                <w:sz w:val="16"/>
                <w:szCs w:val="16"/>
                <w:b w:val="1"/>
                <w:bCs w:val="1"/>
                <w:color w:val="0B2E44"/>
              </w:rPr>
              <w:t>Non-GAAP financial measures and reconciliation: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DDE9F2"/>
          </w:tcPr>
          <w:p>
            <w:pPr>
              <w:ind w:left="340"/>
              <w:spacing w:after="0"/>
              <w:rPr>
                <w:sz w:val="20"/>
                <w:szCs w:val="20"/>
                <w:color w:val="auto"/>
              </w:rPr>
            </w:pPr>
            <w:r>
              <w:rPr>
                <w:rFonts w:ascii="Arial" w:cs="Arial" w:eastAsia="Arial" w:hAnsi="Arial"/>
                <w:sz w:val="16"/>
                <w:szCs w:val="16"/>
                <w:color w:val="0B2E44"/>
              </w:rPr>
              <w:t>GAAP income (loss) from operations</w:t>
            </w:r>
          </w:p>
        </w:tc>
        <w:tc>
          <w:tcPr>
            <w:tcW w:w="280" w:type="dxa"/>
            <w:vAlign w:val="bottom"/>
            <w:shd w:val="clear" w:color="auto" w:fill="DDE9F2"/>
          </w:tcPr>
          <w:p>
            <w:pPr>
              <w:spacing w:after="0"/>
              <w:rPr>
                <w:sz w:val="18"/>
                <w:szCs w:val="18"/>
                <w:color w:val="auto"/>
              </w:rPr>
            </w:pPr>
          </w:p>
        </w:tc>
        <w:tc>
          <w:tcPr>
            <w:tcW w:w="98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$(15,885)</w:t>
            </w:r>
          </w:p>
        </w:tc>
        <w:tc>
          <w:tcPr>
            <w:tcW w:w="440" w:type="dxa"/>
            <w:vAlign w:val="bottom"/>
            <w:shd w:val="clear" w:color="auto" w:fill="DDE9F2"/>
          </w:tcPr>
          <w:p>
            <w:pPr>
              <w:spacing w:after="0"/>
              <w:rPr>
                <w:sz w:val="18"/>
                <w:szCs w:val="18"/>
                <w:color w:val="auto"/>
              </w:rPr>
            </w:pPr>
          </w:p>
        </w:tc>
        <w:tc>
          <w:tcPr>
            <w:tcW w:w="9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$41,566</w:t>
            </w:r>
          </w:p>
        </w:tc>
        <w:tc>
          <w:tcPr>
            <w:tcW w:w="0" w:type="dxa"/>
            <w:vAlign w:val="bottom"/>
          </w:tcPr>
          <w:p>
            <w:pPr>
              <w:spacing w:after="0"/>
              <w:rPr>
                <w:sz w:val="1"/>
                <w:szCs w:val="1"/>
                <w:color w:val="auto"/>
              </w:rPr>
            </w:pPr>
          </w:p>
        </w:tc>
      </w:tr>
      <w:tr>
        <w:trPr>
          <w:trHeight w:val="213"/>
        </w:trPr>
        <w:tc>
          <w:tcPr>
            <w:tcW w:w="8640" w:type="dxa"/>
            <w:vAlign w:val="bottom"/>
          </w:tcPr>
          <w:p>
            <w:pPr>
              <w:ind w:left="560"/>
              <w:spacing w:after="0"/>
              <w:rPr>
                <w:sz w:val="20"/>
                <w:szCs w:val="20"/>
                <w:color w:val="auto"/>
              </w:rPr>
            </w:pPr>
            <w:r>
              <w:rPr>
                <w:rFonts w:ascii="Arial" w:cs="Arial" w:eastAsia="Arial" w:hAnsi="Arial"/>
                <w:sz w:val="16"/>
                <w:szCs w:val="16"/>
                <w:color w:val="0B2E44"/>
              </w:rPr>
              <w:t>Noncash stock-based compensation(1)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B2E44"/>
              </w:rPr>
              <w:t>103,139</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B2E44"/>
              </w:rPr>
              <w:t>103,454</w:t>
            </w:r>
          </w:p>
        </w:tc>
        <w:tc>
          <w:tcPr>
            <w:tcW w:w="0" w:type="dxa"/>
            <w:vAlign w:val="bottom"/>
          </w:tcPr>
          <w:p>
            <w:pPr>
              <w:spacing w:after="0"/>
              <w:rPr>
                <w:sz w:val="1"/>
                <w:szCs w:val="1"/>
                <w:color w:val="auto"/>
              </w:rPr>
            </w:pPr>
          </w:p>
        </w:tc>
      </w:tr>
      <w:tr>
        <w:trPr>
          <w:trHeight w:val="219"/>
        </w:trPr>
        <w:tc>
          <w:tcPr>
            <w:tcW w:w="8640" w:type="dxa"/>
            <w:vAlign w:val="bottom"/>
            <w:shd w:val="clear" w:color="auto" w:fill="DDE9F2"/>
          </w:tcPr>
          <w:p>
            <w:pPr>
              <w:ind w:left="560"/>
              <w:spacing w:after="0"/>
              <w:rPr>
                <w:sz w:val="20"/>
                <w:szCs w:val="20"/>
                <w:color w:val="auto"/>
              </w:rPr>
            </w:pPr>
            <w:r>
              <w:rPr>
                <w:rFonts w:ascii="Arial" w:cs="Arial" w:eastAsia="Arial" w:hAnsi="Arial"/>
                <w:sz w:val="16"/>
                <w:szCs w:val="16"/>
                <w:color w:val="0B2E44"/>
              </w:rPr>
              <w:t>FICA and payroll tax expense related to stock-based compensation(2)</w:t>
            </w:r>
          </w:p>
        </w:tc>
        <w:tc>
          <w:tcPr>
            <w:tcW w:w="280" w:type="dxa"/>
            <w:vAlign w:val="bottom"/>
            <w:shd w:val="clear" w:color="auto" w:fill="DDE9F2"/>
          </w:tcPr>
          <w:p>
            <w:pPr>
              <w:spacing w:after="0"/>
              <w:rPr>
                <w:sz w:val="19"/>
                <w:szCs w:val="19"/>
                <w:color w:val="auto"/>
              </w:rPr>
            </w:pPr>
          </w:p>
        </w:tc>
        <w:tc>
          <w:tcPr>
            <w:tcW w:w="98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2,465</w:t>
            </w:r>
          </w:p>
        </w:tc>
        <w:tc>
          <w:tcPr>
            <w:tcW w:w="440" w:type="dxa"/>
            <w:vAlign w:val="bottom"/>
            <w:shd w:val="clear" w:color="auto" w:fill="DDE9F2"/>
          </w:tcPr>
          <w:p>
            <w:pPr>
              <w:spacing w:after="0"/>
              <w:rPr>
                <w:sz w:val="19"/>
                <w:szCs w:val="19"/>
                <w:color w:val="auto"/>
              </w:rPr>
            </w:pPr>
          </w:p>
        </w:tc>
        <w:tc>
          <w:tcPr>
            <w:tcW w:w="9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3,261</w:t>
            </w:r>
          </w:p>
        </w:tc>
        <w:tc>
          <w:tcPr>
            <w:tcW w:w="0" w:type="dxa"/>
            <w:vAlign w:val="bottom"/>
          </w:tcPr>
          <w:p>
            <w:pPr>
              <w:spacing w:after="0"/>
              <w:rPr>
                <w:sz w:val="1"/>
                <w:szCs w:val="1"/>
                <w:color w:val="auto"/>
              </w:rPr>
            </w:pPr>
          </w:p>
        </w:tc>
      </w:tr>
      <w:tr>
        <w:trPr>
          <w:trHeight w:val="213"/>
        </w:trPr>
        <w:tc>
          <w:tcPr>
            <w:tcW w:w="8640" w:type="dxa"/>
            <w:vAlign w:val="bottom"/>
          </w:tcPr>
          <w:p>
            <w:pPr>
              <w:ind w:left="560"/>
              <w:spacing w:after="0"/>
              <w:rPr>
                <w:sz w:val="20"/>
                <w:szCs w:val="20"/>
                <w:color w:val="auto"/>
              </w:rPr>
            </w:pPr>
            <w:r>
              <w:rPr>
                <w:rFonts w:ascii="Arial" w:cs="Arial" w:eastAsia="Arial" w:hAnsi="Arial"/>
                <w:sz w:val="16"/>
                <w:szCs w:val="16"/>
                <w:color w:val="0B2E44"/>
              </w:rPr>
              <w:t>Restructuring(3)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B2E44"/>
              </w:rPr>
              <w:t>15,452</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B2E44"/>
              </w:rPr>
              <w:t>6,192</w:t>
            </w:r>
          </w:p>
        </w:tc>
        <w:tc>
          <w:tcPr>
            <w:tcW w:w="0" w:type="dxa"/>
            <w:vAlign w:val="bottom"/>
          </w:tcPr>
          <w:p>
            <w:pPr>
              <w:spacing w:after="0"/>
              <w:rPr>
                <w:sz w:val="1"/>
                <w:szCs w:val="1"/>
                <w:color w:val="auto"/>
              </w:rPr>
            </w:pPr>
          </w:p>
        </w:tc>
      </w:tr>
      <w:tr>
        <w:trPr>
          <w:trHeight w:val="219"/>
        </w:trPr>
        <w:tc>
          <w:tcPr>
            <w:tcW w:w="8640" w:type="dxa"/>
            <w:vAlign w:val="bottom"/>
            <w:shd w:val="clear" w:color="auto" w:fill="DDE9F2"/>
          </w:tcPr>
          <w:p>
            <w:pPr>
              <w:ind w:left="560"/>
              <w:spacing w:after="0"/>
              <w:rPr>
                <w:sz w:val="20"/>
                <w:szCs w:val="20"/>
                <w:color w:val="auto"/>
              </w:rPr>
            </w:pPr>
            <w:r>
              <w:rPr>
                <w:rFonts w:ascii="Arial" w:cs="Arial" w:eastAsia="Arial" w:hAnsi="Arial"/>
                <w:sz w:val="16"/>
                <w:szCs w:val="16"/>
                <w:color w:val="0B2E44"/>
              </w:rPr>
              <w:t>Amortization of intangible assets(4)</w:t>
            </w:r>
          </w:p>
        </w:tc>
        <w:tc>
          <w:tcPr>
            <w:tcW w:w="280" w:type="dxa"/>
            <w:vAlign w:val="bottom"/>
            <w:shd w:val="clear" w:color="auto" w:fill="DDE9F2"/>
          </w:tcPr>
          <w:p>
            <w:pPr>
              <w:spacing w:after="0"/>
              <w:rPr>
                <w:sz w:val="19"/>
                <w:szCs w:val="19"/>
                <w:color w:val="auto"/>
              </w:rPr>
            </w:pPr>
          </w:p>
        </w:tc>
        <w:tc>
          <w:tcPr>
            <w:tcW w:w="98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1,250</w:t>
            </w:r>
          </w:p>
        </w:tc>
        <w:tc>
          <w:tcPr>
            <w:tcW w:w="440" w:type="dxa"/>
            <w:vAlign w:val="bottom"/>
            <w:shd w:val="clear" w:color="auto" w:fill="DDE9F2"/>
          </w:tcPr>
          <w:p>
            <w:pPr>
              <w:spacing w:after="0"/>
              <w:rPr>
                <w:sz w:val="19"/>
                <w:szCs w:val="19"/>
                <w:color w:val="auto"/>
              </w:rPr>
            </w:pPr>
          </w:p>
        </w:tc>
        <w:tc>
          <w:tcPr>
            <w:tcW w:w="9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208</w:t>
            </w:r>
          </w:p>
        </w:tc>
        <w:tc>
          <w:tcPr>
            <w:tcW w:w="0" w:type="dxa"/>
            <w:vAlign w:val="bottom"/>
          </w:tcPr>
          <w:p>
            <w:pPr>
              <w:spacing w:after="0"/>
              <w:rPr>
                <w:sz w:val="1"/>
                <w:szCs w:val="1"/>
                <w:color w:val="auto"/>
              </w:rPr>
            </w:pPr>
          </w:p>
        </w:tc>
      </w:tr>
      <w:tr>
        <w:trPr>
          <w:trHeight w:val="213"/>
        </w:trPr>
        <w:tc>
          <w:tcPr>
            <w:tcW w:w="8640" w:type="dxa"/>
            <w:vAlign w:val="bottom"/>
          </w:tcPr>
          <w:p>
            <w:pPr>
              <w:ind w:left="560"/>
              <w:spacing w:after="0"/>
              <w:rPr>
                <w:sz w:val="20"/>
                <w:szCs w:val="20"/>
                <w:color w:val="auto"/>
              </w:rPr>
            </w:pPr>
            <w:r>
              <w:rPr>
                <w:rFonts w:ascii="Arial" w:cs="Arial" w:eastAsia="Arial" w:hAnsi="Arial"/>
                <w:sz w:val="16"/>
                <w:szCs w:val="16"/>
                <w:color w:val="0B2E44"/>
              </w:rPr>
              <w:t>Headquarters impairment(5)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B2E44"/>
              </w:rPr>
              <w:t>53,481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B2E44"/>
              </w:rPr>
              <w:t>—</w:t>
            </w:r>
          </w:p>
        </w:tc>
        <w:tc>
          <w:tcPr>
            <w:tcW w:w="0" w:type="dxa"/>
            <w:vAlign w:val="bottom"/>
          </w:tcPr>
          <w:p>
            <w:pPr>
              <w:spacing w:after="0"/>
              <w:rPr>
                <w:sz w:val="1"/>
                <w:szCs w:val="1"/>
                <w:color w:val="auto"/>
              </w:rPr>
            </w:pPr>
          </w:p>
        </w:tc>
      </w:tr>
      <w:tr>
        <w:trPr>
          <w:trHeight w:val="219"/>
        </w:trPr>
        <w:tc>
          <w:tcPr>
            <w:tcW w:w="8640" w:type="dxa"/>
            <w:vAlign w:val="bottom"/>
            <w:shd w:val="clear" w:color="auto" w:fill="DDE9F2"/>
          </w:tcPr>
          <w:p>
            <w:pPr>
              <w:ind w:left="560"/>
              <w:spacing w:after="0"/>
              <w:rPr>
                <w:sz w:val="20"/>
                <w:szCs w:val="20"/>
                <w:color w:val="auto"/>
              </w:rPr>
            </w:pPr>
            <w:r>
              <w:rPr>
                <w:rFonts w:ascii="Arial" w:cs="Arial" w:eastAsia="Arial" w:hAnsi="Arial"/>
                <w:sz w:val="16"/>
                <w:szCs w:val="16"/>
                <w:color w:val="0B2E44"/>
              </w:rPr>
              <w:t>Hedvig deferred payments</w:t>
            </w:r>
          </w:p>
        </w:tc>
        <w:tc>
          <w:tcPr>
            <w:tcW w:w="280" w:type="dxa"/>
            <w:vAlign w:val="bottom"/>
            <w:shd w:val="clear" w:color="auto" w:fill="DDE9F2"/>
          </w:tcPr>
          <w:p>
            <w:pPr>
              <w:spacing w:after="0"/>
              <w:rPr>
                <w:sz w:val="19"/>
                <w:szCs w:val="19"/>
                <w:color w:val="auto"/>
              </w:rPr>
            </w:pPr>
          </w:p>
        </w:tc>
        <w:tc>
          <w:tcPr>
            <w:tcW w:w="98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c>
          <w:tcPr>
            <w:tcW w:w="440" w:type="dxa"/>
            <w:vAlign w:val="bottom"/>
            <w:shd w:val="clear" w:color="auto" w:fill="DDE9F2"/>
          </w:tcPr>
          <w:p>
            <w:pPr>
              <w:spacing w:after="0"/>
              <w:rPr>
                <w:sz w:val="19"/>
                <w:szCs w:val="19"/>
                <w:color w:val="auto"/>
              </w:rPr>
            </w:pPr>
          </w:p>
        </w:tc>
        <w:tc>
          <w:tcPr>
            <w:tcW w:w="9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5,622</w:t>
            </w:r>
          </w:p>
        </w:tc>
        <w:tc>
          <w:tcPr>
            <w:tcW w:w="0" w:type="dxa"/>
            <w:vAlign w:val="bottom"/>
          </w:tcPr>
          <w:p>
            <w:pPr>
              <w:spacing w:after="0"/>
              <w:rPr>
                <w:sz w:val="1"/>
                <w:szCs w:val="1"/>
                <w:color w:val="auto"/>
              </w:rPr>
            </w:pPr>
          </w:p>
        </w:tc>
      </w:tr>
      <w:tr>
        <w:trPr>
          <w:trHeight w:val="213"/>
        </w:trPr>
        <w:tc>
          <w:tcPr>
            <w:tcW w:w="8640" w:type="dxa"/>
            <w:vAlign w:val="bottom"/>
          </w:tcPr>
          <w:p>
            <w:pPr>
              <w:ind w:left="560"/>
              <w:spacing w:after="0"/>
              <w:rPr>
                <w:sz w:val="20"/>
                <w:szCs w:val="20"/>
                <w:color w:val="auto"/>
              </w:rPr>
            </w:pPr>
            <w:r>
              <w:rPr>
                <w:rFonts w:ascii="Arial" w:cs="Arial" w:eastAsia="Arial" w:hAnsi="Arial"/>
                <w:sz w:val="16"/>
                <w:szCs w:val="16"/>
                <w:color w:val="0B2E44"/>
              </w:rPr>
              <w:t>Acquisition costs</w:t>
            </w:r>
          </w:p>
        </w:tc>
        <w:tc>
          <w:tcPr>
            <w:tcW w:w="280" w:type="dxa"/>
            <w:vAlign w:val="bottom"/>
            <w:tcBorders>
              <w:bottom w:val="single" w:sz="8" w:color="0B2E44"/>
            </w:tcBorders>
          </w:tcPr>
          <w:p>
            <w:pPr>
              <w:spacing w:after="0"/>
              <w:rPr>
                <w:sz w:val="18"/>
                <w:szCs w:val="18"/>
                <w:color w:val="auto"/>
              </w:rPr>
            </w:pPr>
          </w:p>
        </w:tc>
        <w:tc>
          <w:tcPr>
            <w:tcW w:w="980" w:type="dxa"/>
            <w:vAlign w:val="bottom"/>
            <w:tcBorders>
              <w:bottom w:val="single" w:sz="8" w:color="0B2E44"/>
            </w:tcBorders>
          </w:tcPr>
          <w:p>
            <w:pPr>
              <w:jc w:val="right"/>
              <w:spacing w:after="0"/>
              <w:rPr>
                <w:sz w:val="20"/>
                <w:szCs w:val="20"/>
                <w:color w:val="auto"/>
              </w:rPr>
            </w:pPr>
            <w:r>
              <w:rPr>
                <w:rFonts w:ascii="Arial" w:cs="Arial" w:eastAsia="Arial" w:hAnsi="Arial"/>
                <w:sz w:val="16"/>
                <w:szCs w:val="16"/>
                <w:color w:val="0B2E44"/>
              </w:rPr>
              <w:t>—</w:t>
            </w:r>
          </w:p>
        </w:tc>
        <w:tc>
          <w:tcPr>
            <w:tcW w:w="440" w:type="dxa"/>
            <w:vAlign w:val="bottom"/>
            <w:tcBorders>
              <w:bottom w:val="single" w:sz="8" w:color="0B2E44"/>
            </w:tcBorders>
          </w:tcPr>
          <w:p>
            <w:pPr>
              <w:spacing w:after="0"/>
              <w:rPr>
                <w:sz w:val="18"/>
                <w:szCs w:val="18"/>
                <w:color w:val="auto"/>
              </w:rPr>
            </w:pPr>
          </w:p>
        </w:tc>
        <w:tc>
          <w:tcPr>
            <w:tcW w:w="900" w:type="dxa"/>
            <w:vAlign w:val="bottom"/>
            <w:tcBorders>
              <w:bottom w:val="single" w:sz="8" w:color="0B2E44"/>
            </w:tcBorders>
          </w:tcPr>
          <w:p>
            <w:pPr>
              <w:jc w:val="right"/>
              <w:spacing w:after="0"/>
              <w:rPr>
                <w:sz w:val="20"/>
                <w:szCs w:val="20"/>
                <w:color w:val="auto"/>
              </w:rPr>
            </w:pPr>
            <w:r>
              <w:rPr>
                <w:rFonts w:ascii="Arial" w:cs="Arial" w:eastAsia="Arial" w:hAnsi="Arial"/>
                <w:sz w:val="16"/>
                <w:szCs w:val="16"/>
                <w:color w:val="0B2E44"/>
              </w:rPr>
              <w:t>1,379</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DDE9F2"/>
            </w:tcBorders>
            <w:shd w:val="clear" w:color="auto" w:fill="DDE9F2"/>
          </w:tcPr>
          <w:p>
            <w:pPr>
              <w:ind w:left="120"/>
              <w:spacing w:after="0"/>
              <w:rPr>
                <w:sz w:val="20"/>
                <w:szCs w:val="20"/>
                <w:color w:val="auto"/>
              </w:rPr>
            </w:pPr>
            <w:r>
              <w:rPr>
                <w:rFonts w:ascii="Arial" w:cs="Arial" w:eastAsia="Arial" w:hAnsi="Arial"/>
                <w:sz w:val="16"/>
                <w:szCs w:val="16"/>
                <w:b w:val="1"/>
                <w:bCs w:val="1"/>
                <w:color w:val="0B2E44"/>
              </w:rPr>
              <w:t>Non-GAAP income from operations</w:t>
            </w:r>
          </w:p>
        </w:tc>
        <w:tc>
          <w:tcPr>
            <w:tcW w:w="280" w:type="dxa"/>
            <w:vAlign w:val="bottom"/>
            <w:tcBorders>
              <w:bottom w:val="single" w:sz="8" w:color="0B2E44"/>
            </w:tcBorders>
            <w:shd w:val="clear" w:color="auto" w:fill="DDE9F2"/>
          </w:tcPr>
          <w:p>
            <w:pPr>
              <w:spacing w:after="0"/>
              <w:rPr>
                <w:sz w:val="20"/>
                <w:szCs w:val="20"/>
                <w:color w:val="auto"/>
              </w:rPr>
            </w:pPr>
          </w:p>
        </w:tc>
        <w:tc>
          <w:tcPr>
            <w:tcW w:w="980" w:type="dxa"/>
            <w:vAlign w:val="bottom"/>
            <w:tcBorders>
              <w:bottom w:val="single" w:sz="8" w:color="0B2E44"/>
            </w:tcBorders>
            <w:shd w:val="clear" w:color="auto" w:fill="DDE9F2"/>
          </w:tcPr>
          <w:p>
            <w:pPr>
              <w:jc w:val="right"/>
              <w:spacing w:after="0"/>
              <w:rPr>
                <w:sz w:val="20"/>
                <w:szCs w:val="20"/>
                <w:color w:val="auto"/>
              </w:rPr>
            </w:pPr>
            <w:r>
              <w:rPr>
                <w:rFonts w:ascii="Arial" w:cs="Arial" w:eastAsia="Arial" w:hAnsi="Arial"/>
                <w:sz w:val="16"/>
                <w:szCs w:val="16"/>
                <w:b w:val="1"/>
                <w:bCs w:val="1"/>
                <w:color w:val="0B2E44"/>
              </w:rPr>
              <w:t>$159,902</w:t>
            </w:r>
          </w:p>
        </w:tc>
        <w:tc>
          <w:tcPr>
            <w:tcW w:w="440" w:type="dxa"/>
            <w:vAlign w:val="bottom"/>
            <w:tcBorders>
              <w:bottom w:val="single" w:sz="8" w:color="0B2E44"/>
            </w:tcBorders>
            <w:shd w:val="clear" w:color="auto" w:fill="DDE9F2"/>
          </w:tcPr>
          <w:p>
            <w:pPr>
              <w:spacing w:after="0"/>
              <w:rPr>
                <w:sz w:val="20"/>
                <w:szCs w:val="20"/>
                <w:color w:val="auto"/>
              </w:rPr>
            </w:pPr>
          </w:p>
        </w:tc>
        <w:tc>
          <w:tcPr>
            <w:tcW w:w="900" w:type="dxa"/>
            <w:vAlign w:val="bottom"/>
            <w:tcBorders>
              <w:bottom w:val="single" w:sz="8" w:color="0B2E44"/>
            </w:tcBorders>
            <w:shd w:val="clear" w:color="auto" w:fill="DDE9F2"/>
          </w:tcPr>
          <w:p>
            <w:pPr>
              <w:jc w:val="right"/>
              <w:spacing w:after="0"/>
              <w:rPr>
                <w:sz w:val="20"/>
                <w:szCs w:val="20"/>
                <w:color w:val="auto"/>
              </w:rPr>
            </w:pPr>
            <w:r>
              <w:rPr>
                <w:rFonts w:ascii="Arial" w:cs="Arial" w:eastAsia="Arial" w:hAnsi="Arial"/>
                <w:sz w:val="16"/>
                <w:szCs w:val="16"/>
                <w:b w:val="1"/>
                <w:bCs w:val="1"/>
                <w:color w:val="0B2E44"/>
              </w:rPr>
              <w:t>$161,682</w:t>
            </w:r>
          </w:p>
        </w:tc>
        <w:tc>
          <w:tcPr>
            <w:tcW w:w="0" w:type="dxa"/>
            <w:vAlign w:val="bottom"/>
          </w:tcPr>
          <w:p>
            <w:pPr>
              <w:spacing w:after="0"/>
              <w:rPr>
                <w:sz w:val="1"/>
                <w:szCs w:val="1"/>
                <w:color w:val="auto"/>
              </w:rPr>
            </w:pPr>
          </w:p>
        </w:tc>
      </w:tr>
      <w:tr>
        <w:trPr>
          <w:trHeight w:val="20"/>
        </w:trPr>
        <w:tc>
          <w:tcPr>
            <w:tcW w:w="8640" w:type="dxa"/>
            <w:vAlign w:val="bottom"/>
            <w:tcBorders>
              <w:top w:val="single" w:sz="8" w:color="DDE9F2"/>
              <w:bottom w:val="single" w:sz="8" w:color="DDE9F2"/>
            </w:tcBorders>
            <w:vMerge w:val="restart"/>
          </w:tcPr>
          <w:p>
            <w:pPr>
              <w:ind w:left="160"/>
              <w:spacing w:after="0"/>
              <w:rPr>
                <w:sz w:val="20"/>
                <w:szCs w:val="20"/>
                <w:color w:val="auto"/>
              </w:rPr>
            </w:pPr>
            <w:r>
              <w:rPr>
                <w:rFonts w:ascii="Arial" w:cs="Arial" w:eastAsia="Arial" w:hAnsi="Arial"/>
                <w:sz w:val="16"/>
                <w:szCs w:val="16"/>
                <w:b w:val="1"/>
                <w:bCs w:val="1"/>
                <w:color w:val="0B2E44"/>
              </w:rPr>
              <w:t>GAAP net income (loss)</w:t>
            </w:r>
          </w:p>
        </w:tc>
        <w:tc>
          <w:tcPr>
            <w:tcW w:w="280" w:type="dxa"/>
            <w:vAlign w:val="bottom"/>
            <w:tcBorders>
              <w:top w:val="single" w:sz="8" w:color="DDE9F2"/>
              <w:bottom w:val="single" w:sz="8" w:color="0B2E44"/>
            </w:tcBorders>
          </w:tcPr>
          <w:p>
            <w:pPr>
              <w:spacing w:after="0" w:line="20" w:lineRule="exact"/>
              <w:rPr>
                <w:sz w:val="1"/>
                <w:szCs w:val="1"/>
                <w:color w:val="auto"/>
              </w:rPr>
            </w:pPr>
          </w:p>
        </w:tc>
        <w:tc>
          <w:tcPr>
            <w:tcW w:w="980" w:type="dxa"/>
            <w:vAlign w:val="bottom"/>
            <w:tcBorders>
              <w:top w:val="single" w:sz="8" w:color="DDE9F2"/>
              <w:bottom w:val="single" w:sz="8" w:color="0B2E44"/>
            </w:tcBorders>
          </w:tcPr>
          <w:p>
            <w:pPr>
              <w:spacing w:after="0" w:line="20" w:lineRule="exact"/>
              <w:rPr>
                <w:sz w:val="1"/>
                <w:szCs w:val="1"/>
                <w:color w:val="auto"/>
              </w:rPr>
            </w:pPr>
          </w:p>
        </w:tc>
        <w:tc>
          <w:tcPr>
            <w:tcW w:w="440" w:type="dxa"/>
            <w:vAlign w:val="bottom"/>
            <w:tcBorders>
              <w:top w:val="single" w:sz="8" w:color="DDE9F2"/>
              <w:bottom w:val="single" w:sz="8" w:color="0B2E44"/>
            </w:tcBorders>
          </w:tcPr>
          <w:p>
            <w:pPr>
              <w:spacing w:after="0" w:line="20" w:lineRule="exact"/>
              <w:rPr>
                <w:sz w:val="1"/>
                <w:szCs w:val="1"/>
                <w:color w:val="auto"/>
              </w:rPr>
            </w:pPr>
          </w:p>
        </w:tc>
        <w:tc>
          <w:tcPr>
            <w:tcW w:w="900" w:type="dxa"/>
            <w:vAlign w:val="bottom"/>
            <w:tcBorders>
              <w:top w:val="single" w:sz="8" w:color="DDE9F2"/>
              <w:bottom w:val="single" w:sz="8" w:color="0B2E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B2E44"/>
              </w:rPr>
              <w:t>$(35,774)</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B2E44"/>
              </w:rPr>
              <w:t>$33,624</w:t>
            </w:r>
          </w:p>
        </w:tc>
        <w:tc>
          <w:tcPr>
            <w:tcW w:w="0" w:type="dxa"/>
            <w:vAlign w:val="bottom"/>
          </w:tcPr>
          <w:p>
            <w:pPr>
              <w:spacing w:after="0"/>
              <w:rPr>
                <w:sz w:val="1"/>
                <w:szCs w:val="1"/>
                <w:color w:val="auto"/>
              </w:rPr>
            </w:pPr>
          </w:p>
        </w:tc>
      </w:tr>
      <w:tr>
        <w:trPr>
          <w:trHeight w:val="216"/>
        </w:trPr>
        <w:tc>
          <w:tcPr>
            <w:tcW w:w="8640" w:type="dxa"/>
            <w:vAlign w:val="bottom"/>
            <w:shd w:val="clear" w:color="auto" w:fill="DDE9F2"/>
          </w:tcPr>
          <w:p>
            <w:pPr>
              <w:ind w:left="560"/>
              <w:spacing w:after="0"/>
              <w:rPr>
                <w:sz w:val="20"/>
                <w:szCs w:val="20"/>
                <w:color w:val="auto"/>
              </w:rPr>
            </w:pPr>
            <w:r>
              <w:rPr>
                <w:rFonts w:ascii="Arial" w:cs="Arial" w:eastAsia="Arial" w:hAnsi="Arial"/>
                <w:sz w:val="16"/>
                <w:szCs w:val="16"/>
                <w:color w:val="0B2E44"/>
              </w:rPr>
              <w:t>Noncash stock-based compensation(1)</w:t>
            </w:r>
          </w:p>
        </w:tc>
        <w:tc>
          <w:tcPr>
            <w:tcW w:w="280" w:type="dxa"/>
            <w:vAlign w:val="bottom"/>
            <w:shd w:val="clear" w:color="auto" w:fill="DDE9F2"/>
          </w:tcPr>
          <w:p>
            <w:pPr>
              <w:spacing w:after="0"/>
              <w:rPr>
                <w:sz w:val="18"/>
                <w:szCs w:val="18"/>
                <w:color w:val="auto"/>
              </w:rPr>
            </w:pPr>
          </w:p>
        </w:tc>
        <w:tc>
          <w:tcPr>
            <w:tcW w:w="98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103,139</w:t>
            </w:r>
          </w:p>
        </w:tc>
        <w:tc>
          <w:tcPr>
            <w:tcW w:w="440" w:type="dxa"/>
            <w:vAlign w:val="bottom"/>
            <w:shd w:val="clear" w:color="auto" w:fill="DDE9F2"/>
          </w:tcPr>
          <w:p>
            <w:pPr>
              <w:spacing w:after="0"/>
              <w:rPr>
                <w:sz w:val="18"/>
                <w:szCs w:val="18"/>
                <w:color w:val="auto"/>
              </w:rPr>
            </w:pPr>
          </w:p>
        </w:tc>
        <w:tc>
          <w:tcPr>
            <w:tcW w:w="9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103,454</w:t>
            </w:r>
          </w:p>
        </w:tc>
        <w:tc>
          <w:tcPr>
            <w:tcW w:w="0" w:type="dxa"/>
            <w:vAlign w:val="bottom"/>
          </w:tcPr>
          <w:p>
            <w:pPr>
              <w:spacing w:after="0"/>
              <w:rPr>
                <w:sz w:val="1"/>
                <w:szCs w:val="1"/>
                <w:color w:val="auto"/>
              </w:rPr>
            </w:pPr>
          </w:p>
        </w:tc>
      </w:tr>
      <w:tr>
        <w:trPr>
          <w:trHeight w:val="213"/>
        </w:trPr>
        <w:tc>
          <w:tcPr>
            <w:tcW w:w="8640" w:type="dxa"/>
            <w:vAlign w:val="bottom"/>
          </w:tcPr>
          <w:p>
            <w:pPr>
              <w:ind w:left="560"/>
              <w:spacing w:after="0"/>
              <w:rPr>
                <w:sz w:val="20"/>
                <w:szCs w:val="20"/>
                <w:color w:val="auto"/>
              </w:rPr>
            </w:pPr>
            <w:r>
              <w:rPr>
                <w:rFonts w:ascii="Arial" w:cs="Arial" w:eastAsia="Arial" w:hAnsi="Arial"/>
                <w:sz w:val="16"/>
                <w:szCs w:val="16"/>
                <w:color w:val="0B2E44"/>
              </w:rPr>
              <w:t>FICA and payroll tax expense related to stock-based compensation(2)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B2E44"/>
              </w:rPr>
              <w:t>2,465</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B2E44"/>
              </w:rPr>
              <w:t>3,261</w:t>
            </w:r>
          </w:p>
        </w:tc>
        <w:tc>
          <w:tcPr>
            <w:tcW w:w="0" w:type="dxa"/>
            <w:vAlign w:val="bottom"/>
          </w:tcPr>
          <w:p>
            <w:pPr>
              <w:spacing w:after="0"/>
              <w:rPr>
                <w:sz w:val="1"/>
                <w:szCs w:val="1"/>
                <w:color w:val="auto"/>
              </w:rPr>
            </w:pPr>
          </w:p>
        </w:tc>
      </w:tr>
      <w:tr>
        <w:trPr>
          <w:trHeight w:val="219"/>
        </w:trPr>
        <w:tc>
          <w:tcPr>
            <w:tcW w:w="8640" w:type="dxa"/>
            <w:vAlign w:val="bottom"/>
            <w:shd w:val="clear" w:color="auto" w:fill="DDE9F2"/>
          </w:tcPr>
          <w:p>
            <w:pPr>
              <w:ind w:left="560"/>
              <w:spacing w:after="0"/>
              <w:rPr>
                <w:sz w:val="20"/>
                <w:szCs w:val="20"/>
                <w:color w:val="auto"/>
              </w:rPr>
            </w:pPr>
            <w:r>
              <w:rPr>
                <w:rFonts w:ascii="Arial" w:cs="Arial" w:eastAsia="Arial" w:hAnsi="Arial"/>
                <w:sz w:val="16"/>
                <w:szCs w:val="16"/>
                <w:color w:val="0B2E44"/>
              </w:rPr>
              <w:t>Restructuring(3)</w:t>
            </w:r>
          </w:p>
        </w:tc>
        <w:tc>
          <w:tcPr>
            <w:tcW w:w="280" w:type="dxa"/>
            <w:vAlign w:val="bottom"/>
            <w:shd w:val="clear" w:color="auto" w:fill="DDE9F2"/>
          </w:tcPr>
          <w:p>
            <w:pPr>
              <w:spacing w:after="0"/>
              <w:rPr>
                <w:sz w:val="19"/>
                <w:szCs w:val="19"/>
                <w:color w:val="auto"/>
              </w:rPr>
            </w:pPr>
          </w:p>
        </w:tc>
        <w:tc>
          <w:tcPr>
            <w:tcW w:w="98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15,452</w:t>
            </w:r>
          </w:p>
        </w:tc>
        <w:tc>
          <w:tcPr>
            <w:tcW w:w="440" w:type="dxa"/>
            <w:vAlign w:val="bottom"/>
            <w:shd w:val="clear" w:color="auto" w:fill="DDE9F2"/>
          </w:tcPr>
          <w:p>
            <w:pPr>
              <w:spacing w:after="0"/>
              <w:rPr>
                <w:sz w:val="19"/>
                <w:szCs w:val="19"/>
                <w:color w:val="auto"/>
              </w:rPr>
            </w:pPr>
          </w:p>
        </w:tc>
        <w:tc>
          <w:tcPr>
            <w:tcW w:w="9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6,192</w:t>
            </w:r>
          </w:p>
        </w:tc>
        <w:tc>
          <w:tcPr>
            <w:tcW w:w="0" w:type="dxa"/>
            <w:vAlign w:val="bottom"/>
          </w:tcPr>
          <w:p>
            <w:pPr>
              <w:spacing w:after="0"/>
              <w:rPr>
                <w:sz w:val="1"/>
                <w:szCs w:val="1"/>
                <w:color w:val="auto"/>
              </w:rPr>
            </w:pPr>
          </w:p>
        </w:tc>
      </w:tr>
      <w:tr>
        <w:trPr>
          <w:trHeight w:val="213"/>
        </w:trPr>
        <w:tc>
          <w:tcPr>
            <w:tcW w:w="8640" w:type="dxa"/>
            <w:vAlign w:val="bottom"/>
          </w:tcPr>
          <w:p>
            <w:pPr>
              <w:ind w:left="560"/>
              <w:spacing w:after="0"/>
              <w:rPr>
                <w:sz w:val="20"/>
                <w:szCs w:val="20"/>
                <w:color w:val="auto"/>
              </w:rPr>
            </w:pPr>
            <w:r>
              <w:rPr>
                <w:rFonts w:ascii="Arial" w:cs="Arial" w:eastAsia="Arial" w:hAnsi="Arial"/>
                <w:sz w:val="16"/>
                <w:szCs w:val="16"/>
                <w:color w:val="0B2E44"/>
              </w:rPr>
              <w:t>Amortization of intangible assets(4)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B2E44"/>
              </w:rPr>
              <w:t>1,250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B2E44"/>
              </w:rPr>
              <w:t>208</w:t>
            </w:r>
          </w:p>
        </w:tc>
        <w:tc>
          <w:tcPr>
            <w:tcW w:w="0" w:type="dxa"/>
            <w:vAlign w:val="bottom"/>
          </w:tcPr>
          <w:p>
            <w:pPr>
              <w:spacing w:after="0"/>
              <w:rPr>
                <w:sz w:val="1"/>
                <w:szCs w:val="1"/>
                <w:color w:val="auto"/>
              </w:rPr>
            </w:pPr>
          </w:p>
        </w:tc>
      </w:tr>
      <w:tr>
        <w:trPr>
          <w:trHeight w:val="219"/>
        </w:trPr>
        <w:tc>
          <w:tcPr>
            <w:tcW w:w="8640" w:type="dxa"/>
            <w:vAlign w:val="bottom"/>
            <w:shd w:val="clear" w:color="auto" w:fill="DDE9F2"/>
          </w:tcPr>
          <w:p>
            <w:pPr>
              <w:ind w:left="560"/>
              <w:spacing w:after="0"/>
              <w:rPr>
                <w:sz w:val="20"/>
                <w:szCs w:val="20"/>
                <w:color w:val="auto"/>
              </w:rPr>
            </w:pPr>
            <w:r>
              <w:rPr>
                <w:rFonts w:ascii="Arial" w:cs="Arial" w:eastAsia="Arial" w:hAnsi="Arial"/>
                <w:sz w:val="16"/>
                <w:szCs w:val="16"/>
                <w:color w:val="0B2E44"/>
              </w:rPr>
              <w:t>Headquarters impairment(5)</w:t>
            </w:r>
          </w:p>
        </w:tc>
        <w:tc>
          <w:tcPr>
            <w:tcW w:w="280" w:type="dxa"/>
            <w:vAlign w:val="bottom"/>
            <w:shd w:val="clear" w:color="auto" w:fill="DDE9F2"/>
          </w:tcPr>
          <w:p>
            <w:pPr>
              <w:spacing w:after="0"/>
              <w:rPr>
                <w:sz w:val="19"/>
                <w:szCs w:val="19"/>
                <w:color w:val="auto"/>
              </w:rPr>
            </w:pPr>
          </w:p>
        </w:tc>
        <w:tc>
          <w:tcPr>
            <w:tcW w:w="98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53,481</w:t>
            </w:r>
          </w:p>
        </w:tc>
        <w:tc>
          <w:tcPr>
            <w:tcW w:w="440" w:type="dxa"/>
            <w:vAlign w:val="bottom"/>
            <w:shd w:val="clear" w:color="auto" w:fill="DDE9F2"/>
          </w:tcPr>
          <w:p>
            <w:pPr>
              <w:spacing w:after="0"/>
              <w:rPr>
                <w:sz w:val="19"/>
                <w:szCs w:val="19"/>
                <w:color w:val="auto"/>
              </w:rPr>
            </w:pPr>
          </w:p>
        </w:tc>
        <w:tc>
          <w:tcPr>
            <w:tcW w:w="9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c>
          <w:tcPr>
            <w:tcW w:w="0" w:type="dxa"/>
            <w:vAlign w:val="bottom"/>
          </w:tcPr>
          <w:p>
            <w:pPr>
              <w:spacing w:after="0"/>
              <w:rPr>
                <w:sz w:val="1"/>
                <w:szCs w:val="1"/>
                <w:color w:val="auto"/>
              </w:rPr>
            </w:pPr>
          </w:p>
        </w:tc>
      </w:tr>
      <w:tr>
        <w:trPr>
          <w:trHeight w:val="213"/>
        </w:trPr>
        <w:tc>
          <w:tcPr>
            <w:tcW w:w="8640" w:type="dxa"/>
            <w:vAlign w:val="bottom"/>
          </w:tcPr>
          <w:p>
            <w:pPr>
              <w:ind w:left="560"/>
              <w:spacing w:after="0"/>
              <w:rPr>
                <w:sz w:val="20"/>
                <w:szCs w:val="20"/>
                <w:color w:val="auto"/>
              </w:rPr>
            </w:pPr>
            <w:r>
              <w:rPr>
                <w:rFonts w:ascii="Arial" w:cs="Arial" w:eastAsia="Arial" w:hAnsi="Arial"/>
                <w:sz w:val="16"/>
                <w:szCs w:val="16"/>
                <w:color w:val="0B2E44"/>
              </w:rPr>
              <w:t>Hedvig deferred payments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B2E44"/>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B2E44"/>
              </w:rPr>
              <w:t>5,622</w:t>
            </w:r>
          </w:p>
        </w:tc>
        <w:tc>
          <w:tcPr>
            <w:tcW w:w="0" w:type="dxa"/>
            <w:vAlign w:val="bottom"/>
          </w:tcPr>
          <w:p>
            <w:pPr>
              <w:spacing w:after="0"/>
              <w:rPr>
                <w:sz w:val="1"/>
                <w:szCs w:val="1"/>
                <w:color w:val="auto"/>
              </w:rPr>
            </w:pPr>
          </w:p>
        </w:tc>
      </w:tr>
      <w:tr>
        <w:trPr>
          <w:trHeight w:val="219"/>
        </w:trPr>
        <w:tc>
          <w:tcPr>
            <w:tcW w:w="8640" w:type="dxa"/>
            <w:vAlign w:val="bottom"/>
            <w:shd w:val="clear" w:color="auto" w:fill="DDE9F2"/>
          </w:tcPr>
          <w:p>
            <w:pPr>
              <w:ind w:left="560"/>
              <w:spacing w:after="0"/>
              <w:rPr>
                <w:sz w:val="20"/>
                <w:szCs w:val="20"/>
                <w:color w:val="auto"/>
              </w:rPr>
            </w:pPr>
            <w:r>
              <w:rPr>
                <w:rFonts w:ascii="Arial" w:cs="Arial" w:eastAsia="Arial" w:hAnsi="Arial"/>
                <w:sz w:val="16"/>
                <w:szCs w:val="16"/>
                <w:color w:val="0B2E44"/>
              </w:rPr>
              <w:t>Acquisition costs</w:t>
            </w:r>
          </w:p>
        </w:tc>
        <w:tc>
          <w:tcPr>
            <w:tcW w:w="280" w:type="dxa"/>
            <w:vAlign w:val="bottom"/>
            <w:shd w:val="clear" w:color="auto" w:fill="DDE9F2"/>
          </w:tcPr>
          <w:p>
            <w:pPr>
              <w:spacing w:after="0"/>
              <w:rPr>
                <w:sz w:val="19"/>
                <w:szCs w:val="19"/>
                <w:color w:val="auto"/>
              </w:rPr>
            </w:pPr>
          </w:p>
        </w:tc>
        <w:tc>
          <w:tcPr>
            <w:tcW w:w="98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w:t>
            </w:r>
          </w:p>
        </w:tc>
        <w:tc>
          <w:tcPr>
            <w:tcW w:w="440" w:type="dxa"/>
            <w:vAlign w:val="bottom"/>
            <w:shd w:val="clear" w:color="auto" w:fill="DDE9F2"/>
          </w:tcPr>
          <w:p>
            <w:pPr>
              <w:spacing w:after="0"/>
              <w:rPr>
                <w:sz w:val="19"/>
                <w:szCs w:val="19"/>
                <w:color w:val="auto"/>
              </w:rPr>
            </w:pPr>
          </w:p>
        </w:tc>
        <w:tc>
          <w:tcPr>
            <w:tcW w:w="900" w:type="dxa"/>
            <w:vAlign w:val="bottom"/>
            <w:shd w:val="clear" w:color="auto" w:fill="DDE9F2"/>
          </w:tcPr>
          <w:p>
            <w:pPr>
              <w:jc w:val="right"/>
              <w:spacing w:after="0"/>
              <w:rPr>
                <w:sz w:val="20"/>
                <w:szCs w:val="20"/>
                <w:color w:val="auto"/>
              </w:rPr>
            </w:pPr>
            <w:r>
              <w:rPr>
                <w:rFonts w:ascii="Arial" w:cs="Arial" w:eastAsia="Arial" w:hAnsi="Arial"/>
                <w:sz w:val="16"/>
                <w:szCs w:val="16"/>
                <w:color w:val="0B2E44"/>
              </w:rPr>
              <w:t>1,379</w:t>
            </w:r>
          </w:p>
        </w:tc>
        <w:tc>
          <w:tcPr>
            <w:tcW w:w="0" w:type="dxa"/>
            <w:vAlign w:val="bottom"/>
          </w:tcPr>
          <w:p>
            <w:pPr>
              <w:spacing w:after="0"/>
              <w:rPr>
                <w:sz w:val="1"/>
                <w:szCs w:val="1"/>
                <w:color w:val="auto"/>
              </w:rPr>
            </w:pPr>
          </w:p>
        </w:tc>
      </w:tr>
      <w:tr>
        <w:trPr>
          <w:trHeight w:val="213"/>
        </w:trPr>
        <w:tc>
          <w:tcPr>
            <w:tcW w:w="8640" w:type="dxa"/>
            <w:vAlign w:val="bottom"/>
          </w:tcPr>
          <w:p>
            <w:pPr>
              <w:ind w:left="560"/>
              <w:spacing w:after="0"/>
              <w:rPr>
                <w:sz w:val="20"/>
                <w:szCs w:val="20"/>
                <w:color w:val="auto"/>
              </w:rPr>
            </w:pPr>
            <w:r>
              <w:rPr>
                <w:rFonts w:ascii="Arial" w:cs="Arial" w:eastAsia="Arial" w:hAnsi="Arial"/>
                <w:sz w:val="16"/>
                <w:szCs w:val="16"/>
                <w:color w:val="0B2E44"/>
              </w:rPr>
              <w:t>Gain on sale of equity method investment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B2E44"/>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B2E44"/>
              </w:rPr>
              <w:t>(1,000)</w:t>
            </w:r>
          </w:p>
        </w:tc>
        <w:tc>
          <w:tcPr>
            <w:tcW w:w="0" w:type="dxa"/>
            <w:vAlign w:val="bottom"/>
          </w:tcPr>
          <w:p>
            <w:pPr>
              <w:spacing w:after="0"/>
              <w:rPr>
                <w:sz w:val="1"/>
                <w:szCs w:val="1"/>
                <w:color w:val="auto"/>
              </w:rPr>
            </w:pPr>
          </w:p>
        </w:tc>
      </w:tr>
      <w:tr>
        <w:trPr>
          <w:trHeight w:val="216"/>
        </w:trPr>
        <w:tc>
          <w:tcPr>
            <w:tcW w:w="8640" w:type="dxa"/>
            <w:vAlign w:val="bottom"/>
            <w:tcBorders>
              <w:bottom w:val="single" w:sz="8" w:color="DDE9F2"/>
            </w:tcBorders>
            <w:shd w:val="clear" w:color="auto" w:fill="DDE9F2"/>
          </w:tcPr>
          <w:p>
            <w:pPr>
              <w:ind w:left="560"/>
              <w:spacing w:after="0"/>
              <w:rPr>
                <w:sz w:val="20"/>
                <w:szCs w:val="20"/>
                <w:color w:val="auto"/>
              </w:rPr>
            </w:pPr>
            <w:r>
              <w:rPr>
                <w:rFonts w:ascii="Arial" w:cs="Arial" w:eastAsia="Arial" w:hAnsi="Arial"/>
                <w:sz w:val="16"/>
                <w:szCs w:val="16"/>
                <w:color w:val="0B2E44"/>
              </w:rPr>
              <w:t>Non-GAAP provision for income taxes adjustment(6)</w:t>
            </w:r>
          </w:p>
        </w:tc>
        <w:tc>
          <w:tcPr>
            <w:tcW w:w="280" w:type="dxa"/>
            <w:vAlign w:val="bottom"/>
            <w:tcBorders>
              <w:bottom w:val="single" w:sz="8" w:color="0B2E44"/>
            </w:tcBorders>
            <w:shd w:val="clear" w:color="auto" w:fill="DDE9F2"/>
          </w:tcPr>
          <w:p>
            <w:pPr>
              <w:spacing w:after="0"/>
              <w:rPr>
                <w:sz w:val="18"/>
                <w:szCs w:val="18"/>
                <w:color w:val="auto"/>
              </w:rPr>
            </w:pPr>
          </w:p>
        </w:tc>
        <w:tc>
          <w:tcPr>
            <w:tcW w:w="980" w:type="dxa"/>
            <w:vAlign w:val="bottom"/>
            <w:tcBorders>
              <w:bottom w:val="single" w:sz="8" w:color="0B2E44"/>
            </w:tcBorders>
            <w:shd w:val="clear" w:color="auto" w:fill="DDE9F2"/>
          </w:tcPr>
          <w:p>
            <w:pPr>
              <w:jc w:val="right"/>
              <w:spacing w:after="0"/>
              <w:rPr>
                <w:sz w:val="20"/>
                <w:szCs w:val="20"/>
                <w:color w:val="auto"/>
              </w:rPr>
            </w:pPr>
            <w:r>
              <w:rPr>
                <w:rFonts w:ascii="Arial" w:cs="Arial" w:eastAsia="Arial" w:hAnsi="Arial"/>
                <w:sz w:val="16"/>
                <w:szCs w:val="16"/>
                <w:color w:val="0B2E44"/>
              </w:rPr>
              <w:t>(22,904)</w:t>
            </w:r>
          </w:p>
        </w:tc>
        <w:tc>
          <w:tcPr>
            <w:tcW w:w="440" w:type="dxa"/>
            <w:vAlign w:val="bottom"/>
            <w:tcBorders>
              <w:bottom w:val="single" w:sz="8" w:color="0B2E44"/>
            </w:tcBorders>
            <w:shd w:val="clear" w:color="auto" w:fill="DDE9F2"/>
          </w:tcPr>
          <w:p>
            <w:pPr>
              <w:spacing w:after="0"/>
              <w:rPr>
                <w:sz w:val="18"/>
                <w:szCs w:val="18"/>
                <w:color w:val="auto"/>
              </w:rPr>
            </w:pPr>
          </w:p>
        </w:tc>
        <w:tc>
          <w:tcPr>
            <w:tcW w:w="900" w:type="dxa"/>
            <w:vAlign w:val="bottom"/>
            <w:tcBorders>
              <w:bottom w:val="single" w:sz="8" w:color="0B2E44"/>
            </w:tcBorders>
            <w:shd w:val="clear" w:color="auto" w:fill="DDE9F2"/>
          </w:tcPr>
          <w:p>
            <w:pPr>
              <w:jc w:val="right"/>
              <w:spacing w:after="0"/>
              <w:rPr>
                <w:sz w:val="20"/>
                <w:szCs w:val="20"/>
                <w:color w:val="auto"/>
              </w:rPr>
            </w:pPr>
            <w:r>
              <w:rPr>
                <w:rFonts w:ascii="Arial" w:cs="Arial" w:eastAsia="Arial" w:hAnsi="Arial"/>
                <w:sz w:val="16"/>
                <w:szCs w:val="16"/>
                <w:color w:val="0B2E44"/>
              </w:rPr>
              <w:t>(34,090)</w:t>
            </w:r>
          </w:p>
        </w:tc>
        <w:tc>
          <w:tcPr>
            <w:tcW w:w="0" w:type="dxa"/>
            <w:vAlign w:val="bottom"/>
          </w:tcPr>
          <w:p>
            <w:pPr>
              <w:spacing w:after="0"/>
              <w:rPr>
                <w:sz w:val="1"/>
                <w:szCs w:val="1"/>
                <w:color w:val="auto"/>
              </w:rPr>
            </w:pPr>
          </w:p>
        </w:tc>
      </w:tr>
      <w:tr>
        <w:trPr>
          <w:trHeight w:val="213"/>
        </w:trPr>
        <w:tc>
          <w:tcPr>
            <w:tcW w:w="8640" w:type="dxa"/>
            <w:vAlign w:val="bottom"/>
          </w:tcPr>
          <w:p>
            <w:pPr>
              <w:ind w:left="120"/>
              <w:spacing w:after="0"/>
              <w:rPr>
                <w:sz w:val="20"/>
                <w:szCs w:val="20"/>
                <w:color w:val="auto"/>
              </w:rPr>
            </w:pPr>
            <w:r>
              <w:rPr>
                <w:rFonts w:ascii="Arial" w:cs="Arial" w:eastAsia="Arial" w:hAnsi="Arial"/>
                <w:sz w:val="16"/>
                <w:szCs w:val="16"/>
                <w:b w:val="1"/>
                <w:bCs w:val="1"/>
                <w:color w:val="0B2E44"/>
              </w:rPr>
              <w:t>Non-GAAP net income</w:t>
            </w:r>
          </w:p>
        </w:tc>
        <w:tc>
          <w:tcPr>
            <w:tcW w:w="280" w:type="dxa"/>
            <w:vAlign w:val="bottom"/>
            <w:tcBorders>
              <w:bottom w:val="single" w:sz="8" w:color="0B2E44"/>
            </w:tcBorders>
          </w:tcPr>
          <w:p>
            <w:pPr>
              <w:spacing w:after="0"/>
              <w:rPr>
                <w:sz w:val="18"/>
                <w:szCs w:val="18"/>
                <w:color w:val="auto"/>
              </w:rPr>
            </w:pPr>
          </w:p>
        </w:tc>
        <w:tc>
          <w:tcPr>
            <w:tcW w:w="980" w:type="dxa"/>
            <w:vAlign w:val="bottom"/>
            <w:tcBorders>
              <w:bottom w:val="single" w:sz="8" w:color="0B2E44"/>
            </w:tcBorders>
          </w:tcPr>
          <w:p>
            <w:pPr>
              <w:jc w:val="right"/>
              <w:spacing w:after="0"/>
              <w:rPr>
                <w:sz w:val="20"/>
                <w:szCs w:val="20"/>
                <w:color w:val="auto"/>
              </w:rPr>
            </w:pPr>
            <w:r>
              <w:rPr>
                <w:rFonts w:ascii="Arial" w:cs="Arial" w:eastAsia="Arial" w:hAnsi="Arial"/>
                <w:sz w:val="16"/>
                <w:szCs w:val="16"/>
                <w:b w:val="1"/>
                <w:bCs w:val="1"/>
                <w:color w:val="0B2E44"/>
              </w:rPr>
              <w:t>$117,109</w:t>
            </w:r>
          </w:p>
        </w:tc>
        <w:tc>
          <w:tcPr>
            <w:tcW w:w="440" w:type="dxa"/>
            <w:vAlign w:val="bottom"/>
            <w:tcBorders>
              <w:bottom w:val="single" w:sz="8" w:color="0B2E44"/>
            </w:tcBorders>
          </w:tcPr>
          <w:p>
            <w:pPr>
              <w:spacing w:after="0"/>
              <w:rPr>
                <w:sz w:val="18"/>
                <w:szCs w:val="18"/>
                <w:color w:val="auto"/>
              </w:rPr>
            </w:pPr>
          </w:p>
        </w:tc>
        <w:tc>
          <w:tcPr>
            <w:tcW w:w="900" w:type="dxa"/>
            <w:vAlign w:val="bottom"/>
            <w:tcBorders>
              <w:bottom w:val="single" w:sz="8" w:color="0B2E44"/>
            </w:tcBorders>
          </w:tcPr>
          <w:p>
            <w:pPr>
              <w:jc w:val="right"/>
              <w:spacing w:after="0"/>
              <w:rPr>
                <w:sz w:val="20"/>
                <w:szCs w:val="20"/>
                <w:color w:val="auto"/>
              </w:rPr>
            </w:pPr>
            <w:r>
              <w:rPr>
                <w:rFonts w:ascii="Arial" w:cs="Arial" w:eastAsia="Arial" w:hAnsi="Arial"/>
                <w:sz w:val="16"/>
                <w:szCs w:val="16"/>
                <w:b w:val="1"/>
                <w:bCs w:val="1"/>
                <w:color w:val="0B2E44"/>
              </w:rPr>
              <w:t>$118,650</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DDE9F2"/>
            </w:tcBorders>
            <w:shd w:val="clear" w:color="auto" w:fill="DDE9F2"/>
          </w:tcPr>
          <w:p>
            <w:pPr>
              <w:ind w:left="60"/>
              <w:spacing w:after="0"/>
              <w:rPr>
                <w:sz w:val="20"/>
                <w:szCs w:val="20"/>
                <w:color w:val="auto"/>
              </w:rPr>
            </w:pPr>
            <w:r>
              <w:rPr>
                <w:rFonts w:ascii="Arial" w:cs="Arial" w:eastAsia="Arial" w:hAnsi="Arial"/>
                <w:sz w:val="16"/>
                <w:szCs w:val="16"/>
                <w:color w:val="0B2E44"/>
              </w:rPr>
              <w:t>Diluted weighted average shares outstanding</w:t>
            </w:r>
          </w:p>
        </w:tc>
        <w:tc>
          <w:tcPr>
            <w:tcW w:w="280" w:type="dxa"/>
            <w:vAlign w:val="bottom"/>
            <w:tcBorders>
              <w:bottom w:val="single" w:sz="8" w:color="0B2E44"/>
            </w:tcBorders>
            <w:shd w:val="clear" w:color="auto" w:fill="DDE9F2"/>
          </w:tcPr>
          <w:p>
            <w:pPr>
              <w:spacing w:after="0"/>
              <w:rPr>
                <w:sz w:val="19"/>
                <w:szCs w:val="19"/>
                <w:color w:val="auto"/>
              </w:rPr>
            </w:pPr>
          </w:p>
        </w:tc>
        <w:tc>
          <w:tcPr>
            <w:tcW w:w="980" w:type="dxa"/>
            <w:vAlign w:val="bottom"/>
            <w:tcBorders>
              <w:bottom w:val="single" w:sz="8" w:color="0B2E44"/>
            </w:tcBorders>
            <w:shd w:val="clear" w:color="auto" w:fill="DDE9F2"/>
          </w:tcPr>
          <w:p>
            <w:pPr>
              <w:jc w:val="right"/>
              <w:spacing w:after="0"/>
              <w:rPr>
                <w:sz w:val="20"/>
                <w:szCs w:val="20"/>
                <w:color w:val="auto"/>
              </w:rPr>
            </w:pPr>
            <w:r>
              <w:rPr>
                <w:rFonts w:ascii="Arial" w:cs="Arial" w:eastAsia="Arial" w:hAnsi="Arial"/>
                <w:sz w:val="16"/>
                <w:szCs w:val="16"/>
                <w:color w:val="0B2E44"/>
              </w:rPr>
              <w:t>45,734</w:t>
            </w:r>
          </w:p>
        </w:tc>
        <w:tc>
          <w:tcPr>
            <w:tcW w:w="440" w:type="dxa"/>
            <w:vAlign w:val="bottom"/>
            <w:tcBorders>
              <w:bottom w:val="single" w:sz="8" w:color="0B2E44"/>
            </w:tcBorders>
            <w:shd w:val="clear" w:color="auto" w:fill="DDE9F2"/>
          </w:tcPr>
          <w:p>
            <w:pPr>
              <w:spacing w:after="0"/>
              <w:rPr>
                <w:sz w:val="19"/>
                <w:szCs w:val="19"/>
                <w:color w:val="auto"/>
              </w:rPr>
            </w:pPr>
          </w:p>
        </w:tc>
        <w:tc>
          <w:tcPr>
            <w:tcW w:w="900" w:type="dxa"/>
            <w:vAlign w:val="bottom"/>
            <w:tcBorders>
              <w:bottom w:val="single" w:sz="8" w:color="0B2E44"/>
            </w:tcBorders>
            <w:shd w:val="clear" w:color="auto" w:fill="DDE9F2"/>
          </w:tcPr>
          <w:p>
            <w:pPr>
              <w:jc w:val="right"/>
              <w:spacing w:after="0"/>
              <w:rPr>
                <w:sz w:val="20"/>
                <w:szCs w:val="20"/>
                <w:color w:val="auto"/>
              </w:rPr>
            </w:pPr>
            <w:r>
              <w:rPr>
                <w:rFonts w:ascii="Arial" w:cs="Arial" w:eastAsia="Arial" w:hAnsi="Arial"/>
                <w:sz w:val="16"/>
                <w:szCs w:val="16"/>
                <w:color w:val="0B2E44"/>
              </w:rPr>
              <w:t>47,220</w:t>
            </w:r>
          </w:p>
        </w:tc>
        <w:tc>
          <w:tcPr>
            <w:tcW w:w="0" w:type="dxa"/>
            <w:vAlign w:val="bottom"/>
          </w:tcPr>
          <w:p>
            <w:pPr>
              <w:spacing w:after="0"/>
              <w:rPr>
                <w:sz w:val="1"/>
                <w:szCs w:val="1"/>
                <w:color w:val="auto"/>
              </w:rPr>
            </w:pPr>
          </w:p>
        </w:tc>
      </w:tr>
      <w:tr>
        <w:trPr>
          <w:trHeight w:val="20"/>
        </w:trPr>
        <w:tc>
          <w:tcPr>
            <w:tcW w:w="8640" w:type="dxa"/>
            <w:vAlign w:val="bottom"/>
            <w:tcBorders>
              <w:top w:val="single" w:sz="8" w:color="DDE9F2"/>
              <w:bottom w:val="single" w:sz="8" w:color="DDE9F2"/>
            </w:tcBorders>
            <w:vMerge w:val="restart"/>
          </w:tcPr>
          <w:p>
            <w:pPr>
              <w:ind w:left="120"/>
              <w:spacing w:after="0"/>
              <w:rPr>
                <w:sz w:val="20"/>
                <w:szCs w:val="20"/>
                <w:color w:val="auto"/>
              </w:rPr>
            </w:pPr>
            <w:r>
              <w:rPr>
                <w:rFonts w:ascii="Arial" w:cs="Arial" w:eastAsia="Arial" w:hAnsi="Arial"/>
                <w:sz w:val="16"/>
                <w:szCs w:val="16"/>
                <w:b w:val="1"/>
                <w:bCs w:val="1"/>
                <w:color w:val="0B2E44"/>
              </w:rPr>
              <w:t>Non-GAAP diluted earnings per share</w:t>
            </w:r>
          </w:p>
        </w:tc>
        <w:tc>
          <w:tcPr>
            <w:tcW w:w="280" w:type="dxa"/>
            <w:vAlign w:val="bottom"/>
            <w:tcBorders>
              <w:top w:val="single" w:sz="8" w:color="DDE9F2"/>
              <w:bottom w:val="single" w:sz="8" w:color="0B2E44"/>
            </w:tcBorders>
          </w:tcPr>
          <w:p>
            <w:pPr>
              <w:spacing w:after="0" w:line="20" w:lineRule="exact"/>
              <w:rPr>
                <w:sz w:val="1"/>
                <w:szCs w:val="1"/>
                <w:color w:val="auto"/>
              </w:rPr>
            </w:pPr>
          </w:p>
        </w:tc>
        <w:tc>
          <w:tcPr>
            <w:tcW w:w="980" w:type="dxa"/>
            <w:vAlign w:val="bottom"/>
            <w:tcBorders>
              <w:top w:val="single" w:sz="8" w:color="DDE9F2"/>
              <w:bottom w:val="single" w:sz="8" w:color="0B2E44"/>
            </w:tcBorders>
          </w:tcPr>
          <w:p>
            <w:pPr>
              <w:spacing w:after="0" w:line="20" w:lineRule="exact"/>
              <w:rPr>
                <w:sz w:val="1"/>
                <w:szCs w:val="1"/>
                <w:color w:val="auto"/>
              </w:rPr>
            </w:pPr>
          </w:p>
        </w:tc>
        <w:tc>
          <w:tcPr>
            <w:tcW w:w="440" w:type="dxa"/>
            <w:vAlign w:val="bottom"/>
            <w:tcBorders>
              <w:top w:val="single" w:sz="8" w:color="DDE9F2"/>
              <w:bottom w:val="single" w:sz="8" w:color="0B2E44"/>
            </w:tcBorders>
          </w:tcPr>
          <w:p>
            <w:pPr>
              <w:spacing w:after="0" w:line="20" w:lineRule="exact"/>
              <w:rPr>
                <w:sz w:val="1"/>
                <w:szCs w:val="1"/>
                <w:color w:val="auto"/>
              </w:rPr>
            </w:pPr>
          </w:p>
        </w:tc>
        <w:tc>
          <w:tcPr>
            <w:tcW w:w="900" w:type="dxa"/>
            <w:vAlign w:val="bottom"/>
            <w:tcBorders>
              <w:top w:val="single" w:sz="8" w:color="DDE9F2"/>
              <w:bottom w:val="single" w:sz="8" w:color="0B2E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tcBorders>
              <w:bottom w:val="single" w:sz="8" w:color="092E44"/>
            </w:tcBorders>
            <w:vMerge w:val="continue"/>
          </w:tcPr>
          <w:p>
            <w:pPr>
              <w:spacing w:after="0"/>
              <w:rPr>
                <w:sz w:val="16"/>
                <w:szCs w:val="16"/>
                <w:color w:val="auto"/>
              </w:rPr>
            </w:pPr>
          </w:p>
        </w:tc>
        <w:tc>
          <w:tcPr>
            <w:tcW w:w="280" w:type="dxa"/>
            <w:vAlign w:val="bottom"/>
            <w:tcBorders>
              <w:bottom w:val="single" w:sz="8" w:color="092E44"/>
            </w:tcBorders>
          </w:tcPr>
          <w:p>
            <w:pPr>
              <w:jc w:val="right"/>
              <w:ind w:right="99"/>
              <w:spacing w:after="0"/>
              <w:rPr>
                <w:sz w:val="20"/>
                <w:szCs w:val="20"/>
                <w:color w:val="auto"/>
              </w:rPr>
            </w:pPr>
            <w:r>
              <w:rPr>
                <w:rFonts w:ascii="Arial" w:cs="Arial" w:eastAsia="Arial" w:hAnsi="Arial"/>
                <w:sz w:val="16"/>
                <w:szCs w:val="16"/>
                <w:b w:val="1"/>
                <w:bCs w:val="1"/>
                <w:color w:val="0B2E44"/>
                <w:w w:val="89"/>
              </w:rPr>
              <w:t>$</w:t>
            </w:r>
          </w:p>
        </w:tc>
        <w:tc>
          <w:tcPr>
            <w:tcW w:w="980" w:type="dxa"/>
            <w:vAlign w:val="bottom"/>
            <w:tcBorders>
              <w:bottom w:val="single" w:sz="8" w:color="092E44"/>
            </w:tcBorders>
          </w:tcPr>
          <w:p>
            <w:pPr>
              <w:jc w:val="right"/>
              <w:spacing w:after="0"/>
              <w:rPr>
                <w:sz w:val="20"/>
                <w:szCs w:val="20"/>
                <w:color w:val="auto"/>
              </w:rPr>
            </w:pPr>
            <w:r>
              <w:rPr>
                <w:rFonts w:ascii="Arial" w:cs="Arial" w:eastAsia="Arial" w:hAnsi="Arial"/>
                <w:sz w:val="16"/>
                <w:szCs w:val="16"/>
                <w:b w:val="1"/>
                <w:bCs w:val="1"/>
                <w:color w:val="0B2E44"/>
              </w:rPr>
              <w:t>2.56</w:t>
            </w:r>
          </w:p>
        </w:tc>
        <w:tc>
          <w:tcPr>
            <w:tcW w:w="440" w:type="dxa"/>
            <w:vAlign w:val="bottom"/>
            <w:tcBorders>
              <w:bottom w:val="single" w:sz="8" w:color="092E44"/>
            </w:tcBorders>
          </w:tcPr>
          <w:p>
            <w:pPr>
              <w:jc w:val="center"/>
              <w:ind w:right="259"/>
              <w:spacing w:after="0"/>
              <w:rPr>
                <w:sz w:val="20"/>
                <w:szCs w:val="20"/>
                <w:color w:val="auto"/>
              </w:rPr>
            </w:pPr>
            <w:r>
              <w:rPr>
                <w:rFonts w:ascii="Arial" w:cs="Arial" w:eastAsia="Arial" w:hAnsi="Arial"/>
                <w:sz w:val="16"/>
                <w:szCs w:val="16"/>
                <w:b w:val="1"/>
                <w:bCs w:val="1"/>
                <w:color w:val="0B2E44"/>
              </w:rPr>
              <w:t>$</w:t>
            </w:r>
          </w:p>
        </w:tc>
        <w:tc>
          <w:tcPr>
            <w:tcW w:w="900" w:type="dxa"/>
            <w:vAlign w:val="bottom"/>
            <w:tcBorders>
              <w:bottom w:val="single" w:sz="8" w:color="092E44"/>
            </w:tcBorders>
          </w:tcPr>
          <w:p>
            <w:pPr>
              <w:jc w:val="right"/>
              <w:spacing w:after="0"/>
              <w:rPr>
                <w:sz w:val="20"/>
                <w:szCs w:val="20"/>
                <w:color w:val="auto"/>
              </w:rPr>
            </w:pPr>
            <w:r>
              <w:rPr>
                <w:rFonts w:ascii="Arial" w:cs="Arial" w:eastAsia="Arial" w:hAnsi="Arial"/>
                <w:sz w:val="16"/>
                <w:szCs w:val="16"/>
                <w:b w:val="1"/>
                <w:bCs w:val="1"/>
                <w:color w:val="0B2E44"/>
              </w:rPr>
              <w:t>2.51</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right="440" w:hanging="332"/>
        <w:spacing w:after="0" w:line="244" w:lineRule="auto"/>
        <w:tabs>
          <w:tab w:leader="none" w:pos="255" w:val="left"/>
        </w:tabs>
        <w:numPr>
          <w:ilvl w:val="0"/>
          <w:numId w:val="68"/>
        </w:numPr>
        <w:rPr>
          <w:rFonts w:ascii="Arial" w:cs="Arial" w:eastAsia="Arial" w:hAnsi="Arial"/>
          <w:sz w:val="13"/>
          <w:szCs w:val="13"/>
          <w:color w:val="0B2E44"/>
        </w:rPr>
      </w:pPr>
      <w:r>
        <w:rPr>
          <w:rFonts w:ascii="Arial" w:cs="Arial" w:eastAsia="Arial" w:hAnsi="Arial"/>
          <w:sz w:val="13"/>
          <w:szCs w:val="13"/>
          <w:color w:val="0B2E44"/>
        </w:rPr>
        <w:t>Represents noncash stock-based compensation charges associated with stock options and restricted stock units granted under our 2016 Incentive Plan and purchase rights issued under our Employee Stock Purchase Plan.</w:t>
      </w:r>
    </w:p>
    <w:p>
      <w:pPr>
        <w:spacing w:after="0" w:line="1" w:lineRule="exact"/>
        <w:rPr>
          <w:rFonts w:ascii="Arial" w:cs="Arial" w:eastAsia="Arial" w:hAnsi="Arial"/>
          <w:sz w:val="13"/>
          <w:szCs w:val="13"/>
          <w:color w:val="0B2E44"/>
        </w:rPr>
      </w:pPr>
    </w:p>
    <w:p>
      <w:pPr>
        <w:ind w:left="260" w:hanging="252"/>
        <w:spacing w:after="0"/>
        <w:tabs>
          <w:tab w:leader="none" w:pos="260" w:val="left"/>
        </w:tabs>
        <w:numPr>
          <w:ilvl w:val="0"/>
          <w:numId w:val="68"/>
        </w:numPr>
        <w:rPr>
          <w:rFonts w:ascii="Arial" w:cs="Arial" w:eastAsia="Arial" w:hAnsi="Arial"/>
          <w:sz w:val="13"/>
          <w:szCs w:val="13"/>
          <w:color w:val="0B2E44"/>
        </w:rPr>
      </w:pPr>
      <w:r>
        <w:rPr>
          <w:rFonts w:ascii="Arial" w:cs="Arial" w:eastAsia="Arial" w:hAnsi="Arial"/>
          <w:sz w:val="13"/>
          <w:szCs w:val="13"/>
          <w:color w:val="0B2E44"/>
        </w:rPr>
        <w:t>Represents additional FICA and related payroll tax expenses incurred by Commvault when employees exercise in the money stock options or vest in restricted stock awards.</w:t>
      </w:r>
    </w:p>
    <w:p>
      <w:pPr>
        <w:ind w:left="340" w:right="420" w:hanging="332"/>
        <w:spacing w:after="0" w:line="242" w:lineRule="auto"/>
        <w:tabs>
          <w:tab w:leader="none" w:pos="255" w:val="left"/>
        </w:tabs>
        <w:numPr>
          <w:ilvl w:val="0"/>
          <w:numId w:val="68"/>
        </w:numPr>
        <w:rPr>
          <w:rFonts w:ascii="Arial" w:cs="Arial" w:eastAsia="Arial" w:hAnsi="Arial"/>
          <w:sz w:val="13"/>
          <w:szCs w:val="13"/>
          <w:color w:val="0B2E44"/>
        </w:rPr>
      </w:pPr>
      <w:r>
        <w:rPr>
          <w:rFonts w:ascii="Arial" w:cs="Arial" w:eastAsia="Arial" w:hAnsi="Arial"/>
          <w:sz w:val="13"/>
          <w:szCs w:val="13"/>
          <w:color w:val="0B2E44"/>
        </w:rPr>
        <w:t>These restructuring charges relate primarily to severance and related costs associated with headcount reductions and stock-based compensation related to modifications of existing unvested awards granted to certain employees impacted by the restructuring plan.</w:t>
      </w:r>
    </w:p>
    <w:p>
      <w:pPr>
        <w:spacing w:after="0" w:line="1" w:lineRule="exact"/>
        <w:rPr>
          <w:rFonts w:ascii="Arial" w:cs="Arial" w:eastAsia="Arial" w:hAnsi="Arial"/>
          <w:sz w:val="13"/>
          <w:szCs w:val="13"/>
          <w:color w:val="0B2E44"/>
        </w:rPr>
      </w:pPr>
    </w:p>
    <w:p>
      <w:pPr>
        <w:ind w:left="260" w:hanging="252"/>
        <w:spacing w:after="0"/>
        <w:tabs>
          <w:tab w:leader="none" w:pos="260" w:val="left"/>
        </w:tabs>
        <w:numPr>
          <w:ilvl w:val="0"/>
          <w:numId w:val="68"/>
        </w:numPr>
        <w:rPr>
          <w:rFonts w:ascii="Arial" w:cs="Arial" w:eastAsia="Arial" w:hAnsi="Arial"/>
          <w:sz w:val="13"/>
          <w:szCs w:val="13"/>
          <w:color w:val="0B2E44"/>
        </w:rPr>
      </w:pPr>
      <w:r>
        <w:rPr>
          <w:rFonts w:ascii="Arial" w:cs="Arial" w:eastAsia="Arial" w:hAnsi="Arial"/>
          <w:sz w:val="13"/>
          <w:szCs w:val="13"/>
          <w:color w:val="0B2E44"/>
        </w:rPr>
        <w:t>Represents noncash amortization of intangible assets.</w:t>
      </w:r>
    </w:p>
    <w:p>
      <w:pPr>
        <w:spacing w:after="0" w:line="7" w:lineRule="exact"/>
        <w:rPr>
          <w:rFonts w:ascii="Arial" w:cs="Arial" w:eastAsia="Arial" w:hAnsi="Arial"/>
          <w:sz w:val="13"/>
          <w:szCs w:val="13"/>
          <w:color w:val="0B2E44"/>
        </w:rPr>
      </w:pPr>
    </w:p>
    <w:p>
      <w:pPr>
        <w:ind w:left="260" w:hanging="252"/>
        <w:spacing w:after="0"/>
        <w:tabs>
          <w:tab w:leader="none" w:pos="260" w:val="left"/>
        </w:tabs>
        <w:numPr>
          <w:ilvl w:val="0"/>
          <w:numId w:val="68"/>
        </w:numPr>
        <w:rPr>
          <w:rFonts w:ascii="Arial" w:cs="Arial" w:eastAsia="Arial" w:hAnsi="Arial"/>
          <w:sz w:val="13"/>
          <w:szCs w:val="13"/>
          <w:color w:val="0B2E44"/>
        </w:rPr>
      </w:pPr>
      <w:r>
        <w:rPr>
          <w:rFonts w:ascii="Arial" w:cs="Arial" w:eastAsia="Arial" w:hAnsi="Arial"/>
          <w:sz w:val="13"/>
          <w:szCs w:val="13"/>
          <w:color w:val="0B2E44"/>
        </w:rPr>
        <w:t>Represents noncash impairment charges related to the pending sale of Commvault’s owned corporate headquarters.</w:t>
      </w:r>
    </w:p>
    <w:p>
      <w:pPr>
        <w:ind w:left="260" w:hanging="252"/>
        <w:spacing w:after="0"/>
        <w:tabs>
          <w:tab w:leader="none" w:pos="260" w:val="left"/>
        </w:tabs>
        <w:numPr>
          <w:ilvl w:val="0"/>
          <w:numId w:val="68"/>
        </w:numPr>
        <w:rPr>
          <w:rFonts w:ascii="Arial" w:cs="Arial" w:eastAsia="Arial" w:hAnsi="Arial"/>
          <w:sz w:val="13"/>
          <w:szCs w:val="13"/>
          <w:color w:val="0B2E44"/>
        </w:rPr>
      </w:pPr>
      <w:r>
        <w:rPr>
          <w:rFonts w:ascii="Arial" w:cs="Arial" w:eastAsia="Arial" w:hAnsi="Arial"/>
          <w:sz w:val="13"/>
          <w:szCs w:val="13"/>
          <w:color w:val="0B2E44"/>
        </w:rPr>
        <w:t>The provision for income taxes is adjusted to reflect Commvault’s estimated non-GAAP effective tax rate of 27%.</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1"/>
          <w:szCs w:val="11"/>
          <w:color w:val="0B2E44"/>
        </w:rPr>
        <w:t xml:space="preserve">69 </w:t>
      </w:r>
      <w:r>
        <w:rPr>
          <w:rFonts w:ascii="Arial" w:cs="Arial" w:eastAsia="Arial" w:hAnsi="Arial"/>
          <w:sz w:val="11"/>
          <w:szCs w:val="11"/>
          <w:b w:val="1"/>
          <w:bCs w:val="1"/>
          <w:color w:val="0B2E44"/>
        </w:rPr>
        <w:t>COMMVAULT SYSTEMS, INC.</w:t>
      </w:r>
      <w:r>
        <w:rPr>
          <w:rFonts w:ascii="Arial" w:cs="Arial" w:eastAsia="Arial" w:hAnsi="Arial"/>
          <w:sz w:val="11"/>
          <w:szCs w:val="11"/>
          <w:color w:val="0B2E44"/>
        </w:rPr>
        <w:t xml:space="preserve"> </w:t>
      </w:r>
      <w:r>
        <w:rPr>
          <w:rFonts w:ascii="Arial" w:cs="Arial" w:eastAsia="Arial" w:hAnsi="Arial"/>
          <w:sz w:val="11"/>
          <w:szCs w:val="11"/>
          <w:b w:val="1"/>
          <w:bCs w:val="1"/>
          <w:color w:val="FF4A6A"/>
        </w:rPr>
        <w:t>|</w:t>
      </w:r>
      <w:r>
        <w:rPr>
          <w:rFonts w:ascii="Arial" w:cs="Arial" w:eastAsia="Arial" w:hAnsi="Arial"/>
          <w:sz w:val="11"/>
          <w:szCs w:val="11"/>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5349240" cy="6926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49240" cy="6926580"/>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70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5349240" cy="68491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49240" cy="6849110"/>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71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5349240" cy="6926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49240" cy="6926580"/>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72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5349240" cy="6926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6926580"/>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0B2E44"/>
        </w:rPr>
        <w:t xml:space="preserve">73 </w:t>
      </w:r>
      <w:r>
        <w:rPr>
          <w:rFonts w:ascii="Arial" w:cs="Arial" w:eastAsia="Arial" w:hAnsi="Arial"/>
          <w:sz w:val="10"/>
          <w:szCs w:val="10"/>
          <w:b w:val="1"/>
          <w:bCs w:val="1"/>
          <w:color w:val="0B2E44"/>
        </w:rPr>
        <w:t>COMMVAULT SYSTEMS, INC.</w:t>
      </w:r>
      <w:r>
        <w:rPr>
          <w:rFonts w:ascii="Arial" w:cs="Arial" w:eastAsia="Arial" w:hAnsi="Arial"/>
          <w:sz w:val="10"/>
          <w:szCs w:val="10"/>
          <w:color w:val="0B2E44"/>
        </w:rPr>
        <w:t xml:space="preserve"> </w:t>
      </w:r>
      <w:r>
        <w:rPr>
          <w:rFonts w:ascii="Arial" w:cs="Arial" w:eastAsia="Arial" w:hAnsi="Arial"/>
          <w:sz w:val="10"/>
          <w:szCs w:val="10"/>
          <w:b w:val="1"/>
          <w:bCs w:val="1"/>
          <w:color w:val="FF4A6A"/>
        </w:rPr>
        <w:t>|</w:t>
      </w:r>
      <w:r>
        <w:rPr>
          <w:rFonts w:ascii="Arial" w:cs="Arial" w:eastAsia="Arial" w:hAnsi="Arial"/>
          <w:sz w:val="10"/>
          <w:szCs w:val="10"/>
          <w:color w:val="0B2E44"/>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654685</wp:posOffset>
            </wp:positionV>
            <wp:extent cx="6172200" cy="79806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o"/>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4"/>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2"/>
    </w:lvl>
  </w:abstractNum>
  <w:abstractNum w:abstractNumId="55">
    <w:nsid w:val="61574095"/>
    <w:multiLevelType w:val="hybridMultilevel"/>
    <w:lvl w:ilvl="0">
      <w:lvlJc w:val="left"/>
      <w:lvlText w:val="%1."/>
      <w:numFmt w:val="decimal"/>
      <w:start w:val="3"/>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lowerRoman"/>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2023-06-30T16:31:39Z</dcterms:created>
  <dcterms:modified xsi:type="dcterms:W3CDTF">2023-06-30T16:31:39Z</dcterms:modified>
</cp:coreProperties>
</file>