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6"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UNITED STATES</w:t>
      </w:r>
    </w:p>
    <w:p>
      <w:pPr>
        <w:spacing w:after="0" w:line="87" w:lineRule="exact"/>
        <w:rPr>
          <w:sz w:val="24"/>
          <w:szCs w:val="24"/>
          <w:color w:val="auto"/>
        </w:rPr>
      </w:pPr>
    </w:p>
    <w:p>
      <w:pPr>
        <w:jc w:val="center"/>
        <w:ind w:right="-1120"/>
        <w:spacing w:after="0"/>
        <w:rPr>
          <w:sz w:val="20"/>
          <w:szCs w:val="20"/>
          <w:color w:val="auto"/>
        </w:rPr>
      </w:pPr>
      <w:r>
        <w:rPr>
          <w:rFonts w:ascii="Arial" w:cs="Arial" w:eastAsia="Arial" w:hAnsi="Arial"/>
          <w:sz w:val="24"/>
          <w:szCs w:val="24"/>
          <w:b w:val="1"/>
          <w:bCs w:val="1"/>
          <w:color w:val="auto"/>
        </w:rPr>
        <w:t>SECURITIES AND EXCHANGE COMMISSION</w:t>
      </w:r>
    </w:p>
    <w:p>
      <w:pPr>
        <w:spacing w:after="0" w:line="81" w:lineRule="exact"/>
        <w:rPr>
          <w:sz w:val="24"/>
          <w:szCs w:val="24"/>
          <w:color w:val="auto"/>
        </w:rPr>
      </w:pPr>
    </w:p>
    <w:p>
      <w:pPr>
        <w:ind w:left="4420"/>
        <w:spacing w:after="0"/>
        <w:rPr>
          <w:sz w:val="20"/>
          <w:szCs w:val="20"/>
          <w:color w:val="auto"/>
        </w:rPr>
      </w:pPr>
      <w:r>
        <w:rPr>
          <w:rFonts w:ascii="Arial" w:cs="Arial" w:eastAsia="Arial" w:hAnsi="Arial"/>
          <w:sz w:val="21"/>
          <w:szCs w:val="21"/>
          <w:b w:val="1"/>
          <w:bCs w:val="1"/>
          <w:color w:val="auto"/>
        </w:rPr>
        <w:t>Washington, D.C. 20549</w:t>
      </w:r>
    </w:p>
    <w:p>
      <w:pPr>
        <w:spacing w:after="0" w:line="320" w:lineRule="exact"/>
        <w:rPr>
          <w:sz w:val="24"/>
          <w:szCs w:val="24"/>
          <w:color w:val="auto"/>
        </w:rPr>
      </w:pPr>
    </w:p>
    <w:p>
      <w:pPr>
        <w:ind w:left="4400"/>
        <w:spacing w:after="0"/>
        <w:rPr>
          <w:sz w:val="20"/>
          <w:szCs w:val="20"/>
          <w:color w:val="auto"/>
        </w:rPr>
      </w:pPr>
      <w:r>
        <w:rPr>
          <w:rFonts w:ascii="Arial" w:cs="Arial" w:eastAsia="Arial" w:hAnsi="Arial"/>
          <w:sz w:val="32"/>
          <w:szCs w:val="32"/>
          <w:b w:val="1"/>
          <w:bCs w:val="1"/>
          <w:color w:val="auto"/>
        </w:rPr>
        <w:t>SCHEDULE 14A</w:t>
      </w:r>
    </w:p>
    <w:p>
      <w:pPr>
        <w:spacing w:after="0" w:line="334" w:lineRule="exact"/>
        <w:rPr>
          <w:sz w:val="24"/>
          <w:szCs w:val="24"/>
          <w:color w:val="auto"/>
        </w:rPr>
      </w:pPr>
    </w:p>
    <w:p>
      <w:pPr>
        <w:jc w:val="center"/>
        <w:ind w:right="-1120"/>
        <w:spacing w:after="0"/>
        <w:rPr>
          <w:sz w:val="20"/>
          <w:szCs w:val="20"/>
          <w:color w:val="auto"/>
        </w:rPr>
      </w:pPr>
      <w:r>
        <w:rPr>
          <w:rFonts w:ascii="Arial" w:cs="Arial" w:eastAsia="Arial" w:hAnsi="Arial"/>
          <w:sz w:val="20"/>
          <w:szCs w:val="20"/>
          <w:color w:val="092E44"/>
        </w:rPr>
        <w:t>Proxy Statement Pursuant to Section 14(a) of the</w:t>
      </w:r>
    </w:p>
    <w:p>
      <w:pPr>
        <w:spacing w:after="0" w:line="51" w:lineRule="exact"/>
        <w:rPr>
          <w:sz w:val="24"/>
          <w:szCs w:val="24"/>
          <w:color w:val="auto"/>
        </w:rPr>
      </w:pPr>
    </w:p>
    <w:p>
      <w:pPr>
        <w:jc w:val="center"/>
        <w:ind w:right="-1120"/>
        <w:spacing w:after="0"/>
        <w:rPr>
          <w:sz w:val="20"/>
          <w:szCs w:val="20"/>
          <w:color w:val="auto"/>
        </w:rPr>
      </w:pPr>
      <w:r>
        <w:rPr>
          <w:rFonts w:ascii="Arial" w:cs="Arial" w:eastAsia="Arial" w:hAnsi="Arial"/>
          <w:sz w:val="20"/>
          <w:szCs w:val="20"/>
          <w:color w:val="092E44"/>
        </w:rPr>
        <w:t>Securities Exchange Act of 1934</w:t>
      </w:r>
    </w:p>
    <w:p>
      <w:pPr>
        <w:spacing w:after="0" w:line="287" w:lineRule="exact"/>
        <w:rPr>
          <w:sz w:val="24"/>
          <w:szCs w:val="24"/>
          <w:color w:val="auto"/>
        </w:rPr>
      </w:pPr>
    </w:p>
    <w:p>
      <w:pPr>
        <w:ind w:left="160"/>
        <w:spacing w:after="0" w:line="184" w:lineRule="exact"/>
        <w:rPr>
          <w:sz w:val="20"/>
          <w:szCs w:val="20"/>
          <w:color w:val="auto"/>
        </w:rPr>
      </w:pPr>
      <w:r>
        <w:rPr>
          <w:rFonts w:ascii="Arial" w:cs="Arial" w:eastAsia="Arial" w:hAnsi="Arial"/>
          <w:sz w:val="16"/>
          <w:szCs w:val="16"/>
          <w:color w:val="092E44"/>
        </w:rPr>
        <w:t xml:space="preserve">Filed by the Registrant </w:t>
      </w:r>
      <w:r>
        <w:rPr>
          <w:rFonts w:ascii="MS PGothic" w:cs="MS PGothic" w:eastAsia="MS PGothic" w:hAnsi="MS PGothic"/>
          <w:sz w:val="16"/>
          <w:szCs w:val="16"/>
          <w:color w:val="092E44"/>
        </w:rPr>
        <w:t>☑</w:t>
      </w:r>
    </w:p>
    <w:p>
      <w:pPr>
        <w:spacing w:after="0" w:line="83" w:lineRule="exact"/>
        <w:rPr>
          <w:sz w:val="24"/>
          <w:szCs w:val="24"/>
          <w:color w:val="auto"/>
        </w:rPr>
      </w:pPr>
    </w:p>
    <w:p>
      <w:pPr>
        <w:ind w:left="160"/>
        <w:spacing w:after="0" w:line="184" w:lineRule="exact"/>
        <w:rPr>
          <w:sz w:val="20"/>
          <w:szCs w:val="20"/>
          <w:color w:val="auto"/>
        </w:rPr>
      </w:pPr>
      <w:r>
        <w:rPr>
          <w:rFonts w:ascii="Arial" w:cs="Arial" w:eastAsia="Arial" w:hAnsi="Arial"/>
          <w:sz w:val="16"/>
          <w:szCs w:val="16"/>
          <w:color w:val="092E44"/>
        </w:rPr>
        <w:t xml:space="preserve">Filed by a Party other than the Registrant </w:t>
      </w:r>
      <w:r>
        <w:rPr>
          <w:rFonts w:ascii="MS PGothic" w:cs="MS PGothic" w:eastAsia="MS PGothic" w:hAnsi="MS PGothic"/>
          <w:sz w:val="16"/>
          <w:szCs w:val="16"/>
          <w:color w:val="092E44"/>
        </w:rPr>
        <w:t>☐</w:t>
      </w:r>
    </w:p>
    <w:p>
      <w:pPr>
        <w:spacing w:after="0" w:line="256" w:lineRule="exact"/>
        <w:rPr>
          <w:sz w:val="24"/>
          <w:szCs w:val="24"/>
          <w:color w:val="auto"/>
        </w:rPr>
      </w:pPr>
    </w:p>
    <w:p>
      <w:pPr>
        <w:ind w:left="160"/>
        <w:spacing w:after="0"/>
        <w:rPr>
          <w:sz w:val="20"/>
          <w:szCs w:val="20"/>
          <w:color w:val="auto"/>
        </w:rPr>
      </w:pPr>
      <w:r>
        <w:rPr>
          <w:rFonts w:ascii="Arial" w:cs="Arial" w:eastAsia="Arial" w:hAnsi="Arial"/>
          <w:sz w:val="16"/>
          <w:szCs w:val="16"/>
          <w:color w:val="092E44"/>
        </w:rPr>
        <w:t>Check the appropriate box:</w:t>
      </w:r>
    </w:p>
    <w:p>
      <w:pPr>
        <w:spacing w:after="0" w:line="124" w:lineRule="exact"/>
        <w:rPr>
          <w:sz w:val="24"/>
          <w:szCs w:val="24"/>
          <w:color w:val="auto"/>
        </w:rPr>
      </w:pPr>
    </w:p>
    <w:p>
      <w:pPr>
        <w:ind w:left="600" w:hanging="433"/>
        <w:spacing w:after="0"/>
        <w:tabs>
          <w:tab w:leader="none" w:pos="600" w:val="left"/>
        </w:tabs>
        <w:numPr>
          <w:ilvl w:val="0"/>
          <w:numId w:val="1"/>
        </w:numPr>
        <w:rPr>
          <w:rFonts w:ascii="MS PGothic" w:cs="MS PGothic" w:eastAsia="MS PGothic" w:hAnsi="MS PGothic"/>
          <w:sz w:val="16"/>
          <w:szCs w:val="16"/>
          <w:color w:val="092E44"/>
        </w:rPr>
      </w:pPr>
      <w:r>
        <w:rPr>
          <w:rFonts w:ascii="Arial" w:cs="Arial" w:eastAsia="Arial" w:hAnsi="Arial"/>
          <w:sz w:val="16"/>
          <w:szCs w:val="16"/>
          <w:color w:val="092E44"/>
        </w:rPr>
        <w:t>Preliminary Proxy Statement</w:t>
      </w:r>
    </w:p>
    <w:p>
      <w:pPr>
        <w:spacing w:after="0" w:line="136" w:lineRule="exact"/>
        <w:rPr>
          <w:rFonts w:ascii="MS PGothic" w:cs="MS PGothic" w:eastAsia="MS PGothic" w:hAnsi="MS PGothic"/>
          <w:sz w:val="16"/>
          <w:szCs w:val="16"/>
          <w:color w:val="092E44"/>
        </w:rPr>
      </w:pPr>
    </w:p>
    <w:p>
      <w:pPr>
        <w:ind w:left="600" w:hanging="433"/>
        <w:spacing w:after="0"/>
        <w:tabs>
          <w:tab w:leader="none" w:pos="600" w:val="left"/>
        </w:tabs>
        <w:numPr>
          <w:ilvl w:val="0"/>
          <w:numId w:val="1"/>
        </w:numPr>
        <w:rPr>
          <w:rFonts w:ascii="MS PGothic" w:cs="MS PGothic" w:eastAsia="MS PGothic" w:hAnsi="MS PGothic"/>
          <w:sz w:val="16"/>
          <w:szCs w:val="16"/>
          <w:color w:val="092E44"/>
        </w:rPr>
      </w:pPr>
      <w:r>
        <w:rPr>
          <w:rFonts w:ascii="Arial" w:cs="Arial" w:eastAsia="Arial" w:hAnsi="Arial"/>
          <w:sz w:val="16"/>
          <w:szCs w:val="16"/>
          <w:color w:val="092E44"/>
        </w:rPr>
        <w:t>Confidential, for Use of the Commission Only (as permitted by Rule 14a-6(e)(2))</w:t>
      </w:r>
    </w:p>
    <w:p>
      <w:pPr>
        <w:spacing w:after="0" w:line="137" w:lineRule="exact"/>
        <w:rPr>
          <w:sz w:val="24"/>
          <w:szCs w:val="24"/>
          <w:color w:val="auto"/>
        </w:rPr>
      </w:pPr>
    </w:p>
    <w:p>
      <w:pPr>
        <w:ind w:left="600" w:hanging="433"/>
        <w:spacing w:after="0"/>
        <w:tabs>
          <w:tab w:leader="none" w:pos="600" w:val="left"/>
        </w:tabs>
        <w:numPr>
          <w:ilvl w:val="0"/>
          <w:numId w:val="2"/>
        </w:numPr>
        <w:rPr>
          <w:rFonts w:ascii="MS PGothic" w:cs="MS PGothic" w:eastAsia="MS PGothic" w:hAnsi="MS PGothic"/>
          <w:sz w:val="16"/>
          <w:szCs w:val="16"/>
          <w:color w:val="092E44"/>
        </w:rPr>
      </w:pPr>
      <w:r>
        <w:rPr>
          <w:rFonts w:ascii="Arial" w:cs="Arial" w:eastAsia="Arial" w:hAnsi="Arial"/>
          <w:sz w:val="16"/>
          <w:szCs w:val="16"/>
          <w:color w:val="092E44"/>
        </w:rPr>
        <w:t>Definitive Proxy Statement</w:t>
      </w:r>
    </w:p>
    <w:p>
      <w:pPr>
        <w:spacing w:after="0" w:line="137" w:lineRule="exact"/>
        <w:rPr>
          <w:sz w:val="24"/>
          <w:szCs w:val="24"/>
          <w:color w:val="auto"/>
        </w:rPr>
      </w:pPr>
    </w:p>
    <w:p>
      <w:pPr>
        <w:ind w:left="600" w:hanging="433"/>
        <w:spacing w:after="0"/>
        <w:tabs>
          <w:tab w:leader="none" w:pos="600" w:val="left"/>
        </w:tabs>
        <w:numPr>
          <w:ilvl w:val="0"/>
          <w:numId w:val="3"/>
        </w:numPr>
        <w:rPr>
          <w:rFonts w:ascii="MS PGothic" w:cs="MS PGothic" w:eastAsia="MS PGothic" w:hAnsi="MS PGothic"/>
          <w:sz w:val="16"/>
          <w:szCs w:val="16"/>
          <w:color w:val="092E44"/>
        </w:rPr>
      </w:pPr>
      <w:r>
        <w:rPr>
          <w:rFonts w:ascii="Arial" w:cs="Arial" w:eastAsia="Arial" w:hAnsi="Arial"/>
          <w:sz w:val="16"/>
          <w:szCs w:val="16"/>
          <w:color w:val="092E44"/>
        </w:rPr>
        <w:t>Definitive Additional Materials</w:t>
      </w:r>
    </w:p>
    <w:p>
      <w:pPr>
        <w:spacing w:after="0" w:line="136" w:lineRule="exact"/>
        <w:rPr>
          <w:rFonts w:ascii="MS PGothic" w:cs="MS PGothic" w:eastAsia="MS PGothic" w:hAnsi="MS PGothic"/>
          <w:sz w:val="16"/>
          <w:szCs w:val="16"/>
          <w:color w:val="092E44"/>
        </w:rPr>
      </w:pPr>
    </w:p>
    <w:p>
      <w:pPr>
        <w:ind w:left="600" w:hanging="433"/>
        <w:spacing w:after="0"/>
        <w:tabs>
          <w:tab w:leader="none" w:pos="600" w:val="left"/>
        </w:tabs>
        <w:numPr>
          <w:ilvl w:val="0"/>
          <w:numId w:val="3"/>
        </w:numPr>
        <w:rPr>
          <w:rFonts w:ascii="MS PGothic" w:cs="MS PGothic" w:eastAsia="MS PGothic" w:hAnsi="MS PGothic"/>
          <w:sz w:val="16"/>
          <w:szCs w:val="16"/>
          <w:color w:val="092E44"/>
        </w:rPr>
      </w:pPr>
      <w:r>
        <w:rPr>
          <w:rFonts w:ascii="Arial" w:cs="Arial" w:eastAsia="Arial" w:hAnsi="Arial"/>
          <w:sz w:val="16"/>
          <w:szCs w:val="16"/>
          <w:color w:val="092E44"/>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2059305</wp:posOffset>
            </wp:positionH>
            <wp:positionV relativeFrom="paragraph">
              <wp:posOffset>172085</wp:posOffset>
            </wp:positionV>
            <wp:extent cx="3031490" cy="501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31490" cy="5010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3900"/>
        <w:spacing w:after="0"/>
        <w:rPr>
          <w:sz w:val="20"/>
          <w:szCs w:val="20"/>
          <w:color w:val="auto"/>
        </w:rPr>
      </w:pPr>
      <w:r>
        <w:rPr>
          <w:rFonts w:ascii="Arial" w:cs="Arial" w:eastAsia="Arial" w:hAnsi="Arial"/>
          <w:sz w:val="29"/>
          <w:szCs w:val="29"/>
          <w:b w:val="1"/>
          <w:bCs w:val="1"/>
          <w:color w:val="auto"/>
        </w:rPr>
        <w:t>Commvault Systems, Inc.</w:t>
      </w:r>
    </w:p>
    <w:p>
      <w:pPr>
        <w:spacing w:after="0" w:line="35" w:lineRule="exact"/>
        <w:rPr>
          <w:sz w:val="24"/>
          <w:szCs w:val="24"/>
          <w:color w:val="auto"/>
        </w:rPr>
      </w:pPr>
    </w:p>
    <w:p>
      <w:pPr>
        <w:jc w:val="center"/>
        <w:ind w:right="-1120"/>
        <w:spacing w:after="0"/>
        <w:rPr>
          <w:sz w:val="20"/>
          <w:szCs w:val="20"/>
          <w:color w:val="auto"/>
        </w:rPr>
      </w:pPr>
      <w:r>
        <w:rPr>
          <w:rFonts w:ascii="Arial" w:cs="Arial" w:eastAsia="Arial" w:hAnsi="Arial"/>
          <w:sz w:val="16"/>
          <w:szCs w:val="16"/>
          <w:color w:val="092E44"/>
        </w:rPr>
        <w:t>(Name of Registrant as Specified In Its Charter)</w:t>
      </w:r>
    </w:p>
    <w:p>
      <w:pPr>
        <w:spacing w:after="0" w:line="201" w:lineRule="exact"/>
        <w:rPr>
          <w:sz w:val="24"/>
          <w:szCs w:val="24"/>
          <w:color w:val="auto"/>
        </w:rPr>
      </w:pPr>
    </w:p>
    <w:p>
      <w:pPr>
        <w:ind w:left="3080"/>
        <w:spacing w:after="0"/>
        <w:rPr>
          <w:sz w:val="20"/>
          <w:szCs w:val="20"/>
          <w:color w:val="auto"/>
        </w:rPr>
      </w:pPr>
      <w:r>
        <w:rPr>
          <w:rFonts w:ascii="Arial" w:cs="Arial" w:eastAsia="Arial" w:hAnsi="Arial"/>
          <w:sz w:val="16"/>
          <w:szCs w:val="16"/>
          <w:color w:val="092E44"/>
        </w:rPr>
        <w:t>(Name of Person(s) Filing Proxy Statement, if other than the Registrant)</w:t>
      </w:r>
    </w:p>
    <w:p>
      <w:pPr>
        <w:spacing w:after="0" w:line="217" w:lineRule="exact"/>
        <w:rPr>
          <w:sz w:val="24"/>
          <w:szCs w:val="24"/>
          <w:color w:val="auto"/>
        </w:rPr>
      </w:pPr>
    </w:p>
    <w:p>
      <w:pPr>
        <w:ind w:left="160"/>
        <w:spacing w:after="0"/>
        <w:rPr>
          <w:sz w:val="20"/>
          <w:szCs w:val="20"/>
          <w:color w:val="auto"/>
        </w:rPr>
      </w:pPr>
      <w:r>
        <w:rPr>
          <w:rFonts w:ascii="Arial" w:cs="Arial" w:eastAsia="Arial" w:hAnsi="Arial"/>
          <w:sz w:val="16"/>
          <w:szCs w:val="16"/>
          <w:color w:val="092E44"/>
        </w:rPr>
        <w:t>Payment of Filing Fee (Check all boxes that apply):</w:t>
      </w:r>
    </w:p>
    <w:p>
      <w:pPr>
        <w:spacing w:after="0" w:line="124" w:lineRule="exact"/>
        <w:rPr>
          <w:sz w:val="24"/>
          <w:szCs w:val="24"/>
          <w:color w:val="auto"/>
        </w:rPr>
      </w:pPr>
    </w:p>
    <w:p>
      <w:pPr>
        <w:ind w:left="600" w:hanging="433"/>
        <w:spacing w:after="0"/>
        <w:tabs>
          <w:tab w:leader="none" w:pos="600" w:val="left"/>
        </w:tabs>
        <w:numPr>
          <w:ilvl w:val="0"/>
          <w:numId w:val="4"/>
        </w:numPr>
        <w:rPr>
          <w:rFonts w:ascii="MS PGothic" w:cs="MS PGothic" w:eastAsia="MS PGothic" w:hAnsi="MS PGothic"/>
          <w:sz w:val="16"/>
          <w:szCs w:val="16"/>
          <w:color w:val="092E44"/>
        </w:rPr>
      </w:pPr>
      <w:r>
        <w:rPr>
          <w:rFonts w:ascii="Arial" w:cs="Arial" w:eastAsia="Arial" w:hAnsi="Arial"/>
          <w:sz w:val="16"/>
          <w:szCs w:val="16"/>
          <w:color w:val="092E44"/>
        </w:rPr>
        <w:t>No fee required.</w:t>
      </w:r>
    </w:p>
    <w:p>
      <w:pPr>
        <w:spacing w:after="0" w:line="137" w:lineRule="exact"/>
        <w:rPr>
          <w:sz w:val="24"/>
          <w:szCs w:val="24"/>
          <w:color w:val="auto"/>
        </w:rPr>
      </w:pPr>
    </w:p>
    <w:p>
      <w:pPr>
        <w:ind w:left="600" w:hanging="433"/>
        <w:spacing w:after="0"/>
        <w:tabs>
          <w:tab w:leader="none" w:pos="600" w:val="left"/>
        </w:tabs>
        <w:numPr>
          <w:ilvl w:val="0"/>
          <w:numId w:val="5"/>
        </w:numPr>
        <w:rPr>
          <w:rFonts w:ascii="MS PGothic" w:cs="MS PGothic" w:eastAsia="MS PGothic" w:hAnsi="MS PGothic"/>
          <w:sz w:val="16"/>
          <w:szCs w:val="16"/>
          <w:color w:val="092E44"/>
        </w:rPr>
      </w:pPr>
      <w:r>
        <w:rPr>
          <w:rFonts w:ascii="Arial" w:cs="Arial" w:eastAsia="Arial" w:hAnsi="Arial"/>
          <w:sz w:val="16"/>
          <w:szCs w:val="16"/>
          <w:color w:val="092E44"/>
        </w:rPr>
        <w:t>Fee paid previously with preliminary materials.</w:t>
      </w:r>
    </w:p>
    <w:p>
      <w:pPr>
        <w:spacing w:after="0" w:line="136" w:lineRule="exact"/>
        <w:rPr>
          <w:rFonts w:ascii="MS PGothic" w:cs="MS PGothic" w:eastAsia="MS PGothic" w:hAnsi="MS PGothic"/>
          <w:sz w:val="16"/>
          <w:szCs w:val="16"/>
          <w:color w:val="092E44"/>
        </w:rPr>
      </w:pPr>
    </w:p>
    <w:p>
      <w:pPr>
        <w:ind w:left="600" w:hanging="433"/>
        <w:spacing w:after="0"/>
        <w:tabs>
          <w:tab w:leader="none" w:pos="600" w:val="left"/>
        </w:tabs>
        <w:numPr>
          <w:ilvl w:val="0"/>
          <w:numId w:val="5"/>
        </w:numPr>
        <w:rPr>
          <w:rFonts w:ascii="MS PGothic" w:cs="MS PGothic" w:eastAsia="MS PGothic" w:hAnsi="MS PGothic"/>
          <w:sz w:val="16"/>
          <w:szCs w:val="16"/>
          <w:color w:val="092E44"/>
        </w:rPr>
      </w:pPr>
      <w:r>
        <w:rPr>
          <w:rFonts w:ascii="Arial" w:cs="Arial" w:eastAsia="Arial" w:hAnsi="Arial"/>
          <w:sz w:val="16"/>
          <w:szCs w:val="16"/>
          <w:color w:val="092E44"/>
        </w:rPr>
        <w:t>Fee computed on table in exhibit required by Item 25(b) per Exchange Act Rules 14a-6(i)(1) and 0-11</w:t>
      </w:r>
    </w:p>
    <w:p>
      <w:pPr>
        <w:sectPr>
          <w:pgSz w:w="11900" w:h="16838" w:orient="portrait"/>
          <w:cols w:equalWidth="0" w:num="1">
            <w:col w:w="10139"/>
          </w:cols>
          <w:pgMar w:left="320" w:top="22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7094855" cy="9171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7094855" cy="9171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237490</wp:posOffset>
            </wp:positionV>
            <wp:extent cx="7094855" cy="9171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420"/>
        <w:spacing w:after="0"/>
        <w:rPr>
          <w:sz w:val="20"/>
          <w:szCs w:val="20"/>
          <w:color w:val="auto"/>
        </w:rPr>
      </w:pPr>
      <w:r>
        <w:rPr>
          <w:rFonts w:ascii="Arial" w:cs="Arial" w:eastAsia="Arial" w:hAnsi="Arial"/>
          <w:sz w:val="12"/>
          <w:szCs w:val="12"/>
          <w:b w:val="1"/>
          <w:bCs w:val="1"/>
          <w:color w:val="092E44"/>
        </w:rPr>
        <w:t>Commvault Systems, Inc.</w:t>
      </w:r>
    </w:p>
    <w:p>
      <w:pPr>
        <w:spacing w:after="0" w:line="3" w:lineRule="exact"/>
        <w:rPr>
          <w:sz w:val="20"/>
          <w:szCs w:val="20"/>
          <w:color w:val="auto"/>
        </w:rPr>
      </w:pPr>
    </w:p>
    <w:p>
      <w:pPr>
        <w:ind w:left="4420"/>
        <w:spacing w:after="0"/>
        <w:rPr>
          <w:sz w:val="20"/>
          <w:szCs w:val="20"/>
          <w:color w:val="auto"/>
        </w:rPr>
      </w:pPr>
      <w:r>
        <w:rPr>
          <w:rFonts w:ascii="Arial" w:cs="Arial" w:eastAsia="Arial" w:hAnsi="Arial"/>
          <w:sz w:val="12"/>
          <w:szCs w:val="12"/>
          <w:color w:val="092E44"/>
        </w:rPr>
        <w:t>1 Commvault Way</w:t>
      </w:r>
    </w:p>
    <w:p>
      <w:pPr>
        <w:ind w:left="4420"/>
        <w:spacing w:after="0" w:line="232" w:lineRule="auto"/>
        <w:rPr>
          <w:sz w:val="20"/>
          <w:szCs w:val="20"/>
          <w:color w:val="auto"/>
        </w:rPr>
      </w:pPr>
      <w:r>
        <w:rPr>
          <w:rFonts w:ascii="Arial" w:cs="Arial" w:eastAsia="Arial" w:hAnsi="Arial"/>
          <w:sz w:val="12"/>
          <w:szCs w:val="12"/>
          <w:color w:val="092E44"/>
        </w:rPr>
        <w:t>Tinton Falls, NJ 07724</w:t>
      </w:r>
    </w:p>
    <w:p>
      <w:pPr>
        <w:ind w:left="4420"/>
        <w:spacing w:after="0"/>
        <w:rPr>
          <w:sz w:val="20"/>
          <w:szCs w:val="20"/>
          <w:color w:val="auto"/>
        </w:rPr>
      </w:pPr>
      <w:r>
        <w:rPr>
          <w:rFonts w:ascii="Arial" w:cs="Arial" w:eastAsia="Arial" w:hAnsi="Arial"/>
          <w:sz w:val="12"/>
          <w:szCs w:val="12"/>
          <w:color w:val="092E44"/>
        </w:rPr>
        <w:t>(732) 870-4000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20"/>
        <w:spacing w:after="0"/>
        <w:rPr>
          <w:sz w:val="20"/>
          <w:szCs w:val="20"/>
          <w:color w:val="auto"/>
        </w:rPr>
      </w:pPr>
      <w:r>
        <w:rPr>
          <w:rFonts w:ascii="Arial" w:cs="Arial" w:eastAsia="Arial" w:hAnsi="Arial"/>
          <w:sz w:val="16"/>
          <w:szCs w:val="16"/>
          <w:color w:val="092E44"/>
        </w:rPr>
        <w:t>July 1, 2022</w:t>
      </w:r>
    </w:p>
    <w:p>
      <w:pPr>
        <w:spacing w:after="0" w:line="110" w:lineRule="exact"/>
        <w:rPr>
          <w:sz w:val="20"/>
          <w:szCs w:val="20"/>
          <w:color w:val="auto"/>
        </w:rPr>
      </w:pPr>
    </w:p>
    <w:p>
      <w:pPr>
        <w:ind w:left="4420"/>
        <w:spacing w:after="0"/>
        <w:rPr>
          <w:sz w:val="20"/>
          <w:szCs w:val="20"/>
          <w:color w:val="auto"/>
        </w:rPr>
      </w:pPr>
      <w:r>
        <w:rPr>
          <w:rFonts w:ascii="Arial" w:cs="Arial" w:eastAsia="Arial" w:hAnsi="Arial"/>
          <w:sz w:val="16"/>
          <w:szCs w:val="16"/>
          <w:color w:val="092E44"/>
        </w:rPr>
        <w:t>Dear fellow Commvault stockholder:</w:t>
      </w:r>
    </w:p>
    <w:p>
      <w:pPr>
        <w:spacing w:after="0" w:line="110" w:lineRule="exact"/>
        <w:rPr>
          <w:sz w:val="20"/>
          <w:szCs w:val="20"/>
          <w:color w:val="auto"/>
        </w:rPr>
      </w:pPr>
    </w:p>
    <w:p>
      <w:pPr>
        <w:ind w:left="4420"/>
        <w:spacing w:after="0"/>
        <w:rPr>
          <w:sz w:val="20"/>
          <w:szCs w:val="20"/>
          <w:color w:val="auto"/>
        </w:rPr>
      </w:pPr>
      <w:r>
        <w:rPr>
          <w:rFonts w:ascii="Arial" w:cs="Arial" w:eastAsia="Arial" w:hAnsi="Arial"/>
          <w:sz w:val="16"/>
          <w:szCs w:val="16"/>
          <w:color w:val="092E44"/>
        </w:rPr>
        <w:t>I would like to take a moment to commend CEO Sanjay Mirchandani and his leadership team.</w:t>
      </w:r>
    </w:p>
    <w:p>
      <w:pPr>
        <w:spacing w:after="0" w:line="110" w:lineRule="exact"/>
        <w:rPr>
          <w:sz w:val="20"/>
          <w:szCs w:val="20"/>
          <w:color w:val="auto"/>
        </w:rPr>
      </w:pPr>
    </w:p>
    <w:p>
      <w:pPr>
        <w:ind w:left="4420" w:right="200"/>
        <w:spacing w:after="0" w:line="253" w:lineRule="auto"/>
        <w:rPr>
          <w:sz w:val="20"/>
          <w:szCs w:val="20"/>
          <w:color w:val="auto"/>
        </w:rPr>
      </w:pPr>
      <w:r>
        <w:rPr>
          <w:rFonts w:ascii="Arial" w:cs="Arial" w:eastAsia="Arial" w:hAnsi="Arial"/>
          <w:sz w:val="16"/>
          <w:szCs w:val="16"/>
          <w:color w:val="092E44"/>
        </w:rPr>
        <w:t>As Chairman, I have a unique opportunity to serve as an early sounding board for strategic plans, build relationships directly with our stockholders, and share my experiences with the management team to ensure we are all aligned on the Company’s strategic direction. I’m delighted to report that Commvault has made significant progress on this journey, as demonstrated by our strong results.</w:t>
      </w:r>
    </w:p>
    <w:p>
      <w:pPr>
        <w:spacing w:after="0" w:line="73" w:lineRule="exact"/>
        <w:rPr>
          <w:sz w:val="20"/>
          <w:szCs w:val="20"/>
          <w:color w:val="auto"/>
        </w:rPr>
      </w:pPr>
    </w:p>
    <w:p>
      <w:pPr>
        <w:ind w:left="4420" w:right="160"/>
        <w:spacing w:after="0" w:line="253" w:lineRule="auto"/>
        <w:rPr>
          <w:sz w:val="20"/>
          <w:szCs w:val="20"/>
          <w:color w:val="auto"/>
        </w:rPr>
      </w:pPr>
      <w:r>
        <w:rPr>
          <w:rFonts w:ascii="Arial" w:cs="Arial" w:eastAsia="Arial" w:hAnsi="Arial"/>
          <w:sz w:val="16"/>
          <w:szCs w:val="16"/>
          <w:color w:val="092E44"/>
        </w:rPr>
        <w:t>In just three years, we have strengthened the very core of our business. Commvault has scaled operations, accelerated its go-to-market program, and innovated an award-winning cloud data management portfolio. This includes introducing our hyper-growth Metallic software-as-a-service (SaaS) solutions that are driving a predictable and profitable revenue stream.</w:t>
      </w:r>
    </w:p>
    <w:p>
      <w:pPr>
        <w:spacing w:after="0" w:line="73" w:lineRule="exact"/>
        <w:rPr>
          <w:sz w:val="20"/>
          <w:szCs w:val="20"/>
          <w:color w:val="auto"/>
        </w:rPr>
      </w:pPr>
    </w:p>
    <w:p>
      <w:pPr>
        <w:ind w:left="4420" w:right="40"/>
        <w:spacing w:after="0" w:line="249" w:lineRule="auto"/>
        <w:rPr>
          <w:sz w:val="20"/>
          <w:szCs w:val="20"/>
          <w:color w:val="auto"/>
        </w:rPr>
      </w:pPr>
      <w:r>
        <w:rPr>
          <w:rFonts w:ascii="Arial" w:cs="Arial" w:eastAsia="Arial" w:hAnsi="Arial"/>
          <w:sz w:val="16"/>
          <w:szCs w:val="16"/>
          <w:color w:val="092E44"/>
        </w:rPr>
        <w:t>One of Sanjay’s strengths as a CEO is to develop and motivate talent. Under his leadership, we have built a strong bench of experienced SaaS leaders. We have also diversified our Board-by race, gender, orientation, and expertise. Our newest directors have experience with cloud, SaaS, and customer success that is invaluable as the Board guides future innovation. Moreover, we have intensified our focus on corporate social responsibility as part of our efforts to promote more sustainable value for our employees, stockholders, and the communities in which we live and work. This has all been achieved while enhancing our balance sheet and repurchasing more than $305 million of our shares.</w:t>
      </w:r>
    </w:p>
    <w:p>
      <w:pPr>
        <w:spacing w:after="0" w:line="78" w:lineRule="exact"/>
        <w:rPr>
          <w:sz w:val="20"/>
          <w:szCs w:val="20"/>
          <w:color w:val="auto"/>
        </w:rPr>
      </w:pPr>
    </w:p>
    <w:p>
      <w:pPr>
        <w:ind w:left="4420" w:right="420"/>
        <w:spacing w:after="0" w:line="279" w:lineRule="auto"/>
        <w:rPr>
          <w:sz w:val="20"/>
          <w:szCs w:val="20"/>
          <w:color w:val="auto"/>
        </w:rPr>
      </w:pPr>
      <w:r>
        <w:rPr>
          <w:rFonts w:ascii="Arial" w:cs="Arial" w:eastAsia="Arial" w:hAnsi="Arial"/>
          <w:sz w:val="16"/>
          <w:szCs w:val="16"/>
          <w:color w:val="092E44"/>
        </w:rPr>
        <w:t>We believe that Commvault has succeeded in its commitment to shareholders to deliver responsible growth.</w:t>
      </w:r>
    </w:p>
    <w:p>
      <w:pPr>
        <w:spacing w:after="0" w:line="54" w:lineRule="exact"/>
        <w:rPr>
          <w:sz w:val="20"/>
          <w:szCs w:val="20"/>
          <w:color w:val="auto"/>
        </w:rPr>
      </w:pPr>
    </w:p>
    <w:p>
      <w:pPr>
        <w:ind w:left="4420" w:right="180"/>
        <w:spacing w:after="0" w:line="279" w:lineRule="auto"/>
        <w:rPr>
          <w:sz w:val="20"/>
          <w:szCs w:val="20"/>
          <w:color w:val="auto"/>
        </w:rPr>
      </w:pPr>
      <w:r>
        <w:rPr>
          <w:rFonts w:ascii="Arial" w:cs="Arial" w:eastAsia="Arial" w:hAnsi="Arial"/>
          <w:sz w:val="16"/>
          <w:szCs w:val="16"/>
          <w:color w:val="092E44"/>
        </w:rPr>
        <w:t>On behalf of the entire Board of Directors, thank you for your ongoing support. We are glad you are accompanying us on this exciting journey.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092E44"/>
        </w:rPr>
        <w:t>Nicholas Adamo</w:t>
      </w:r>
    </w:p>
    <w:p>
      <w:pPr>
        <w:spacing w:after="0" w:line="19" w:lineRule="exact"/>
        <w:rPr>
          <w:sz w:val="20"/>
          <w:szCs w:val="20"/>
          <w:color w:val="auto"/>
        </w:rPr>
      </w:pPr>
    </w:p>
    <w:p>
      <w:pPr>
        <w:ind w:left="4420"/>
        <w:spacing w:after="0"/>
        <w:rPr>
          <w:sz w:val="20"/>
          <w:szCs w:val="20"/>
          <w:color w:val="auto"/>
        </w:rPr>
      </w:pPr>
      <w:r>
        <w:rPr>
          <w:rFonts w:ascii="Arial" w:cs="Arial" w:eastAsia="Arial" w:hAnsi="Arial"/>
          <w:sz w:val="16"/>
          <w:szCs w:val="16"/>
          <w:color w:val="092E44"/>
        </w:rPr>
        <w:t>Chairman of the Board</w:t>
      </w:r>
    </w:p>
    <w:p>
      <w:pPr>
        <w:sectPr>
          <w:pgSz w:w="11900" w:h="16838" w:orient="portrait"/>
          <w:cols w:equalWidth="0" w:num="1">
            <w:col w:w="11060"/>
          </w:cols>
          <w:pgMar w:left="320" w:top="454"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6929755" cy="196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9755" cy="196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60" w:right="3420"/>
        <w:spacing w:after="0" w:line="289" w:lineRule="auto"/>
        <w:rPr>
          <w:sz w:val="20"/>
          <w:szCs w:val="20"/>
          <w:color w:val="auto"/>
        </w:rPr>
      </w:pPr>
      <w:r>
        <w:rPr>
          <w:rFonts w:ascii="Arial" w:cs="Arial" w:eastAsia="Arial" w:hAnsi="Arial"/>
          <w:sz w:val="64"/>
          <w:szCs w:val="64"/>
          <w:b w:val="1"/>
          <w:bCs w:val="1"/>
          <w:color w:val="FCFCFC"/>
        </w:rPr>
        <w:t>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253365</wp:posOffset>
            </wp:positionV>
            <wp:extent cx="5256530" cy="1384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56530" cy="1384300"/>
                    </a:xfrm>
                    <a:prstGeom prst="rect">
                      <a:avLst/>
                    </a:prstGeom>
                    <a:noFill/>
                  </pic:spPr>
                </pic:pic>
              </a:graphicData>
            </a:graphic>
          </wp:anchor>
        </w:drawing>
      </w:r>
    </w:p>
    <w:p>
      <w:pPr>
        <w:sectPr>
          <w:pgSz w:w="11900" w:h="16838" w:orient="portrait"/>
          <w:cols w:equalWidth="0" w:num="1">
            <w:col w:w="11040"/>
          </w:cols>
          <w:pgMar w:left="320" w:top="454"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The purposes of the meeting are:</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E14A6A"/>
        </w:rPr>
        <w:t>1.</w:t>
      </w:r>
      <w:r>
        <w:rPr>
          <w:rFonts w:ascii="Arial" w:cs="Arial" w:eastAsia="Arial" w:hAnsi="Arial"/>
          <w:sz w:val="16"/>
          <w:szCs w:val="16"/>
          <w:color w:val="092E44"/>
        </w:rPr>
        <w:t xml:space="preserve">    To elect six directors for a one-year term;</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E14A6A"/>
        </w:rPr>
        <w:t>2.</w:t>
      </w:r>
      <w:r>
        <w:rPr>
          <w:rFonts w:ascii="Arial" w:cs="Arial" w:eastAsia="Arial" w:hAnsi="Arial"/>
          <w:sz w:val="16"/>
          <w:szCs w:val="16"/>
          <w:color w:val="092E44"/>
        </w:rPr>
        <w:t xml:space="preserve">    To vote, on an advisory basis, on our executive compensation program;</w:t>
      </w:r>
    </w:p>
    <w:p>
      <w:pPr>
        <w:spacing w:after="0" w:line="79" w:lineRule="exact"/>
        <w:rPr>
          <w:sz w:val="20"/>
          <w:szCs w:val="20"/>
          <w:color w:val="auto"/>
        </w:rPr>
      </w:pPr>
    </w:p>
    <w:p>
      <w:pPr>
        <w:ind w:left="480" w:right="100" w:hanging="320"/>
        <w:spacing w:after="0" w:line="231" w:lineRule="auto"/>
        <w:rPr>
          <w:sz w:val="20"/>
          <w:szCs w:val="20"/>
          <w:color w:val="auto"/>
        </w:rPr>
      </w:pPr>
      <w:r>
        <w:rPr>
          <w:rFonts w:ascii="Arial" w:cs="Arial" w:eastAsia="Arial" w:hAnsi="Arial"/>
          <w:sz w:val="21"/>
          <w:szCs w:val="21"/>
          <w:b w:val="1"/>
          <w:bCs w:val="1"/>
          <w:color w:val="E14A6A"/>
        </w:rPr>
        <w:t>3.</w:t>
      </w:r>
      <w:r>
        <w:rPr>
          <w:rFonts w:ascii="Arial" w:cs="Arial" w:eastAsia="Arial" w:hAnsi="Arial"/>
          <w:sz w:val="16"/>
          <w:szCs w:val="16"/>
          <w:color w:val="092E44"/>
        </w:rPr>
        <w:t xml:space="preserve">    To ratify the appointment of Ernst &amp; Young LLP as Commvault’s independent public accountants for</w:t>
      </w:r>
      <w:r>
        <w:rPr>
          <w:rFonts w:ascii="Arial" w:cs="Arial" w:eastAsia="Arial" w:hAnsi="Arial"/>
          <w:sz w:val="21"/>
          <w:szCs w:val="21"/>
          <w:b w:val="1"/>
          <w:bCs w:val="1"/>
          <w:color w:val="E14A6A"/>
        </w:rPr>
        <w:t xml:space="preserve"> </w:t>
      </w:r>
      <w:r>
        <w:rPr>
          <w:rFonts w:ascii="Arial" w:cs="Arial" w:eastAsia="Arial" w:hAnsi="Arial"/>
          <w:sz w:val="16"/>
          <w:szCs w:val="16"/>
          <w:color w:val="092E44"/>
        </w:rPr>
        <w:t>the fiscal year ending March 31, 2023;</w:t>
      </w:r>
    </w:p>
    <w:p>
      <w:pPr>
        <w:spacing w:after="0" w:line="43" w:lineRule="exact"/>
        <w:rPr>
          <w:sz w:val="20"/>
          <w:szCs w:val="20"/>
          <w:color w:val="auto"/>
        </w:rPr>
      </w:pPr>
    </w:p>
    <w:p>
      <w:pPr>
        <w:ind w:left="480" w:right="260" w:hanging="320"/>
        <w:spacing w:after="0" w:line="227" w:lineRule="auto"/>
        <w:rPr>
          <w:sz w:val="20"/>
          <w:szCs w:val="20"/>
          <w:color w:val="auto"/>
        </w:rPr>
      </w:pPr>
      <w:r>
        <w:rPr>
          <w:rFonts w:ascii="Arial" w:cs="Arial" w:eastAsia="Arial" w:hAnsi="Arial"/>
          <w:sz w:val="21"/>
          <w:szCs w:val="21"/>
          <w:b w:val="1"/>
          <w:bCs w:val="1"/>
          <w:color w:val="E14A6A"/>
        </w:rPr>
        <w:t>4.</w:t>
      </w:r>
      <w:r>
        <w:rPr>
          <w:rFonts w:ascii="Arial" w:cs="Arial" w:eastAsia="Arial" w:hAnsi="Arial"/>
          <w:sz w:val="16"/>
          <w:szCs w:val="16"/>
          <w:color w:val="092E44"/>
        </w:rPr>
        <w:t xml:space="preserve">    To approve additional shares to be available for grant under the 2016 Omnibus Incentive Plan, as</w:t>
      </w:r>
      <w:r>
        <w:rPr>
          <w:rFonts w:ascii="Arial" w:cs="Arial" w:eastAsia="Arial" w:hAnsi="Arial"/>
          <w:sz w:val="21"/>
          <w:szCs w:val="21"/>
          <w:b w:val="1"/>
          <w:bCs w:val="1"/>
          <w:color w:val="E14A6A"/>
        </w:rPr>
        <w:t xml:space="preserve"> </w:t>
      </w:r>
      <w:r>
        <w:rPr>
          <w:rFonts w:ascii="Arial" w:cs="Arial" w:eastAsia="Arial" w:hAnsi="Arial"/>
          <w:sz w:val="16"/>
          <w:szCs w:val="16"/>
          <w:color w:val="092E44"/>
        </w:rPr>
        <w:t>amended by the Sixth Amendment</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6"/>
          <w:szCs w:val="16"/>
          <w:color w:val="092E44"/>
        </w:rPr>
        <w:t>(the “2016 Incentive Plan”); and</w:t>
      </w:r>
    </w:p>
    <w:p>
      <w:pPr>
        <w:spacing w:after="0" w:line="53" w:lineRule="exact"/>
        <w:rPr>
          <w:sz w:val="20"/>
          <w:szCs w:val="20"/>
          <w:color w:val="auto"/>
        </w:rPr>
      </w:pPr>
    </w:p>
    <w:p>
      <w:pPr>
        <w:ind w:left="480" w:right="240" w:hanging="320"/>
        <w:spacing w:after="0" w:line="231" w:lineRule="auto"/>
        <w:rPr>
          <w:sz w:val="20"/>
          <w:szCs w:val="20"/>
          <w:color w:val="auto"/>
        </w:rPr>
      </w:pPr>
      <w:r>
        <w:rPr>
          <w:rFonts w:ascii="Arial" w:cs="Arial" w:eastAsia="Arial" w:hAnsi="Arial"/>
          <w:sz w:val="21"/>
          <w:szCs w:val="21"/>
          <w:b w:val="1"/>
          <w:bCs w:val="1"/>
          <w:color w:val="E14A6A"/>
        </w:rPr>
        <w:t>5.</w:t>
      </w:r>
      <w:r>
        <w:rPr>
          <w:rFonts w:ascii="Arial" w:cs="Arial" w:eastAsia="Arial" w:hAnsi="Arial"/>
          <w:sz w:val="16"/>
          <w:szCs w:val="16"/>
          <w:color w:val="092E44"/>
        </w:rPr>
        <w:t xml:space="preserve">    To transact such other business as may properly come before the meeting, or any adjournment or</w:t>
      </w:r>
      <w:r>
        <w:rPr>
          <w:rFonts w:ascii="Arial" w:cs="Arial" w:eastAsia="Arial" w:hAnsi="Arial"/>
          <w:sz w:val="21"/>
          <w:szCs w:val="21"/>
          <w:b w:val="1"/>
          <w:bCs w:val="1"/>
          <w:color w:val="E14A6A"/>
        </w:rPr>
        <w:t xml:space="preserve"> </w:t>
      </w:r>
      <w:r>
        <w:rPr>
          <w:rFonts w:ascii="Arial" w:cs="Arial" w:eastAsia="Arial" w:hAnsi="Arial"/>
          <w:sz w:val="16"/>
          <w:szCs w:val="16"/>
          <w:color w:val="092E44"/>
        </w:rPr>
        <w:t>postponement thereof.</w:t>
      </w:r>
    </w:p>
    <w:p>
      <w:pPr>
        <w:spacing w:after="0" w:line="68" w:lineRule="exact"/>
        <w:rPr>
          <w:sz w:val="20"/>
          <w:szCs w:val="20"/>
          <w:color w:val="auto"/>
        </w:rPr>
      </w:pPr>
    </w:p>
    <w:p>
      <w:pPr>
        <w:ind w:left="160" w:right="120"/>
        <w:spacing w:after="0" w:line="236" w:lineRule="auto"/>
        <w:rPr>
          <w:sz w:val="20"/>
          <w:szCs w:val="20"/>
          <w:color w:val="auto"/>
        </w:rPr>
      </w:pPr>
      <w:r>
        <w:rPr>
          <w:rFonts w:ascii="Arial" w:cs="Arial" w:eastAsia="Arial" w:hAnsi="Arial"/>
          <w:sz w:val="15"/>
          <w:szCs w:val="15"/>
          <w:color w:val="092E44"/>
        </w:rPr>
        <w:t>Only stockholders of record as of the Record Date are entitled to notice of, and to vote at, the Annual Meeting and any adjournment or postponement thereof. We will mail a Notice Regarding the Availability of Proxy Materials to stockholders of record on or before July 1, 2022, so you can access our proxy materials online or request paper copies of these materials.</w:t>
      </w:r>
    </w:p>
    <w:p>
      <w:pPr>
        <w:spacing w:after="0" w:line="57" w:lineRule="exact"/>
        <w:rPr>
          <w:sz w:val="20"/>
          <w:szCs w:val="20"/>
          <w:color w:val="auto"/>
        </w:rPr>
      </w:pPr>
    </w:p>
    <w:p>
      <w:pPr>
        <w:ind w:left="160"/>
        <w:spacing w:after="0" w:line="260" w:lineRule="auto"/>
        <w:rPr>
          <w:sz w:val="20"/>
          <w:szCs w:val="20"/>
          <w:color w:val="auto"/>
        </w:rPr>
      </w:pPr>
      <w:r>
        <w:rPr>
          <w:rFonts w:ascii="Arial" w:cs="Arial" w:eastAsia="Arial" w:hAnsi="Arial"/>
          <w:sz w:val="15"/>
          <w:szCs w:val="15"/>
          <w:color w:val="092E44"/>
        </w:rPr>
        <w:t>For information about how to access the virtual meeting, and what to do if you have technical difficulties, please see “Additional Information about the Annual Meeting.”</w:t>
      </w:r>
    </w:p>
    <w:p>
      <w:pPr>
        <w:spacing w:after="0" w:line="41" w:lineRule="exact"/>
        <w:rPr>
          <w:sz w:val="20"/>
          <w:szCs w:val="20"/>
          <w:color w:val="auto"/>
        </w:rPr>
      </w:pPr>
    </w:p>
    <w:p>
      <w:pPr>
        <w:ind w:left="160" w:right="100"/>
        <w:spacing w:after="0" w:line="260" w:lineRule="auto"/>
        <w:rPr>
          <w:sz w:val="20"/>
          <w:szCs w:val="20"/>
          <w:color w:val="auto"/>
        </w:rPr>
      </w:pPr>
      <w:r>
        <w:rPr>
          <w:rFonts w:ascii="Arial" w:cs="Arial" w:eastAsia="Arial" w:hAnsi="Arial"/>
          <w:sz w:val="15"/>
          <w:szCs w:val="15"/>
          <w:color w:val="092E44"/>
        </w:rPr>
        <w:t>If you vote in advance using our telephone or Internet voting procedures or by sending in your proxy card, you may still attend and vote at the Annual Meeting.</w:t>
      </w:r>
    </w:p>
    <w:p>
      <w:pPr>
        <w:spacing w:after="0" w:line="41" w:lineRule="exact"/>
        <w:rPr>
          <w:sz w:val="20"/>
          <w:szCs w:val="20"/>
          <w:color w:val="auto"/>
        </w:rPr>
      </w:pPr>
    </w:p>
    <w:p>
      <w:pPr>
        <w:jc w:val="both"/>
        <w:ind w:left="160" w:right="200"/>
        <w:spacing w:after="0" w:line="241" w:lineRule="auto"/>
        <w:rPr>
          <w:sz w:val="20"/>
          <w:szCs w:val="20"/>
          <w:color w:val="auto"/>
        </w:rPr>
      </w:pPr>
      <w:r>
        <w:rPr>
          <w:rFonts w:ascii="Arial" w:cs="Arial" w:eastAsia="Arial" w:hAnsi="Arial"/>
          <w:sz w:val="15"/>
          <w:szCs w:val="15"/>
          <w:color w:val="092E44"/>
        </w:rPr>
        <w:t>A list of stockholders entitled to vote at the Annual Meeting will be available for examination by stockholders during the 10 days preceding the meeting and during the meeting. Information regarding how to examine the stockholder list is available at the meeting website at http://ir.commvault.com/annual-meeting.</w:t>
      </w:r>
    </w:p>
    <w:p>
      <w:pPr>
        <w:spacing w:after="0" w:line="55" w:lineRule="exact"/>
        <w:rPr>
          <w:sz w:val="20"/>
          <w:szCs w:val="20"/>
          <w:color w:val="auto"/>
        </w:rPr>
      </w:pPr>
    </w:p>
    <w:p>
      <w:pPr>
        <w:ind w:left="160" w:right="80"/>
        <w:spacing w:after="0" w:line="241" w:lineRule="auto"/>
        <w:rPr>
          <w:sz w:val="20"/>
          <w:szCs w:val="20"/>
          <w:color w:val="auto"/>
        </w:rPr>
      </w:pPr>
      <w:r>
        <w:rPr>
          <w:rFonts w:ascii="Arial" w:cs="Arial" w:eastAsia="Arial" w:hAnsi="Arial"/>
          <w:sz w:val="15"/>
          <w:szCs w:val="15"/>
          <w:b w:val="1"/>
          <w:bCs w:val="1"/>
          <w:color w:val="092E44"/>
        </w:rPr>
        <w:t xml:space="preserve">Important Notice Regarding the Availability of Proxy Materials for the Meeting to be held on August 24, 2022: </w:t>
      </w:r>
      <w:r>
        <w:rPr>
          <w:rFonts w:ascii="Arial" w:cs="Arial" w:eastAsia="Arial" w:hAnsi="Arial"/>
          <w:sz w:val="15"/>
          <w:szCs w:val="15"/>
          <w:color w:val="092E44"/>
        </w:rPr>
        <w:t>This proxy statement and our annual report to stockholders are available at</w:t>
      </w:r>
      <w:r>
        <w:rPr>
          <w:rFonts w:ascii="Arial" w:cs="Arial" w:eastAsia="Arial" w:hAnsi="Arial"/>
          <w:sz w:val="15"/>
          <w:szCs w:val="15"/>
          <w:b w:val="1"/>
          <w:bCs w:val="1"/>
          <w:color w:val="092E44"/>
        </w:rPr>
        <w:t xml:space="preserve"> </w:t>
      </w:r>
      <w:r>
        <w:rPr>
          <w:rFonts w:ascii="Arial" w:cs="Arial" w:eastAsia="Arial" w:hAnsi="Arial"/>
          <w:sz w:val="15"/>
          <w:szCs w:val="15"/>
          <w:u w:val="single" w:color="auto"/>
          <w:color w:val="E14A6A"/>
        </w:rPr>
        <w:t>www.edocumentview.com/CVLT</w:t>
      </w:r>
      <w:r>
        <w:rPr>
          <w:rFonts w:ascii="Arial" w:cs="Arial" w:eastAsia="Arial" w:hAnsi="Arial"/>
          <w:sz w:val="15"/>
          <w:szCs w:val="15"/>
          <w:color w:val="092E44"/>
        </w:rPr>
        <w:t>.</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5"/>
          <w:szCs w:val="15"/>
          <w:color w:val="092E44"/>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45720</wp:posOffset>
            </wp:positionV>
            <wp:extent cx="1010285" cy="4330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10285" cy="43307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54610</wp:posOffset>
            </wp:positionV>
            <wp:extent cx="679450" cy="7727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9450" cy="772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092E44"/>
        </w:rPr>
        <w:t>Danielle Sheer</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5"/>
          <w:szCs w:val="15"/>
          <w:i w:val="1"/>
          <w:iCs w:val="1"/>
          <w:color w:val="092E44"/>
        </w:rPr>
        <w:t>Chief Legal and Compliance Officer</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5"/>
          <w:szCs w:val="15"/>
          <w:color w:val="092E44"/>
        </w:rPr>
        <w:t>July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258445</wp:posOffset>
            </wp:positionV>
            <wp:extent cx="220980" cy="212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1"/>
          <w:szCs w:val="21"/>
          <w:b w:val="1"/>
          <w:bCs w:val="1"/>
          <w:color w:val="092E44"/>
        </w:rPr>
        <w:t>How to Vote:</w:t>
      </w:r>
    </w:p>
    <w:p>
      <w:pPr>
        <w:spacing w:after="0" w:line="39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E14A6A"/>
        </w:rPr>
        <w:t>Online during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-118745</wp:posOffset>
            </wp:positionV>
            <wp:extent cx="246380" cy="382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6380" cy="38227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b w:val="1"/>
          <w:bCs w:val="1"/>
          <w:color w:val="E14A6A"/>
        </w:rPr>
        <w:t>the Meeting:</w:t>
      </w:r>
    </w:p>
    <w:p>
      <w:pPr>
        <w:spacing w:after="0" w:line="194" w:lineRule="exact"/>
        <w:rPr>
          <w:sz w:val="20"/>
          <w:szCs w:val="20"/>
          <w:color w:val="auto"/>
        </w:rPr>
      </w:pPr>
    </w:p>
    <w:p>
      <w:pPr>
        <w:ind w:right="460"/>
        <w:spacing w:after="0" w:line="256" w:lineRule="auto"/>
        <w:rPr>
          <w:sz w:val="20"/>
          <w:szCs w:val="20"/>
          <w:color w:val="auto"/>
        </w:rPr>
      </w:pPr>
      <w:r>
        <w:rPr>
          <w:rFonts w:ascii="Arial" w:cs="Arial" w:eastAsia="Arial" w:hAnsi="Arial"/>
          <w:sz w:val="16"/>
          <w:szCs w:val="16"/>
          <w:color w:val="092E44"/>
        </w:rPr>
        <w:t xml:space="preserve">Attend the Annual Meeting virtually at </w:t>
      </w:r>
      <w:r>
        <w:rPr>
          <w:rFonts w:ascii="Arial" w:cs="Arial" w:eastAsia="Arial" w:hAnsi="Arial"/>
          <w:sz w:val="16"/>
          <w:szCs w:val="16"/>
          <w:u w:val="single" w:color="auto"/>
          <w:color w:val="E14A6A"/>
        </w:rPr>
        <w:t>http://ir.commvault. com/annual-meeting</w:t>
      </w:r>
      <w:r>
        <w:rPr>
          <w:rFonts w:ascii="Arial" w:cs="Arial" w:eastAsia="Arial" w:hAnsi="Arial"/>
          <w:sz w:val="16"/>
          <w:szCs w:val="16"/>
          <w:color w:val="E14A6A"/>
        </w:rPr>
        <w:t xml:space="preserve"> </w:t>
      </w:r>
      <w:r>
        <w:rPr>
          <w:rFonts w:ascii="Arial" w:cs="Arial" w:eastAsia="Arial" w:hAnsi="Arial"/>
          <w:sz w:val="16"/>
          <w:szCs w:val="16"/>
          <w:color w:val="092E44"/>
        </w:rPr>
        <w:t>and follow the</w:t>
      </w:r>
      <w:r>
        <w:rPr>
          <w:rFonts w:ascii="Arial" w:cs="Arial" w:eastAsia="Arial" w:hAnsi="Arial"/>
          <w:sz w:val="16"/>
          <w:szCs w:val="16"/>
          <w:color w:val="E14A6A"/>
        </w:rPr>
        <w:t xml:space="preserve"> </w:t>
      </w:r>
      <w:r>
        <w:rPr>
          <w:rFonts w:ascii="Arial" w:cs="Arial" w:eastAsia="Arial" w:hAnsi="Arial"/>
          <w:sz w:val="16"/>
          <w:szCs w:val="16"/>
          <w:color w:val="092E44"/>
        </w:rPr>
        <w:t>instructions on the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-5080</wp:posOffset>
            </wp:positionV>
            <wp:extent cx="20720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72005" cy="8255"/>
                    </a:xfrm>
                    <a:prstGeom prst="rect">
                      <a:avLst/>
                    </a:prstGeom>
                    <a:noFill/>
                  </pic:spPr>
                </pic:pic>
              </a:graphicData>
            </a:graphic>
          </wp:anchor>
        </w:drawing>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E14A6A"/>
        </w:rPr>
        <w:t>Online 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322580" cy="297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2580" cy="29718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b w:val="1"/>
          <w:bCs w:val="1"/>
          <w:color w:val="E14A6A"/>
        </w:rPr>
        <w:t>the Meeting:</w:t>
      </w:r>
    </w:p>
    <w:p>
      <w:pPr>
        <w:spacing w:after="0" w:line="15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092E44"/>
        </w:rPr>
        <w:t xml:space="preserve">Visit </w:t>
      </w:r>
      <w:r>
        <w:rPr>
          <w:rFonts w:ascii="Arial" w:cs="Arial" w:eastAsia="Arial" w:hAnsi="Arial"/>
          <w:sz w:val="16"/>
          <w:szCs w:val="16"/>
          <w:u w:val="single" w:color="auto"/>
          <w:color w:val="E14A6A"/>
        </w:rPr>
        <w:t>www.investorvote.com/CVLT</w:t>
      </w:r>
      <w:r>
        <w:rPr>
          <w:rFonts w:ascii="Arial" w:cs="Arial" w:eastAsia="Arial" w:hAnsi="Arial"/>
          <w:sz w:val="16"/>
          <w:szCs w:val="16"/>
          <w:color w:val="092E44"/>
        </w:rPr>
        <w:t xml:space="preserve"> and finish voting before 3:00 a.m. EST on August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-7620</wp:posOffset>
            </wp:positionV>
            <wp:extent cx="20720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72005" cy="8255"/>
                    </a:xfrm>
                    <a:prstGeom prst="rect">
                      <a:avLst/>
                    </a:prstGeom>
                    <a:noFill/>
                  </pic:spPr>
                </pic:pic>
              </a:graphicData>
            </a:graphic>
          </wp:anchor>
        </w:drawing>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E14A6A"/>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-118745</wp:posOffset>
            </wp:positionV>
            <wp:extent cx="347980" cy="229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7980" cy="229235"/>
                    </a:xfrm>
                    <a:prstGeom prst="rect">
                      <a:avLst/>
                    </a:prstGeom>
                    <a:noFill/>
                  </pic:spPr>
                </pic:pic>
              </a:graphicData>
            </a:graphic>
          </wp:anchor>
        </w:drawing>
      </w:r>
    </w:p>
    <w:p>
      <w:pPr>
        <w:spacing w:after="0" w:line="152"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092E44"/>
        </w:rPr>
        <w:t>Sign, date and return your proxy card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-15875</wp:posOffset>
            </wp:positionV>
            <wp:extent cx="20720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72005" cy="8255"/>
                    </a:xfrm>
                    <a:prstGeom prst="rect">
                      <a:avLst/>
                    </a:prstGeom>
                    <a:noFill/>
                  </pic:spPr>
                </pic:pic>
              </a:graphicData>
            </a:graphic>
          </wp:anchor>
        </w:drawing>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E14A6A"/>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-118745</wp:posOffset>
            </wp:positionV>
            <wp:extent cx="297180" cy="297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7180" cy="297180"/>
                    </a:xfrm>
                    <a:prstGeom prst="rect">
                      <a:avLst/>
                    </a:prstGeom>
                    <a:noFill/>
                  </pic:spPr>
                </pic:pic>
              </a:graphicData>
            </a:graphic>
          </wp:anchor>
        </w:drawing>
      </w:r>
    </w:p>
    <w:p>
      <w:pPr>
        <w:spacing w:after="0" w:line="259"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color w:val="092E44"/>
        </w:rPr>
        <w:t>Call the telephone number on your proxy card</w:t>
      </w:r>
    </w:p>
    <w:p>
      <w:pPr>
        <w:spacing w:after="0" w:line="1693" w:lineRule="exact"/>
        <w:rPr>
          <w:sz w:val="20"/>
          <w:szCs w:val="20"/>
          <w:color w:val="auto"/>
        </w:rPr>
      </w:pPr>
    </w:p>
    <w:p>
      <w:pPr>
        <w:sectPr>
          <w:pgSz w:w="11900" w:h="16838" w:orient="portrait"/>
          <w:cols w:equalWidth="0" w:num="2">
            <w:col w:w="7620" w:space="300"/>
            <w:col w:w="3120"/>
          </w:cols>
          <w:pgMar w:left="320" w:top="454" w:right="539" w:bottom="1440" w:gutter="0" w:footer="0" w:header="0"/>
          <w:type w:val="continuous"/>
        </w:sectPr>
      </w:pPr>
    </w:p>
    <w:p>
      <w:pPr>
        <w:spacing w:after="0" w:line="314"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0"/>
          <w:szCs w:val="10"/>
          <w:color w:val="092E44"/>
        </w:rPr>
        <w:t>02</w:t>
      </w:r>
      <w:r>
        <w:rPr>
          <w:sz w:val="20"/>
          <w:szCs w:val="20"/>
          <w:color w:val="auto"/>
        </w:rPr>
        <w:tab/>
      </w:r>
      <w:r>
        <w:rPr>
          <w:rFonts w:ascii="Arial" w:cs="Arial" w:eastAsia="Arial" w:hAnsi="Arial"/>
          <w:sz w:val="10"/>
          <w:szCs w:val="10"/>
          <w:b w:val="1"/>
          <w:bCs w:val="1"/>
          <w:color w:val="092E44"/>
        </w:rPr>
        <w:t xml:space="preserve">COMMVAULT SYSTEMS, INC. </w:t>
      </w:r>
      <w:r>
        <w:rPr>
          <w:rFonts w:ascii="Arial" w:cs="Arial" w:eastAsia="Arial" w:hAnsi="Arial"/>
          <w:sz w:val="10"/>
          <w:szCs w:val="10"/>
          <w:color w:val="E14A6A"/>
        </w:rPr>
        <w:t>|</w:t>
      </w:r>
      <w:r>
        <w:rPr>
          <w:rFonts w:ascii="Arial" w:cs="Arial" w:eastAsia="Arial" w:hAnsi="Arial"/>
          <w:sz w:val="10"/>
          <w:szCs w:val="10"/>
          <w:b w:val="1"/>
          <w:bCs w:val="1"/>
          <w:color w:val="092E44"/>
        </w:rPr>
        <w:t xml:space="preserve"> </w:t>
      </w:r>
      <w:r>
        <w:rPr>
          <w:rFonts w:ascii="Arial" w:cs="Arial" w:eastAsia="Arial" w:hAnsi="Arial"/>
          <w:sz w:val="10"/>
          <w:szCs w:val="10"/>
          <w:color w:val="092E44"/>
        </w:rPr>
        <w:t>2022 PROXY STATEMENT</w:t>
      </w:r>
    </w:p>
    <w:p>
      <w:pPr>
        <w:sectPr>
          <w:pgSz w:w="11900" w:h="16838" w:orient="portrait"/>
          <w:cols w:equalWidth="0" w:num="1">
            <w:col w:w="11040"/>
          </w:cols>
          <w:pgMar w:left="320" w:top="454" w:right="539" w:bottom="1440" w:gutter="0" w:footer="0" w:header="0"/>
          <w:type w:val="continuous"/>
        </w:sectPr>
      </w:pPr>
    </w:p>
    <w:bookmarkStart w:id="5" w:name="page6"/>
    <w:bookmarkEnd w:id="5"/>
    <w:p>
      <w:pPr>
        <w:spacing w:after="0" w:line="189" w:lineRule="auto"/>
        <w:tabs>
          <w:tab w:leader="none" w:pos="580" w:val="left"/>
        </w:tabs>
        <w:framePr w:w="260" w:h="145" w:wrap="auto" w:vAnchor="page" w:hAnchor="page" w:x="5460" w:y="13088"/>
        <w:rPr>
          <w:rFonts w:ascii="Arial" w:cs="Arial" w:eastAsia="Arial" w:hAnsi="Arial"/>
          <w:sz w:val="16"/>
          <w:szCs w:val="16"/>
          <w:color w:val="092E44"/>
        </w:rPr>
      </w:pPr>
      <w:r>
        <w:rPr>
          <w:rFonts w:ascii="Arial" w:cs="Arial" w:eastAsia="Arial" w:hAnsi="Arial"/>
          <w:sz w:val="16"/>
          <w:szCs w:val="16"/>
          <w:color w:val="092E44"/>
        </w:rPr>
        <w:t>26</w:t>
      </w:r>
    </w:p>
    <w:p>
      <w:pPr>
        <w:spacing w:after="0" w:line="189" w:lineRule="auto"/>
        <w:tabs>
          <w:tab w:leader="none" w:pos="580" w:val="left"/>
        </w:tabs>
        <w:framePr w:w="260" w:h="145" w:wrap="auto" w:vAnchor="page" w:hAnchor="page" w:x="5460" w:y="9370"/>
        <w:rPr>
          <w:rFonts w:ascii="Arial" w:cs="Arial" w:eastAsia="Arial" w:hAnsi="Arial"/>
          <w:sz w:val="16"/>
          <w:szCs w:val="16"/>
          <w:color w:val="092E44"/>
        </w:rPr>
      </w:pPr>
      <w:r>
        <w:rPr>
          <w:rFonts w:ascii="Arial" w:cs="Arial" w:eastAsia="Arial" w:hAnsi="Arial"/>
          <w:sz w:val="16"/>
          <w:szCs w:val="16"/>
          <w:color w:val="092E44"/>
        </w:rPr>
        <w:t>18</w:t>
      </w:r>
    </w:p>
    <w:p>
      <w:pPr>
        <w:spacing w:after="0" w:line="189" w:lineRule="auto"/>
        <w:tabs>
          <w:tab w:leader="none" w:pos="580" w:val="left"/>
        </w:tabs>
        <w:framePr w:w="260" w:h="145" w:wrap="auto" w:vAnchor="page" w:hAnchor="page" w:x="5460" w:y="9664"/>
        <w:rPr>
          <w:rFonts w:ascii="Arial" w:cs="Arial" w:eastAsia="Arial" w:hAnsi="Arial"/>
          <w:sz w:val="16"/>
          <w:szCs w:val="16"/>
          <w:color w:val="092E44"/>
        </w:rPr>
      </w:pPr>
      <w:r>
        <w:rPr>
          <w:rFonts w:ascii="Arial" w:cs="Arial" w:eastAsia="Arial" w:hAnsi="Arial"/>
          <w:sz w:val="16"/>
          <w:szCs w:val="16"/>
          <w:color w:val="092E44"/>
        </w:rPr>
        <w:t>19</w:t>
      </w:r>
    </w:p>
    <w:p>
      <w:pPr>
        <w:spacing w:after="0" w:line="189" w:lineRule="auto"/>
        <w:tabs>
          <w:tab w:leader="none" w:pos="580" w:val="left"/>
        </w:tabs>
        <w:framePr w:w="260" w:h="145" w:wrap="auto" w:vAnchor="page" w:hAnchor="page" w:x="5460" w:y="9958"/>
        <w:rPr>
          <w:rFonts w:ascii="Arial" w:cs="Arial" w:eastAsia="Arial" w:hAnsi="Arial"/>
          <w:sz w:val="16"/>
          <w:szCs w:val="16"/>
          <w:color w:val="092E44"/>
        </w:rPr>
      </w:pPr>
      <w:r>
        <w:rPr>
          <w:rFonts w:ascii="Arial" w:cs="Arial" w:eastAsia="Arial" w:hAnsi="Arial"/>
          <w:sz w:val="16"/>
          <w:szCs w:val="16"/>
          <w:color w:val="092E44"/>
        </w:rPr>
        <w:t>19</w:t>
      </w:r>
    </w:p>
    <w:p>
      <w:pPr>
        <w:spacing w:after="0" w:line="189" w:lineRule="auto"/>
        <w:tabs>
          <w:tab w:leader="none" w:pos="580" w:val="left"/>
        </w:tabs>
        <w:framePr w:w="260" w:h="145" w:wrap="auto" w:vAnchor="page" w:hAnchor="page" w:x="5460" w:y="10252"/>
        <w:rPr>
          <w:rFonts w:ascii="Arial" w:cs="Arial" w:eastAsia="Arial" w:hAnsi="Arial"/>
          <w:sz w:val="16"/>
          <w:szCs w:val="16"/>
          <w:color w:val="092E44"/>
        </w:rPr>
      </w:pPr>
      <w:r>
        <w:rPr>
          <w:rFonts w:ascii="Arial" w:cs="Arial" w:eastAsia="Arial" w:hAnsi="Arial"/>
          <w:sz w:val="16"/>
          <w:szCs w:val="16"/>
          <w:color w:val="092E44"/>
        </w:rPr>
        <w:t>21</w:t>
      </w:r>
    </w:p>
    <w:p>
      <w:pPr>
        <w:spacing w:after="0" w:line="189" w:lineRule="auto"/>
        <w:tabs>
          <w:tab w:leader="none" w:pos="580" w:val="left"/>
        </w:tabs>
        <w:framePr w:w="260" w:h="145" w:wrap="auto" w:vAnchor="page" w:hAnchor="page" w:x="5460" w:y="10547"/>
        <w:rPr>
          <w:rFonts w:ascii="Arial" w:cs="Arial" w:eastAsia="Arial" w:hAnsi="Arial"/>
          <w:sz w:val="16"/>
          <w:szCs w:val="16"/>
          <w:color w:val="092E44"/>
        </w:rPr>
      </w:pPr>
      <w:r>
        <w:rPr>
          <w:rFonts w:ascii="Arial" w:cs="Arial" w:eastAsia="Arial" w:hAnsi="Arial"/>
          <w:sz w:val="16"/>
          <w:szCs w:val="16"/>
          <w:color w:val="092E44"/>
        </w:rPr>
        <w:t>21</w:t>
      </w:r>
    </w:p>
    <w:p>
      <w:pPr>
        <w:spacing w:after="0" w:line="189" w:lineRule="auto"/>
        <w:tabs>
          <w:tab w:leader="none" w:pos="580" w:val="left"/>
        </w:tabs>
        <w:framePr w:w="260" w:h="145" w:wrap="auto" w:vAnchor="page" w:hAnchor="page" w:x="5460" w:y="10841"/>
        <w:rPr>
          <w:rFonts w:ascii="Arial" w:cs="Arial" w:eastAsia="Arial" w:hAnsi="Arial"/>
          <w:sz w:val="16"/>
          <w:szCs w:val="16"/>
          <w:color w:val="092E44"/>
        </w:rPr>
      </w:pPr>
      <w:r>
        <w:rPr>
          <w:rFonts w:ascii="Arial" w:cs="Arial" w:eastAsia="Arial" w:hAnsi="Arial"/>
          <w:sz w:val="16"/>
          <w:szCs w:val="16"/>
          <w:color w:val="092E44"/>
        </w:rPr>
        <w:t>22</w:t>
      </w:r>
    </w:p>
    <w:p>
      <w:pPr>
        <w:spacing w:after="0" w:line="189" w:lineRule="auto"/>
        <w:tabs>
          <w:tab w:leader="none" w:pos="580" w:val="left"/>
        </w:tabs>
        <w:framePr w:w="260" w:h="145" w:wrap="auto" w:vAnchor="page" w:hAnchor="page" w:x="5460" w:y="11135"/>
        <w:rPr>
          <w:rFonts w:ascii="Arial" w:cs="Arial" w:eastAsia="Arial" w:hAnsi="Arial"/>
          <w:sz w:val="16"/>
          <w:szCs w:val="16"/>
          <w:color w:val="092E44"/>
        </w:rPr>
      </w:pPr>
      <w:r>
        <w:rPr>
          <w:rFonts w:ascii="Arial" w:cs="Arial" w:eastAsia="Arial" w:hAnsi="Arial"/>
          <w:sz w:val="16"/>
          <w:szCs w:val="16"/>
          <w:color w:val="092E44"/>
        </w:rPr>
        <w:t>23</w:t>
      </w:r>
    </w:p>
    <w:p>
      <w:pPr>
        <w:spacing w:after="0" w:line="189" w:lineRule="auto"/>
        <w:tabs>
          <w:tab w:leader="none" w:pos="580" w:val="left"/>
        </w:tabs>
        <w:framePr w:w="260" w:h="145" w:wrap="auto" w:vAnchor="page" w:hAnchor="page" w:x="5460" w:y="11429"/>
        <w:rPr>
          <w:rFonts w:ascii="Arial" w:cs="Arial" w:eastAsia="Arial" w:hAnsi="Arial"/>
          <w:sz w:val="16"/>
          <w:szCs w:val="16"/>
          <w:color w:val="092E44"/>
        </w:rPr>
      </w:pPr>
      <w:r>
        <w:rPr>
          <w:rFonts w:ascii="Arial" w:cs="Arial" w:eastAsia="Arial" w:hAnsi="Arial"/>
          <w:sz w:val="16"/>
          <w:szCs w:val="16"/>
          <w:color w:val="092E44"/>
        </w:rPr>
        <w:t>23</w:t>
      </w:r>
    </w:p>
    <w:p>
      <w:pPr>
        <w:spacing w:after="0" w:line="189" w:lineRule="auto"/>
        <w:tabs>
          <w:tab w:leader="none" w:pos="580" w:val="left"/>
        </w:tabs>
        <w:framePr w:w="260" w:h="145" w:wrap="auto" w:vAnchor="page" w:hAnchor="page" w:x="5460" w:y="11724"/>
        <w:rPr>
          <w:rFonts w:ascii="Arial" w:cs="Arial" w:eastAsia="Arial" w:hAnsi="Arial"/>
          <w:sz w:val="16"/>
          <w:szCs w:val="16"/>
          <w:color w:val="092E44"/>
        </w:rPr>
      </w:pPr>
      <w:r>
        <w:rPr>
          <w:rFonts w:ascii="Arial" w:cs="Arial" w:eastAsia="Arial" w:hAnsi="Arial"/>
          <w:sz w:val="16"/>
          <w:szCs w:val="16"/>
          <w:color w:val="092E44"/>
        </w:rPr>
        <w:t>24</w:t>
      </w:r>
    </w:p>
    <w:p>
      <w:pPr>
        <w:spacing w:after="0" w:line="189" w:lineRule="auto"/>
        <w:tabs>
          <w:tab w:leader="none" w:pos="580" w:val="left"/>
        </w:tabs>
        <w:framePr w:w="260" w:h="145" w:wrap="auto" w:vAnchor="page" w:hAnchor="page" w:x="5460" w:y="12018"/>
        <w:rPr>
          <w:rFonts w:ascii="Arial" w:cs="Arial" w:eastAsia="Arial" w:hAnsi="Arial"/>
          <w:sz w:val="16"/>
          <w:szCs w:val="16"/>
          <w:color w:val="092E44"/>
        </w:rPr>
      </w:pPr>
      <w:r>
        <w:rPr>
          <w:rFonts w:ascii="Arial" w:cs="Arial" w:eastAsia="Arial" w:hAnsi="Arial"/>
          <w:sz w:val="16"/>
          <w:szCs w:val="16"/>
          <w:color w:val="092E44"/>
        </w:rPr>
        <w:t>24</w:t>
      </w:r>
    </w:p>
    <w:p>
      <w:pPr>
        <w:spacing w:after="0" w:line="189" w:lineRule="auto"/>
        <w:tabs>
          <w:tab w:leader="none" w:pos="580" w:val="left"/>
        </w:tabs>
        <w:framePr w:w="260" w:h="145" w:wrap="auto" w:vAnchor="page" w:hAnchor="page" w:x="5460" w:y="12312"/>
        <w:rPr>
          <w:rFonts w:ascii="Arial" w:cs="Arial" w:eastAsia="Arial" w:hAnsi="Arial"/>
          <w:sz w:val="16"/>
          <w:szCs w:val="16"/>
          <w:color w:val="092E44"/>
        </w:rPr>
      </w:pPr>
      <w:r>
        <w:rPr>
          <w:rFonts w:ascii="Arial" w:cs="Arial" w:eastAsia="Arial" w:hAnsi="Arial"/>
          <w:sz w:val="16"/>
          <w:szCs w:val="16"/>
          <w:color w:val="092E44"/>
        </w:rPr>
        <w:t>25</w:t>
      </w:r>
    </w:p>
    <w:p>
      <w:pPr>
        <w:spacing w:after="0" w:line="189" w:lineRule="auto"/>
        <w:tabs>
          <w:tab w:leader="none" w:pos="580" w:val="left"/>
        </w:tabs>
        <w:framePr w:w="260" w:h="145" w:wrap="auto" w:vAnchor="page" w:hAnchor="page" w:x="5460" w:y="12606"/>
        <w:rPr>
          <w:rFonts w:ascii="Arial" w:cs="Arial" w:eastAsia="Arial" w:hAnsi="Arial"/>
          <w:sz w:val="16"/>
          <w:szCs w:val="16"/>
          <w:color w:val="092E44"/>
        </w:rPr>
      </w:pPr>
      <w:r>
        <w:rPr>
          <w:rFonts w:ascii="Arial" w:cs="Arial" w:eastAsia="Arial" w:hAnsi="Arial"/>
          <w:sz w:val="16"/>
          <w:szCs w:val="16"/>
          <w:color w:val="092E44"/>
        </w:rPr>
        <w:t>26</w:t>
      </w: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rFonts w:ascii="Arial" w:cs="Arial" w:eastAsia="Arial" w:hAnsi="Arial"/>
          <w:sz w:val="16"/>
          <w:szCs w:val="16"/>
          <w:color w:val="092E44"/>
        </w:rPr>
      </w:pPr>
      <w:r>
        <w:rPr>
          <w:rFonts w:ascii="Arial" w:cs="Arial" w:eastAsia="Arial" w:hAnsi="Arial"/>
          <w:sz w:val="16"/>
          <w:szCs w:val="16"/>
          <w:color w:val="092E44"/>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7031990" cy="8432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1990" cy="8432800"/>
                    </a:xfrm>
                    <a:prstGeom prst="rect">
                      <a:avLst/>
                    </a:prstGeom>
                    <a:noFill/>
                  </pic:spPr>
                </pic:pic>
              </a:graphicData>
            </a:graphic>
          </wp:anchor>
        </w:drawing>
      </w:r>
    </w:p>
    <w:p>
      <w:pPr>
        <w:spacing w:after="0" w:line="200" w:lineRule="exact"/>
        <w:rPr>
          <w:rFonts w:ascii="Arial" w:cs="Arial" w:eastAsia="Arial" w:hAnsi="Arial"/>
          <w:sz w:val="16"/>
          <w:szCs w:val="16"/>
          <w:color w:val="092E44"/>
        </w:rPr>
      </w:pPr>
    </w:p>
    <w:p>
      <w:pPr>
        <w:spacing w:after="0" w:line="200" w:lineRule="exact"/>
        <w:rPr>
          <w:rFonts w:ascii="Arial" w:cs="Arial" w:eastAsia="Arial" w:hAnsi="Arial"/>
          <w:sz w:val="16"/>
          <w:szCs w:val="16"/>
          <w:color w:val="092E44"/>
        </w:rPr>
      </w:pPr>
    </w:p>
    <w:p>
      <w:pPr>
        <w:spacing w:after="0" w:line="200" w:lineRule="exact"/>
        <w:rPr>
          <w:rFonts w:ascii="Arial" w:cs="Arial" w:eastAsia="Arial" w:hAnsi="Arial"/>
          <w:sz w:val="16"/>
          <w:szCs w:val="16"/>
          <w:color w:val="092E44"/>
        </w:rPr>
      </w:pPr>
    </w:p>
    <w:p>
      <w:pPr>
        <w:spacing w:after="0" w:line="200" w:lineRule="exact"/>
        <w:rPr>
          <w:rFonts w:ascii="Arial" w:cs="Arial" w:eastAsia="Arial" w:hAnsi="Arial"/>
          <w:sz w:val="16"/>
          <w:szCs w:val="16"/>
          <w:color w:val="092E44"/>
        </w:rPr>
      </w:pPr>
    </w:p>
    <w:p>
      <w:pPr>
        <w:spacing w:after="0" w:line="200" w:lineRule="exact"/>
        <w:rPr>
          <w:rFonts w:ascii="Arial" w:cs="Arial" w:eastAsia="Arial" w:hAnsi="Arial"/>
          <w:sz w:val="16"/>
          <w:szCs w:val="16"/>
          <w:color w:val="092E44"/>
        </w:rPr>
      </w:pPr>
    </w:p>
    <w:p>
      <w:pPr>
        <w:spacing w:after="0" w:line="200" w:lineRule="exact"/>
        <w:rPr>
          <w:rFonts w:ascii="Arial" w:cs="Arial" w:eastAsia="Arial" w:hAnsi="Arial"/>
          <w:sz w:val="16"/>
          <w:szCs w:val="16"/>
          <w:color w:val="092E44"/>
        </w:rPr>
      </w:pPr>
    </w:p>
    <w:p>
      <w:pPr>
        <w:spacing w:after="0" w:line="200" w:lineRule="exact"/>
        <w:rPr>
          <w:rFonts w:ascii="Arial" w:cs="Arial" w:eastAsia="Arial" w:hAnsi="Arial"/>
          <w:sz w:val="16"/>
          <w:szCs w:val="16"/>
          <w:color w:val="092E44"/>
        </w:rPr>
      </w:pPr>
    </w:p>
    <w:p>
      <w:pPr>
        <w:spacing w:after="0" w:line="200" w:lineRule="exact"/>
        <w:rPr>
          <w:rFonts w:ascii="Arial" w:cs="Arial" w:eastAsia="Arial" w:hAnsi="Arial"/>
          <w:sz w:val="16"/>
          <w:szCs w:val="16"/>
          <w:color w:val="092E44"/>
        </w:rPr>
      </w:pPr>
    </w:p>
    <w:p>
      <w:pPr>
        <w:spacing w:after="0" w:line="200" w:lineRule="exact"/>
        <w:rPr>
          <w:rFonts w:ascii="Arial" w:cs="Arial" w:eastAsia="Arial" w:hAnsi="Arial"/>
          <w:sz w:val="16"/>
          <w:szCs w:val="16"/>
          <w:color w:val="092E44"/>
        </w:rPr>
      </w:pPr>
    </w:p>
    <w:p>
      <w:pPr>
        <w:spacing w:after="0" w:line="200" w:lineRule="exact"/>
        <w:rPr>
          <w:rFonts w:ascii="Arial" w:cs="Arial" w:eastAsia="Arial" w:hAnsi="Arial"/>
          <w:sz w:val="16"/>
          <w:szCs w:val="16"/>
          <w:color w:val="092E44"/>
        </w:rPr>
      </w:pPr>
    </w:p>
    <w:p>
      <w:pPr>
        <w:spacing w:after="0" w:line="200" w:lineRule="exact"/>
        <w:rPr>
          <w:rFonts w:ascii="Arial" w:cs="Arial" w:eastAsia="Arial" w:hAnsi="Arial"/>
          <w:sz w:val="16"/>
          <w:szCs w:val="16"/>
          <w:color w:val="092E44"/>
        </w:rPr>
      </w:pPr>
    </w:p>
    <w:p>
      <w:pPr>
        <w:spacing w:after="0" w:line="396" w:lineRule="exact"/>
        <w:rPr>
          <w:rFonts w:ascii="Arial" w:cs="Arial" w:eastAsia="Arial" w:hAnsi="Arial"/>
          <w:sz w:val="16"/>
          <w:szCs w:val="16"/>
          <w:color w:val="092E44"/>
        </w:rPr>
      </w:pPr>
    </w:p>
    <w:p>
      <w:pPr>
        <w:ind w:left="340"/>
        <w:spacing w:after="0"/>
        <w:rPr>
          <w:sz w:val="20"/>
          <w:szCs w:val="20"/>
          <w:color w:val="auto"/>
        </w:rPr>
      </w:pPr>
      <w:r>
        <w:rPr>
          <w:rFonts w:ascii="Arial" w:cs="Arial" w:eastAsia="Arial" w:hAnsi="Arial"/>
          <w:sz w:val="63"/>
          <w:szCs w:val="63"/>
          <w:b w:val="1"/>
          <w:bCs w:val="1"/>
          <w:color w:val="FFFFFF"/>
        </w:rPr>
        <w:t>Table of Contents</w:t>
      </w:r>
    </w:p>
    <w:p>
      <w:pPr>
        <w:sectPr>
          <w:pgSz w:w="11900" w:h="16838" w:orient="portrait"/>
          <w:cols w:equalWidth="0" w:num="1">
            <w:col w:w="10860"/>
          </w:cols>
          <w:pgMar w:left="320" w:top="454" w:right="719" w:bottom="1440" w:gutter="0" w:footer="0" w:header="0"/>
        </w:sectPr>
      </w:pPr>
    </w:p>
    <w:p>
      <w:pPr>
        <w:spacing w:after="0" w:line="200" w:lineRule="exact"/>
        <w:rPr>
          <w:rFonts w:ascii="Arial" w:cs="Arial" w:eastAsia="Arial" w:hAnsi="Arial"/>
          <w:sz w:val="16"/>
          <w:szCs w:val="16"/>
          <w:color w:val="092E44"/>
        </w:rPr>
      </w:pPr>
    </w:p>
    <w:p>
      <w:pPr>
        <w:spacing w:after="0" w:line="200" w:lineRule="exact"/>
        <w:rPr>
          <w:rFonts w:ascii="Arial" w:cs="Arial" w:eastAsia="Arial" w:hAnsi="Arial"/>
          <w:sz w:val="16"/>
          <w:szCs w:val="16"/>
          <w:color w:val="092E44"/>
        </w:rPr>
      </w:pPr>
    </w:p>
    <w:p>
      <w:pPr>
        <w:spacing w:after="0" w:line="351" w:lineRule="exact"/>
        <w:rPr>
          <w:rFonts w:ascii="Arial" w:cs="Arial" w:eastAsia="Arial" w:hAnsi="Arial"/>
          <w:sz w:val="16"/>
          <w:szCs w:val="16"/>
          <w:color w:val="092E44"/>
        </w:rPr>
      </w:pPr>
    </w:p>
    <w:p>
      <w:pPr>
        <w:ind w:left="340"/>
        <w:spacing w:after="0"/>
        <w:rPr>
          <w:sz w:val="20"/>
          <w:szCs w:val="20"/>
          <w:color w:val="auto"/>
        </w:rPr>
      </w:pPr>
      <w:r>
        <w:rPr>
          <w:rFonts w:ascii="Arial" w:cs="Arial" w:eastAsia="Arial" w:hAnsi="Arial"/>
          <w:sz w:val="16"/>
          <w:szCs w:val="16"/>
          <w:b w:val="1"/>
          <w:bCs w:val="1"/>
          <w:u w:val="single" w:color="auto"/>
          <w:color w:val="0000EE"/>
        </w:rPr>
        <w:t>Proxy Summary</w:t>
      </w:r>
    </w:p>
    <w:p>
      <w:pPr>
        <w:spacing w:after="0" w:line="110" w:lineRule="exact"/>
        <w:rPr>
          <w:rFonts w:ascii="Arial" w:cs="Arial" w:eastAsia="Arial" w:hAnsi="Arial"/>
          <w:sz w:val="16"/>
          <w:szCs w:val="16"/>
          <w:color w:val="092E44"/>
        </w:rPr>
      </w:pPr>
    </w:p>
    <w:p>
      <w:pPr>
        <w:ind w:left="560"/>
        <w:spacing w:after="0"/>
        <w:rPr>
          <w:sz w:val="20"/>
          <w:szCs w:val="20"/>
          <w:color w:val="auto"/>
        </w:rPr>
      </w:pPr>
      <w:r>
        <w:rPr>
          <w:rFonts w:ascii="Arial" w:cs="Arial" w:eastAsia="Arial" w:hAnsi="Arial"/>
          <w:sz w:val="16"/>
          <w:szCs w:val="16"/>
          <w:u w:val="single" w:color="auto"/>
          <w:color w:val="0000EE"/>
        </w:rPr>
        <w:t>What’s New!</w:t>
      </w:r>
    </w:p>
    <w:p>
      <w:pPr>
        <w:spacing w:after="0" w:line="110" w:lineRule="exact"/>
        <w:rPr>
          <w:rFonts w:ascii="Arial" w:cs="Arial" w:eastAsia="Arial" w:hAnsi="Arial"/>
          <w:sz w:val="16"/>
          <w:szCs w:val="16"/>
          <w:color w:val="092E44"/>
        </w:rPr>
      </w:pPr>
    </w:p>
    <w:p>
      <w:pPr>
        <w:ind w:left="560"/>
        <w:spacing w:after="0"/>
        <w:rPr>
          <w:sz w:val="20"/>
          <w:szCs w:val="20"/>
          <w:color w:val="auto"/>
        </w:rPr>
      </w:pPr>
      <w:r>
        <w:rPr>
          <w:rFonts w:ascii="Arial" w:cs="Arial" w:eastAsia="Arial" w:hAnsi="Arial"/>
          <w:sz w:val="16"/>
          <w:szCs w:val="16"/>
          <w:u w:val="single" w:color="auto"/>
          <w:color w:val="0000EE"/>
        </w:rPr>
        <w:t>Election of Directors</w:t>
      </w:r>
    </w:p>
    <w:p>
      <w:pPr>
        <w:spacing w:after="0" w:line="110" w:lineRule="exact"/>
        <w:rPr>
          <w:rFonts w:ascii="Arial" w:cs="Arial" w:eastAsia="Arial" w:hAnsi="Arial"/>
          <w:sz w:val="16"/>
          <w:szCs w:val="16"/>
          <w:color w:val="092E44"/>
        </w:rPr>
      </w:pPr>
    </w:p>
    <w:p>
      <w:pPr>
        <w:ind w:left="560" w:right="800"/>
        <w:spacing w:after="0" w:line="383" w:lineRule="auto"/>
        <w:rPr>
          <w:sz w:val="20"/>
          <w:szCs w:val="20"/>
          <w:color w:val="auto"/>
        </w:rPr>
      </w:pPr>
      <w:r>
        <w:rPr>
          <w:rFonts w:ascii="Arial" w:cs="Arial" w:eastAsia="Arial" w:hAnsi="Arial"/>
          <w:sz w:val="16"/>
          <w:szCs w:val="16"/>
          <w:u w:val="single" w:color="auto"/>
          <w:color w:val="0000EE"/>
        </w:rPr>
        <w:t>Diversity and Tenure Among the Ten Directors Fiscal 2022 Financial Highlights Governance Highlights</w:t>
      </w:r>
    </w:p>
    <w:p>
      <w:pPr>
        <w:spacing w:after="0" w:line="2" w:lineRule="exact"/>
        <w:rPr>
          <w:rFonts w:ascii="Arial" w:cs="Arial" w:eastAsia="Arial" w:hAnsi="Arial"/>
          <w:sz w:val="16"/>
          <w:szCs w:val="16"/>
          <w:color w:val="092E44"/>
        </w:rPr>
      </w:pPr>
    </w:p>
    <w:p>
      <w:pPr>
        <w:ind w:left="560" w:right="760"/>
        <w:spacing w:after="0" w:line="383" w:lineRule="auto"/>
        <w:rPr>
          <w:sz w:val="20"/>
          <w:szCs w:val="20"/>
          <w:color w:val="auto"/>
        </w:rPr>
      </w:pPr>
      <w:r>
        <w:rPr>
          <w:rFonts w:ascii="Arial" w:cs="Arial" w:eastAsia="Arial" w:hAnsi="Arial"/>
          <w:sz w:val="16"/>
          <w:szCs w:val="16"/>
          <w:u w:val="single" w:color="auto"/>
          <w:color w:val="0000EE"/>
        </w:rPr>
        <w:t>Executive Compensation Highlights Corporate Social Responsibility Developments</w:t>
      </w:r>
    </w:p>
    <w:p>
      <w:pPr>
        <w:spacing w:after="0" w:line="1" w:lineRule="exact"/>
        <w:rPr>
          <w:rFonts w:ascii="Arial" w:cs="Arial" w:eastAsia="Arial" w:hAnsi="Arial"/>
          <w:sz w:val="16"/>
          <w:szCs w:val="16"/>
          <w:color w:val="092E44"/>
        </w:rPr>
      </w:pPr>
    </w:p>
    <w:p>
      <w:pPr>
        <w:ind w:left="340"/>
        <w:spacing w:after="0"/>
        <w:rPr>
          <w:sz w:val="20"/>
          <w:szCs w:val="20"/>
          <w:color w:val="auto"/>
        </w:rPr>
      </w:pPr>
      <w:r>
        <w:rPr>
          <w:rFonts w:ascii="Arial" w:cs="Arial" w:eastAsia="Arial" w:hAnsi="Arial"/>
          <w:sz w:val="16"/>
          <w:szCs w:val="16"/>
          <w:b w:val="1"/>
          <w:bCs w:val="1"/>
          <w:u w:val="single" w:color="auto"/>
          <w:color w:val="0000EE"/>
        </w:rPr>
        <w:t>Proposal No. 1: Election of Directors</w:t>
      </w:r>
    </w:p>
    <w:p>
      <w:pPr>
        <w:spacing w:after="0" w:line="110" w:lineRule="exact"/>
        <w:rPr>
          <w:rFonts w:ascii="Arial" w:cs="Arial" w:eastAsia="Arial" w:hAnsi="Arial"/>
          <w:sz w:val="16"/>
          <w:szCs w:val="16"/>
          <w:color w:val="092E44"/>
        </w:rPr>
      </w:pPr>
    </w:p>
    <w:p>
      <w:pPr>
        <w:ind w:left="560"/>
        <w:spacing w:after="0"/>
        <w:rPr>
          <w:sz w:val="20"/>
          <w:szCs w:val="20"/>
          <w:color w:val="auto"/>
        </w:rPr>
      </w:pPr>
      <w:r>
        <w:rPr>
          <w:rFonts w:ascii="Arial" w:cs="Arial" w:eastAsia="Arial" w:hAnsi="Arial"/>
          <w:sz w:val="16"/>
          <w:szCs w:val="16"/>
          <w:u w:val="single" w:color="auto"/>
          <w:color w:val="0000EE"/>
        </w:rPr>
        <w:t>Director Independence</w:t>
      </w:r>
    </w:p>
    <w:p>
      <w:pPr>
        <w:spacing w:after="0" w:line="110" w:lineRule="exact"/>
        <w:rPr>
          <w:rFonts w:ascii="Arial" w:cs="Arial" w:eastAsia="Arial" w:hAnsi="Arial"/>
          <w:sz w:val="16"/>
          <w:szCs w:val="16"/>
          <w:color w:val="092E44"/>
        </w:rPr>
      </w:pPr>
    </w:p>
    <w:p>
      <w:pPr>
        <w:ind w:left="560"/>
        <w:spacing w:after="0"/>
        <w:rPr>
          <w:sz w:val="20"/>
          <w:szCs w:val="20"/>
          <w:color w:val="auto"/>
        </w:rPr>
      </w:pPr>
      <w:r>
        <w:rPr>
          <w:rFonts w:ascii="Arial" w:cs="Arial" w:eastAsia="Arial" w:hAnsi="Arial"/>
          <w:sz w:val="16"/>
          <w:szCs w:val="16"/>
          <w:u w:val="single" w:color="auto"/>
          <w:color w:val="0000EE"/>
        </w:rPr>
        <w:t>Board Diversity</w:t>
      </w:r>
    </w:p>
    <w:p>
      <w:pPr>
        <w:spacing w:after="0" w:line="110" w:lineRule="exact"/>
        <w:rPr>
          <w:rFonts w:ascii="Arial" w:cs="Arial" w:eastAsia="Arial" w:hAnsi="Arial"/>
          <w:sz w:val="16"/>
          <w:szCs w:val="16"/>
          <w:color w:val="092E44"/>
        </w:rPr>
      </w:pPr>
    </w:p>
    <w:p>
      <w:pPr>
        <w:ind w:left="560"/>
        <w:spacing w:after="0"/>
        <w:rPr>
          <w:sz w:val="20"/>
          <w:szCs w:val="20"/>
          <w:color w:val="auto"/>
        </w:rPr>
      </w:pPr>
      <w:r>
        <w:rPr>
          <w:rFonts w:ascii="Arial" w:cs="Arial" w:eastAsia="Arial" w:hAnsi="Arial"/>
          <w:sz w:val="16"/>
          <w:szCs w:val="16"/>
          <w:u w:val="single" w:color="auto"/>
          <w:color w:val="0000EE"/>
        </w:rPr>
        <w:t>Nominees for Election</w:t>
      </w:r>
    </w:p>
    <w:p>
      <w:pPr>
        <w:spacing w:after="0" w:line="110" w:lineRule="exact"/>
        <w:rPr>
          <w:rFonts w:ascii="Arial" w:cs="Arial" w:eastAsia="Arial" w:hAnsi="Arial"/>
          <w:sz w:val="16"/>
          <w:szCs w:val="16"/>
          <w:color w:val="092E44"/>
        </w:rPr>
      </w:pPr>
    </w:p>
    <w:p>
      <w:pPr>
        <w:ind w:left="560"/>
        <w:spacing w:after="0"/>
        <w:rPr>
          <w:sz w:val="20"/>
          <w:szCs w:val="20"/>
          <w:color w:val="auto"/>
        </w:rPr>
      </w:pPr>
      <w:r>
        <w:rPr>
          <w:rFonts w:ascii="Arial" w:cs="Arial" w:eastAsia="Arial" w:hAnsi="Arial"/>
          <w:sz w:val="16"/>
          <w:szCs w:val="16"/>
          <w:u w:val="single" w:color="auto"/>
          <w:color w:val="0000EE"/>
        </w:rPr>
        <w:t>Continuing Directors</w:t>
      </w:r>
    </w:p>
    <w:p>
      <w:pPr>
        <w:spacing w:after="0" w:line="110" w:lineRule="exact"/>
        <w:rPr>
          <w:rFonts w:ascii="Arial" w:cs="Arial" w:eastAsia="Arial" w:hAnsi="Arial"/>
          <w:sz w:val="16"/>
          <w:szCs w:val="16"/>
          <w:color w:val="092E44"/>
        </w:rPr>
      </w:pPr>
    </w:p>
    <w:p>
      <w:pPr>
        <w:ind w:left="560"/>
        <w:spacing w:after="0" w:line="279" w:lineRule="auto"/>
        <w:rPr>
          <w:sz w:val="20"/>
          <w:szCs w:val="20"/>
          <w:color w:val="auto"/>
        </w:rPr>
      </w:pPr>
      <w:r>
        <w:rPr>
          <w:rFonts w:ascii="Arial" w:cs="Arial" w:eastAsia="Arial" w:hAnsi="Arial"/>
          <w:sz w:val="16"/>
          <w:szCs w:val="16"/>
          <w:u w:val="single" w:color="auto"/>
          <w:color w:val="0000EE"/>
        </w:rPr>
        <w:t>Majority Vote Standard and Resignation Policy in Director Elections</w:t>
      </w:r>
    </w:p>
    <w:p>
      <w:pPr>
        <w:spacing w:after="0" w:line="54" w:lineRule="exact"/>
        <w:rPr>
          <w:rFonts w:ascii="Arial" w:cs="Arial" w:eastAsia="Arial" w:hAnsi="Arial"/>
          <w:sz w:val="16"/>
          <w:szCs w:val="16"/>
          <w:color w:val="092E44"/>
        </w:rPr>
      </w:pPr>
    </w:p>
    <w:p>
      <w:pPr>
        <w:ind w:left="340"/>
        <w:spacing w:after="0"/>
        <w:rPr>
          <w:sz w:val="20"/>
          <w:szCs w:val="20"/>
          <w:color w:val="auto"/>
        </w:rPr>
      </w:pPr>
      <w:r>
        <w:rPr>
          <w:rFonts w:ascii="Arial" w:cs="Arial" w:eastAsia="Arial" w:hAnsi="Arial"/>
          <w:sz w:val="16"/>
          <w:szCs w:val="16"/>
          <w:b w:val="1"/>
          <w:bCs w:val="1"/>
          <w:u w:val="single" w:color="auto"/>
          <w:color w:val="0000EE"/>
        </w:rPr>
        <w:t>Corporate Governance</w:t>
      </w:r>
    </w:p>
    <w:p>
      <w:pPr>
        <w:spacing w:after="0" w:line="110" w:lineRule="exact"/>
        <w:rPr>
          <w:rFonts w:ascii="Arial" w:cs="Arial" w:eastAsia="Arial" w:hAnsi="Arial"/>
          <w:sz w:val="16"/>
          <w:szCs w:val="16"/>
          <w:color w:val="092E44"/>
        </w:rPr>
      </w:pPr>
    </w:p>
    <w:p>
      <w:pPr>
        <w:ind w:left="560"/>
        <w:spacing w:after="0"/>
        <w:rPr>
          <w:sz w:val="20"/>
          <w:szCs w:val="20"/>
          <w:color w:val="auto"/>
        </w:rPr>
      </w:pPr>
      <w:r>
        <w:rPr>
          <w:rFonts w:ascii="Arial" w:cs="Arial" w:eastAsia="Arial" w:hAnsi="Arial"/>
          <w:sz w:val="16"/>
          <w:szCs w:val="16"/>
          <w:u w:val="single" w:color="auto"/>
          <w:color w:val="0000EE"/>
        </w:rPr>
        <w:t>Overview</w:t>
      </w:r>
    </w:p>
    <w:p>
      <w:pPr>
        <w:spacing w:after="0" w:line="110" w:lineRule="exact"/>
        <w:rPr>
          <w:rFonts w:ascii="Arial" w:cs="Arial" w:eastAsia="Arial" w:hAnsi="Arial"/>
          <w:sz w:val="16"/>
          <w:szCs w:val="16"/>
          <w:color w:val="092E44"/>
        </w:rPr>
      </w:pPr>
    </w:p>
    <w:p>
      <w:pPr>
        <w:ind w:left="560"/>
        <w:spacing w:after="0"/>
        <w:rPr>
          <w:sz w:val="20"/>
          <w:szCs w:val="20"/>
          <w:color w:val="auto"/>
        </w:rPr>
      </w:pPr>
      <w:r>
        <w:rPr>
          <w:rFonts w:ascii="Arial" w:cs="Arial" w:eastAsia="Arial" w:hAnsi="Arial"/>
          <w:sz w:val="16"/>
          <w:szCs w:val="16"/>
          <w:u w:val="single" w:color="auto"/>
          <w:color w:val="0000EE"/>
        </w:rPr>
        <w:t>Board Leadership Structure</w:t>
      </w:r>
    </w:p>
    <w:p>
      <w:pPr>
        <w:spacing w:after="0" w:line="110" w:lineRule="exact"/>
        <w:rPr>
          <w:rFonts w:ascii="Arial" w:cs="Arial" w:eastAsia="Arial" w:hAnsi="Arial"/>
          <w:sz w:val="16"/>
          <w:szCs w:val="16"/>
          <w:color w:val="092E44"/>
        </w:rPr>
      </w:pPr>
    </w:p>
    <w:p>
      <w:pPr>
        <w:ind w:left="560"/>
        <w:spacing w:after="0"/>
        <w:rPr>
          <w:sz w:val="20"/>
          <w:szCs w:val="20"/>
          <w:color w:val="auto"/>
        </w:rPr>
      </w:pPr>
      <w:r>
        <w:rPr>
          <w:rFonts w:ascii="Arial" w:cs="Arial" w:eastAsia="Arial" w:hAnsi="Arial"/>
          <w:sz w:val="16"/>
          <w:szCs w:val="16"/>
          <w:u w:val="single" w:color="auto"/>
          <w:color w:val="0000EE"/>
        </w:rPr>
        <w:t>Board Oversight of Risk</w:t>
      </w:r>
    </w:p>
    <w:p>
      <w:pPr>
        <w:spacing w:after="0" w:line="110" w:lineRule="exact"/>
        <w:rPr>
          <w:rFonts w:ascii="Arial" w:cs="Arial" w:eastAsia="Arial" w:hAnsi="Arial"/>
          <w:sz w:val="16"/>
          <w:szCs w:val="16"/>
          <w:color w:val="092E44"/>
        </w:rPr>
      </w:pPr>
    </w:p>
    <w:p>
      <w:pPr>
        <w:ind w:left="560"/>
        <w:spacing w:after="0"/>
        <w:rPr>
          <w:sz w:val="20"/>
          <w:szCs w:val="20"/>
          <w:color w:val="auto"/>
        </w:rPr>
      </w:pPr>
      <w:r>
        <w:rPr>
          <w:rFonts w:ascii="Arial" w:cs="Arial" w:eastAsia="Arial" w:hAnsi="Arial"/>
          <w:sz w:val="16"/>
          <w:szCs w:val="16"/>
          <w:u w:val="single" w:color="auto"/>
          <w:color w:val="0000EE"/>
        </w:rPr>
        <w:t>Stockholder Engagement</w:t>
      </w:r>
    </w:p>
    <w:p>
      <w:pPr>
        <w:spacing w:after="0" w:line="110" w:lineRule="exact"/>
        <w:rPr>
          <w:rFonts w:ascii="Arial" w:cs="Arial" w:eastAsia="Arial" w:hAnsi="Arial"/>
          <w:sz w:val="16"/>
          <w:szCs w:val="16"/>
          <w:color w:val="092E44"/>
        </w:rPr>
      </w:pPr>
    </w:p>
    <w:p>
      <w:pPr>
        <w:ind w:left="560"/>
        <w:spacing w:after="0"/>
        <w:rPr>
          <w:sz w:val="20"/>
          <w:szCs w:val="20"/>
          <w:color w:val="auto"/>
        </w:rPr>
      </w:pPr>
      <w:r>
        <w:rPr>
          <w:rFonts w:ascii="Arial" w:cs="Arial" w:eastAsia="Arial" w:hAnsi="Arial"/>
          <w:sz w:val="16"/>
          <w:szCs w:val="16"/>
          <w:u w:val="single" w:color="auto"/>
          <w:color w:val="0000EE"/>
        </w:rPr>
        <w:t>How We Choose Directors</w:t>
      </w:r>
    </w:p>
    <w:p>
      <w:pPr>
        <w:spacing w:after="0" w:line="110" w:lineRule="exact"/>
        <w:rPr>
          <w:rFonts w:ascii="Arial" w:cs="Arial" w:eastAsia="Arial" w:hAnsi="Arial"/>
          <w:sz w:val="16"/>
          <w:szCs w:val="16"/>
          <w:color w:val="092E44"/>
        </w:rPr>
      </w:pPr>
    </w:p>
    <w:p>
      <w:pPr>
        <w:ind w:left="560"/>
        <w:spacing w:after="0"/>
        <w:rPr>
          <w:sz w:val="20"/>
          <w:szCs w:val="20"/>
          <w:color w:val="auto"/>
        </w:rPr>
      </w:pPr>
      <w:r>
        <w:rPr>
          <w:rFonts w:ascii="Arial" w:cs="Arial" w:eastAsia="Arial" w:hAnsi="Arial"/>
          <w:sz w:val="16"/>
          <w:szCs w:val="16"/>
          <w:u w:val="single" w:color="auto"/>
          <w:color w:val="0000EE"/>
        </w:rPr>
        <w:t>Board Committees</w:t>
      </w:r>
    </w:p>
    <w:p>
      <w:pPr>
        <w:spacing w:after="0" w:line="110" w:lineRule="exact"/>
        <w:rPr>
          <w:rFonts w:ascii="Arial" w:cs="Arial" w:eastAsia="Arial" w:hAnsi="Arial"/>
          <w:sz w:val="16"/>
          <w:szCs w:val="16"/>
          <w:color w:val="092E44"/>
        </w:rPr>
      </w:pPr>
    </w:p>
    <w:p>
      <w:pPr>
        <w:ind w:left="560"/>
        <w:spacing w:after="0"/>
        <w:rPr>
          <w:sz w:val="20"/>
          <w:szCs w:val="20"/>
          <w:color w:val="auto"/>
        </w:rPr>
      </w:pPr>
      <w:r>
        <w:rPr>
          <w:rFonts w:ascii="Arial" w:cs="Arial" w:eastAsia="Arial" w:hAnsi="Arial"/>
          <w:sz w:val="16"/>
          <w:szCs w:val="16"/>
          <w:u w:val="single" w:color="auto"/>
          <w:color w:val="0000EE"/>
        </w:rPr>
        <w:t>Meetings of the Board</w:t>
      </w:r>
    </w:p>
    <w:p>
      <w:pPr>
        <w:spacing w:after="0" w:line="110" w:lineRule="exact"/>
        <w:rPr>
          <w:rFonts w:ascii="Arial" w:cs="Arial" w:eastAsia="Arial" w:hAnsi="Arial"/>
          <w:sz w:val="16"/>
          <w:szCs w:val="16"/>
          <w:color w:val="092E44"/>
        </w:rPr>
      </w:pPr>
    </w:p>
    <w:p>
      <w:pPr>
        <w:ind w:left="560"/>
        <w:spacing w:after="0"/>
        <w:rPr>
          <w:sz w:val="20"/>
          <w:szCs w:val="20"/>
          <w:color w:val="auto"/>
        </w:rPr>
      </w:pPr>
      <w:r>
        <w:rPr>
          <w:rFonts w:ascii="Arial" w:cs="Arial" w:eastAsia="Arial" w:hAnsi="Arial"/>
          <w:sz w:val="16"/>
          <w:szCs w:val="16"/>
          <w:u w:val="single" w:color="auto"/>
          <w:color w:val="0000EE"/>
        </w:rPr>
        <w:t>How to Contact Our Board</w:t>
      </w:r>
    </w:p>
    <w:p>
      <w:pPr>
        <w:spacing w:after="0" w:line="110" w:lineRule="exact"/>
        <w:rPr>
          <w:rFonts w:ascii="Arial" w:cs="Arial" w:eastAsia="Arial" w:hAnsi="Arial"/>
          <w:sz w:val="16"/>
          <w:szCs w:val="16"/>
          <w:color w:val="092E44"/>
        </w:rPr>
      </w:pPr>
    </w:p>
    <w:p>
      <w:pPr>
        <w:ind w:left="560"/>
        <w:spacing w:after="0"/>
        <w:rPr>
          <w:sz w:val="20"/>
          <w:szCs w:val="20"/>
          <w:color w:val="auto"/>
        </w:rPr>
      </w:pPr>
      <w:r>
        <w:rPr>
          <w:rFonts w:ascii="Arial" w:cs="Arial" w:eastAsia="Arial" w:hAnsi="Arial"/>
          <w:sz w:val="16"/>
          <w:szCs w:val="16"/>
          <w:u w:val="single" w:color="auto"/>
          <w:color w:val="0000EE"/>
        </w:rPr>
        <w:t>Governance Documents</w:t>
      </w:r>
    </w:p>
    <w:p>
      <w:pPr>
        <w:spacing w:after="0" w:line="110" w:lineRule="exact"/>
        <w:rPr>
          <w:rFonts w:ascii="Arial" w:cs="Arial" w:eastAsia="Arial" w:hAnsi="Arial"/>
          <w:sz w:val="16"/>
          <w:szCs w:val="16"/>
          <w:color w:val="092E44"/>
        </w:rPr>
      </w:pPr>
    </w:p>
    <w:p>
      <w:pPr>
        <w:ind w:left="560"/>
        <w:spacing w:after="0"/>
        <w:rPr>
          <w:sz w:val="20"/>
          <w:szCs w:val="20"/>
          <w:color w:val="auto"/>
        </w:rPr>
      </w:pPr>
      <w:r>
        <w:rPr>
          <w:rFonts w:ascii="Arial" w:cs="Arial" w:eastAsia="Arial" w:hAnsi="Arial"/>
          <w:sz w:val="16"/>
          <w:szCs w:val="16"/>
          <w:u w:val="single" w:color="auto"/>
          <w:color w:val="0000EE"/>
        </w:rPr>
        <w:t>Transactions With Related Persons</w:t>
      </w:r>
    </w:p>
    <w:p>
      <w:pPr>
        <w:spacing w:after="0" w:line="110" w:lineRule="exact"/>
        <w:rPr>
          <w:rFonts w:ascii="Arial" w:cs="Arial" w:eastAsia="Arial" w:hAnsi="Arial"/>
          <w:sz w:val="16"/>
          <w:szCs w:val="16"/>
          <w:color w:val="092E44"/>
        </w:rPr>
      </w:pPr>
    </w:p>
    <w:p>
      <w:pPr>
        <w:ind w:left="560"/>
        <w:spacing w:after="0"/>
        <w:rPr>
          <w:sz w:val="20"/>
          <w:szCs w:val="20"/>
          <w:color w:val="auto"/>
        </w:rPr>
      </w:pPr>
      <w:r>
        <w:rPr>
          <w:rFonts w:ascii="Arial" w:cs="Arial" w:eastAsia="Arial" w:hAnsi="Arial"/>
          <w:sz w:val="16"/>
          <w:szCs w:val="16"/>
          <w:u w:val="single" w:color="auto"/>
          <w:color w:val="0000EE"/>
        </w:rPr>
        <w:t>Director Compensation</w:t>
      </w:r>
    </w:p>
    <w:p>
      <w:pPr>
        <w:spacing w:after="0" w:line="110" w:lineRule="exact"/>
        <w:rPr>
          <w:rFonts w:ascii="Arial" w:cs="Arial" w:eastAsia="Arial" w:hAnsi="Arial"/>
          <w:sz w:val="16"/>
          <w:szCs w:val="16"/>
          <w:color w:val="092E44"/>
        </w:rPr>
      </w:pPr>
    </w:p>
    <w:p>
      <w:pPr>
        <w:ind w:left="560"/>
        <w:spacing w:after="0"/>
        <w:rPr>
          <w:sz w:val="20"/>
          <w:szCs w:val="20"/>
          <w:color w:val="auto"/>
        </w:rPr>
      </w:pPr>
      <w:r>
        <w:rPr>
          <w:rFonts w:ascii="Arial" w:cs="Arial" w:eastAsia="Arial" w:hAnsi="Arial"/>
          <w:sz w:val="16"/>
          <w:szCs w:val="16"/>
          <w:u w:val="single" w:color="auto"/>
          <w:color w:val="0000EE"/>
        </w:rPr>
        <w:t>Stock Ownership Guidelines for Independent Directors</w:t>
      </w:r>
    </w:p>
    <w:p>
      <w:pPr>
        <w:spacing w:after="0" w:line="110" w:lineRule="exact"/>
        <w:rPr>
          <w:rFonts w:ascii="Arial" w:cs="Arial" w:eastAsia="Arial" w:hAnsi="Arial"/>
          <w:sz w:val="16"/>
          <w:szCs w:val="16"/>
          <w:color w:val="092E44"/>
        </w:rPr>
      </w:pPr>
    </w:p>
    <w:p>
      <w:pPr>
        <w:ind w:left="560" w:right="280"/>
        <w:spacing w:after="0" w:line="279" w:lineRule="auto"/>
        <w:rPr>
          <w:sz w:val="20"/>
          <w:szCs w:val="20"/>
          <w:color w:val="auto"/>
        </w:rPr>
      </w:pPr>
      <w:r>
        <w:rPr>
          <w:rFonts w:ascii="Arial" w:cs="Arial" w:eastAsia="Arial" w:hAnsi="Arial"/>
          <w:sz w:val="16"/>
          <w:szCs w:val="16"/>
          <w:u w:val="single" w:color="auto"/>
          <w:color w:val="0000EE"/>
        </w:rPr>
        <w:t>Security Ownership of Certain Beneficial Owners and Management</w:t>
      </w:r>
    </w:p>
    <w:p>
      <w:pPr>
        <w:spacing w:after="0" w:line="20" w:lineRule="exact"/>
        <w:rPr>
          <w:rFonts w:ascii="Arial" w:cs="Arial" w:eastAsia="Arial" w:hAnsi="Arial"/>
          <w:sz w:val="16"/>
          <w:szCs w:val="16"/>
          <w:color w:val="092E44"/>
        </w:rPr>
      </w:pPr>
      <w:r>
        <w:rPr>
          <w:rFonts w:ascii="Arial" w:cs="Arial" w:eastAsia="Arial" w:hAnsi="Arial"/>
          <w:sz w:val="16"/>
          <w:szCs w:val="16"/>
          <w:color w:val="092E44"/>
        </w:rPr>
        <w:br w:type="column"/>
      </w:r>
    </w:p>
    <w:p>
      <w:pPr>
        <w:spacing w:after="0" w:line="200" w:lineRule="exact"/>
        <w:rPr>
          <w:rFonts w:ascii="Arial" w:cs="Arial" w:eastAsia="Arial" w:hAnsi="Arial"/>
          <w:sz w:val="16"/>
          <w:szCs w:val="16"/>
          <w:color w:val="092E44"/>
        </w:rPr>
      </w:pPr>
    </w:p>
    <w:p>
      <w:pPr>
        <w:spacing w:after="0" w:line="200" w:lineRule="exact"/>
        <w:rPr>
          <w:rFonts w:ascii="Arial" w:cs="Arial" w:eastAsia="Arial" w:hAnsi="Arial"/>
          <w:sz w:val="16"/>
          <w:szCs w:val="16"/>
          <w:color w:val="092E44"/>
        </w:rPr>
      </w:pPr>
    </w:p>
    <w:p>
      <w:pPr>
        <w:spacing w:after="0" w:line="322" w:lineRule="exact"/>
        <w:rPr>
          <w:rFonts w:ascii="Arial" w:cs="Arial" w:eastAsia="Arial" w:hAnsi="Arial"/>
          <w:sz w:val="16"/>
          <w:szCs w:val="16"/>
          <w:color w:val="092E44"/>
        </w:rPr>
      </w:pPr>
    </w:p>
    <w:p>
      <w:pPr>
        <w:spacing w:after="0" w:line="1" w:lineRule="exact"/>
        <w:rPr>
          <w:rFonts w:ascii="Arial" w:cs="Arial" w:eastAsia="Arial" w:hAnsi="Arial"/>
          <w:sz w:val="1"/>
          <w:szCs w:val="1"/>
          <w:color w:val="092E44"/>
        </w:rPr>
      </w:pPr>
    </w:p>
    <w:tbl>
      <w:tblPr>
        <w:tblLayout w:type="fixed"/>
        <w:tblInd w:w="80" w:type="dxa"/>
        <w:tblCellMar>
          <w:top w:w="0" w:type="dxa"/>
          <w:left w:w="0" w:type="dxa"/>
          <w:bottom w:w="0" w:type="dxa"/>
          <w:right w:w="0" w:type="dxa"/>
        </w:tblCellMar>
      </w:tblPr>
      <w:tr>
        <w:trPr>
          <w:trHeight w:val="184"/>
        </w:trPr>
        <w:tc>
          <w:tcPr>
            <w:tcW w:w="480" w:type="dxa"/>
            <w:vAlign w:val="bottom"/>
          </w:tcPr>
          <w:p>
            <w:pPr>
              <w:jc w:val="right"/>
              <w:ind w:right="300"/>
              <w:spacing w:after="0"/>
              <w:rPr>
                <w:sz w:val="20"/>
                <w:szCs w:val="20"/>
                <w:color w:val="auto"/>
              </w:rPr>
            </w:pPr>
            <w:r>
              <w:rPr>
                <w:rFonts w:ascii="Arial" w:cs="Arial" w:eastAsia="Arial" w:hAnsi="Arial"/>
                <w:sz w:val="16"/>
                <w:szCs w:val="16"/>
                <w:b w:val="1"/>
                <w:bCs w:val="1"/>
                <w:color w:val="E14A6A"/>
                <w:w w:val="89"/>
              </w:rPr>
              <w:t>4</w:t>
            </w:r>
          </w:p>
        </w:tc>
        <w:tc>
          <w:tcPr>
            <w:tcW w:w="44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b w:val="1"/>
                <w:bCs w:val="1"/>
                <w:color w:val="0000EE"/>
                <w:w w:val="99"/>
              </w:rPr>
              <w:t>Proposal No. 2: Advisory Vote on Executive Compensation</w:t>
            </w:r>
          </w:p>
        </w:tc>
        <w:tc>
          <w:tcPr>
            <w:tcW w:w="2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E14A6A"/>
              </w:rPr>
              <w:t>29</w:t>
            </w:r>
          </w:p>
        </w:tc>
      </w:tr>
      <w:tr>
        <w:trPr>
          <w:trHeight w:val="274"/>
        </w:trPr>
        <w:tc>
          <w:tcPr>
            <w:tcW w:w="480" w:type="dxa"/>
            <w:vAlign w:val="bottom"/>
          </w:tcPr>
          <w:p>
            <w:pPr>
              <w:jc w:val="right"/>
              <w:ind w:right="300"/>
              <w:spacing w:after="0"/>
              <w:rPr>
                <w:sz w:val="20"/>
                <w:szCs w:val="20"/>
                <w:color w:val="auto"/>
              </w:rPr>
            </w:pPr>
            <w:r>
              <w:rPr>
                <w:rFonts w:ascii="Arial" w:cs="Arial" w:eastAsia="Arial" w:hAnsi="Arial"/>
                <w:sz w:val="16"/>
                <w:szCs w:val="16"/>
                <w:color w:val="092E44"/>
                <w:w w:val="89"/>
              </w:rPr>
              <w:t>4</w:t>
            </w:r>
          </w:p>
        </w:tc>
        <w:tc>
          <w:tcPr>
            <w:tcW w:w="4700" w:type="dxa"/>
            <w:vAlign w:val="bottom"/>
            <w:gridSpan w:val="4"/>
          </w:tcPr>
          <w:p>
            <w:pPr>
              <w:spacing w:after="0"/>
              <w:rPr>
                <w:sz w:val="20"/>
                <w:szCs w:val="20"/>
                <w:color w:val="auto"/>
              </w:rPr>
            </w:pPr>
            <w:r>
              <w:rPr>
                <w:rFonts w:ascii="Arial" w:cs="Arial" w:eastAsia="Arial" w:hAnsi="Arial"/>
                <w:sz w:val="16"/>
                <w:szCs w:val="16"/>
                <w:b w:val="1"/>
                <w:bCs w:val="1"/>
                <w:color w:val="0000EE"/>
              </w:rPr>
              <w:t>Executive Compensation</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E14A6A"/>
              </w:rPr>
              <w:t>30</w:t>
            </w:r>
          </w:p>
        </w:tc>
      </w:tr>
      <w:tr>
        <w:trPr>
          <w:trHeight w:val="274"/>
        </w:trPr>
        <w:tc>
          <w:tcPr>
            <w:tcW w:w="480" w:type="dxa"/>
            <w:vAlign w:val="bottom"/>
          </w:tcPr>
          <w:p>
            <w:pPr>
              <w:jc w:val="right"/>
              <w:ind w:right="300"/>
              <w:spacing w:after="0"/>
              <w:rPr>
                <w:sz w:val="20"/>
                <w:szCs w:val="20"/>
                <w:color w:val="auto"/>
              </w:rPr>
            </w:pPr>
            <w:r>
              <w:rPr>
                <w:rFonts w:ascii="Arial" w:cs="Arial" w:eastAsia="Arial" w:hAnsi="Arial"/>
                <w:sz w:val="16"/>
                <w:szCs w:val="16"/>
                <w:color w:val="092E44"/>
                <w:w w:val="89"/>
              </w:rPr>
              <w:t>5</w:t>
            </w:r>
          </w:p>
        </w:tc>
        <w:tc>
          <w:tcPr>
            <w:tcW w:w="1900" w:type="dxa"/>
            <w:vAlign w:val="bottom"/>
            <w:tcBorders>
              <w:top w:val="single" w:sz="8" w:color="0000EE"/>
            </w:tcBorders>
            <w:gridSpan w:val="2"/>
          </w:tcPr>
          <w:p>
            <w:pPr>
              <w:spacing w:after="0"/>
              <w:rPr>
                <w:sz w:val="20"/>
                <w:szCs w:val="20"/>
                <w:color w:val="auto"/>
              </w:rPr>
            </w:pPr>
            <w:r>
              <w:rPr>
                <w:rFonts w:ascii="Arial" w:cs="Arial" w:eastAsia="Arial" w:hAnsi="Arial"/>
                <w:sz w:val="16"/>
                <w:szCs w:val="16"/>
                <w:b w:val="1"/>
                <w:bCs w:val="1"/>
                <w:color w:val="0000EE"/>
              </w:rPr>
              <w:t>Audit Committee Report</w:t>
            </w:r>
          </w:p>
        </w:tc>
        <w:tc>
          <w:tcPr>
            <w:tcW w:w="2800" w:type="dxa"/>
            <w:vAlign w:val="bottom"/>
            <w:gridSpan w:val="2"/>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E14A6A"/>
              </w:rPr>
              <w:t>48</w:t>
            </w:r>
          </w:p>
        </w:tc>
      </w:tr>
      <w:tr>
        <w:trPr>
          <w:trHeight w:val="20"/>
        </w:trPr>
        <w:tc>
          <w:tcPr>
            <w:tcW w:w="48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97" w:lineRule="exact"/>
        <w:rPr>
          <w:rFonts w:ascii="Arial" w:cs="Arial" w:eastAsia="Arial" w:hAnsi="Arial"/>
          <w:sz w:val="16"/>
          <w:szCs w:val="16"/>
          <w:color w:val="092E44"/>
        </w:rPr>
      </w:pPr>
    </w:p>
    <w:p>
      <w:pPr>
        <w:ind w:left="560" w:hanging="477"/>
        <w:spacing w:after="0"/>
        <w:tabs>
          <w:tab w:leader="none" w:pos="560" w:val="left"/>
        </w:tabs>
        <w:numPr>
          <w:ilvl w:val="0"/>
          <w:numId w:val="6"/>
        </w:numPr>
        <w:rPr>
          <w:rFonts w:ascii="Arial" w:cs="Arial" w:eastAsia="Arial" w:hAnsi="Arial"/>
          <w:sz w:val="16"/>
          <w:szCs w:val="16"/>
          <w:color w:val="092E44"/>
        </w:rPr>
      </w:pPr>
      <w:r>
        <w:rPr>
          <w:rFonts w:ascii="Arial" w:cs="Arial" w:eastAsia="Arial" w:hAnsi="Arial"/>
          <w:sz w:val="16"/>
          <w:szCs w:val="16"/>
          <w:b w:val="1"/>
          <w:bCs w:val="1"/>
          <w:color w:val="0000EE"/>
        </w:rPr>
        <w:t>Proposal No. 3: Ratification of the Appointment of Independent</w:t>
      </w:r>
    </w:p>
    <w:tbl>
      <w:tblPr>
        <w:tblLayout w:type="fixed"/>
        <w:tblInd w:w="80" w:type="dxa"/>
        <w:tblCellMar>
          <w:top w:w="0" w:type="dxa"/>
          <w:left w:w="0" w:type="dxa"/>
          <w:bottom w:w="0" w:type="dxa"/>
          <w:right w:w="0" w:type="dxa"/>
        </w:tblCellMar>
      </w:tblPr>
      <w:tr>
        <w:trPr>
          <w:trHeight w:val="167"/>
        </w:trPr>
        <w:tc>
          <w:tcPr>
            <w:tcW w:w="480" w:type="dxa"/>
            <w:vAlign w:val="bottom"/>
            <w:vMerge w:val="restart"/>
          </w:tcPr>
          <w:p>
            <w:pPr>
              <w:jc w:val="right"/>
              <w:ind w:right="300"/>
              <w:spacing w:after="0"/>
              <w:rPr>
                <w:sz w:val="20"/>
                <w:szCs w:val="20"/>
                <w:color w:val="auto"/>
              </w:rPr>
            </w:pPr>
            <w:r>
              <w:rPr>
                <w:rFonts w:ascii="Arial" w:cs="Arial" w:eastAsia="Arial" w:hAnsi="Arial"/>
                <w:sz w:val="16"/>
                <w:szCs w:val="16"/>
                <w:color w:val="092E44"/>
                <w:w w:val="89"/>
              </w:rPr>
              <w:t>6</w:t>
            </w:r>
          </w:p>
        </w:tc>
        <w:tc>
          <w:tcPr>
            <w:tcW w:w="660" w:type="dxa"/>
            <w:vAlign w:val="bottom"/>
            <w:tcBorders>
              <w:top w:val="single" w:sz="8" w:color="0000EE"/>
              <w:bottom w:val="single" w:sz="8" w:color="0000EE"/>
            </w:tcBorders>
            <w:gridSpan w:val="2"/>
          </w:tcPr>
          <w:p>
            <w:pPr>
              <w:spacing w:after="0" w:line="168" w:lineRule="exact"/>
              <w:rPr>
                <w:sz w:val="20"/>
                <w:szCs w:val="20"/>
                <w:color w:val="auto"/>
              </w:rPr>
            </w:pPr>
            <w:r>
              <w:rPr>
                <w:rFonts w:ascii="Arial" w:cs="Arial" w:eastAsia="Arial" w:hAnsi="Arial"/>
                <w:sz w:val="16"/>
                <w:szCs w:val="16"/>
                <w:b w:val="1"/>
                <w:bCs w:val="1"/>
                <w:color w:val="0000EE"/>
                <w:w w:val="97"/>
              </w:rPr>
              <w:t>Auditors</w:t>
            </w:r>
          </w:p>
        </w:tc>
        <w:tc>
          <w:tcPr>
            <w:tcW w:w="4140" w:type="dxa"/>
            <w:vAlign w:val="bottom"/>
            <w:tcBorders>
              <w:top w:val="single" w:sz="8" w:color="0000EE"/>
            </w:tcBorders>
            <w:gridSpan w:val="4"/>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Arial" w:cs="Arial" w:eastAsia="Arial" w:hAnsi="Arial"/>
                <w:sz w:val="16"/>
                <w:szCs w:val="16"/>
                <w:b w:val="1"/>
                <w:bCs w:val="1"/>
                <w:color w:val="E14A6A"/>
              </w:rPr>
              <w:t>49</w:t>
            </w:r>
          </w:p>
        </w:tc>
        <w:tc>
          <w:tcPr>
            <w:tcW w:w="0" w:type="dxa"/>
            <w:vAlign w:val="bottom"/>
          </w:tcPr>
          <w:p>
            <w:pPr>
              <w:spacing w:after="0"/>
              <w:rPr>
                <w:sz w:val="1"/>
                <w:szCs w:val="1"/>
                <w:color w:val="auto"/>
              </w:rPr>
            </w:pPr>
          </w:p>
        </w:tc>
      </w:tr>
      <w:tr>
        <w:trPr>
          <w:trHeight w:val="124"/>
        </w:trPr>
        <w:tc>
          <w:tcPr>
            <w:tcW w:w="4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600" w:type="dxa"/>
            <w:vAlign w:val="bottom"/>
            <w:gridSpan w:val="5"/>
            <w:vMerge w:val="restart"/>
          </w:tcPr>
          <w:p>
            <w:pPr>
              <w:spacing w:after="0"/>
              <w:rPr>
                <w:sz w:val="20"/>
                <w:szCs w:val="20"/>
                <w:color w:val="auto"/>
              </w:rPr>
            </w:pPr>
            <w:r>
              <w:rPr>
                <w:rFonts w:ascii="Arial" w:cs="Arial" w:eastAsia="Arial" w:hAnsi="Arial"/>
                <w:sz w:val="16"/>
                <w:szCs w:val="16"/>
                <w:color w:val="0000EE"/>
              </w:rPr>
              <w:t>Audit, Audit-Related, Tax, and All Other Fees</w:t>
            </w:r>
          </w:p>
        </w:tc>
        <w:tc>
          <w:tcPr>
            <w:tcW w:w="320" w:type="dxa"/>
            <w:vAlign w:val="bottom"/>
            <w:vMerge w:val="restart"/>
          </w:tcPr>
          <w:p>
            <w:pPr>
              <w:jc w:val="right"/>
              <w:spacing w:after="0"/>
              <w:rPr>
                <w:sz w:val="20"/>
                <w:szCs w:val="20"/>
                <w:color w:val="auto"/>
              </w:rPr>
            </w:pPr>
            <w:r>
              <w:rPr>
                <w:rFonts w:ascii="Arial" w:cs="Arial" w:eastAsia="Arial" w:hAnsi="Arial"/>
                <w:sz w:val="16"/>
                <w:szCs w:val="16"/>
                <w:color w:val="092E44"/>
              </w:rPr>
              <w:t>49</w:t>
            </w:r>
          </w:p>
        </w:tc>
        <w:tc>
          <w:tcPr>
            <w:tcW w:w="0" w:type="dxa"/>
            <w:vAlign w:val="bottom"/>
          </w:tcPr>
          <w:p>
            <w:pPr>
              <w:spacing w:after="0"/>
              <w:rPr>
                <w:sz w:val="1"/>
                <w:szCs w:val="1"/>
                <w:color w:val="auto"/>
              </w:rPr>
            </w:pPr>
          </w:p>
        </w:tc>
      </w:tr>
      <w:tr>
        <w:trPr>
          <w:trHeight w:val="151"/>
        </w:trPr>
        <w:tc>
          <w:tcPr>
            <w:tcW w:w="480" w:type="dxa"/>
            <w:vAlign w:val="bottom"/>
            <w:vMerge w:val="restart"/>
          </w:tcPr>
          <w:p>
            <w:pPr>
              <w:jc w:val="right"/>
              <w:ind w:right="300"/>
              <w:spacing w:after="0"/>
              <w:rPr>
                <w:sz w:val="20"/>
                <w:szCs w:val="20"/>
                <w:color w:val="auto"/>
              </w:rPr>
            </w:pPr>
            <w:r>
              <w:rPr>
                <w:rFonts w:ascii="Arial" w:cs="Arial" w:eastAsia="Arial" w:hAnsi="Arial"/>
                <w:sz w:val="16"/>
                <w:szCs w:val="16"/>
                <w:color w:val="092E44"/>
                <w:w w:val="89"/>
              </w:rPr>
              <w:t>7</w:t>
            </w:r>
          </w:p>
        </w:tc>
        <w:tc>
          <w:tcPr>
            <w:tcW w:w="200" w:type="dxa"/>
            <w:vAlign w:val="bottom"/>
          </w:tcPr>
          <w:p>
            <w:pPr>
              <w:spacing w:after="0"/>
              <w:rPr>
                <w:sz w:val="13"/>
                <w:szCs w:val="13"/>
                <w:color w:val="auto"/>
              </w:rPr>
            </w:pPr>
          </w:p>
        </w:tc>
        <w:tc>
          <w:tcPr>
            <w:tcW w:w="4600" w:type="dxa"/>
            <w:vAlign w:val="bottom"/>
            <w:gridSpan w:val="5"/>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540" w:type="dxa"/>
            <w:vAlign w:val="bottom"/>
            <w:gridSpan w:val="4"/>
            <w:vMerge w:val="restart"/>
          </w:tcPr>
          <w:p>
            <w:pPr>
              <w:spacing w:after="0"/>
              <w:rPr>
                <w:sz w:val="20"/>
                <w:szCs w:val="20"/>
                <w:color w:val="auto"/>
              </w:rPr>
            </w:pPr>
            <w:r>
              <w:rPr>
                <w:rFonts w:ascii="Arial" w:cs="Arial" w:eastAsia="Arial" w:hAnsi="Arial"/>
                <w:sz w:val="16"/>
                <w:szCs w:val="16"/>
                <w:color w:val="0000EE"/>
              </w:rPr>
              <w:t>Policy on Audit Committee Pre-Approval of Audit and Non-Audit</w:t>
            </w:r>
          </w:p>
        </w:tc>
        <w:tc>
          <w:tcPr>
            <w:tcW w:w="60" w:type="dxa"/>
            <w:vAlign w:val="bottom"/>
            <w:vMerge w:val="restart"/>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80" w:type="dxa"/>
            <w:vAlign w:val="bottom"/>
            <w:vMerge w:val="restart"/>
          </w:tcPr>
          <w:p>
            <w:pPr>
              <w:jc w:val="right"/>
              <w:ind w:right="300"/>
              <w:spacing w:after="0"/>
              <w:rPr>
                <w:sz w:val="20"/>
                <w:szCs w:val="20"/>
                <w:color w:val="auto"/>
              </w:rPr>
            </w:pPr>
            <w:r>
              <w:rPr>
                <w:rFonts w:ascii="Arial" w:cs="Arial" w:eastAsia="Arial" w:hAnsi="Arial"/>
                <w:sz w:val="16"/>
                <w:szCs w:val="16"/>
                <w:color w:val="092E44"/>
                <w:w w:val="89"/>
              </w:rPr>
              <w:t>8</w:t>
            </w:r>
          </w:p>
        </w:tc>
        <w:tc>
          <w:tcPr>
            <w:tcW w:w="200" w:type="dxa"/>
            <w:vAlign w:val="bottom"/>
          </w:tcPr>
          <w:p>
            <w:pPr>
              <w:spacing w:after="0"/>
              <w:rPr>
                <w:sz w:val="13"/>
                <w:szCs w:val="13"/>
                <w:color w:val="auto"/>
              </w:rPr>
            </w:pPr>
          </w:p>
        </w:tc>
        <w:tc>
          <w:tcPr>
            <w:tcW w:w="4540" w:type="dxa"/>
            <w:vAlign w:val="bottom"/>
            <w:tcBorders>
              <w:bottom w:val="single" w:sz="8" w:color="0000EE"/>
            </w:tcBorders>
            <w:gridSpan w:val="4"/>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300" w:type="dxa"/>
            <w:vAlign w:val="bottom"/>
            <w:gridSpan w:val="2"/>
            <w:vMerge w:val="restart"/>
          </w:tcPr>
          <w:p>
            <w:pPr>
              <w:spacing w:after="0" w:line="168" w:lineRule="exact"/>
              <w:rPr>
                <w:sz w:val="20"/>
                <w:szCs w:val="20"/>
                <w:color w:val="auto"/>
              </w:rPr>
            </w:pPr>
            <w:r>
              <w:rPr>
                <w:rFonts w:ascii="Arial" w:cs="Arial" w:eastAsia="Arial" w:hAnsi="Arial"/>
                <w:sz w:val="16"/>
                <w:szCs w:val="16"/>
                <w:color w:val="0000EE"/>
              </w:rPr>
              <w:t>Services of Independent Auditor</w:t>
            </w:r>
          </w:p>
        </w:tc>
        <w:tc>
          <w:tcPr>
            <w:tcW w:w="2300" w:type="dxa"/>
            <w:vAlign w:val="bottom"/>
            <w:gridSpan w:val="3"/>
            <w:vMerge w:val="restart"/>
          </w:tcPr>
          <w:p>
            <w:pPr>
              <w:spacing w:after="0"/>
              <w:rPr>
                <w:sz w:val="10"/>
                <w:szCs w:val="10"/>
                <w:color w:val="auto"/>
              </w:rPr>
            </w:pPr>
          </w:p>
        </w:tc>
        <w:tc>
          <w:tcPr>
            <w:tcW w:w="320" w:type="dxa"/>
            <w:vAlign w:val="bottom"/>
            <w:vMerge w:val="restart"/>
          </w:tcPr>
          <w:p>
            <w:pPr>
              <w:jc w:val="right"/>
              <w:spacing w:after="0" w:line="168" w:lineRule="exact"/>
              <w:rPr>
                <w:sz w:val="20"/>
                <w:szCs w:val="20"/>
                <w:color w:val="auto"/>
              </w:rPr>
            </w:pPr>
            <w:r>
              <w:rPr>
                <w:rFonts w:ascii="Arial" w:cs="Arial" w:eastAsia="Arial" w:hAnsi="Arial"/>
                <w:sz w:val="16"/>
                <w:szCs w:val="16"/>
                <w:color w:val="092E44"/>
              </w:rPr>
              <w:t>50</w:t>
            </w:r>
          </w:p>
        </w:tc>
        <w:tc>
          <w:tcPr>
            <w:tcW w:w="0" w:type="dxa"/>
            <w:vAlign w:val="bottom"/>
          </w:tcPr>
          <w:p>
            <w:pPr>
              <w:spacing w:after="0"/>
              <w:rPr>
                <w:sz w:val="1"/>
                <w:szCs w:val="1"/>
                <w:color w:val="auto"/>
              </w:rPr>
            </w:pPr>
          </w:p>
        </w:tc>
      </w:tr>
      <w:tr>
        <w:trPr>
          <w:trHeight w:val="49"/>
        </w:trPr>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300" w:type="dxa"/>
            <w:vAlign w:val="bottom"/>
            <w:tcBorders>
              <w:bottom w:val="single" w:sz="8" w:color="0000EE"/>
            </w:tcBorders>
            <w:gridSpan w:val="2"/>
            <w:vMerge w:val="continue"/>
          </w:tcPr>
          <w:p>
            <w:pPr>
              <w:spacing w:after="0"/>
              <w:rPr>
                <w:sz w:val="3"/>
                <w:szCs w:val="3"/>
                <w:color w:val="auto"/>
              </w:rPr>
            </w:pPr>
          </w:p>
        </w:tc>
        <w:tc>
          <w:tcPr>
            <w:tcW w:w="2300" w:type="dxa"/>
            <w:vAlign w:val="bottom"/>
            <w:gridSpan w:val="3"/>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ind w:left="560" w:hanging="477"/>
        <w:spacing w:after="0" w:line="183" w:lineRule="auto"/>
        <w:tabs>
          <w:tab w:leader="none" w:pos="560" w:val="left"/>
        </w:tabs>
        <w:numPr>
          <w:ilvl w:val="0"/>
          <w:numId w:val="7"/>
        </w:numPr>
        <w:rPr>
          <w:rFonts w:ascii="Arial" w:cs="Arial" w:eastAsia="Arial" w:hAnsi="Arial"/>
          <w:sz w:val="32"/>
          <w:szCs w:val="32"/>
          <w:color w:val="092E44"/>
          <w:vertAlign w:val="superscript"/>
        </w:rPr>
      </w:pPr>
      <w:r>
        <w:rPr>
          <w:rFonts w:ascii="Arial" w:cs="Arial" w:eastAsia="Arial" w:hAnsi="Arial"/>
          <w:sz w:val="16"/>
          <w:szCs w:val="16"/>
          <w:b w:val="1"/>
          <w:bCs w:val="1"/>
          <w:color w:val="0000EE"/>
        </w:rPr>
        <w:t>Proposal No. 4: Approval of the Omnibus Incentive Plan, as</w:t>
      </w:r>
    </w:p>
    <w:tbl>
      <w:tblPr>
        <w:tblLayout w:type="fixed"/>
        <w:tblInd w:w="0" w:type="dxa"/>
        <w:tblCellMar>
          <w:top w:w="0" w:type="dxa"/>
          <w:left w:w="0" w:type="dxa"/>
          <w:bottom w:w="0" w:type="dxa"/>
          <w:right w:w="0" w:type="dxa"/>
        </w:tblCellMar>
      </w:tblPr>
      <w:tr>
        <w:trPr>
          <w:trHeight w:val="167"/>
        </w:trPr>
        <w:tc>
          <w:tcPr>
            <w:tcW w:w="560" w:type="dxa"/>
            <w:vAlign w:val="bottom"/>
          </w:tcPr>
          <w:p>
            <w:pPr>
              <w:jc w:val="right"/>
              <w:ind w:right="300"/>
              <w:spacing w:after="0" w:line="168" w:lineRule="exact"/>
              <w:rPr>
                <w:sz w:val="20"/>
                <w:szCs w:val="20"/>
                <w:color w:val="auto"/>
              </w:rPr>
            </w:pPr>
            <w:r>
              <w:rPr>
                <w:rFonts w:ascii="Arial" w:cs="Arial" w:eastAsia="Arial" w:hAnsi="Arial"/>
                <w:sz w:val="16"/>
                <w:szCs w:val="16"/>
                <w:b w:val="1"/>
                <w:bCs w:val="1"/>
                <w:color w:val="E14A6A"/>
                <w:w w:val="89"/>
              </w:rPr>
              <w:t>10</w:t>
            </w:r>
          </w:p>
        </w:tc>
        <w:tc>
          <w:tcPr>
            <w:tcW w:w="2660" w:type="dxa"/>
            <w:vAlign w:val="bottom"/>
            <w:tcBorders>
              <w:top w:val="single" w:sz="8" w:color="0000EE"/>
              <w:bottom w:val="single" w:sz="8" w:color="0000EE"/>
            </w:tcBorders>
            <w:gridSpan w:val="6"/>
          </w:tcPr>
          <w:p>
            <w:pPr>
              <w:spacing w:after="0" w:line="168" w:lineRule="exact"/>
              <w:rPr>
                <w:sz w:val="20"/>
                <w:szCs w:val="20"/>
                <w:color w:val="auto"/>
              </w:rPr>
            </w:pPr>
            <w:r>
              <w:rPr>
                <w:rFonts w:ascii="Arial" w:cs="Arial" w:eastAsia="Arial" w:hAnsi="Arial"/>
                <w:sz w:val="16"/>
                <w:szCs w:val="16"/>
                <w:b w:val="1"/>
                <w:bCs w:val="1"/>
                <w:color w:val="0000EE"/>
                <w:w w:val="99"/>
              </w:rPr>
              <w:t>Amended by the Sixth Amendment</w:t>
            </w:r>
          </w:p>
        </w:tc>
        <w:tc>
          <w:tcPr>
            <w:tcW w:w="260" w:type="dxa"/>
            <w:vAlign w:val="bottom"/>
            <w:tcBorders>
              <w:top w:val="single" w:sz="8" w:color="0000EE"/>
              <w:bottom w:val="single" w:sz="8" w:color="0000EE"/>
            </w:tcBorders>
          </w:tcPr>
          <w:p>
            <w:pPr>
              <w:spacing w:after="0"/>
              <w:rPr>
                <w:sz w:val="14"/>
                <w:szCs w:val="14"/>
                <w:color w:val="auto"/>
              </w:rPr>
            </w:pPr>
          </w:p>
        </w:tc>
        <w:tc>
          <w:tcPr>
            <w:tcW w:w="820" w:type="dxa"/>
            <w:vAlign w:val="bottom"/>
            <w:tcBorders>
              <w:top w:val="single" w:sz="8" w:color="0000EE"/>
              <w:bottom w:val="single" w:sz="8" w:color="0000EE"/>
            </w:tcBorders>
          </w:tcPr>
          <w:p>
            <w:pPr>
              <w:spacing w:after="0"/>
              <w:rPr>
                <w:sz w:val="14"/>
                <w:szCs w:val="14"/>
                <w:color w:val="auto"/>
              </w:rPr>
            </w:pPr>
          </w:p>
        </w:tc>
        <w:tc>
          <w:tcPr>
            <w:tcW w:w="560" w:type="dxa"/>
            <w:vAlign w:val="bottom"/>
            <w:tcBorders>
              <w:top w:val="single" w:sz="8" w:color="0000EE"/>
              <w:bottom w:val="single" w:sz="8" w:color="0000EE"/>
            </w:tcBorders>
          </w:tcPr>
          <w:p>
            <w:pPr>
              <w:spacing w:after="0"/>
              <w:rPr>
                <w:sz w:val="14"/>
                <w:szCs w:val="14"/>
                <w:color w:val="auto"/>
              </w:rPr>
            </w:pPr>
          </w:p>
        </w:tc>
        <w:tc>
          <w:tcPr>
            <w:tcW w:w="60" w:type="dxa"/>
            <w:vAlign w:val="bottom"/>
            <w:tcBorders>
              <w:top w:val="single" w:sz="8" w:color="0000EE"/>
              <w:bottom w:val="single" w:sz="8" w:color="0000EE"/>
            </w:tcBorders>
          </w:tcPr>
          <w:p>
            <w:pPr>
              <w:spacing w:after="0"/>
              <w:rPr>
                <w:sz w:val="14"/>
                <w:szCs w:val="14"/>
                <w:color w:val="auto"/>
              </w:rPr>
            </w:pPr>
          </w:p>
        </w:tc>
        <w:tc>
          <w:tcPr>
            <w:tcW w:w="160" w:type="dxa"/>
            <w:vAlign w:val="bottom"/>
            <w:tcBorders>
              <w:top w:val="single" w:sz="8" w:color="0000EE"/>
              <w:bottom w:val="single" w:sz="8" w:color="0000EE"/>
            </w:tcBorders>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Arial" w:cs="Arial" w:eastAsia="Arial" w:hAnsi="Arial"/>
                <w:sz w:val="16"/>
                <w:szCs w:val="16"/>
                <w:b w:val="1"/>
                <w:bCs w:val="1"/>
                <w:color w:val="E14A6A"/>
              </w:rPr>
              <w:t>51</w:t>
            </w:r>
          </w:p>
        </w:tc>
        <w:tc>
          <w:tcPr>
            <w:tcW w:w="0" w:type="dxa"/>
            <w:vAlign w:val="bottom"/>
          </w:tcPr>
          <w:p>
            <w:pPr>
              <w:spacing w:after="0"/>
              <w:rPr>
                <w:sz w:val="1"/>
                <w:szCs w:val="1"/>
                <w:color w:val="auto"/>
              </w:rPr>
            </w:pPr>
          </w:p>
        </w:tc>
      </w:tr>
      <w:tr>
        <w:trPr>
          <w:trHeight w:val="274"/>
        </w:trPr>
        <w:tc>
          <w:tcPr>
            <w:tcW w:w="560" w:type="dxa"/>
            <w:vAlign w:val="bottom"/>
          </w:tcPr>
          <w:p>
            <w:pPr>
              <w:jc w:val="right"/>
              <w:ind w:right="300"/>
              <w:spacing w:after="0"/>
              <w:rPr>
                <w:sz w:val="20"/>
                <w:szCs w:val="20"/>
                <w:color w:val="auto"/>
              </w:rPr>
            </w:pPr>
            <w:r>
              <w:rPr>
                <w:rFonts w:ascii="Arial" w:cs="Arial" w:eastAsia="Arial" w:hAnsi="Arial"/>
                <w:sz w:val="16"/>
                <w:szCs w:val="16"/>
                <w:color w:val="092E44"/>
                <w:w w:val="89"/>
              </w:rPr>
              <w:t>10</w:t>
            </w:r>
          </w:p>
        </w:tc>
        <w:tc>
          <w:tcPr>
            <w:tcW w:w="200" w:type="dxa"/>
            <w:vAlign w:val="bottom"/>
          </w:tcPr>
          <w:p>
            <w:pPr>
              <w:spacing w:after="0"/>
              <w:rPr>
                <w:sz w:val="23"/>
                <w:szCs w:val="23"/>
                <w:color w:val="auto"/>
              </w:rPr>
            </w:pPr>
          </w:p>
        </w:tc>
        <w:tc>
          <w:tcPr>
            <w:tcW w:w="86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98"/>
              </w:rPr>
              <w:t>Background</w:t>
            </w:r>
          </w:p>
        </w:tc>
        <w:tc>
          <w:tcPr>
            <w:tcW w:w="760" w:type="dxa"/>
            <w:vAlign w:val="bottom"/>
          </w:tcPr>
          <w:p>
            <w:pPr>
              <w:spacing w:after="0"/>
              <w:rPr>
                <w:sz w:val="23"/>
                <w:szCs w:val="23"/>
                <w:color w:val="auto"/>
              </w:rPr>
            </w:pPr>
          </w:p>
        </w:tc>
        <w:tc>
          <w:tcPr>
            <w:tcW w:w="1100" w:type="dxa"/>
            <w:vAlign w:val="bottom"/>
            <w:gridSpan w:val="2"/>
          </w:tcPr>
          <w:p>
            <w:pPr>
              <w:spacing w:after="0"/>
              <w:rPr>
                <w:sz w:val="23"/>
                <w:szCs w:val="23"/>
                <w:color w:val="auto"/>
              </w:rPr>
            </w:pPr>
          </w:p>
        </w:tc>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092E44"/>
              </w:rPr>
              <w:t>51</w:t>
            </w:r>
          </w:p>
        </w:tc>
        <w:tc>
          <w:tcPr>
            <w:tcW w:w="0" w:type="dxa"/>
            <w:vAlign w:val="bottom"/>
          </w:tcPr>
          <w:p>
            <w:pPr>
              <w:spacing w:after="0"/>
              <w:rPr>
                <w:sz w:val="1"/>
                <w:szCs w:val="1"/>
                <w:color w:val="auto"/>
              </w:rPr>
            </w:pPr>
          </w:p>
        </w:tc>
      </w:tr>
      <w:tr>
        <w:trPr>
          <w:trHeight w:val="274"/>
        </w:trPr>
        <w:tc>
          <w:tcPr>
            <w:tcW w:w="560" w:type="dxa"/>
            <w:vAlign w:val="bottom"/>
          </w:tcPr>
          <w:p>
            <w:pPr>
              <w:jc w:val="right"/>
              <w:ind w:right="300"/>
              <w:spacing w:after="0"/>
              <w:rPr>
                <w:sz w:val="20"/>
                <w:szCs w:val="20"/>
                <w:color w:val="auto"/>
              </w:rPr>
            </w:pPr>
            <w:r>
              <w:rPr>
                <w:rFonts w:ascii="Arial" w:cs="Arial" w:eastAsia="Arial" w:hAnsi="Arial"/>
                <w:sz w:val="16"/>
                <w:szCs w:val="16"/>
                <w:color w:val="092E44"/>
                <w:w w:val="89"/>
              </w:rPr>
              <w:t>11</w:t>
            </w:r>
          </w:p>
        </w:tc>
        <w:tc>
          <w:tcPr>
            <w:tcW w:w="200" w:type="dxa"/>
            <w:vAlign w:val="bottom"/>
          </w:tcPr>
          <w:p>
            <w:pPr>
              <w:spacing w:after="0"/>
              <w:rPr>
                <w:sz w:val="23"/>
                <w:szCs w:val="23"/>
                <w:color w:val="auto"/>
              </w:rPr>
            </w:pPr>
          </w:p>
        </w:tc>
        <w:tc>
          <w:tcPr>
            <w:tcW w:w="6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7"/>
              </w:rPr>
              <w:t>Key Data</w:t>
            </w:r>
          </w:p>
        </w:tc>
        <w:tc>
          <w:tcPr>
            <w:tcW w:w="960" w:type="dxa"/>
            <w:vAlign w:val="bottom"/>
            <w:gridSpan w:val="2"/>
          </w:tcPr>
          <w:p>
            <w:pPr>
              <w:spacing w:after="0"/>
              <w:rPr>
                <w:sz w:val="23"/>
                <w:szCs w:val="23"/>
                <w:color w:val="auto"/>
              </w:rPr>
            </w:pPr>
          </w:p>
        </w:tc>
        <w:tc>
          <w:tcPr>
            <w:tcW w:w="1100" w:type="dxa"/>
            <w:vAlign w:val="bottom"/>
            <w:gridSpan w:val="2"/>
          </w:tcPr>
          <w:p>
            <w:pPr>
              <w:spacing w:after="0"/>
              <w:rPr>
                <w:sz w:val="23"/>
                <w:szCs w:val="23"/>
                <w:color w:val="auto"/>
              </w:rPr>
            </w:pPr>
          </w:p>
        </w:tc>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092E44"/>
              </w:rPr>
              <w:t>52</w:t>
            </w:r>
          </w:p>
        </w:tc>
        <w:tc>
          <w:tcPr>
            <w:tcW w:w="0" w:type="dxa"/>
            <w:vAlign w:val="bottom"/>
          </w:tcPr>
          <w:p>
            <w:pPr>
              <w:spacing w:after="0"/>
              <w:rPr>
                <w:sz w:val="1"/>
                <w:szCs w:val="1"/>
                <w:color w:val="auto"/>
              </w:rPr>
            </w:pPr>
          </w:p>
        </w:tc>
      </w:tr>
      <w:tr>
        <w:trPr>
          <w:trHeight w:val="274"/>
        </w:trPr>
        <w:tc>
          <w:tcPr>
            <w:tcW w:w="560" w:type="dxa"/>
            <w:vAlign w:val="bottom"/>
          </w:tcPr>
          <w:p>
            <w:pPr>
              <w:jc w:val="right"/>
              <w:ind w:right="300"/>
              <w:spacing w:after="0"/>
              <w:rPr>
                <w:sz w:val="20"/>
                <w:szCs w:val="20"/>
                <w:color w:val="auto"/>
              </w:rPr>
            </w:pPr>
            <w:r>
              <w:rPr>
                <w:rFonts w:ascii="Arial" w:cs="Arial" w:eastAsia="Arial" w:hAnsi="Arial"/>
                <w:sz w:val="16"/>
                <w:szCs w:val="16"/>
                <w:color w:val="092E44"/>
                <w:w w:val="89"/>
              </w:rPr>
              <w:t>12</w:t>
            </w:r>
          </w:p>
        </w:tc>
        <w:tc>
          <w:tcPr>
            <w:tcW w:w="200" w:type="dxa"/>
            <w:vAlign w:val="bottom"/>
          </w:tcPr>
          <w:p>
            <w:pPr>
              <w:spacing w:after="0"/>
              <w:rPr>
                <w:sz w:val="23"/>
                <w:szCs w:val="23"/>
                <w:color w:val="auto"/>
              </w:rPr>
            </w:pPr>
          </w:p>
        </w:tc>
        <w:tc>
          <w:tcPr>
            <w:tcW w:w="272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rPr>
              <w:t>Description of the 2016 Incentive Plan</w:t>
            </w:r>
          </w:p>
        </w:tc>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092E44"/>
              </w:rPr>
              <w:t>52</w:t>
            </w:r>
          </w:p>
        </w:tc>
        <w:tc>
          <w:tcPr>
            <w:tcW w:w="0" w:type="dxa"/>
            <w:vAlign w:val="bottom"/>
          </w:tcPr>
          <w:p>
            <w:pPr>
              <w:spacing w:after="0"/>
              <w:rPr>
                <w:sz w:val="1"/>
                <w:szCs w:val="1"/>
                <w:color w:val="auto"/>
              </w:rPr>
            </w:pPr>
          </w:p>
        </w:tc>
      </w:tr>
      <w:tr>
        <w:trPr>
          <w:trHeight w:val="274"/>
        </w:trPr>
        <w:tc>
          <w:tcPr>
            <w:tcW w:w="560" w:type="dxa"/>
            <w:vAlign w:val="bottom"/>
          </w:tcPr>
          <w:p>
            <w:pPr>
              <w:jc w:val="right"/>
              <w:ind w:right="300"/>
              <w:spacing w:after="0"/>
              <w:rPr>
                <w:sz w:val="20"/>
                <w:szCs w:val="20"/>
                <w:color w:val="auto"/>
              </w:rPr>
            </w:pPr>
            <w:r>
              <w:rPr>
                <w:rFonts w:ascii="Arial" w:cs="Arial" w:eastAsia="Arial" w:hAnsi="Arial"/>
                <w:sz w:val="16"/>
                <w:szCs w:val="16"/>
                <w:color w:val="092E44"/>
                <w:w w:val="89"/>
              </w:rPr>
              <w:t>15</w:t>
            </w:r>
          </w:p>
        </w:tc>
        <w:tc>
          <w:tcPr>
            <w:tcW w:w="374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b w:val="1"/>
                <w:bCs w:val="1"/>
                <w:color w:val="0000EE"/>
                <w:w w:val="99"/>
              </w:rPr>
              <w:t>Additional Information About the Annual Meeting</w:t>
            </w: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E14A6A"/>
              </w:rPr>
              <w:t>60</w:t>
            </w:r>
          </w:p>
        </w:tc>
        <w:tc>
          <w:tcPr>
            <w:tcW w:w="0" w:type="dxa"/>
            <w:vAlign w:val="bottom"/>
          </w:tcPr>
          <w:p>
            <w:pPr>
              <w:spacing w:after="0"/>
              <w:rPr>
                <w:sz w:val="1"/>
                <w:szCs w:val="1"/>
                <w:color w:val="auto"/>
              </w:rPr>
            </w:pPr>
          </w:p>
        </w:tc>
      </w:tr>
      <w:tr>
        <w:trPr>
          <w:trHeight w:val="274"/>
        </w:trPr>
        <w:tc>
          <w:tcPr>
            <w:tcW w:w="560" w:type="dxa"/>
            <w:vAlign w:val="bottom"/>
          </w:tcPr>
          <w:p>
            <w:pPr>
              <w:spacing w:after="0"/>
              <w:rPr>
                <w:sz w:val="23"/>
                <w:szCs w:val="23"/>
                <w:color w:val="auto"/>
              </w:rPr>
            </w:pPr>
          </w:p>
        </w:tc>
        <w:tc>
          <w:tcPr>
            <w:tcW w:w="4520" w:type="dxa"/>
            <w:vAlign w:val="bottom"/>
            <w:gridSpan w:val="11"/>
          </w:tcPr>
          <w:p>
            <w:pPr>
              <w:spacing w:after="0"/>
              <w:rPr>
                <w:sz w:val="20"/>
                <w:szCs w:val="20"/>
                <w:color w:val="auto"/>
              </w:rPr>
            </w:pPr>
            <w:r>
              <w:rPr>
                <w:rFonts w:ascii="Arial" w:cs="Arial" w:eastAsia="Arial" w:hAnsi="Arial"/>
                <w:sz w:val="16"/>
                <w:szCs w:val="16"/>
                <w:b w:val="1"/>
                <w:bCs w:val="1"/>
                <w:color w:val="0000EE"/>
              </w:rPr>
              <w:t>Annex A: Reconciliation of GAAP to Non-GAAP Financial</w:t>
            </w: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color w:val="E14A6A"/>
              </w:rPr>
              <w:t>64</w:t>
            </w:r>
          </w:p>
        </w:tc>
        <w:tc>
          <w:tcPr>
            <w:tcW w:w="0" w:type="dxa"/>
            <w:vAlign w:val="bottom"/>
          </w:tcPr>
          <w:p>
            <w:pPr>
              <w:spacing w:after="0"/>
              <w:rPr>
                <w:sz w:val="1"/>
                <w:szCs w:val="1"/>
                <w:color w:val="auto"/>
              </w:rPr>
            </w:pPr>
          </w:p>
        </w:tc>
      </w:tr>
      <w:tr>
        <w:trPr>
          <w:trHeight w:val="167"/>
        </w:trPr>
        <w:tc>
          <w:tcPr>
            <w:tcW w:w="560" w:type="dxa"/>
            <w:vAlign w:val="bottom"/>
          </w:tcPr>
          <w:p>
            <w:pPr>
              <w:jc w:val="right"/>
              <w:ind w:right="300"/>
              <w:spacing w:after="0" w:line="168" w:lineRule="exact"/>
              <w:rPr>
                <w:sz w:val="20"/>
                <w:szCs w:val="20"/>
                <w:color w:val="auto"/>
              </w:rPr>
            </w:pPr>
            <w:r>
              <w:rPr>
                <w:rFonts w:ascii="Arial" w:cs="Arial" w:eastAsia="Arial" w:hAnsi="Arial"/>
                <w:sz w:val="16"/>
                <w:szCs w:val="16"/>
                <w:color w:val="092E44"/>
                <w:w w:val="89"/>
              </w:rPr>
              <w:t>17</w:t>
            </w:r>
          </w:p>
        </w:tc>
        <w:tc>
          <w:tcPr>
            <w:tcW w:w="740" w:type="dxa"/>
            <w:vAlign w:val="bottom"/>
            <w:tcBorders>
              <w:top w:val="single" w:sz="8" w:color="0000EE"/>
              <w:bottom w:val="single" w:sz="8" w:color="0000EE"/>
            </w:tcBorders>
            <w:gridSpan w:val="2"/>
          </w:tcPr>
          <w:p>
            <w:pPr>
              <w:spacing w:after="0" w:line="154" w:lineRule="exact"/>
              <w:rPr>
                <w:sz w:val="20"/>
                <w:szCs w:val="20"/>
                <w:color w:val="auto"/>
              </w:rPr>
            </w:pPr>
            <w:r>
              <w:rPr>
                <w:rFonts w:ascii="Arial" w:cs="Arial" w:eastAsia="Arial" w:hAnsi="Arial"/>
                <w:sz w:val="16"/>
                <w:szCs w:val="16"/>
                <w:b w:val="1"/>
                <w:bCs w:val="1"/>
                <w:color w:val="0000EE"/>
                <w:w w:val="97"/>
              </w:rPr>
              <w:t>Measures</w:t>
            </w:r>
          </w:p>
        </w:tc>
        <w:tc>
          <w:tcPr>
            <w:tcW w:w="1080" w:type="dxa"/>
            <w:vAlign w:val="bottom"/>
            <w:tcBorders>
              <w:top w:val="single" w:sz="8" w:color="0000EE"/>
              <w:bottom w:val="single" w:sz="8" w:color="0000EE"/>
            </w:tcBorders>
            <w:gridSpan w:val="3"/>
          </w:tcPr>
          <w:p>
            <w:pPr>
              <w:spacing w:after="0"/>
              <w:rPr>
                <w:sz w:val="14"/>
                <w:szCs w:val="14"/>
                <w:color w:val="auto"/>
              </w:rPr>
            </w:pPr>
          </w:p>
        </w:tc>
        <w:tc>
          <w:tcPr>
            <w:tcW w:w="2480" w:type="dxa"/>
            <w:vAlign w:val="bottom"/>
            <w:tcBorders>
              <w:top w:val="single" w:sz="8" w:color="0000EE"/>
              <w:bottom w:val="single" w:sz="8" w:color="0000EE"/>
            </w:tcBorders>
            <w:gridSpan w:val="4"/>
          </w:tcPr>
          <w:p>
            <w:pPr>
              <w:spacing w:after="0"/>
              <w:rPr>
                <w:sz w:val="14"/>
                <w:szCs w:val="14"/>
                <w:color w:val="auto"/>
              </w:rPr>
            </w:pPr>
          </w:p>
        </w:tc>
        <w:tc>
          <w:tcPr>
            <w:tcW w:w="60" w:type="dxa"/>
            <w:vAlign w:val="bottom"/>
            <w:tcBorders>
              <w:top w:val="single" w:sz="8" w:color="0000EE"/>
              <w:bottom w:val="single" w:sz="8" w:color="0000EE"/>
            </w:tcBorders>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560" w:type="dxa"/>
            <w:vAlign w:val="bottom"/>
          </w:tcPr>
          <w:p>
            <w:pPr>
              <w:jc w:val="right"/>
              <w:ind w:right="300"/>
              <w:spacing w:after="0"/>
              <w:rPr>
                <w:sz w:val="20"/>
                <w:szCs w:val="20"/>
                <w:color w:val="auto"/>
              </w:rPr>
            </w:pPr>
            <w:r>
              <w:rPr>
                <w:rFonts w:ascii="Arial" w:cs="Arial" w:eastAsia="Arial" w:hAnsi="Arial"/>
                <w:sz w:val="16"/>
                <w:szCs w:val="16"/>
                <w:b w:val="1"/>
                <w:bCs w:val="1"/>
                <w:color w:val="E14A6A"/>
                <w:w w:val="89"/>
              </w:rPr>
              <w:t>18</w:t>
            </w:r>
          </w:p>
        </w:tc>
        <w:tc>
          <w:tcPr>
            <w:tcW w:w="4300" w:type="dxa"/>
            <w:vAlign w:val="bottom"/>
            <w:tcBorders>
              <w:bottom w:val="single" w:sz="8" w:color="0000EE"/>
            </w:tcBorders>
            <w:gridSpan w:val="9"/>
          </w:tcPr>
          <w:p>
            <w:pPr>
              <w:spacing w:after="0"/>
              <w:rPr>
                <w:sz w:val="20"/>
                <w:szCs w:val="20"/>
                <w:color w:val="auto"/>
              </w:rPr>
            </w:pPr>
            <w:r>
              <w:rPr>
                <w:rFonts w:ascii="Arial" w:cs="Arial" w:eastAsia="Arial" w:hAnsi="Arial"/>
                <w:sz w:val="16"/>
                <w:szCs w:val="16"/>
                <w:b w:val="1"/>
                <w:bCs w:val="1"/>
                <w:color w:val="0000EE"/>
                <w:w w:val="99"/>
              </w:rPr>
              <w:t>Annex B: Sixth Amendment to Commvault Systems, Inc.</w:t>
            </w:r>
          </w:p>
        </w:tc>
        <w:tc>
          <w:tcPr>
            <w:tcW w:w="220" w:type="dxa"/>
            <w:vAlign w:val="bottom"/>
            <w:gridSpan w:val="2"/>
          </w:tcPr>
          <w:p>
            <w:pPr>
              <w:spacing w:after="0"/>
              <w:rPr>
                <w:sz w:val="23"/>
                <w:szCs w:val="2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color w:val="E14A6A"/>
              </w:rPr>
              <w:t>66</w:t>
            </w:r>
          </w:p>
        </w:tc>
        <w:tc>
          <w:tcPr>
            <w:tcW w:w="0" w:type="dxa"/>
            <w:vAlign w:val="bottom"/>
          </w:tcPr>
          <w:p>
            <w:pPr>
              <w:spacing w:after="0"/>
              <w:rPr>
                <w:sz w:val="1"/>
                <w:szCs w:val="1"/>
                <w:color w:val="auto"/>
              </w:rPr>
            </w:pPr>
          </w:p>
        </w:tc>
      </w:tr>
      <w:tr>
        <w:trPr>
          <w:trHeight w:val="167"/>
        </w:trPr>
        <w:tc>
          <w:tcPr>
            <w:tcW w:w="560" w:type="dxa"/>
            <w:vAlign w:val="bottom"/>
          </w:tcPr>
          <w:p>
            <w:pPr>
              <w:spacing w:after="0"/>
              <w:rPr>
                <w:sz w:val="14"/>
                <w:szCs w:val="14"/>
                <w:color w:val="auto"/>
              </w:rPr>
            </w:pPr>
          </w:p>
        </w:tc>
        <w:tc>
          <w:tcPr>
            <w:tcW w:w="1820" w:type="dxa"/>
            <w:vAlign w:val="bottom"/>
            <w:tcBorders>
              <w:bottom w:val="single" w:sz="8" w:color="0000EE"/>
            </w:tcBorders>
            <w:gridSpan w:val="5"/>
          </w:tcPr>
          <w:p>
            <w:pPr>
              <w:spacing w:after="0" w:line="168" w:lineRule="exact"/>
              <w:rPr>
                <w:sz w:val="20"/>
                <w:szCs w:val="20"/>
                <w:color w:val="auto"/>
              </w:rPr>
            </w:pPr>
            <w:r>
              <w:rPr>
                <w:rFonts w:ascii="Arial" w:cs="Arial" w:eastAsia="Arial" w:hAnsi="Arial"/>
                <w:sz w:val="16"/>
                <w:szCs w:val="16"/>
                <w:b w:val="1"/>
                <w:bCs w:val="1"/>
                <w:color w:val="0000EE"/>
                <w:w w:val="99"/>
              </w:rPr>
              <w:t>Omnibus Incentive Plan</w:t>
            </w:r>
          </w:p>
        </w:tc>
        <w:tc>
          <w:tcPr>
            <w:tcW w:w="2700" w:type="dxa"/>
            <w:vAlign w:val="bottom"/>
            <w:gridSpan w:val="6"/>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4104" w:lineRule="exact"/>
        <w:rPr>
          <w:rFonts w:ascii="Arial" w:cs="Arial" w:eastAsia="Arial" w:hAnsi="Arial"/>
          <w:sz w:val="16"/>
          <w:szCs w:val="16"/>
          <w:color w:val="092E44"/>
        </w:rPr>
      </w:pPr>
    </w:p>
    <w:p>
      <w:pPr>
        <w:sectPr>
          <w:pgSz w:w="11900" w:h="16838" w:orient="portrait"/>
          <w:cols w:equalWidth="0" w:num="2">
            <w:col w:w="4620" w:space="560"/>
            <w:col w:w="5680"/>
          </w:cols>
          <w:pgMar w:left="320" w:top="454" w:right="719" w:bottom="1440" w:gutter="0" w:footer="0" w:header="0"/>
          <w:type w:val="continuous"/>
        </w:sectPr>
      </w:pPr>
    </w:p>
    <w:p>
      <w:pPr>
        <w:spacing w:after="0" w:line="200" w:lineRule="exact"/>
        <w:rPr>
          <w:rFonts w:ascii="Arial" w:cs="Arial" w:eastAsia="Arial" w:hAnsi="Arial"/>
          <w:sz w:val="16"/>
          <w:szCs w:val="16"/>
          <w:color w:val="092E44"/>
        </w:rPr>
      </w:pPr>
    </w:p>
    <w:p>
      <w:pPr>
        <w:spacing w:after="0" w:line="270" w:lineRule="exact"/>
        <w:rPr>
          <w:rFonts w:ascii="Arial" w:cs="Arial" w:eastAsia="Arial" w:hAnsi="Arial"/>
          <w:sz w:val="16"/>
          <w:szCs w:val="16"/>
          <w:color w:val="092E44"/>
        </w:rPr>
      </w:pPr>
    </w:p>
    <w:p>
      <w:pPr>
        <w:ind w:left="440"/>
        <w:spacing w:after="0"/>
        <w:tabs>
          <w:tab w:leader="none" w:pos="740" w:val="left"/>
        </w:tabs>
        <w:rPr>
          <w:sz w:val="20"/>
          <w:szCs w:val="20"/>
          <w:color w:val="auto"/>
        </w:rPr>
      </w:pPr>
      <w:r>
        <w:rPr>
          <w:rFonts w:ascii="Arial" w:cs="Arial" w:eastAsia="Arial" w:hAnsi="Arial"/>
          <w:sz w:val="10"/>
          <w:szCs w:val="10"/>
          <w:color w:val="092E44"/>
        </w:rPr>
        <w:t>03</w:t>
      </w:r>
      <w:r>
        <w:rPr>
          <w:sz w:val="20"/>
          <w:szCs w:val="20"/>
          <w:color w:val="auto"/>
        </w:rPr>
        <w:tab/>
      </w:r>
      <w:r>
        <w:rPr>
          <w:rFonts w:ascii="Arial" w:cs="Arial" w:eastAsia="Arial" w:hAnsi="Arial"/>
          <w:sz w:val="10"/>
          <w:szCs w:val="10"/>
          <w:b w:val="1"/>
          <w:bCs w:val="1"/>
          <w:color w:val="092E44"/>
        </w:rPr>
        <w:t xml:space="preserve">COMMVAULT SYSTEMS, INC. </w:t>
      </w:r>
      <w:r>
        <w:rPr>
          <w:rFonts w:ascii="Arial" w:cs="Arial" w:eastAsia="Arial" w:hAnsi="Arial"/>
          <w:sz w:val="10"/>
          <w:szCs w:val="10"/>
          <w:color w:val="E14A6A"/>
        </w:rPr>
        <w:t>|</w:t>
      </w:r>
      <w:r>
        <w:rPr>
          <w:rFonts w:ascii="Arial" w:cs="Arial" w:eastAsia="Arial" w:hAnsi="Arial"/>
          <w:sz w:val="10"/>
          <w:szCs w:val="10"/>
          <w:b w:val="1"/>
          <w:bCs w:val="1"/>
          <w:color w:val="092E44"/>
        </w:rPr>
        <w:t xml:space="preserve"> </w:t>
      </w:r>
      <w:r>
        <w:rPr>
          <w:rFonts w:ascii="Arial" w:cs="Arial" w:eastAsia="Arial" w:hAnsi="Arial"/>
          <w:sz w:val="10"/>
          <w:szCs w:val="10"/>
          <w:color w:val="092E44"/>
        </w:rPr>
        <w:t>2022 PROXY STATEMENT</w:t>
      </w:r>
    </w:p>
    <w:p>
      <w:pPr>
        <w:sectPr>
          <w:pgSz w:w="11900" w:h="16838" w:orient="portrait"/>
          <w:cols w:equalWidth="0" w:num="1">
            <w:col w:w="10860"/>
          </w:cols>
          <w:pgMar w:left="320" w:top="454" w:right="71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6929755" cy="196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9755" cy="196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60"/>
        <w:spacing w:after="0"/>
        <w:rPr>
          <w:sz w:val="20"/>
          <w:szCs w:val="20"/>
          <w:color w:val="auto"/>
        </w:rPr>
      </w:pPr>
      <w:r>
        <w:rPr>
          <w:rFonts w:ascii="Arial" w:cs="Arial" w:eastAsia="Arial" w:hAnsi="Arial"/>
          <w:sz w:val="89"/>
          <w:szCs w:val="89"/>
          <w:b w:val="1"/>
          <w:bCs w:val="1"/>
          <w:color w:val="FCFCFC"/>
        </w:rPr>
        <w:t>Proxy</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89"/>
          <w:szCs w:val="89"/>
          <w:b w:val="1"/>
          <w:bCs w:val="1"/>
          <w:color w:val="FCFCFC"/>
        </w:rPr>
        <w:t>Summary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60" w:right="160"/>
        <w:spacing w:after="0" w:line="273" w:lineRule="auto"/>
        <w:rPr>
          <w:sz w:val="20"/>
          <w:szCs w:val="20"/>
          <w:color w:val="auto"/>
        </w:rPr>
      </w:pPr>
      <w:r>
        <w:rPr>
          <w:rFonts w:ascii="Arial" w:cs="Arial" w:eastAsia="Arial" w:hAnsi="Arial"/>
          <w:sz w:val="23"/>
          <w:szCs w:val="23"/>
          <w:color w:val="092E44"/>
        </w:rPr>
        <w:t>This proxy summary highlights information contained elsewhere in this proxy statement. It does not contain all the information that you should consider. Please read the entire proxy statement carefully before voting. This proxy statement is first being made available to stockholders on or about July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126365</wp:posOffset>
            </wp:positionV>
            <wp:extent cx="5392420" cy="12230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92420" cy="122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E14A6A"/>
        </w:rPr>
        <w:t>MEETING AGENDA</w:t>
      </w:r>
    </w:p>
    <w:p>
      <w:pPr>
        <w:spacing w:after="0" w:line="12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092E44"/>
              </w:rPr>
              <w:t>Board’s voting</w:t>
            </w:r>
          </w:p>
        </w:tc>
        <w:tc>
          <w:tcPr>
            <w:tcW w:w="860" w:type="dxa"/>
            <w:vAlign w:val="bottom"/>
          </w:tcPr>
          <w:p>
            <w:pPr>
              <w:jc w:val="right"/>
              <w:spacing w:after="0"/>
              <w:rPr>
                <w:sz w:val="20"/>
                <w:szCs w:val="20"/>
                <w:color w:val="auto"/>
              </w:rPr>
            </w:pPr>
            <w:r>
              <w:rPr>
                <w:rFonts w:ascii="Arial" w:cs="Arial" w:eastAsia="Arial" w:hAnsi="Arial"/>
                <w:sz w:val="14"/>
                <w:szCs w:val="14"/>
                <w:color w:val="092E44"/>
              </w:rPr>
              <w:t>For more</w:t>
            </w:r>
          </w:p>
        </w:tc>
      </w:tr>
      <w:tr>
        <w:trPr>
          <w:trHeight w:val="189"/>
        </w:trPr>
        <w:tc>
          <w:tcPr>
            <w:tcW w:w="8200" w:type="dxa"/>
            <w:vAlign w:val="bottom"/>
          </w:tcPr>
          <w:p>
            <w:pPr>
              <w:ind w:left="120"/>
              <w:spacing w:after="0"/>
              <w:rPr>
                <w:sz w:val="20"/>
                <w:szCs w:val="20"/>
                <w:color w:val="auto"/>
              </w:rPr>
            </w:pPr>
            <w:r>
              <w:rPr>
                <w:rFonts w:ascii="Arial" w:cs="Arial" w:eastAsia="Arial" w:hAnsi="Arial"/>
                <w:sz w:val="14"/>
                <w:szCs w:val="14"/>
                <w:color w:val="092E44"/>
              </w:rPr>
              <w:t>Proposal</w:t>
            </w:r>
          </w:p>
        </w:tc>
        <w:tc>
          <w:tcPr>
            <w:tcW w:w="1860" w:type="dxa"/>
            <w:vAlign w:val="bottom"/>
          </w:tcPr>
          <w:p>
            <w:pPr>
              <w:jc w:val="right"/>
              <w:spacing w:after="0"/>
              <w:rPr>
                <w:sz w:val="20"/>
                <w:szCs w:val="20"/>
                <w:color w:val="auto"/>
              </w:rPr>
            </w:pPr>
            <w:r>
              <w:rPr>
                <w:rFonts w:ascii="Arial" w:cs="Arial" w:eastAsia="Arial" w:hAnsi="Arial"/>
                <w:sz w:val="14"/>
                <w:szCs w:val="14"/>
                <w:color w:val="092E44"/>
              </w:rPr>
              <w:t>recommendation</w:t>
            </w:r>
          </w:p>
        </w:tc>
        <w:tc>
          <w:tcPr>
            <w:tcW w:w="860" w:type="dxa"/>
            <w:vAlign w:val="bottom"/>
          </w:tcPr>
          <w:p>
            <w:pPr>
              <w:jc w:val="right"/>
              <w:spacing w:after="0"/>
              <w:rPr>
                <w:sz w:val="20"/>
                <w:szCs w:val="20"/>
                <w:color w:val="auto"/>
              </w:rPr>
            </w:pPr>
            <w:r>
              <w:rPr>
                <w:rFonts w:ascii="Arial" w:cs="Arial" w:eastAsia="Arial" w:hAnsi="Arial"/>
                <w:sz w:val="14"/>
                <w:szCs w:val="14"/>
                <w:color w:val="092E44"/>
              </w:rPr>
              <w:t>information</w:t>
            </w:r>
          </w:p>
        </w:tc>
      </w:tr>
      <w:tr>
        <w:trPr>
          <w:trHeight w:val="61"/>
        </w:trPr>
        <w:tc>
          <w:tcPr>
            <w:tcW w:w="8200" w:type="dxa"/>
            <w:vAlign w:val="bottom"/>
            <w:tcBorders>
              <w:bottom w:val="single" w:sz="8" w:color="E14A6A"/>
            </w:tcBorders>
          </w:tcPr>
          <w:p>
            <w:pPr>
              <w:spacing w:after="0"/>
              <w:rPr>
                <w:sz w:val="5"/>
                <w:szCs w:val="5"/>
                <w:color w:val="auto"/>
              </w:rPr>
            </w:pPr>
          </w:p>
        </w:tc>
        <w:tc>
          <w:tcPr>
            <w:tcW w:w="1860" w:type="dxa"/>
            <w:vAlign w:val="bottom"/>
            <w:tcBorders>
              <w:bottom w:val="single" w:sz="8" w:color="E14A6A"/>
            </w:tcBorders>
          </w:tcPr>
          <w:p>
            <w:pPr>
              <w:spacing w:after="0"/>
              <w:rPr>
                <w:sz w:val="5"/>
                <w:szCs w:val="5"/>
                <w:color w:val="auto"/>
              </w:rPr>
            </w:pPr>
          </w:p>
        </w:tc>
        <w:tc>
          <w:tcPr>
            <w:tcW w:w="860" w:type="dxa"/>
            <w:vAlign w:val="bottom"/>
            <w:tcBorders>
              <w:bottom w:val="single" w:sz="8" w:color="E14A6A"/>
            </w:tcBorders>
          </w:tcPr>
          <w:p>
            <w:pPr>
              <w:spacing w:after="0"/>
              <w:rPr>
                <w:sz w:val="5"/>
                <w:szCs w:val="5"/>
                <w:color w:val="auto"/>
              </w:rPr>
            </w:pPr>
          </w:p>
        </w:tc>
      </w:tr>
      <w:tr>
        <w:trPr>
          <w:trHeight w:val="220"/>
        </w:trPr>
        <w:tc>
          <w:tcPr>
            <w:tcW w:w="8200" w:type="dxa"/>
            <w:vAlign w:val="bottom"/>
          </w:tcPr>
          <w:p>
            <w:pPr>
              <w:ind w:left="100"/>
              <w:spacing w:after="0"/>
              <w:rPr>
                <w:sz w:val="20"/>
                <w:szCs w:val="20"/>
                <w:color w:val="auto"/>
              </w:rPr>
            </w:pPr>
            <w:r>
              <w:rPr>
                <w:rFonts w:ascii="Arial" w:cs="Arial" w:eastAsia="Arial" w:hAnsi="Arial"/>
                <w:sz w:val="16"/>
                <w:szCs w:val="16"/>
                <w:color w:val="092E44"/>
              </w:rPr>
              <w:t>Election of directors</w:t>
            </w:r>
          </w:p>
        </w:tc>
        <w:tc>
          <w:tcPr>
            <w:tcW w:w="1860" w:type="dxa"/>
            <w:vAlign w:val="bottom"/>
          </w:tcPr>
          <w:p>
            <w:pPr>
              <w:ind w:left="920"/>
              <w:spacing w:after="0"/>
              <w:rPr>
                <w:sz w:val="20"/>
                <w:szCs w:val="20"/>
                <w:color w:val="auto"/>
              </w:rPr>
            </w:pPr>
            <w:r>
              <w:rPr>
                <w:rFonts w:ascii="Arial" w:cs="Arial" w:eastAsia="Arial" w:hAnsi="Arial"/>
                <w:sz w:val="16"/>
                <w:szCs w:val="16"/>
                <w:b w:val="1"/>
                <w:bCs w:val="1"/>
                <w:color w:val="092E44"/>
              </w:rPr>
              <w:t>FOR each</w:t>
            </w:r>
          </w:p>
        </w:tc>
        <w:tc>
          <w:tcPr>
            <w:tcW w:w="860" w:type="dxa"/>
            <w:vAlign w:val="bottom"/>
          </w:tcPr>
          <w:p>
            <w:pPr>
              <w:ind w:left="40"/>
              <w:spacing w:after="0"/>
              <w:rPr>
                <w:sz w:val="20"/>
                <w:szCs w:val="20"/>
                <w:color w:val="auto"/>
              </w:rPr>
            </w:pPr>
            <w:r>
              <w:rPr>
                <w:rFonts w:ascii="Arial" w:cs="Arial" w:eastAsia="Arial" w:hAnsi="Arial"/>
                <w:sz w:val="16"/>
                <w:szCs w:val="16"/>
                <w:color w:val="092E44"/>
              </w:rPr>
              <w:t>Page 10</w:t>
            </w:r>
          </w:p>
        </w:tc>
      </w:tr>
      <w:tr>
        <w:trPr>
          <w:trHeight w:val="221"/>
        </w:trPr>
        <w:tc>
          <w:tcPr>
            <w:tcW w:w="8200" w:type="dxa"/>
            <w:vAlign w:val="bottom"/>
          </w:tcPr>
          <w:p>
            <w:pPr>
              <w:spacing w:after="0"/>
              <w:rPr>
                <w:sz w:val="19"/>
                <w:szCs w:val="19"/>
                <w:color w:val="auto"/>
              </w:rPr>
            </w:pPr>
          </w:p>
        </w:tc>
        <w:tc>
          <w:tcPr>
            <w:tcW w:w="1860" w:type="dxa"/>
            <w:vAlign w:val="bottom"/>
          </w:tcPr>
          <w:p>
            <w:pPr>
              <w:ind w:left="920"/>
              <w:spacing w:after="0"/>
              <w:rPr>
                <w:sz w:val="20"/>
                <w:szCs w:val="20"/>
                <w:color w:val="auto"/>
              </w:rPr>
            </w:pPr>
            <w:r>
              <w:rPr>
                <w:rFonts w:ascii="Arial" w:cs="Arial" w:eastAsia="Arial" w:hAnsi="Arial"/>
                <w:sz w:val="16"/>
                <w:szCs w:val="16"/>
                <w:b w:val="1"/>
                <w:bCs w:val="1"/>
                <w:color w:val="092E44"/>
              </w:rPr>
              <w:t>nominee</w:t>
            </w:r>
          </w:p>
        </w:tc>
        <w:tc>
          <w:tcPr>
            <w:tcW w:w="860" w:type="dxa"/>
            <w:vAlign w:val="bottom"/>
          </w:tcPr>
          <w:p>
            <w:pPr>
              <w:spacing w:after="0"/>
              <w:rPr>
                <w:sz w:val="19"/>
                <w:szCs w:val="19"/>
                <w:color w:val="auto"/>
              </w:rPr>
            </w:pPr>
          </w:p>
        </w:tc>
      </w:tr>
      <w:tr>
        <w:trPr>
          <w:trHeight w:val="47"/>
        </w:trPr>
        <w:tc>
          <w:tcPr>
            <w:tcW w:w="82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74"/>
        </w:trPr>
        <w:tc>
          <w:tcPr>
            <w:tcW w:w="8200" w:type="dxa"/>
            <w:vAlign w:val="bottom"/>
            <w:shd w:val="clear" w:color="auto" w:fill="DDE9F2"/>
          </w:tcPr>
          <w:p>
            <w:pPr>
              <w:ind w:left="100"/>
              <w:spacing w:after="0"/>
              <w:rPr>
                <w:sz w:val="20"/>
                <w:szCs w:val="20"/>
                <w:color w:val="auto"/>
              </w:rPr>
            </w:pPr>
            <w:r>
              <w:rPr>
                <w:rFonts w:ascii="Arial" w:cs="Arial" w:eastAsia="Arial" w:hAnsi="Arial"/>
                <w:sz w:val="16"/>
                <w:szCs w:val="16"/>
                <w:color w:val="092E44"/>
              </w:rPr>
              <w:t>Advisory vote on executive compensation</w:t>
            </w:r>
          </w:p>
        </w:tc>
        <w:tc>
          <w:tcPr>
            <w:tcW w:w="1860" w:type="dxa"/>
            <w:vAlign w:val="bottom"/>
            <w:shd w:val="clear" w:color="auto" w:fill="DDE9F2"/>
          </w:tcPr>
          <w:p>
            <w:pPr>
              <w:ind w:left="920"/>
              <w:spacing w:after="0"/>
              <w:rPr>
                <w:sz w:val="20"/>
                <w:szCs w:val="20"/>
                <w:color w:val="auto"/>
              </w:rPr>
            </w:pPr>
            <w:r>
              <w:rPr>
                <w:rFonts w:ascii="Arial" w:cs="Arial" w:eastAsia="Arial" w:hAnsi="Arial"/>
                <w:sz w:val="16"/>
                <w:szCs w:val="16"/>
                <w:b w:val="1"/>
                <w:bCs w:val="1"/>
                <w:color w:val="092E44"/>
              </w:rPr>
              <w:t>FOR</w:t>
            </w:r>
          </w:p>
        </w:tc>
        <w:tc>
          <w:tcPr>
            <w:tcW w:w="860" w:type="dxa"/>
            <w:vAlign w:val="bottom"/>
            <w:shd w:val="clear" w:color="auto" w:fill="DDE9F2"/>
          </w:tcPr>
          <w:p>
            <w:pPr>
              <w:ind w:left="40"/>
              <w:spacing w:after="0"/>
              <w:rPr>
                <w:sz w:val="20"/>
                <w:szCs w:val="20"/>
                <w:color w:val="auto"/>
              </w:rPr>
            </w:pPr>
            <w:r>
              <w:rPr>
                <w:rFonts w:ascii="Arial" w:cs="Arial" w:eastAsia="Arial" w:hAnsi="Arial"/>
                <w:sz w:val="16"/>
                <w:szCs w:val="16"/>
                <w:color w:val="092E44"/>
              </w:rPr>
              <w:t>Page 29</w:t>
            </w:r>
          </w:p>
        </w:tc>
      </w:tr>
      <w:tr>
        <w:trPr>
          <w:trHeight w:val="141"/>
        </w:trPr>
        <w:tc>
          <w:tcPr>
            <w:tcW w:w="8200" w:type="dxa"/>
            <w:vAlign w:val="bottom"/>
            <w:shd w:val="clear" w:color="auto" w:fill="DDE9F2"/>
          </w:tcPr>
          <w:p>
            <w:pPr>
              <w:spacing w:after="0"/>
              <w:rPr>
                <w:sz w:val="12"/>
                <w:szCs w:val="12"/>
                <w:color w:val="auto"/>
              </w:rPr>
            </w:pPr>
          </w:p>
        </w:tc>
        <w:tc>
          <w:tcPr>
            <w:tcW w:w="1860" w:type="dxa"/>
            <w:vAlign w:val="bottom"/>
            <w:shd w:val="clear" w:color="auto" w:fill="DDE9F2"/>
          </w:tcPr>
          <w:p>
            <w:pPr>
              <w:spacing w:after="0"/>
              <w:rPr>
                <w:sz w:val="12"/>
                <w:szCs w:val="12"/>
                <w:color w:val="auto"/>
              </w:rPr>
            </w:pPr>
          </w:p>
        </w:tc>
        <w:tc>
          <w:tcPr>
            <w:tcW w:w="860" w:type="dxa"/>
            <w:vAlign w:val="bottom"/>
            <w:shd w:val="clear" w:color="auto" w:fill="DDE9F2"/>
          </w:tcPr>
          <w:p>
            <w:pPr>
              <w:spacing w:after="0"/>
              <w:rPr>
                <w:sz w:val="12"/>
                <w:szCs w:val="12"/>
                <w:color w:val="auto"/>
              </w:rPr>
            </w:pPr>
          </w:p>
        </w:tc>
      </w:tr>
      <w:tr>
        <w:trPr>
          <w:trHeight w:val="274"/>
        </w:trPr>
        <w:tc>
          <w:tcPr>
            <w:tcW w:w="8200" w:type="dxa"/>
            <w:vAlign w:val="bottom"/>
          </w:tcPr>
          <w:p>
            <w:pPr>
              <w:ind w:left="100"/>
              <w:spacing w:after="0"/>
              <w:rPr>
                <w:sz w:val="20"/>
                <w:szCs w:val="20"/>
                <w:color w:val="auto"/>
              </w:rPr>
            </w:pPr>
            <w:r>
              <w:rPr>
                <w:rFonts w:ascii="Arial" w:cs="Arial" w:eastAsia="Arial" w:hAnsi="Arial"/>
                <w:sz w:val="16"/>
                <w:szCs w:val="16"/>
                <w:color w:val="092E44"/>
              </w:rPr>
              <w:t>Ratification of independent auditors</w:t>
            </w:r>
          </w:p>
        </w:tc>
        <w:tc>
          <w:tcPr>
            <w:tcW w:w="1860" w:type="dxa"/>
            <w:vAlign w:val="bottom"/>
          </w:tcPr>
          <w:p>
            <w:pPr>
              <w:ind w:left="920"/>
              <w:spacing w:after="0"/>
              <w:rPr>
                <w:sz w:val="20"/>
                <w:szCs w:val="20"/>
                <w:color w:val="auto"/>
              </w:rPr>
            </w:pPr>
            <w:r>
              <w:rPr>
                <w:rFonts w:ascii="Arial" w:cs="Arial" w:eastAsia="Arial" w:hAnsi="Arial"/>
                <w:sz w:val="16"/>
                <w:szCs w:val="16"/>
                <w:b w:val="1"/>
                <w:bCs w:val="1"/>
                <w:color w:val="092E44"/>
              </w:rPr>
              <w:t>FOR</w:t>
            </w:r>
          </w:p>
        </w:tc>
        <w:tc>
          <w:tcPr>
            <w:tcW w:w="860" w:type="dxa"/>
            <w:vAlign w:val="bottom"/>
          </w:tcPr>
          <w:p>
            <w:pPr>
              <w:ind w:left="40"/>
              <w:spacing w:after="0"/>
              <w:rPr>
                <w:sz w:val="20"/>
                <w:szCs w:val="20"/>
                <w:color w:val="auto"/>
              </w:rPr>
            </w:pPr>
            <w:r>
              <w:rPr>
                <w:rFonts w:ascii="Arial" w:cs="Arial" w:eastAsia="Arial" w:hAnsi="Arial"/>
                <w:sz w:val="16"/>
                <w:szCs w:val="16"/>
                <w:color w:val="092E44"/>
              </w:rPr>
              <w:t>Page 49</w:t>
            </w:r>
          </w:p>
        </w:tc>
      </w:tr>
      <w:tr>
        <w:trPr>
          <w:trHeight w:val="141"/>
        </w:trPr>
        <w:tc>
          <w:tcPr>
            <w:tcW w:w="8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74"/>
        </w:trPr>
        <w:tc>
          <w:tcPr>
            <w:tcW w:w="8200" w:type="dxa"/>
            <w:vAlign w:val="bottom"/>
            <w:shd w:val="clear" w:color="auto" w:fill="DDE9F2"/>
          </w:tcPr>
          <w:p>
            <w:pPr>
              <w:ind w:left="100"/>
              <w:spacing w:after="0"/>
              <w:rPr>
                <w:sz w:val="20"/>
                <w:szCs w:val="20"/>
                <w:color w:val="auto"/>
              </w:rPr>
            </w:pPr>
            <w:r>
              <w:rPr>
                <w:rFonts w:ascii="Arial" w:cs="Arial" w:eastAsia="Arial" w:hAnsi="Arial"/>
                <w:sz w:val="16"/>
                <w:szCs w:val="16"/>
                <w:color w:val="092E44"/>
              </w:rPr>
              <w:t>Approval of additional shares under the 2016 Omnibus Incentive Plan</w:t>
            </w:r>
          </w:p>
        </w:tc>
        <w:tc>
          <w:tcPr>
            <w:tcW w:w="1860" w:type="dxa"/>
            <w:vAlign w:val="bottom"/>
            <w:shd w:val="clear" w:color="auto" w:fill="DDE9F2"/>
          </w:tcPr>
          <w:p>
            <w:pPr>
              <w:ind w:left="920"/>
              <w:spacing w:after="0"/>
              <w:rPr>
                <w:sz w:val="20"/>
                <w:szCs w:val="20"/>
                <w:color w:val="auto"/>
              </w:rPr>
            </w:pPr>
            <w:r>
              <w:rPr>
                <w:rFonts w:ascii="Arial" w:cs="Arial" w:eastAsia="Arial" w:hAnsi="Arial"/>
                <w:sz w:val="16"/>
                <w:szCs w:val="16"/>
                <w:b w:val="1"/>
                <w:bCs w:val="1"/>
                <w:color w:val="092E44"/>
              </w:rPr>
              <w:t>FOR</w:t>
            </w:r>
          </w:p>
        </w:tc>
        <w:tc>
          <w:tcPr>
            <w:tcW w:w="860" w:type="dxa"/>
            <w:vAlign w:val="bottom"/>
            <w:shd w:val="clear" w:color="auto" w:fill="DDE9F2"/>
          </w:tcPr>
          <w:p>
            <w:pPr>
              <w:ind w:left="40"/>
              <w:spacing w:after="0"/>
              <w:rPr>
                <w:sz w:val="20"/>
                <w:szCs w:val="20"/>
                <w:color w:val="auto"/>
              </w:rPr>
            </w:pPr>
            <w:r>
              <w:rPr>
                <w:rFonts w:ascii="Arial" w:cs="Arial" w:eastAsia="Arial" w:hAnsi="Arial"/>
                <w:sz w:val="16"/>
                <w:szCs w:val="16"/>
                <w:color w:val="092E44"/>
              </w:rPr>
              <w:t>Page 51</w:t>
            </w:r>
          </w:p>
        </w:tc>
      </w:tr>
      <w:tr>
        <w:trPr>
          <w:trHeight w:val="141"/>
        </w:trPr>
        <w:tc>
          <w:tcPr>
            <w:tcW w:w="8200" w:type="dxa"/>
            <w:vAlign w:val="bottom"/>
            <w:tcBorders>
              <w:bottom w:val="single" w:sz="8" w:color="092E44"/>
            </w:tcBorders>
            <w:shd w:val="clear" w:color="auto" w:fill="DDE9F2"/>
          </w:tcPr>
          <w:p>
            <w:pPr>
              <w:spacing w:after="0"/>
              <w:rPr>
                <w:sz w:val="12"/>
                <w:szCs w:val="12"/>
                <w:color w:val="auto"/>
              </w:rPr>
            </w:pPr>
          </w:p>
        </w:tc>
        <w:tc>
          <w:tcPr>
            <w:tcW w:w="1860" w:type="dxa"/>
            <w:vAlign w:val="bottom"/>
            <w:tcBorders>
              <w:bottom w:val="single" w:sz="8" w:color="092E44"/>
            </w:tcBorders>
            <w:shd w:val="clear" w:color="auto" w:fill="DDE9F2"/>
          </w:tcPr>
          <w:p>
            <w:pPr>
              <w:spacing w:after="0"/>
              <w:rPr>
                <w:sz w:val="12"/>
                <w:szCs w:val="12"/>
                <w:color w:val="auto"/>
              </w:rPr>
            </w:pPr>
          </w:p>
        </w:tc>
        <w:tc>
          <w:tcPr>
            <w:tcW w:w="860" w:type="dxa"/>
            <w:vAlign w:val="bottom"/>
            <w:tcBorders>
              <w:bottom w:val="single" w:sz="8" w:color="092E44"/>
            </w:tcBorders>
            <w:shd w:val="clear" w:color="auto" w:fill="DDE9F2"/>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-1077595</wp:posOffset>
            </wp:positionV>
            <wp:extent cx="229235" cy="178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9235" cy="178435"/>
                    </a:xfrm>
                    <a:prstGeom prst="rect">
                      <a:avLst/>
                    </a:prstGeom>
                    <a:noFill/>
                  </pic:spPr>
                </pic:pic>
              </a:graphicData>
            </a:graphic>
          </wp:anchor>
        </w:drawing>
        <w:drawing>
          <wp:anchor simplePos="0" relativeHeight="251657728" behindDoc="1" locked="0" layoutInCell="0" allowOverlap="1">
            <wp:simplePos x="0" y="0"/>
            <wp:positionH relativeFrom="column">
              <wp:posOffset>5499100</wp:posOffset>
            </wp:positionH>
            <wp:positionV relativeFrom="paragraph">
              <wp:posOffset>-755015</wp:posOffset>
            </wp:positionV>
            <wp:extent cx="229235" cy="178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9235" cy="178435"/>
                    </a:xfrm>
                    <a:prstGeom prst="rect">
                      <a:avLst/>
                    </a:prstGeom>
                    <a:noFill/>
                  </pic:spPr>
                </pic:pic>
              </a:graphicData>
            </a:graphic>
          </wp:anchor>
        </w:drawing>
        <w:drawing>
          <wp:anchor simplePos="0" relativeHeight="251657728" behindDoc="1" locked="0" layoutInCell="0" allowOverlap="1">
            <wp:simplePos x="0" y="0"/>
            <wp:positionH relativeFrom="column">
              <wp:posOffset>5499100</wp:posOffset>
            </wp:positionH>
            <wp:positionV relativeFrom="paragraph">
              <wp:posOffset>-492125</wp:posOffset>
            </wp:positionV>
            <wp:extent cx="229235" cy="178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9235" cy="178435"/>
                    </a:xfrm>
                    <a:prstGeom prst="rect">
                      <a:avLst/>
                    </a:prstGeom>
                    <a:noFill/>
                  </pic:spPr>
                </pic:pic>
              </a:graphicData>
            </a:graphic>
          </wp:anchor>
        </w:drawing>
        <w:drawing>
          <wp:anchor simplePos="0" relativeHeight="251657728" behindDoc="1" locked="0" layoutInCell="0" allowOverlap="1">
            <wp:simplePos x="0" y="0"/>
            <wp:positionH relativeFrom="column">
              <wp:posOffset>5499100</wp:posOffset>
            </wp:positionH>
            <wp:positionV relativeFrom="paragraph">
              <wp:posOffset>-228600</wp:posOffset>
            </wp:positionV>
            <wp:extent cx="229235" cy="178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9235" cy="1784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6360" w:type="dxa"/>
            <w:vAlign w:val="bottom"/>
            <w:shd w:val="clear" w:color="auto" w:fill="DDE9F2"/>
          </w:tcPr>
          <w:p>
            <w:pPr>
              <w:ind w:left="156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We redesigned our proxy statement and enhanced our</w:t>
            </w:r>
          </w:p>
        </w:tc>
        <w:tc>
          <w:tcPr>
            <w:tcW w:w="4580" w:type="dxa"/>
            <w:vAlign w:val="bottom"/>
            <w:shd w:val="clear" w:color="auto" w:fill="DDE9F2"/>
          </w:tcPr>
          <w:p>
            <w:pPr>
              <w:ind w:left="20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Due to our active Board refreshment program, eight of our</w:t>
            </w:r>
          </w:p>
        </w:tc>
        <w:tc>
          <w:tcPr>
            <w:tcW w:w="0" w:type="dxa"/>
            <w:vAlign w:val="bottom"/>
          </w:tcPr>
          <w:p>
            <w:pPr>
              <w:spacing w:after="0"/>
              <w:rPr>
                <w:sz w:val="1"/>
                <w:szCs w:val="1"/>
                <w:color w:val="auto"/>
              </w:rPr>
            </w:pPr>
          </w:p>
        </w:tc>
      </w:tr>
      <w:tr>
        <w:trPr>
          <w:trHeight w:val="187"/>
        </w:trPr>
        <w:tc>
          <w:tcPr>
            <w:tcW w:w="6360" w:type="dxa"/>
            <w:vAlign w:val="bottom"/>
            <w:shd w:val="clear" w:color="auto" w:fill="DDE9F2"/>
          </w:tcPr>
          <w:p>
            <w:pPr>
              <w:ind w:left="1720"/>
              <w:spacing w:after="0"/>
              <w:rPr>
                <w:sz w:val="20"/>
                <w:szCs w:val="20"/>
                <w:color w:val="auto"/>
              </w:rPr>
            </w:pPr>
            <w:r>
              <w:rPr>
                <w:rFonts w:ascii="Arial" w:cs="Arial" w:eastAsia="Arial" w:hAnsi="Arial"/>
                <w:sz w:val="16"/>
                <w:szCs w:val="16"/>
                <w:color w:val="092E44"/>
              </w:rPr>
              <w:t>disclosures to demonstrate our ongoing commitment to</w:t>
            </w:r>
          </w:p>
        </w:tc>
        <w:tc>
          <w:tcPr>
            <w:tcW w:w="4580" w:type="dxa"/>
            <w:vAlign w:val="bottom"/>
            <w:shd w:val="clear" w:color="auto" w:fill="DDE9F2"/>
          </w:tcPr>
          <w:p>
            <w:pPr>
              <w:ind w:left="360"/>
              <w:spacing w:after="0"/>
              <w:rPr>
                <w:sz w:val="20"/>
                <w:szCs w:val="20"/>
                <w:color w:val="auto"/>
              </w:rPr>
            </w:pPr>
            <w:r>
              <w:rPr>
                <w:rFonts w:ascii="Arial" w:cs="Arial" w:eastAsia="Arial" w:hAnsi="Arial"/>
                <w:sz w:val="16"/>
                <w:szCs w:val="16"/>
                <w:color w:val="092E44"/>
              </w:rPr>
              <w:t>ten directors (including three women) have joined the</w:t>
            </w:r>
          </w:p>
        </w:tc>
        <w:tc>
          <w:tcPr>
            <w:tcW w:w="0" w:type="dxa"/>
            <w:vAlign w:val="bottom"/>
          </w:tcPr>
          <w:p>
            <w:pPr>
              <w:spacing w:after="0"/>
              <w:rPr>
                <w:sz w:val="1"/>
                <w:szCs w:val="1"/>
                <w:color w:val="auto"/>
              </w:rPr>
            </w:pPr>
          </w:p>
        </w:tc>
      </w:tr>
      <w:tr>
        <w:trPr>
          <w:trHeight w:val="211"/>
        </w:trPr>
        <w:tc>
          <w:tcPr>
            <w:tcW w:w="6360" w:type="dxa"/>
            <w:vAlign w:val="bottom"/>
            <w:shd w:val="clear" w:color="auto" w:fill="DDE9F2"/>
          </w:tcPr>
          <w:p>
            <w:pPr>
              <w:ind w:left="1720"/>
              <w:spacing w:after="0"/>
              <w:rPr>
                <w:sz w:val="20"/>
                <w:szCs w:val="20"/>
                <w:color w:val="auto"/>
              </w:rPr>
            </w:pPr>
            <w:r>
              <w:rPr>
                <w:rFonts w:ascii="Arial" w:cs="Arial" w:eastAsia="Arial" w:hAnsi="Arial"/>
                <w:sz w:val="16"/>
                <w:szCs w:val="16"/>
                <w:color w:val="092E44"/>
              </w:rPr>
              <w:t>transparency and clarity.</w:t>
            </w:r>
          </w:p>
        </w:tc>
        <w:tc>
          <w:tcPr>
            <w:tcW w:w="4580" w:type="dxa"/>
            <w:vAlign w:val="bottom"/>
            <w:shd w:val="clear" w:color="auto" w:fill="DDE9F2"/>
          </w:tcPr>
          <w:p>
            <w:pPr>
              <w:ind w:left="360"/>
              <w:spacing w:after="0"/>
              <w:rPr>
                <w:sz w:val="20"/>
                <w:szCs w:val="20"/>
                <w:color w:val="auto"/>
              </w:rPr>
            </w:pPr>
            <w:r>
              <w:rPr>
                <w:rFonts w:ascii="Arial" w:cs="Arial" w:eastAsia="Arial" w:hAnsi="Arial"/>
                <w:sz w:val="16"/>
                <w:szCs w:val="16"/>
                <w:color w:val="092E44"/>
              </w:rPr>
              <w:t>Board in the past four years.</w:t>
            </w:r>
          </w:p>
        </w:tc>
        <w:tc>
          <w:tcPr>
            <w:tcW w:w="0" w:type="dxa"/>
            <w:vAlign w:val="bottom"/>
          </w:tcPr>
          <w:p>
            <w:pPr>
              <w:spacing w:after="0"/>
              <w:rPr>
                <w:sz w:val="1"/>
                <w:szCs w:val="1"/>
                <w:color w:val="auto"/>
              </w:rPr>
            </w:pPr>
          </w:p>
        </w:tc>
      </w:tr>
      <w:tr>
        <w:trPr>
          <w:trHeight w:val="257"/>
        </w:trPr>
        <w:tc>
          <w:tcPr>
            <w:tcW w:w="6360" w:type="dxa"/>
            <w:vAlign w:val="bottom"/>
            <w:shd w:val="clear" w:color="auto" w:fill="DDE9F2"/>
          </w:tcPr>
          <w:p>
            <w:pPr>
              <w:ind w:left="156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In 2021, we amended the charter of the Board’s Nominations</w:t>
            </w:r>
          </w:p>
        </w:tc>
        <w:tc>
          <w:tcPr>
            <w:tcW w:w="4580" w:type="dxa"/>
            <w:vAlign w:val="bottom"/>
            <w:shd w:val="clear" w:color="auto" w:fill="DDE9F2"/>
          </w:tcPr>
          <w:p>
            <w:pPr>
              <w:ind w:left="20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The Nominations and Governance Committee resolved to</w:t>
            </w:r>
          </w:p>
        </w:tc>
        <w:tc>
          <w:tcPr>
            <w:tcW w:w="0" w:type="dxa"/>
            <w:vAlign w:val="bottom"/>
          </w:tcPr>
          <w:p>
            <w:pPr>
              <w:spacing w:after="0"/>
              <w:rPr>
                <w:sz w:val="1"/>
                <w:szCs w:val="1"/>
                <w:color w:val="auto"/>
              </w:rPr>
            </w:pPr>
          </w:p>
        </w:tc>
      </w:tr>
      <w:tr>
        <w:trPr>
          <w:trHeight w:val="187"/>
        </w:trPr>
        <w:tc>
          <w:tcPr>
            <w:tcW w:w="6360" w:type="dxa"/>
            <w:vAlign w:val="bottom"/>
            <w:shd w:val="clear" w:color="auto" w:fill="DDE9F2"/>
          </w:tcPr>
          <w:p>
            <w:pPr>
              <w:ind w:left="1720"/>
              <w:spacing w:after="0"/>
              <w:rPr>
                <w:sz w:val="20"/>
                <w:szCs w:val="20"/>
                <w:color w:val="auto"/>
              </w:rPr>
            </w:pPr>
            <w:r>
              <w:rPr>
                <w:rFonts w:ascii="Arial" w:cs="Arial" w:eastAsia="Arial" w:hAnsi="Arial"/>
                <w:sz w:val="16"/>
                <w:szCs w:val="16"/>
                <w:color w:val="092E44"/>
              </w:rPr>
              <w:t>and Governance Committee to ensure Board-level oversight of</w:t>
            </w:r>
          </w:p>
        </w:tc>
        <w:tc>
          <w:tcPr>
            <w:tcW w:w="4580" w:type="dxa"/>
            <w:vAlign w:val="bottom"/>
            <w:shd w:val="clear" w:color="auto" w:fill="DDE9F2"/>
          </w:tcPr>
          <w:p>
            <w:pPr>
              <w:ind w:left="360"/>
              <w:spacing w:after="0"/>
              <w:rPr>
                <w:sz w:val="20"/>
                <w:szCs w:val="20"/>
                <w:color w:val="auto"/>
              </w:rPr>
            </w:pPr>
            <w:r>
              <w:rPr>
                <w:rFonts w:ascii="Arial" w:cs="Arial" w:eastAsia="Arial" w:hAnsi="Arial"/>
                <w:sz w:val="16"/>
                <w:szCs w:val="16"/>
                <w:color w:val="092E44"/>
              </w:rPr>
              <w:t>rotate the chair of each committee every five years and</w:t>
            </w:r>
          </w:p>
        </w:tc>
        <w:tc>
          <w:tcPr>
            <w:tcW w:w="0" w:type="dxa"/>
            <w:vAlign w:val="bottom"/>
          </w:tcPr>
          <w:p>
            <w:pPr>
              <w:spacing w:after="0"/>
              <w:rPr>
                <w:sz w:val="1"/>
                <w:szCs w:val="1"/>
                <w:color w:val="auto"/>
              </w:rPr>
            </w:pPr>
          </w:p>
        </w:tc>
      </w:tr>
      <w:tr>
        <w:trPr>
          <w:trHeight w:val="187"/>
        </w:trPr>
        <w:tc>
          <w:tcPr>
            <w:tcW w:w="6360" w:type="dxa"/>
            <w:vAlign w:val="bottom"/>
            <w:shd w:val="clear" w:color="auto" w:fill="DDE9F2"/>
          </w:tcPr>
          <w:p>
            <w:pPr>
              <w:ind w:left="1720"/>
              <w:spacing w:after="0"/>
              <w:rPr>
                <w:sz w:val="20"/>
                <w:szCs w:val="20"/>
                <w:color w:val="auto"/>
              </w:rPr>
            </w:pPr>
            <w:r>
              <w:rPr>
                <w:rFonts w:ascii="Arial" w:cs="Arial" w:eastAsia="Arial" w:hAnsi="Arial"/>
                <w:sz w:val="16"/>
                <w:szCs w:val="16"/>
                <w:color w:val="092E44"/>
              </w:rPr>
              <w:t>Commvault’s corporate social responsibility and sustainability</w:t>
            </w:r>
          </w:p>
        </w:tc>
        <w:tc>
          <w:tcPr>
            <w:tcW w:w="4580" w:type="dxa"/>
            <w:vAlign w:val="bottom"/>
            <w:shd w:val="clear" w:color="auto" w:fill="DDE9F2"/>
          </w:tcPr>
          <w:p>
            <w:pPr>
              <w:ind w:left="360"/>
              <w:spacing w:after="0"/>
              <w:rPr>
                <w:sz w:val="20"/>
                <w:szCs w:val="20"/>
                <w:color w:val="auto"/>
              </w:rPr>
            </w:pPr>
            <w:r>
              <w:rPr>
                <w:rFonts w:ascii="Arial" w:cs="Arial" w:eastAsia="Arial" w:hAnsi="Arial"/>
                <w:sz w:val="16"/>
                <w:szCs w:val="16"/>
                <w:color w:val="092E44"/>
              </w:rPr>
              <w:t>Chair of the Board every ten years.</w:t>
            </w:r>
          </w:p>
        </w:tc>
        <w:tc>
          <w:tcPr>
            <w:tcW w:w="0" w:type="dxa"/>
            <w:vAlign w:val="bottom"/>
          </w:tcPr>
          <w:p>
            <w:pPr>
              <w:spacing w:after="0"/>
              <w:rPr>
                <w:sz w:val="1"/>
                <w:szCs w:val="1"/>
                <w:color w:val="auto"/>
              </w:rPr>
            </w:pPr>
          </w:p>
        </w:tc>
      </w:tr>
      <w:tr>
        <w:trPr>
          <w:trHeight w:val="211"/>
        </w:trPr>
        <w:tc>
          <w:tcPr>
            <w:tcW w:w="6360" w:type="dxa"/>
            <w:vAlign w:val="bottom"/>
            <w:shd w:val="clear" w:color="auto" w:fill="DDE9F2"/>
          </w:tcPr>
          <w:p>
            <w:pPr>
              <w:ind w:left="1720"/>
              <w:spacing w:after="0"/>
              <w:rPr>
                <w:sz w:val="20"/>
                <w:szCs w:val="20"/>
                <w:color w:val="auto"/>
              </w:rPr>
            </w:pPr>
            <w:r>
              <w:rPr>
                <w:rFonts w:ascii="Arial" w:cs="Arial" w:eastAsia="Arial" w:hAnsi="Arial"/>
                <w:sz w:val="16"/>
                <w:szCs w:val="16"/>
                <w:color w:val="092E44"/>
              </w:rPr>
              <w:t>programs and efforts.</w:t>
            </w:r>
          </w:p>
        </w:tc>
        <w:tc>
          <w:tcPr>
            <w:tcW w:w="4580" w:type="dxa"/>
            <w:vAlign w:val="bottom"/>
            <w:vMerge w:val="restart"/>
            <w:shd w:val="clear" w:color="auto" w:fill="DDE9F2"/>
          </w:tcPr>
          <w:p>
            <w:pPr>
              <w:ind w:left="20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We issued our third annual Corporate Social</w:t>
            </w:r>
          </w:p>
        </w:tc>
        <w:tc>
          <w:tcPr>
            <w:tcW w:w="0" w:type="dxa"/>
            <w:vAlign w:val="bottom"/>
          </w:tcPr>
          <w:p>
            <w:pPr>
              <w:spacing w:after="0"/>
              <w:rPr>
                <w:sz w:val="1"/>
                <w:szCs w:val="1"/>
                <w:color w:val="auto"/>
              </w:rPr>
            </w:pPr>
          </w:p>
        </w:tc>
      </w:tr>
      <w:tr>
        <w:trPr>
          <w:trHeight w:val="70"/>
        </w:trPr>
        <w:tc>
          <w:tcPr>
            <w:tcW w:w="6360" w:type="dxa"/>
            <w:vAlign w:val="bottom"/>
            <w:vMerge w:val="restart"/>
            <w:shd w:val="clear" w:color="auto" w:fill="DDE9F2"/>
          </w:tcPr>
          <w:p>
            <w:pPr>
              <w:ind w:left="156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We adopted a “clawback” policy in 2021 to ensure we can</w:t>
            </w:r>
          </w:p>
        </w:tc>
        <w:tc>
          <w:tcPr>
            <w:tcW w:w="4580" w:type="dxa"/>
            <w:vAlign w:val="bottom"/>
            <w:vMerge w:val="continue"/>
            <w:shd w:val="clear" w:color="auto" w:fill="DDE9F2"/>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360" w:type="dxa"/>
            <w:vAlign w:val="bottom"/>
            <w:vMerge w:val="continue"/>
            <w:shd w:val="clear" w:color="auto" w:fill="DDE9F2"/>
          </w:tcPr>
          <w:p>
            <w:pPr>
              <w:spacing w:after="0"/>
              <w:rPr>
                <w:sz w:val="16"/>
                <w:szCs w:val="16"/>
                <w:color w:val="auto"/>
              </w:rPr>
            </w:pPr>
          </w:p>
        </w:tc>
        <w:tc>
          <w:tcPr>
            <w:tcW w:w="4580" w:type="dxa"/>
            <w:vAlign w:val="bottom"/>
            <w:shd w:val="clear" w:color="auto" w:fill="DDE9F2"/>
          </w:tcPr>
          <w:p>
            <w:pPr>
              <w:ind w:left="360"/>
              <w:spacing w:after="0"/>
              <w:rPr>
                <w:sz w:val="20"/>
                <w:szCs w:val="20"/>
                <w:color w:val="auto"/>
              </w:rPr>
            </w:pPr>
            <w:r>
              <w:rPr>
                <w:rFonts w:ascii="Arial" w:cs="Arial" w:eastAsia="Arial" w:hAnsi="Arial"/>
                <w:sz w:val="16"/>
                <w:szCs w:val="16"/>
                <w:color w:val="092E44"/>
              </w:rPr>
              <w:t>Responsibility report in June 2022.</w:t>
            </w:r>
          </w:p>
        </w:tc>
        <w:tc>
          <w:tcPr>
            <w:tcW w:w="0" w:type="dxa"/>
            <w:vAlign w:val="bottom"/>
          </w:tcPr>
          <w:p>
            <w:pPr>
              <w:spacing w:after="0"/>
              <w:rPr>
                <w:sz w:val="1"/>
                <w:szCs w:val="1"/>
                <w:color w:val="auto"/>
              </w:rPr>
            </w:pPr>
          </w:p>
        </w:tc>
      </w:tr>
      <w:tr>
        <w:trPr>
          <w:trHeight w:val="187"/>
        </w:trPr>
        <w:tc>
          <w:tcPr>
            <w:tcW w:w="6360" w:type="dxa"/>
            <w:vAlign w:val="bottom"/>
            <w:shd w:val="clear" w:color="auto" w:fill="DDE9F2"/>
          </w:tcPr>
          <w:p>
            <w:pPr>
              <w:ind w:left="1720"/>
              <w:spacing w:after="0"/>
              <w:rPr>
                <w:sz w:val="20"/>
                <w:szCs w:val="20"/>
                <w:color w:val="auto"/>
              </w:rPr>
            </w:pPr>
            <w:r>
              <w:rPr>
                <w:rFonts w:ascii="Arial" w:cs="Arial" w:eastAsia="Arial" w:hAnsi="Arial"/>
                <w:sz w:val="16"/>
                <w:szCs w:val="16"/>
                <w:color w:val="092E44"/>
              </w:rPr>
              <w:t>recover any incentive compensation paid to certain officers in</w:t>
            </w:r>
          </w:p>
        </w:tc>
        <w:tc>
          <w:tcPr>
            <w:tcW w:w="4580" w:type="dxa"/>
            <w:vAlign w:val="bottom"/>
            <w:vMerge w:val="restart"/>
            <w:shd w:val="clear" w:color="auto" w:fill="DDE9F2"/>
          </w:tcPr>
          <w:p>
            <w:pPr>
              <w:ind w:left="20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We welcomed Javier Dominguez as our Chief Information</w:t>
            </w:r>
          </w:p>
        </w:tc>
        <w:tc>
          <w:tcPr>
            <w:tcW w:w="0" w:type="dxa"/>
            <w:vAlign w:val="bottom"/>
          </w:tcPr>
          <w:p>
            <w:pPr>
              <w:spacing w:after="0"/>
              <w:rPr>
                <w:sz w:val="1"/>
                <w:szCs w:val="1"/>
                <w:color w:val="auto"/>
              </w:rPr>
            </w:pPr>
          </w:p>
        </w:tc>
      </w:tr>
      <w:tr>
        <w:trPr>
          <w:trHeight w:val="94"/>
        </w:trPr>
        <w:tc>
          <w:tcPr>
            <w:tcW w:w="6360" w:type="dxa"/>
            <w:vAlign w:val="bottom"/>
            <w:vMerge w:val="restart"/>
            <w:shd w:val="clear" w:color="auto" w:fill="DDE9F2"/>
          </w:tcPr>
          <w:p>
            <w:pPr>
              <w:ind w:left="1720"/>
              <w:spacing w:after="0"/>
              <w:rPr>
                <w:sz w:val="20"/>
                <w:szCs w:val="20"/>
                <w:color w:val="auto"/>
              </w:rPr>
            </w:pPr>
            <w:r>
              <w:rPr>
                <w:rFonts w:ascii="Arial" w:cs="Arial" w:eastAsia="Arial" w:hAnsi="Arial"/>
                <w:sz w:val="16"/>
                <w:szCs w:val="16"/>
                <w:color w:val="092E44"/>
              </w:rPr>
              <w:t>the event financial statements are subsequently restated.</w:t>
            </w:r>
          </w:p>
        </w:tc>
        <w:tc>
          <w:tcPr>
            <w:tcW w:w="4580" w:type="dxa"/>
            <w:vAlign w:val="bottom"/>
            <w:vMerge w:val="continue"/>
            <w:shd w:val="clear" w:color="auto" w:fill="DDE9F2"/>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6360" w:type="dxa"/>
            <w:vAlign w:val="bottom"/>
            <w:vMerge w:val="continue"/>
            <w:shd w:val="clear" w:color="auto" w:fill="DDE9F2"/>
          </w:tcPr>
          <w:p>
            <w:pPr>
              <w:spacing w:after="0"/>
              <w:rPr>
                <w:sz w:val="10"/>
                <w:szCs w:val="10"/>
                <w:color w:val="auto"/>
              </w:rPr>
            </w:pPr>
          </w:p>
        </w:tc>
        <w:tc>
          <w:tcPr>
            <w:tcW w:w="4580" w:type="dxa"/>
            <w:vAlign w:val="bottom"/>
            <w:vMerge w:val="restart"/>
            <w:shd w:val="clear" w:color="auto" w:fill="DDE9F2"/>
          </w:tcPr>
          <w:p>
            <w:pPr>
              <w:ind w:left="360"/>
              <w:spacing w:after="0"/>
              <w:rPr>
                <w:sz w:val="20"/>
                <w:szCs w:val="20"/>
                <w:color w:val="auto"/>
              </w:rPr>
            </w:pPr>
            <w:r>
              <w:rPr>
                <w:rFonts w:ascii="Arial" w:cs="Arial" w:eastAsia="Arial" w:hAnsi="Arial"/>
                <w:sz w:val="16"/>
                <w:szCs w:val="16"/>
                <w:color w:val="092E44"/>
              </w:rPr>
              <w:t>Security Officer.</w:t>
            </w:r>
          </w:p>
        </w:tc>
        <w:tc>
          <w:tcPr>
            <w:tcW w:w="0" w:type="dxa"/>
            <w:vAlign w:val="bottom"/>
          </w:tcPr>
          <w:p>
            <w:pPr>
              <w:spacing w:after="0"/>
              <w:rPr>
                <w:sz w:val="1"/>
                <w:szCs w:val="1"/>
                <w:color w:val="auto"/>
              </w:rPr>
            </w:pPr>
          </w:p>
        </w:tc>
      </w:tr>
      <w:tr>
        <w:trPr>
          <w:trHeight w:val="94"/>
        </w:trPr>
        <w:tc>
          <w:tcPr>
            <w:tcW w:w="6360" w:type="dxa"/>
            <w:vAlign w:val="bottom"/>
            <w:shd w:val="clear" w:color="auto" w:fill="DDE9F2"/>
          </w:tcPr>
          <w:p>
            <w:pPr>
              <w:spacing w:after="0"/>
              <w:rPr>
                <w:sz w:val="8"/>
                <w:szCs w:val="8"/>
                <w:color w:val="auto"/>
              </w:rPr>
            </w:pPr>
          </w:p>
        </w:tc>
        <w:tc>
          <w:tcPr>
            <w:tcW w:w="4580" w:type="dxa"/>
            <w:vAlign w:val="bottom"/>
            <w:vMerge w:val="continue"/>
            <w:shd w:val="clear" w:color="auto" w:fill="DDE9F2"/>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6360" w:type="dxa"/>
            <w:vAlign w:val="bottom"/>
            <w:shd w:val="clear" w:color="auto" w:fill="DDE9F2"/>
          </w:tcPr>
          <w:p>
            <w:pPr>
              <w:spacing w:after="0"/>
              <w:rPr>
                <w:sz w:val="7"/>
                <w:szCs w:val="7"/>
                <w:color w:val="auto"/>
              </w:rPr>
            </w:pPr>
          </w:p>
        </w:tc>
        <w:tc>
          <w:tcPr>
            <w:tcW w:w="4580" w:type="dxa"/>
            <w:vAlign w:val="bottom"/>
            <w:shd w:val="clear" w:color="auto" w:fill="DDE9F2"/>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246380</wp:posOffset>
            </wp:positionV>
            <wp:extent cx="220980" cy="212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ectPr>
          <w:pgSz w:w="11900" w:h="16838" w:orient="portrait"/>
          <w:cols w:equalWidth="0" w:num="1">
            <w:col w:w="11100"/>
          </w:cols>
          <w:pgMar w:left="320" w:top="454" w:right="47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0"/>
          <w:szCs w:val="10"/>
          <w:color w:val="092E44"/>
        </w:rPr>
        <w:t>04</w:t>
      </w:r>
      <w:r>
        <w:rPr>
          <w:sz w:val="20"/>
          <w:szCs w:val="20"/>
          <w:color w:val="auto"/>
        </w:rPr>
        <w:tab/>
      </w:r>
      <w:r>
        <w:rPr>
          <w:rFonts w:ascii="Arial" w:cs="Arial" w:eastAsia="Arial" w:hAnsi="Arial"/>
          <w:sz w:val="10"/>
          <w:szCs w:val="10"/>
          <w:b w:val="1"/>
          <w:bCs w:val="1"/>
          <w:color w:val="092E44"/>
        </w:rPr>
        <w:t xml:space="preserve">COMMVAULT SYSTEMS, INC. </w:t>
      </w:r>
      <w:r>
        <w:rPr>
          <w:rFonts w:ascii="Arial" w:cs="Arial" w:eastAsia="Arial" w:hAnsi="Arial"/>
          <w:sz w:val="10"/>
          <w:szCs w:val="10"/>
          <w:color w:val="E14A6A"/>
        </w:rPr>
        <w:t>|</w:t>
      </w:r>
      <w:r>
        <w:rPr>
          <w:rFonts w:ascii="Arial" w:cs="Arial" w:eastAsia="Arial" w:hAnsi="Arial"/>
          <w:sz w:val="10"/>
          <w:szCs w:val="10"/>
          <w:b w:val="1"/>
          <w:bCs w:val="1"/>
          <w:color w:val="092E44"/>
        </w:rPr>
        <w:t xml:space="preserve"> </w:t>
      </w:r>
      <w:r>
        <w:rPr>
          <w:rFonts w:ascii="Arial" w:cs="Arial" w:eastAsia="Arial" w:hAnsi="Arial"/>
          <w:sz w:val="10"/>
          <w:szCs w:val="10"/>
          <w:color w:val="092E44"/>
        </w:rPr>
        <w:t>2022 PROXY STATEMENT</w:t>
      </w:r>
    </w:p>
    <w:p>
      <w:pPr>
        <w:sectPr>
          <w:pgSz w:w="11900" w:h="16838" w:orient="portrait"/>
          <w:cols w:equalWidth="0" w:num="1">
            <w:col w:w="11100"/>
          </w:cols>
          <w:pgMar w:left="320" w:top="454" w:right="4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297180</wp:posOffset>
            </wp:positionV>
            <wp:extent cx="6929755" cy="169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9755" cy="1695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240"/>
        <w:spacing w:after="0"/>
        <w:rPr>
          <w:sz w:val="20"/>
          <w:szCs w:val="20"/>
          <w:color w:val="auto"/>
        </w:rPr>
      </w:pPr>
      <w:r>
        <w:rPr>
          <w:rFonts w:ascii="Arial" w:cs="Arial" w:eastAsia="Arial" w:hAnsi="Arial"/>
          <w:sz w:val="11"/>
          <w:szCs w:val="11"/>
          <w:color w:val="092E44"/>
        </w:rPr>
        <w:t xml:space="preserve">PROXY SUMMARY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ELECTION OF DIRECTORS</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Election of Directors</w:t>
      </w:r>
    </w:p>
    <w:p>
      <w:pPr>
        <w:spacing w:after="0" w:line="71" w:lineRule="exact"/>
        <w:rPr>
          <w:sz w:val="20"/>
          <w:szCs w:val="20"/>
          <w:color w:val="auto"/>
        </w:rPr>
      </w:pPr>
    </w:p>
    <w:p>
      <w:pPr>
        <w:ind w:left="160" w:right="20"/>
        <w:spacing w:after="0" w:line="279" w:lineRule="auto"/>
        <w:rPr>
          <w:sz w:val="20"/>
          <w:szCs w:val="20"/>
          <w:color w:val="auto"/>
        </w:rPr>
      </w:pPr>
      <w:r>
        <w:rPr>
          <w:rFonts w:ascii="Arial" w:cs="Arial" w:eastAsia="Arial" w:hAnsi="Arial"/>
          <w:sz w:val="16"/>
          <w:szCs w:val="16"/>
          <w:color w:val="092E44"/>
        </w:rPr>
        <w:t>The following table shows information about our directors and director nominees. All our directors and nominees are independent except Mr. Mirchandani, Commvault’s President and Chief Executive Officer.</w:t>
      </w:r>
    </w:p>
    <w:p>
      <w:pPr>
        <w:spacing w:after="0" w:line="68" w:lineRule="exact"/>
        <w:rPr>
          <w:sz w:val="20"/>
          <w:szCs w:val="20"/>
          <w:color w:val="auto"/>
        </w:rPr>
      </w:pPr>
    </w:p>
    <w:tbl>
      <w:tblPr>
        <w:tblLayout w:type="fixed"/>
        <w:tblInd w:w="160" w:type="dxa"/>
        <w:tblCellMar>
          <w:top w:w="0" w:type="dxa"/>
          <w:left w:w="0" w:type="dxa"/>
          <w:bottom w:w="0" w:type="dxa"/>
          <w:right w:w="0" w:type="dxa"/>
        </w:tblCellMar>
      </w:tblPr>
      <w:tr>
        <w:trPr>
          <w:trHeight w:val="134"/>
        </w:trPr>
        <w:tc>
          <w:tcPr>
            <w:tcW w:w="2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bottom w:val="single" w:sz="8" w:color="092E44"/>
            </w:tcBorders>
          </w:tcPr>
          <w:p>
            <w:pPr>
              <w:spacing w:after="0"/>
              <w:rPr>
                <w:sz w:val="11"/>
                <w:szCs w:val="11"/>
                <w:color w:val="auto"/>
              </w:rPr>
            </w:pPr>
          </w:p>
        </w:tc>
        <w:tc>
          <w:tcPr>
            <w:tcW w:w="860" w:type="dxa"/>
            <w:vAlign w:val="bottom"/>
            <w:tcBorders>
              <w:bottom w:val="single" w:sz="8" w:color="092E44"/>
            </w:tcBorders>
          </w:tcPr>
          <w:p>
            <w:pPr>
              <w:spacing w:after="0"/>
              <w:rPr>
                <w:sz w:val="11"/>
                <w:szCs w:val="11"/>
                <w:color w:val="auto"/>
              </w:rPr>
            </w:pPr>
          </w:p>
        </w:tc>
        <w:tc>
          <w:tcPr>
            <w:tcW w:w="1060" w:type="dxa"/>
            <w:vAlign w:val="bottom"/>
            <w:tcBorders>
              <w:bottom w:val="single" w:sz="8" w:color="092E44"/>
            </w:tcBorders>
          </w:tcPr>
          <w:p>
            <w:pPr>
              <w:ind w:left="40"/>
              <w:spacing w:after="0"/>
              <w:rPr>
                <w:sz w:val="20"/>
                <w:szCs w:val="20"/>
                <w:color w:val="auto"/>
              </w:rPr>
            </w:pPr>
            <w:r>
              <w:rPr>
                <w:rFonts w:ascii="Arial" w:cs="Arial" w:eastAsia="Arial" w:hAnsi="Arial"/>
                <w:sz w:val="11"/>
                <w:szCs w:val="11"/>
                <w:color w:val="092E44"/>
              </w:rPr>
              <w:t>Committees</w:t>
            </w:r>
          </w:p>
        </w:tc>
        <w:tc>
          <w:tcPr>
            <w:tcW w:w="1020" w:type="dxa"/>
            <w:vAlign w:val="bottom"/>
            <w:tcBorders>
              <w:bottom w:val="single" w:sz="8" w:color="092E44"/>
            </w:tcBorders>
          </w:tcPr>
          <w:p>
            <w:pPr>
              <w:spacing w:after="0"/>
              <w:rPr>
                <w:sz w:val="11"/>
                <w:szCs w:val="11"/>
                <w:color w:val="auto"/>
              </w:rPr>
            </w:pPr>
          </w:p>
        </w:tc>
      </w:tr>
      <w:tr>
        <w:trPr>
          <w:trHeight w:val="101"/>
        </w:trPr>
        <w:tc>
          <w:tcPr>
            <w:tcW w:w="2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20" w:type="dxa"/>
            <w:vAlign w:val="bottom"/>
          </w:tcPr>
          <w:p>
            <w:pPr>
              <w:jc w:val="center"/>
              <w:ind w:left="23"/>
              <w:spacing w:after="0" w:line="101" w:lineRule="exact"/>
              <w:rPr>
                <w:sz w:val="20"/>
                <w:szCs w:val="20"/>
                <w:color w:val="auto"/>
              </w:rPr>
            </w:pPr>
            <w:r>
              <w:rPr>
                <w:rFonts w:ascii="Arial" w:cs="Arial" w:eastAsia="Arial" w:hAnsi="Arial"/>
                <w:sz w:val="11"/>
                <w:szCs w:val="11"/>
                <w:color w:val="092E44"/>
                <w:w w:val="97"/>
              </w:rPr>
              <w:t>Talent</w:t>
            </w:r>
          </w:p>
        </w:tc>
      </w:tr>
      <w:tr>
        <w:trPr>
          <w:trHeight w:val="120"/>
        </w:trPr>
        <w:tc>
          <w:tcPr>
            <w:tcW w:w="2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jc w:val="center"/>
              <w:ind w:left="82"/>
              <w:spacing w:after="0" w:line="121" w:lineRule="exact"/>
              <w:rPr>
                <w:sz w:val="20"/>
                <w:szCs w:val="20"/>
                <w:color w:val="auto"/>
              </w:rPr>
            </w:pPr>
            <w:r>
              <w:rPr>
                <w:rFonts w:ascii="Arial" w:cs="Arial" w:eastAsia="Arial" w:hAnsi="Arial"/>
                <w:sz w:val="11"/>
                <w:szCs w:val="11"/>
                <w:color w:val="092E44"/>
                <w:w w:val="98"/>
              </w:rPr>
              <w:t>Nominations</w:t>
            </w:r>
          </w:p>
        </w:tc>
        <w:tc>
          <w:tcPr>
            <w:tcW w:w="1060" w:type="dxa"/>
            <w:vAlign w:val="bottom"/>
          </w:tcPr>
          <w:p>
            <w:pPr>
              <w:spacing w:after="0"/>
              <w:rPr>
                <w:sz w:val="10"/>
                <w:szCs w:val="10"/>
                <w:color w:val="auto"/>
              </w:rPr>
            </w:pPr>
          </w:p>
        </w:tc>
        <w:tc>
          <w:tcPr>
            <w:tcW w:w="1020" w:type="dxa"/>
            <w:vAlign w:val="bottom"/>
          </w:tcPr>
          <w:p>
            <w:pPr>
              <w:jc w:val="center"/>
              <w:ind w:left="23"/>
              <w:spacing w:after="0" w:line="121" w:lineRule="exact"/>
              <w:rPr>
                <w:sz w:val="20"/>
                <w:szCs w:val="20"/>
                <w:color w:val="auto"/>
              </w:rPr>
            </w:pPr>
            <w:r>
              <w:rPr>
                <w:rFonts w:ascii="Arial" w:cs="Arial" w:eastAsia="Arial" w:hAnsi="Arial"/>
                <w:sz w:val="11"/>
                <w:szCs w:val="11"/>
                <w:color w:val="092E44"/>
                <w:w w:val="96"/>
              </w:rPr>
              <w:t>Management</w:t>
            </w:r>
          </w:p>
        </w:tc>
      </w:tr>
      <w:tr>
        <w:trPr>
          <w:trHeight w:val="120"/>
        </w:trPr>
        <w:tc>
          <w:tcPr>
            <w:tcW w:w="2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ind w:left="120"/>
              <w:spacing w:after="0" w:line="121" w:lineRule="exact"/>
              <w:rPr>
                <w:sz w:val="20"/>
                <w:szCs w:val="20"/>
                <w:color w:val="auto"/>
              </w:rPr>
            </w:pPr>
            <w:r>
              <w:rPr>
                <w:rFonts w:ascii="Arial" w:cs="Arial" w:eastAsia="Arial" w:hAnsi="Arial"/>
                <w:sz w:val="11"/>
                <w:szCs w:val="11"/>
                <w:color w:val="092E44"/>
              </w:rPr>
              <w:t>Director</w:t>
            </w:r>
          </w:p>
        </w:tc>
        <w:tc>
          <w:tcPr>
            <w:tcW w:w="3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jc w:val="center"/>
              <w:ind w:left="102"/>
              <w:spacing w:after="0" w:line="121" w:lineRule="exact"/>
              <w:rPr>
                <w:sz w:val="20"/>
                <w:szCs w:val="20"/>
                <w:color w:val="auto"/>
              </w:rPr>
            </w:pPr>
            <w:r>
              <w:rPr>
                <w:rFonts w:ascii="Arial" w:cs="Arial" w:eastAsia="Arial" w:hAnsi="Arial"/>
                <w:sz w:val="11"/>
                <w:szCs w:val="11"/>
                <w:color w:val="092E44"/>
                <w:w w:val="97"/>
              </w:rPr>
              <w:t>and</w:t>
            </w:r>
          </w:p>
        </w:tc>
        <w:tc>
          <w:tcPr>
            <w:tcW w:w="1060" w:type="dxa"/>
            <w:vAlign w:val="bottom"/>
          </w:tcPr>
          <w:p>
            <w:pPr>
              <w:spacing w:after="0"/>
              <w:rPr>
                <w:sz w:val="10"/>
                <w:szCs w:val="10"/>
                <w:color w:val="auto"/>
              </w:rPr>
            </w:pPr>
          </w:p>
        </w:tc>
        <w:tc>
          <w:tcPr>
            <w:tcW w:w="1020" w:type="dxa"/>
            <w:vAlign w:val="bottom"/>
          </w:tcPr>
          <w:p>
            <w:pPr>
              <w:jc w:val="center"/>
              <w:ind w:left="23"/>
              <w:spacing w:after="0" w:line="121" w:lineRule="exact"/>
              <w:rPr>
                <w:sz w:val="20"/>
                <w:szCs w:val="20"/>
                <w:color w:val="auto"/>
              </w:rPr>
            </w:pPr>
            <w:r>
              <w:rPr>
                <w:rFonts w:ascii="Arial" w:cs="Arial" w:eastAsia="Arial" w:hAnsi="Arial"/>
                <w:sz w:val="11"/>
                <w:szCs w:val="11"/>
                <w:color w:val="092E44"/>
                <w:w w:val="97"/>
              </w:rPr>
              <w:t>and</w:t>
            </w:r>
          </w:p>
        </w:tc>
      </w:tr>
      <w:tr>
        <w:trPr>
          <w:trHeight w:val="154"/>
        </w:trPr>
        <w:tc>
          <w:tcPr>
            <w:tcW w:w="2340" w:type="dxa"/>
            <w:vAlign w:val="bottom"/>
          </w:tcPr>
          <w:p>
            <w:pPr>
              <w:spacing w:after="0"/>
              <w:rPr>
                <w:sz w:val="13"/>
                <w:szCs w:val="13"/>
                <w:color w:val="auto"/>
              </w:rPr>
            </w:pPr>
          </w:p>
        </w:tc>
        <w:tc>
          <w:tcPr>
            <w:tcW w:w="300" w:type="dxa"/>
            <w:vAlign w:val="bottom"/>
          </w:tcPr>
          <w:p>
            <w:pPr>
              <w:jc w:val="right"/>
              <w:ind w:right="50"/>
              <w:spacing w:after="0"/>
              <w:rPr>
                <w:sz w:val="20"/>
                <w:szCs w:val="20"/>
                <w:color w:val="auto"/>
              </w:rPr>
            </w:pPr>
            <w:r>
              <w:rPr>
                <w:rFonts w:ascii="Arial" w:cs="Arial" w:eastAsia="Arial" w:hAnsi="Arial"/>
                <w:sz w:val="11"/>
                <w:szCs w:val="11"/>
                <w:color w:val="092E44"/>
                <w:w w:val="81"/>
              </w:rPr>
              <w:t>Age</w:t>
            </w:r>
          </w:p>
        </w:tc>
        <w:tc>
          <w:tcPr>
            <w:tcW w:w="640" w:type="dxa"/>
            <w:vAlign w:val="bottom"/>
          </w:tcPr>
          <w:p>
            <w:pPr>
              <w:ind w:left="120"/>
              <w:spacing w:after="0"/>
              <w:rPr>
                <w:sz w:val="20"/>
                <w:szCs w:val="20"/>
                <w:color w:val="auto"/>
              </w:rPr>
            </w:pPr>
            <w:r>
              <w:rPr>
                <w:rFonts w:ascii="Arial" w:cs="Arial" w:eastAsia="Arial" w:hAnsi="Arial"/>
                <w:sz w:val="11"/>
                <w:szCs w:val="11"/>
                <w:color w:val="092E44"/>
              </w:rPr>
              <w:t>Since</w:t>
            </w:r>
          </w:p>
        </w:tc>
        <w:tc>
          <w:tcPr>
            <w:tcW w:w="3940" w:type="dxa"/>
            <w:vAlign w:val="bottom"/>
          </w:tcPr>
          <w:p>
            <w:pPr>
              <w:ind w:left="120"/>
              <w:spacing w:after="0"/>
              <w:rPr>
                <w:sz w:val="20"/>
                <w:szCs w:val="20"/>
                <w:color w:val="auto"/>
              </w:rPr>
            </w:pPr>
            <w:r>
              <w:rPr>
                <w:rFonts w:ascii="Arial" w:cs="Arial" w:eastAsia="Arial" w:hAnsi="Arial"/>
                <w:sz w:val="11"/>
                <w:szCs w:val="11"/>
                <w:color w:val="092E44"/>
              </w:rPr>
              <w:t>Occupation and Background</w:t>
            </w:r>
          </w:p>
        </w:tc>
        <w:tc>
          <w:tcPr>
            <w:tcW w:w="180" w:type="dxa"/>
            <w:vAlign w:val="bottom"/>
          </w:tcPr>
          <w:p>
            <w:pPr>
              <w:spacing w:after="0"/>
              <w:rPr>
                <w:sz w:val="13"/>
                <w:szCs w:val="13"/>
                <w:color w:val="auto"/>
              </w:rPr>
            </w:pPr>
          </w:p>
        </w:tc>
        <w:tc>
          <w:tcPr>
            <w:tcW w:w="580" w:type="dxa"/>
            <w:vAlign w:val="bottom"/>
          </w:tcPr>
          <w:p>
            <w:pPr>
              <w:jc w:val="center"/>
              <w:ind w:right="47"/>
              <w:spacing w:after="0"/>
              <w:rPr>
                <w:sz w:val="20"/>
                <w:szCs w:val="20"/>
                <w:color w:val="auto"/>
              </w:rPr>
            </w:pPr>
            <w:r>
              <w:rPr>
                <w:rFonts w:ascii="Arial" w:cs="Arial" w:eastAsia="Arial" w:hAnsi="Arial"/>
                <w:sz w:val="11"/>
                <w:szCs w:val="11"/>
                <w:color w:val="092E44"/>
                <w:w w:val="95"/>
              </w:rPr>
              <w:t>Audit</w:t>
            </w:r>
          </w:p>
        </w:tc>
        <w:tc>
          <w:tcPr>
            <w:tcW w:w="860" w:type="dxa"/>
            <w:vAlign w:val="bottom"/>
          </w:tcPr>
          <w:p>
            <w:pPr>
              <w:jc w:val="center"/>
              <w:ind w:left="102"/>
              <w:spacing w:after="0"/>
              <w:rPr>
                <w:sz w:val="20"/>
                <w:szCs w:val="20"/>
                <w:color w:val="auto"/>
              </w:rPr>
            </w:pPr>
            <w:r>
              <w:rPr>
                <w:rFonts w:ascii="Arial" w:cs="Arial" w:eastAsia="Arial" w:hAnsi="Arial"/>
                <w:sz w:val="11"/>
                <w:szCs w:val="11"/>
                <w:color w:val="092E44"/>
                <w:w w:val="96"/>
              </w:rPr>
              <w:t>Governance</w:t>
            </w:r>
          </w:p>
        </w:tc>
        <w:tc>
          <w:tcPr>
            <w:tcW w:w="1060" w:type="dxa"/>
            <w:vAlign w:val="bottom"/>
          </w:tcPr>
          <w:p>
            <w:pPr>
              <w:jc w:val="center"/>
              <w:ind w:left="75"/>
              <w:spacing w:after="0"/>
              <w:rPr>
                <w:sz w:val="20"/>
                <w:szCs w:val="20"/>
                <w:color w:val="auto"/>
              </w:rPr>
            </w:pPr>
            <w:r>
              <w:rPr>
                <w:rFonts w:ascii="Arial" w:cs="Arial" w:eastAsia="Arial" w:hAnsi="Arial"/>
                <w:sz w:val="11"/>
                <w:szCs w:val="11"/>
                <w:color w:val="092E44"/>
                <w:w w:val="99"/>
              </w:rPr>
              <w:t>Operating</w:t>
            </w:r>
          </w:p>
        </w:tc>
        <w:tc>
          <w:tcPr>
            <w:tcW w:w="1020" w:type="dxa"/>
            <w:vAlign w:val="bottom"/>
          </w:tcPr>
          <w:p>
            <w:pPr>
              <w:jc w:val="center"/>
              <w:ind w:left="23"/>
              <w:spacing w:after="0"/>
              <w:rPr>
                <w:sz w:val="20"/>
                <w:szCs w:val="20"/>
                <w:color w:val="auto"/>
              </w:rPr>
            </w:pPr>
            <w:r>
              <w:rPr>
                <w:rFonts w:ascii="Arial" w:cs="Arial" w:eastAsia="Arial" w:hAnsi="Arial"/>
                <w:sz w:val="11"/>
                <w:szCs w:val="11"/>
                <w:color w:val="092E44"/>
                <w:w w:val="98"/>
              </w:rPr>
              <w:t>Compensation</w:t>
            </w:r>
          </w:p>
        </w:tc>
      </w:tr>
      <w:tr>
        <w:trPr>
          <w:trHeight w:val="73"/>
        </w:trPr>
        <w:tc>
          <w:tcPr>
            <w:tcW w:w="2340" w:type="dxa"/>
            <w:vAlign w:val="bottom"/>
            <w:tcBorders>
              <w:bottom w:val="single" w:sz="8" w:color="E14A6A"/>
            </w:tcBorders>
          </w:tcPr>
          <w:p>
            <w:pPr>
              <w:spacing w:after="0"/>
              <w:rPr>
                <w:sz w:val="6"/>
                <w:szCs w:val="6"/>
                <w:color w:val="auto"/>
              </w:rPr>
            </w:pPr>
          </w:p>
        </w:tc>
        <w:tc>
          <w:tcPr>
            <w:tcW w:w="300" w:type="dxa"/>
            <w:vAlign w:val="bottom"/>
            <w:tcBorders>
              <w:bottom w:val="single" w:sz="8" w:color="E14A6A"/>
            </w:tcBorders>
          </w:tcPr>
          <w:p>
            <w:pPr>
              <w:spacing w:after="0"/>
              <w:rPr>
                <w:sz w:val="6"/>
                <w:szCs w:val="6"/>
                <w:color w:val="auto"/>
              </w:rPr>
            </w:pPr>
          </w:p>
        </w:tc>
        <w:tc>
          <w:tcPr>
            <w:tcW w:w="640" w:type="dxa"/>
            <w:vAlign w:val="bottom"/>
            <w:tcBorders>
              <w:bottom w:val="single" w:sz="8" w:color="E14A6A"/>
            </w:tcBorders>
          </w:tcPr>
          <w:p>
            <w:pPr>
              <w:spacing w:after="0"/>
              <w:rPr>
                <w:sz w:val="6"/>
                <w:szCs w:val="6"/>
                <w:color w:val="auto"/>
              </w:rPr>
            </w:pPr>
          </w:p>
        </w:tc>
        <w:tc>
          <w:tcPr>
            <w:tcW w:w="3940" w:type="dxa"/>
            <w:vAlign w:val="bottom"/>
            <w:tcBorders>
              <w:bottom w:val="single" w:sz="8" w:color="E14A6A"/>
            </w:tcBorders>
          </w:tcPr>
          <w:p>
            <w:pPr>
              <w:spacing w:after="0"/>
              <w:rPr>
                <w:sz w:val="6"/>
                <w:szCs w:val="6"/>
                <w:color w:val="auto"/>
              </w:rPr>
            </w:pPr>
          </w:p>
        </w:tc>
        <w:tc>
          <w:tcPr>
            <w:tcW w:w="180" w:type="dxa"/>
            <w:vAlign w:val="bottom"/>
            <w:tcBorders>
              <w:bottom w:val="single" w:sz="8" w:color="E14A6A"/>
            </w:tcBorders>
          </w:tcPr>
          <w:p>
            <w:pPr>
              <w:spacing w:after="0"/>
              <w:rPr>
                <w:sz w:val="6"/>
                <w:szCs w:val="6"/>
                <w:color w:val="auto"/>
              </w:rPr>
            </w:pPr>
          </w:p>
        </w:tc>
        <w:tc>
          <w:tcPr>
            <w:tcW w:w="580" w:type="dxa"/>
            <w:vAlign w:val="bottom"/>
            <w:tcBorders>
              <w:bottom w:val="single" w:sz="8" w:color="E14A6A"/>
            </w:tcBorders>
          </w:tcPr>
          <w:p>
            <w:pPr>
              <w:spacing w:after="0"/>
              <w:rPr>
                <w:sz w:val="6"/>
                <w:szCs w:val="6"/>
                <w:color w:val="auto"/>
              </w:rPr>
            </w:pPr>
          </w:p>
        </w:tc>
        <w:tc>
          <w:tcPr>
            <w:tcW w:w="860" w:type="dxa"/>
            <w:vAlign w:val="bottom"/>
            <w:tcBorders>
              <w:bottom w:val="single" w:sz="8" w:color="E14A6A"/>
            </w:tcBorders>
          </w:tcPr>
          <w:p>
            <w:pPr>
              <w:spacing w:after="0"/>
              <w:rPr>
                <w:sz w:val="6"/>
                <w:szCs w:val="6"/>
                <w:color w:val="auto"/>
              </w:rPr>
            </w:pPr>
          </w:p>
        </w:tc>
        <w:tc>
          <w:tcPr>
            <w:tcW w:w="1060" w:type="dxa"/>
            <w:vAlign w:val="bottom"/>
            <w:tcBorders>
              <w:bottom w:val="single" w:sz="8" w:color="E14A6A"/>
            </w:tcBorders>
          </w:tcPr>
          <w:p>
            <w:pPr>
              <w:spacing w:after="0"/>
              <w:rPr>
                <w:sz w:val="6"/>
                <w:szCs w:val="6"/>
                <w:color w:val="auto"/>
              </w:rPr>
            </w:pPr>
          </w:p>
        </w:tc>
        <w:tc>
          <w:tcPr>
            <w:tcW w:w="1020" w:type="dxa"/>
            <w:vAlign w:val="bottom"/>
            <w:tcBorders>
              <w:bottom w:val="single" w:sz="8" w:color="E14A6A"/>
            </w:tcBorders>
          </w:tcPr>
          <w:p>
            <w:pPr>
              <w:spacing w:after="0"/>
              <w:rPr>
                <w:sz w:val="6"/>
                <w:szCs w:val="6"/>
                <w:color w:val="auto"/>
              </w:rPr>
            </w:pPr>
          </w:p>
        </w:tc>
      </w:tr>
      <w:tr>
        <w:trPr>
          <w:trHeight w:val="273"/>
        </w:trPr>
        <w:tc>
          <w:tcPr>
            <w:tcW w:w="2340" w:type="dxa"/>
            <w:vAlign w:val="bottom"/>
          </w:tcPr>
          <w:p>
            <w:pPr>
              <w:ind w:left="80"/>
              <w:spacing w:after="0"/>
              <w:rPr>
                <w:sz w:val="20"/>
                <w:szCs w:val="20"/>
                <w:color w:val="auto"/>
              </w:rPr>
            </w:pPr>
            <w:r>
              <w:rPr>
                <w:rFonts w:ascii="Arial" w:cs="Arial" w:eastAsia="Arial" w:hAnsi="Arial"/>
                <w:sz w:val="18"/>
                <w:szCs w:val="18"/>
                <w:b w:val="1"/>
                <w:bCs w:val="1"/>
                <w:color w:val="E14A6A"/>
              </w:rPr>
              <w:t>NOMINEES</w:t>
            </w: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41"/>
        </w:trPr>
        <w:tc>
          <w:tcPr>
            <w:tcW w:w="2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8"/>
        </w:trPr>
        <w:tc>
          <w:tcPr>
            <w:tcW w:w="2340" w:type="dxa"/>
            <w:vAlign w:val="bottom"/>
            <w:shd w:val="clear" w:color="auto" w:fill="DDE9F2"/>
          </w:tcPr>
          <w:p>
            <w:pPr>
              <w:ind w:left="80"/>
              <w:spacing w:after="0"/>
              <w:rPr>
                <w:sz w:val="20"/>
                <w:szCs w:val="20"/>
                <w:color w:val="auto"/>
              </w:rPr>
            </w:pPr>
            <w:r>
              <w:rPr>
                <w:rFonts w:ascii="Arial" w:cs="Arial" w:eastAsia="Arial" w:hAnsi="Arial"/>
                <w:sz w:val="16"/>
                <w:szCs w:val="16"/>
                <w:b w:val="1"/>
                <w:bCs w:val="1"/>
                <w:color w:val="092E44"/>
              </w:rPr>
              <w:t>Nicholas Adamo</w:t>
            </w:r>
            <w:r>
              <w:rPr>
                <w:rFonts w:ascii="Arial" w:cs="Arial" w:eastAsia="Arial" w:hAnsi="Arial"/>
                <w:sz w:val="16"/>
                <w:szCs w:val="16"/>
                <w:color w:val="000000"/>
              </w:rPr>
              <w:t>,</w:t>
            </w:r>
          </w:p>
        </w:tc>
        <w:tc>
          <w:tcPr>
            <w:tcW w:w="300" w:type="dxa"/>
            <w:vAlign w:val="bottom"/>
            <w:shd w:val="clear" w:color="auto" w:fill="DDE9F2"/>
          </w:tcPr>
          <w:p>
            <w:pPr>
              <w:jc w:val="right"/>
              <w:ind w:right="30"/>
              <w:spacing w:after="0"/>
              <w:rPr>
                <w:sz w:val="20"/>
                <w:szCs w:val="20"/>
                <w:color w:val="auto"/>
              </w:rPr>
            </w:pPr>
            <w:r>
              <w:rPr>
                <w:rFonts w:ascii="Arial" w:cs="Arial" w:eastAsia="Arial" w:hAnsi="Arial"/>
                <w:sz w:val="14"/>
                <w:szCs w:val="14"/>
                <w:color w:val="092E44"/>
              </w:rPr>
              <w:t>58</w:t>
            </w:r>
          </w:p>
        </w:tc>
        <w:tc>
          <w:tcPr>
            <w:tcW w:w="640" w:type="dxa"/>
            <w:vAlign w:val="bottom"/>
            <w:shd w:val="clear" w:color="auto" w:fill="DDE9F2"/>
          </w:tcPr>
          <w:p>
            <w:pPr>
              <w:jc w:val="right"/>
              <w:ind w:right="52"/>
              <w:spacing w:after="0"/>
              <w:rPr>
                <w:sz w:val="20"/>
                <w:szCs w:val="20"/>
                <w:color w:val="auto"/>
              </w:rPr>
            </w:pPr>
            <w:r>
              <w:rPr>
                <w:rFonts w:ascii="Arial" w:cs="Arial" w:eastAsia="Arial" w:hAnsi="Arial"/>
                <w:sz w:val="14"/>
                <w:szCs w:val="14"/>
                <w:color w:val="092E44"/>
              </w:rPr>
              <w:t>2018</w:t>
            </w:r>
          </w:p>
        </w:tc>
        <w:tc>
          <w:tcPr>
            <w:tcW w:w="3940" w:type="dxa"/>
            <w:vAlign w:val="bottom"/>
            <w:shd w:val="clear" w:color="auto" w:fill="DDE9F2"/>
          </w:tcPr>
          <w:p>
            <w:pPr>
              <w:ind w:left="120"/>
              <w:spacing w:after="0"/>
              <w:rPr>
                <w:sz w:val="20"/>
                <w:szCs w:val="20"/>
                <w:color w:val="auto"/>
              </w:rPr>
            </w:pPr>
            <w:r>
              <w:rPr>
                <w:rFonts w:ascii="Arial" w:cs="Arial" w:eastAsia="Arial" w:hAnsi="Arial"/>
                <w:sz w:val="14"/>
                <w:szCs w:val="14"/>
                <w:color w:val="092E44"/>
              </w:rPr>
              <w:t>Former Senior Vice President of the Americas, Cisco</w:t>
            </w:r>
          </w:p>
        </w:tc>
        <w:tc>
          <w:tcPr>
            <w:tcW w:w="180" w:type="dxa"/>
            <w:vAlign w:val="bottom"/>
            <w:shd w:val="clear" w:color="auto" w:fill="DDE9F2"/>
          </w:tcPr>
          <w:p>
            <w:pPr>
              <w:spacing w:after="0"/>
              <w:rPr>
                <w:sz w:val="18"/>
                <w:szCs w:val="18"/>
                <w:color w:val="auto"/>
              </w:rPr>
            </w:pPr>
          </w:p>
        </w:tc>
        <w:tc>
          <w:tcPr>
            <w:tcW w:w="580" w:type="dxa"/>
            <w:vAlign w:val="bottom"/>
            <w:shd w:val="clear" w:color="auto" w:fill="DDE9F2"/>
          </w:tcPr>
          <w:p>
            <w:pPr>
              <w:spacing w:after="0"/>
              <w:rPr>
                <w:sz w:val="18"/>
                <w:szCs w:val="18"/>
                <w:color w:val="auto"/>
              </w:rPr>
            </w:pPr>
          </w:p>
        </w:tc>
        <w:tc>
          <w:tcPr>
            <w:tcW w:w="860" w:type="dxa"/>
            <w:vAlign w:val="bottom"/>
            <w:shd w:val="clear" w:color="auto" w:fill="DDE9F2"/>
          </w:tcPr>
          <w:p>
            <w:pPr>
              <w:spacing w:after="0"/>
              <w:rPr>
                <w:sz w:val="18"/>
                <w:szCs w:val="18"/>
                <w:color w:val="auto"/>
              </w:rPr>
            </w:pPr>
          </w:p>
        </w:tc>
        <w:tc>
          <w:tcPr>
            <w:tcW w:w="1060" w:type="dxa"/>
            <w:vAlign w:val="bottom"/>
            <w:shd w:val="clear" w:color="auto" w:fill="DDE9F2"/>
          </w:tcPr>
          <w:p>
            <w:pPr>
              <w:spacing w:after="0"/>
              <w:rPr>
                <w:sz w:val="18"/>
                <w:szCs w:val="18"/>
                <w:color w:val="auto"/>
              </w:rPr>
            </w:pPr>
          </w:p>
        </w:tc>
        <w:tc>
          <w:tcPr>
            <w:tcW w:w="1020" w:type="dxa"/>
            <w:vAlign w:val="bottom"/>
            <w:shd w:val="clear" w:color="auto" w:fill="DDE9F2"/>
          </w:tcPr>
          <w:p>
            <w:pPr>
              <w:spacing w:after="0"/>
              <w:rPr>
                <w:sz w:val="18"/>
                <w:szCs w:val="18"/>
                <w:color w:val="auto"/>
              </w:rPr>
            </w:pPr>
          </w:p>
        </w:tc>
      </w:tr>
      <w:tr>
        <w:trPr>
          <w:trHeight w:val="216"/>
        </w:trPr>
        <w:tc>
          <w:tcPr>
            <w:tcW w:w="2340" w:type="dxa"/>
            <w:vAlign w:val="bottom"/>
            <w:shd w:val="clear" w:color="auto" w:fill="DDE9F2"/>
          </w:tcPr>
          <w:p>
            <w:pPr>
              <w:ind w:left="80"/>
              <w:spacing w:after="0"/>
              <w:rPr>
                <w:sz w:val="20"/>
                <w:szCs w:val="20"/>
                <w:color w:val="auto"/>
              </w:rPr>
            </w:pPr>
            <w:r>
              <w:rPr>
                <w:rFonts w:ascii="Arial" w:cs="Arial" w:eastAsia="Arial" w:hAnsi="Arial"/>
                <w:sz w:val="14"/>
                <w:szCs w:val="14"/>
                <w:color w:val="092E44"/>
              </w:rPr>
              <w:t>Chair of the Board</w:t>
            </w:r>
          </w:p>
        </w:tc>
        <w:tc>
          <w:tcPr>
            <w:tcW w:w="300" w:type="dxa"/>
            <w:vAlign w:val="bottom"/>
            <w:shd w:val="clear" w:color="auto" w:fill="DDE9F2"/>
          </w:tcPr>
          <w:p>
            <w:pPr>
              <w:spacing w:after="0"/>
              <w:rPr>
                <w:sz w:val="18"/>
                <w:szCs w:val="18"/>
                <w:color w:val="auto"/>
              </w:rPr>
            </w:pPr>
          </w:p>
        </w:tc>
        <w:tc>
          <w:tcPr>
            <w:tcW w:w="640" w:type="dxa"/>
            <w:vAlign w:val="bottom"/>
            <w:shd w:val="clear" w:color="auto" w:fill="DDE9F2"/>
          </w:tcPr>
          <w:p>
            <w:pPr>
              <w:spacing w:after="0"/>
              <w:rPr>
                <w:sz w:val="18"/>
                <w:szCs w:val="18"/>
                <w:color w:val="auto"/>
              </w:rPr>
            </w:pPr>
          </w:p>
        </w:tc>
        <w:tc>
          <w:tcPr>
            <w:tcW w:w="3940" w:type="dxa"/>
            <w:vAlign w:val="bottom"/>
            <w:shd w:val="clear" w:color="auto" w:fill="DDE9F2"/>
          </w:tcPr>
          <w:p>
            <w:pPr>
              <w:ind w:left="120"/>
              <w:spacing w:after="0"/>
              <w:rPr>
                <w:sz w:val="20"/>
                <w:szCs w:val="20"/>
                <w:color w:val="auto"/>
              </w:rPr>
            </w:pPr>
            <w:r>
              <w:rPr>
                <w:rFonts w:ascii="Arial" w:cs="Arial" w:eastAsia="Arial" w:hAnsi="Arial"/>
                <w:sz w:val="14"/>
                <w:szCs w:val="14"/>
                <w:color w:val="092E44"/>
              </w:rPr>
              <w:t>Systems</w:t>
            </w:r>
          </w:p>
        </w:tc>
        <w:tc>
          <w:tcPr>
            <w:tcW w:w="180" w:type="dxa"/>
            <w:vAlign w:val="bottom"/>
            <w:shd w:val="clear" w:color="auto" w:fill="DDE9F2"/>
          </w:tcPr>
          <w:p>
            <w:pPr>
              <w:spacing w:after="0"/>
              <w:rPr>
                <w:sz w:val="18"/>
                <w:szCs w:val="18"/>
                <w:color w:val="auto"/>
              </w:rPr>
            </w:pPr>
          </w:p>
        </w:tc>
        <w:tc>
          <w:tcPr>
            <w:tcW w:w="580" w:type="dxa"/>
            <w:vAlign w:val="bottom"/>
            <w:shd w:val="clear" w:color="auto" w:fill="DDE9F2"/>
          </w:tcPr>
          <w:p>
            <w:pPr>
              <w:spacing w:after="0"/>
              <w:rPr>
                <w:sz w:val="18"/>
                <w:szCs w:val="18"/>
                <w:color w:val="auto"/>
              </w:rPr>
            </w:pPr>
          </w:p>
        </w:tc>
        <w:tc>
          <w:tcPr>
            <w:tcW w:w="860" w:type="dxa"/>
            <w:vAlign w:val="bottom"/>
            <w:shd w:val="clear" w:color="auto" w:fill="DDE9F2"/>
          </w:tcPr>
          <w:p>
            <w:pPr>
              <w:spacing w:after="0"/>
              <w:rPr>
                <w:sz w:val="18"/>
                <w:szCs w:val="18"/>
                <w:color w:val="auto"/>
              </w:rPr>
            </w:pPr>
          </w:p>
        </w:tc>
        <w:tc>
          <w:tcPr>
            <w:tcW w:w="1060" w:type="dxa"/>
            <w:vAlign w:val="bottom"/>
            <w:shd w:val="clear" w:color="auto" w:fill="DDE9F2"/>
          </w:tcPr>
          <w:p>
            <w:pPr>
              <w:spacing w:after="0"/>
              <w:rPr>
                <w:sz w:val="18"/>
                <w:szCs w:val="18"/>
                <w:color w:val="auto"/>
              </w:rPr>
            </w:pPr>
          </w:p>
        </w:tc>
        <w:tc>
          <w:tcPr>
            <w:tcW w:w="1020" w:type="dxa"/>
            <w:vAlign w:val="bottom"/>
            <w:shd w:val="clear" w:color="auto" w:fill="DDE9F2"/>
          </w:tcPr>
          <w:p>
            <w:pPr>
              <w:spacing w:after="0"/>
              <w:rPr>
                <w:sz w:val="18"/>
                <w:szCs w:val="18"/>
                <w:color w:val="auto"/>
              </w:rPr>
            </w:pPr>
          </w:p>
        </w:tc>
      </w:tr>
      <w:tr>
        <w:trPr>
          <w:trHeight w:val="61"/>
        </w:trPr>
        <w:tc>
          <w:tcPr>
            <w:tcW w:w="2340" w:type="dxa"/>
            <w:vAlign w:val="bottom"/>
            <w:shd w:val="clear" w:color="auto" w:fill="DDE9F2"/>
          </w:tcPr>
          <w:p>
            <w:pPr>
              <w:spacing w:after="0"/>
              <w:rPr>
                <w:sz w:val="5"/>
                <w:szCs w:val="5"/>
                <w:color w:val="auto"/>
              </w:rPr>
            </w:pPr>
          </w:p>
        </w:tc>
        <w:tc>
          <w:tcPr>
            <w:tcW w:w="300" w:type="dxa"/>
            <w:vAlign w:val="bottom"/>
            <w:shd w:val="clear" w:color="auto" w:fill="DDE9F2"/>
          </w:tcPr>
          <w:p>
            <w:pPr>
              <w:spacing w:after="0"/>
              <w:rPr>
                <w:sz w:val="5"/>
                <w:szCs w:val="5"/>
                <w:color w:val="auto"/>
              </w:rPr>
            </w:pPr>
          </w:p>
        </w:tc>
        <w:tc>
          <w:tcPr>
            <w:tcW w:w="640" w:type="dxa"/>
            <w:vAlign w:val="bottom"/>
            <w:shd w:val="clear" w:color="auto" w:fill="DDE9F2"/>
          </w:tcPr>
          <w:p>
            <w:pPr>
              <w:spacing w:after="0"/>
              <w:rPr>
                <w:sz w:val="5"/>
                <w:szCs w:val="5"/>
                <w:color w:val="auto"/>
              </w:rPr>
            </w:pPr>
          </w:p>
        </w:tc>
        <w:tc>
          <w:tcPr>
            <w:tcW w:w="3940" w:type="dxa"/>
            <w:vAlign w:val="bottom"/>
            <w:shd w:val="clear" w:color="auto" w:fill="DDE9F2"/>
          </w:tcPr>
          <w:p>
            <w:pPr>
              <w:spacing w:after="0"/>
              <w:rPr>
                <w:sz w:val="5"/>
                <w:szCs w:val="5"/>
                <w:color w:val="auto"/>
              </w:rPr>
            </w:pPr>
          </w:p>
        </w:tc>
        <w:tc>
          <w:tcPr>
            <w:tcW w:w="180" w:type="dxa"/>
            <w:vAlign w:val="bottom"/>
            <w:shd w:val="clear" w:color="auto" w:fill="DDE9F2"/>
          </w:tcPr>
          <w:p>
            <w:pPr>
              <w:spacing w:after="0"/>
              <w:rPr>
                <w:sz w:val="5"/>
                <w:szCs w:val="5"/>
                <w:color w:val="auto"/>
              </w:rPr>
            </w:pPr>
          </w:p>
        </w:tc>
        <w:tc>
          <w:tcPr>
            <w:tcW w:w="580" w:type="dxa"/>
            <w:vAlign w:val="bottom"/>
            <w:shd w:val="clear" w:color="auto" w:fill="DDE9F2"/>
          </w:tcPr>
          <w:p>
            <w:pPr>
              <w:spacing w:after="0"/>
              <w:rPr>
                <w:sz w:val="5"/>
                <w:szCs w:val="5"/>
                <w:color w:val="auto"/>
              </w:rPr>
            </w:pPr>
          </w:p>
        </w:tc>
        <w:tc>
          <w:tcPr>
            <w:tcW w:w="860" w:type="dxa"/>
            <w:vAlign w:val="bottom"/>
            <w:shd w:val="clear" w:color="auto" w:fill="DDE9F2"/>
          </w:tcPr>
          <w:p>
            <w:pPr>
              <w:spacing w:after="0"/>
              <w:rPr>
                <w:sz w:val="5"/>
                <w:szCs w:val="5"/>
                <w:color w:val="auto"/>
              </w:rPr>
            </w:pPr>
          </w:p>
        </w:tc>
        <w:tc>
          <w:tcPr>
            <w:tcW w:w="1060" w:type="dxa"/>
            <w:vAlign w:val="bottom"/>
            <w:shd w:val="clear" w:color="auto" w:fill="DDE9F2"/>
          </w:tcPr>
          <w:p>
            <w:pPr>
              <w:spacing w:after="0"/>
              <w:rPr>
                <w:sz w:val="5"/>
                <w:szCs w:val="5"/>
                <w:color w:val="auto"/>
              </w:rPr>
            </w:pPr>
          </w:p>
        </w:tc>
        <w:tc>
          <w:tcPr>
            <w:tcW w:w="1020" w:type="dxa"/>
            <w:vAlign w:val="bottom"/>
            <w:shd w:val="clear" w:color="auto" w:fill="DDE9F2"/>
          </w:tcPr>
          <w:p>
            <w:pPr>
              <w:spacing w:after="0"/>
              <w:rPr>
                <w:sz w:val="5"/>
                <w:szCs w:val="5"/>
                <w:color w:val="auto"/>
              </w:rPr>
            </w:pPr>
          </w:p>
        </w:tc>
      </w:tr>
      <w:tr>
        <w:trPr>
          <w:trHeight w:val="218"/>
        </w:trPr>
        <w:tc>
          <w:tcPr>
            <w:tcW w:w="2340" w:type="dxa"/>
            <w:vAlign w:val="bottom"/>
          </w:tcPr>
          <w:p>
            <w:pPr>
              <w:ind w:left="80"/>
              <w:spacing w:after="0"/>
              <w:rPr>
                <w:sz w:val="20"/>
                <w:szCs w:val="20"/>
                <w:color w:val="auto"/>
              </w:rPr>
            </w:pPr>
            <w:r>
              <w:rPr>
                <w:rFonts w:ascii="Arial" w:cs="Arial" w:eastAsia="Arial" w:hAnsi="Arial"/>
                <w:sz w:val="16"/>
                <w:szCs w:val="16"/>
                <w:b w:val="1"/>
                <w:bCs w:val="1"/>
                <w:color w:val="092E44"/>
              </w:rPr>
              <w:t>Martha H. Bejar</w:t>
            </w:r>
          </w:p>
        </w:tc>
        <w:tc>
          <w:tcPr>
            <w:tcW w:w="300" w:type="dxa"/>
            <w:vAlign w:val="bottom"/>
          </w:tcPr>
          <w:p>
            <w:pPr>
              <w:jc w:val="right"/>
              <w:ind w:right="30"/>
              <w:spacing w:after="0"/>
              <w:rPr>
                <w:sz w:val="20"/>
                <w:szCs w:val="20"/>
                <w:color w:val="auto"/>
              </w:rPr>
            </w:pPr>
            <w:r>
              <w:rPr>
                <w:rFonts w:ascii="Arial" w:cs="Arial" w:eastAsia="Arial" w:hAnsi="Arial"/>
                <w:sz w:val="14"/>
                <w:szCs w:val="14"/>
                <w:color w:val="092E44"/>
              </w:rPr>
              <w:t>60</w:t>
            </w:r>
          </w:p>
        </w:tc>
        <w:tc>
          <w:tcPr>
            <w:tcW w:w="640" w:type="dxa"/>
            <w:vAlign w:val="bottom"/>
          </w:tcPr>
          <w:p>
            <w:pPr>
              <w:jc w:val="right"/>
              <w:ind w:right="52"/>
              <w:spacing w:after="0"/>
              <w:rPr>
                <w:sz w:val="20"/>
                <w:szCs w:val="20"/>
                <w:color w:val="auto"/>
              </w:rPr>
            </w:pPr>
            <w:r>
              <w:rPr>
                <w:rFonts w:ascii="Arial" w:cs="Arial" w:eastAsia="Arial" w:hAnsi="Arial"/>
                <w:sz w:val="14"/>
                <w:szCs w:val="14"/>
                <w:color w:val="092E44"/>
              </w:rPr>
              <w:t>2018</w:t>
            </w:r>
          </w:p>
        </w:tc>
        <w:tc>
          <w:tcPr>
            <w:tcW w:w="3940" w:type="dxa"/>
            <w:vAlign w:val="bottom"/>
          </w:tcPr>
          <w:p>
            <w:pPr>
              <w:ind w:left="120"/>
              <w:spacing w:after="0"/>
              <w:rPr>
                <w:sz w:val="20"/>
                <w:szCs w:val="20"/>
                <w:color w:val="auto"/>
              </w:rPr>
            </w:pPr>
            <w:r>
              <w:rPr>
                <w:rFonts w:ascii="Arial" w:cs="Arial" w:eastAsia="Arial" w:hAnsi="Arial"/>
                <w:sz w:val="14"/>
                <w:szCs w:val="14"/>
                <w:color w:val="092E44"/>
              </w:rPr>
              <w:t>Senior Partner, Dagrosa Capital LLC and Chief Executive</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89"/>
        </w:trPr>
        <w:tc>
          <w:tcPr>
            <w:tcW w:w="2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940" w:type="dxa"/>
            <w:vAlign w:val="bottom"/>
          </w:tcPr>
          <w:p>
            <w:pPr>
              <w:ind w:left="120"/>
              <w:spacing w:after="0"/>
              <w:rPr>
                <w:sz w:val="20"/>
                <w:szCs w:val="20"/>
                <w:color w:val="auto"/>
              </w:rPr>
            </w:pPr>
            <w:r>
              <w:rPr>
                <w:rFonts w:ascii="Arial" w:cs="Arial" w:eastAsia="Arial" w:hAnsi="Arial"/>
                <w:sz w:val="14"/>
                <w:szCs w:val="14"/>
                <w:color w:val="092E44"/>
              </w:rPr>
              <w:t>Officer of Red Bison Advisory Group, LLC</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48"/>
        </w:trPr>
        <w:tc>
          <w:tcPr>
            <w:tcW w:w="2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74"/>
        </w:trPr>
        <w:tc>
          <w:tcPr>
            <w:tcW w:w="2340" w:type="dxa"/>
            <w:vAlign w:val="bottom"/>
            <w:shd w:val="clear" w:color="auto" w:fill="DDE9F2"/>
          </w:tcPr>
          <w:p>
            <w:pPr>
              <w:ind w:left="80"/>
              <w:spacing w:after="0"/>
              <w:rPr>
                <w:sz w:val="20"/>
                <w:szCs w:val="20"/>
                <w:color w:val="auto"/>
              </w:rPr>
            </w:pPr>
            <w:r>
              <w:rPr>
                <w:rFonts w:ascii="Arial" w:cs="Arial" w:eastAsia="Arial" w:hAnsi="Arial"/>
                <w:sz w:val="16"/>
                <w:szCs w:val="16"/>
                <w:b w:val="1"/>
                <w:bCs w:val="1"/>
                <w:color w:val="092E44"/>
              </w:rPr>
              <w:t>Keith Geeslin</w:t>
            </w:r>
          </w:p>
        </w:tc>
        <w:tc>
          <w:tcPr>
            <w:tcW w:w="300" w:type="dxa"/>
            <w:vAlign w:val="bottom"/>
            <w:shd w:val="clear" w:color="auto" w:fill="DDE9F2"/>
          </w:tcPr>
          <w:p>
            <w:pPr>
              <w:jc w:val="right"/>
              <w:ind w:right="30"/>
              <w:spacing w:after="0"/>
              <w:rPr>
                <w:sz w:val="20"/>
                <w:szCs w:val="20"/>
                <w:color w:val="auto"/>
              </w:rPr>
            </w:pPr>
            <w:r>
              <w:rPr>
                <w:rFonts w:ascii="Arial" w:cs="Arial" w:eastAsia="Arial" w:hAnsi="Arial"/>
                <w:sz w:val="14"/>
                <w:szCs w:val="14"/>
                <w:color w:val="092E44"/>
              </w:rPr>
              <w:t>69</w:t>
            </w:r>
          </w:p>
        </w:tc>
        <w:tc>
          <w:tcPr>
            <w:tcW w:w="640" w:type="dxa"/>
            <w:vAlign w:val="bottom"/>
            <w:shd w:val="clear" w:color="auto" w:fill="DDE9F2"/>
          </w:tcPr>
          <w:p>
            <w:pPr>
              <w:jc w:val="right"/>
              <w:ind w:right="52"/>
              <w:spacing w:after="0"/>
              <w:rPr>
                <w:sz w:val="20"/>
                <w:szCs w:val="20"/>
                <w:color w:val="auto"/>
              </w:rPr>
            </w:pPr>
            <w:r>
              <w:rPr>
                <w:rFonts w:ascii="Arial" w:cs="Arial" w:eastAsia="Arial" w:hAnsi="Arial"/>
                <w:sz w:val="14"/>
                <w:szCs w:val="14"/>
                <w:color w:val="092E44"/>
              </w:rPr>
              <w:t>1996</w:t>
            </w:r>
          </w:p>
        </w:tc>
        <w:tc>
          <w:tcPr>
            <w:tcW w:w="3940" w:type="dxa"/>
            <w:vAlign w:val="bottom"/>
            <w:shd w:val="clear" w:color="auto" w:fill="DDE9F2"/>
          </w:tcPr>
          <w:p>
            <w:pPr>
              <w:ind w:left="120"/>
              <w:spacing w:after="0"/>
              <w:rPr>
                <w:sz w:val="20"/>
                <w:szCs w:val="20"/>
                <w:color w:val="auto"/>
              </w:rPr>
            </w:pPr>
            <w:r>
              <w:rPr>
                <w:rFonts w:ascii="Arial" w:cs="Arial" w:eastAsia="Arial" w:hAnsi="Arial"/>
                <w:sz w:val="14"/>
                <w:szCs w:val="14"/>
                <w:color w:val="092E44"/>
              </w:rPr>
              <w:t>Partner, Francisco Partners</w:t>
            </w:r>
          </w:p>
        </w:tc>
        <w:tc>
          <w:tcPr>
            <w:tcW w:w="180" w:type="dxa"/>
            <w:vAlign w:val="bottom"/>
            <w:shd w:val="clear" w:color="auto" w:fill="DDE9F2"/>
          </w:tcPr>
          <w:p>
            <w:pPr>
              <w:spacing w:after="0"/>
              <w:rPr>
                <w:sz w:val="23"/>
                <w:szCs w:val="23"/>
                <w:color w:val="auto"/>
              </w:rPr>
            </w:pPr>
          </w:p>
        </w:tc>
        <w:tc>
          <w:tcPr>
            <w:tcW w:w="580" w:type="dxa"/>
            <w:vAlign w:val="bottom"/>
            <w:shd w:val="clear" w:color="auto" w:fill="DDE9F2"/>
          </w:tcPr>
          <w:p>
            <w:pPr>
              <w:spacing w:after="0"/>
              <w:rPr>
                <w:sz w:val="23"/>
                <w:szCs w:val="23"/>
                <w:color w:val="auto"/>
              </w:rPr>
            </w:pPr>
          </w:p>
        </w:tc>
        <w:tc>
          <w:tcPr>
            <w:tcW w:w="860" w:type="dxa"/>
            <w:vAlign w:val="bottom"/>
            <w:shd w:val="clear" w:color="auto" w:fill="DDE9F2"/>
          </w:tcPr>
          <w:p>
            <w:pPr>
              <w:spacing w:after="0"/>
              <w:rPr>
                <w:sz w:val="23"/>
                <w:szCs w:val="23"/>
                <w:color w:val="auto"/>
              </w:rPr>
            </w:pPr>
          </w:p>
        </w:tc>
        <w:tc>
          <w:tcPr>
            <w:tcW w:w="1060" w:type="dxa"/>
            <w:vAlign w:val="bottom"/>
            <w:shd w:val="clear" w:color="auto" w:fill="DDE9F2"/>
          </w:tcPr>
          <w:p>
            <w:pPr>
              <w:spacing w:after="0"/>
              <w:rPr>
                <w:sz w:val="23"/>
                <w:szCs w:val="23"/>
                <w:color w:val="auto"/>
              </w:rPr>
            </w:pPr>
          </w:p>
        </w:tc>
        <w:tc>
          <w:tcPr>
            <w:tcW w:w="1020" w:type="dxa"/>
            <w:vAlign w:val="bottom"/>
            <w:shd w:val="clear" w:color="auto" w:fill="DDE9F2"/>
          </w:tcPr>
          <w:p>
            <w:pPr>
              <w:spacing w:after="0"/>
              <w:rPr>
                <w:sz w:val="23"/>
                <w:szCs w:val="23"/>
                <w:color w:val="auto"/>
              </w:rPr>
            </w:pPr>
          </w:p>
        </w:tc>
      </w:tr>
      <w:tr>
        <w:trPr>
          <w:trHeight w:val="87"/>
        </w:trPr>
        <w:tc>
          <w:tcPr>
            <w:tcW w:w="2340" w:type="dxa"/>
            <w:vAlign w:val="bottom"/>
            <w:shd w:val="clear" w:color="auto" w:fill="DDE9F2"/>
          </w:tcPr>
          <w:p>
            <w:pPr>
              <w:spacing w:after="0"/>
              <w:rPr>
                <w:sz w:val="7"/>
                <w:szCs w:val="7"/>
                <w:color w:val="auto"/>
              </w:rPr>
            </w:pPr>
          </w:p>
        </w:tc>
        <w:tc>
          <w:tcPr>
            <w:tcW w:w="300" w:type="dxa"/>
            <w:vAlign w:val="bottom"/>
            <w:shd w:val="clear" w:color="auto" w:fill="DDE9F2"/>
          </w:tcPr>
          <w:p>
            <w:pPr>
              <w:spacing w:after="0"/>
              <w:rPr>
                <w:sz w:val="7"/>
                <w:szCs w:val="7"/>
                <w:color w:val="auto"/>
              </w:rPr>
            </w:pPr>
          </w:p>
        </w:tc>
        <w:tc>
          <w:tcPr>
            <w:tcW w:w="640" w:type="dxa"/>
            <w:vAlign w:val="bottom"/>
            <w:shd w:val="clear" w:color="auto" w:fill="DDE9F2"/>
          </w:tcPr>
          <w:p>
            <w:pPr>
              <w:spacing w:after="0"/>
              <w:rPr>
                <w:sz w:val="7"/>
                <w:szCs w:val="7"/>
                <w:color w:val="auto"/>
              </w:rPr>
            </w:pPr>
          </w:p>
        </w:tc>
        <w:tc>
          <w:tcPr>
            <w:tcW w:w="3940" w:type="dxa"/>
            <w:vAlign w:val="bottom"/>
            <w:shd w:val="clear" w:color="auto" w:fill="DDE9F2"/>
          </w:tcPr>
          <w:p>
            <w:pPr>
              <w:spacing w:after="0"/>
              <w:rPr>
                <w:sz w:val="7"/>
                <w:szCs w:val="7"/>
                <w:color w:val="auto"/>
              </w:rPr>
            </w:pPr>
          </w:p>
        </w:tc>
        <w:tc>
          <w:tcPr>
            <w:tcW w:w="180" w:type="dxa"/>
            <w:vAlign w:val="bottom"/>
            <w:shd w:val="clear" w:color="auto" w:fill="DDE9F2"/>
          </w:tcPr>
          <w:p>
            <w:pPr>
              <w:spacing w:after="0"/>
              <w:rPr>
                <w:sz w:val="7"/>
                <w:szCs w:val="7"/>
                <w:color w:val="auto"/>
              </w:rPr>
            </w:pPr>
          </w:p>
        </w:tc>
        <w:tc>
          <w:tcPr>
            <w:tcW w:w="580" w:type="dxa"/>
            <w:vAlign w:val="bottom"/>
            <w:shd w:val="clear" w:color="auto" w:fill="DDE9F2"/>
          </w:tcPr>
          <w:p>
            <w:pPr>
              <w:spacing w:after="0"/>
              <w:rPr>
                <w:sz w:val="7"/>
                <w:szCs w:val="7"/>
                <w:color w:val="auto"/>
              </w:rPr>
            </w:pPr>
          </w:p>
        </w:tc>
        <w:tc>
          <w:tcPr>
            <w:tcW w:w="860" w:type="dxa"/>
            <w:vAlign w:val="bottom"/>
            <w:shd w:val="clear" w:color="auto" w:fill="DDE9F2"/>
          </w:tcPr>
          <w:p>
            <w:pPr>
              <w:spacing w:after="0"/>
              <w:rPr>
                <w:sz w:val="7"/>
                <w:szCs w:val="7"/>
                <w:color w:val="auto"/>
              </w:rPr>
            </w:pPr>
          </w:p>
        </w:tc>
        <w:tc>
          <w:tcPr>
            <w:tcW w:w="1060" w:type="dxa"/>
            <w:vAlign w:val="bottom"/>
            <w:shd w:val="clear" w:color="auto" w:fill="DDE9F2"/>
          </w:tcPr>
          <w:p>
            <w:pPr>
              <w:spacing w:after="0"/>
              <w:rPr>
                <w:sz w:val="7"/>
                <w:szCs w:val="7"/>
                <w:color w:val="auto"/>
              </w:rPr>
            </w:pPr>
          </w:p>
        </w:tc>
        <w:tc>
          <w:tcPr>
            <w:tcW w:w="1020" w:type="dxa"/>
            <w:vAlign w:val="bottom"/>
            <w:shd w:val="clear" w:color="auto" w:fill="DDE9F2"/>
          </w:tcPr>
          <w:p>
            <w:pPr>
              <w:spacing w:after="0"/>
              <w:rPr>
                <w:sz w:val="7"/>
                <w:szCs w:val="7"/>
                <w:color w:val="auto"/>
              </w:rPr>
            </w:pPr>
          </w:p>
        </w:tc>
      </w:tr>
      <w:tr>
        <w:trPr>
          <w:trHeight w:val="274"/>
        </w:trPr>
        <w:tc>
          <w:tcPr>
            <w:tcW w:w="2340" w:type="dxa"/>
            <w:vAlign w:val="bottom"/>
          </w:tcPr>
          <w:p>
            <w:pPr>
              <w:ind w:left="80"/>
              <w:spacing w:after="0"/>
              <w:rPr>
                <w:sz w:val="20"/>
                <w:szCs w:val="20"/>
                <w:color w:val="auto"/>
              </w:rPr>
            </w:pPr>
            <w:r>
              <w:rPr>
                <w:rFonts w:ascii="Arial" w:cs="Arial" w:eastAsia="Arial" w:hAnsi="Arial"/>
                <w:sz w:val="16"/>
                <w:szCs w:val="16"/>
                <w:b w:val="1"/>
                <w:bCs w:val="1"/>
                <w:color w:val="092E44"/>
              </w:rPr>
              <w:t>Vivie “YY” Lee</w:t>
            </w:r>
          </w:p>
        </w:tc>
        <w:tc>
          <w:tcPr>
            <w:tcW w:w="300" w:type="dxa"/>
            <w:vAlign w:val="bottom"/>
          </w:tcPr>
          <w:p>
            <w:pPr>
              <w:jc w:val="right"/>
              <w:ind w:right="30"/>
              <w:spacing w:after="0"/>
              <w:rPr>
                <w:sz w:val="20"/>
                <w:szCs w:val="20"/>
                <w:color w:val="auto"/>
              </w:rPr>
            </w:pPr>
            <w:r>
              <w:rPr>
                <w:rFonts w:ascii="Arial" w:cs="Arial" w:eastAsia="Arial" w:hAnsi="Arial"/>
                <w:sz w:val="14"/>
                <w:szCs w:val="14"/>
                <w:color w:val="092E44"/>
              </w:rPr>
              <w:t>55</w:t>
            </w:r>
          </w:p>
        </w:tc>
        <w:tc>
          <w:tcPr>
            <w:tcW w:w="640" w:type="dxa"/>
            <w:vAlign w:val="bottom"/>
          </w:tcPr>
          <w:p>
            <w:pPr>
              <w:jc w:val="right"/>
              <w:ind w:right="52"/>
              <w:spacing w:after="0"/>
              <w:rPr>
                <w:sz w:val="20"/>
                <w:szCs w:val="20"/>
                <w:color w:val="auto"/>
              </w:rPr>
            </w:pPr>
            <w:r>
              <w:rPr>
                <w:rFonts w:ascii="Arial" w:cs="Arial" w:eastAsia="Arial" w:hAnsi="Arial"/>
                <w:sz w:val="14"/>
                <w:szCs w:val="14"/>
                <w:color w:val="092E44"/>
              </w:rPr>
              <w:t>2018</w:t>
            </w:r>
          </w:p>
        </w:tc>
        <w:tc>
          <w:tcPr>
            <w:tcW w:w="3940" w:type="dxa"/>
            <w:vAlign w:val="bottom"/>
          </w:tcPr>
          <w:p>
            <w:pPr>
              <w:ind w:left="120"/>
              <w:spacing w:after="0"/>
              <w:rPr>
                <w:sz w:val="20"/>
                <w:szCs w:val="20"/>
                <w:color w:val="auto"/>
              </w:rPr>
            </w:pPr>
            <w:r>
              <w:rPr>
                <w:rFonts w:ascii="Arial" w:cs="Arial" w:eastAsia="Arial" w:hAnsi="Arial"/>
                <w:sz w:val="14"/>
                <w:szCs w:val="14"/>
                <w:color w:val="092E44"/>
              </w:rPr>
              <w:t>Senior Vice President and Chief Strategy Officer, Anaplan</w:t>
            </w: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47"/>
        </w:trPr>
        <w:tc>
          <w:tcPr>
            <w:tcW w:w="2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301"/>
        </w:trPr>
        <w:tc>
          <w:tcPr>
            <w:tcW w:w="2340" w:type="dxa"/>
            <w:vAlign w:val="bottom"/>
            <w:tcBorders>
              <w:bottom w:val="single" w:sz="8" w:color="DDE9F2"/>
            </w:tcBorders>
            <w:shd w:val="clear" w:color="auto" w:fill="DDE9F2"/>
          </w:tcPr>
          <w:p>
            <w:pPr>
              <w:ind w:left="80"/>
              <w:spacing w:after="0"/>
              <w:rPr>
                <w:sz w:val="20"/>
                <w:szCs w:val="20"/>
                <w:color w:val="auto"/>
              </w:rPr>
            </w:pPr>
            <w:r>
              <w:rPr>
                <w:rFonts w:ascii="Arial" w:cs="Arial" w:eastAsia="Arial" w:hAnsi="Arial"/>
                <w:sz w:val="16"/>
                <w:szCs w:val="16"/>
                <w:b w:val="1"/>
                <w:bCs w:val="1"/>
                <w:color w:val="092E44"/>
              </w:rPr>
              <w:t>Sanjay Mirchandani</w:t>
            </w:r>
          </w:p>
        </w:tc>
        <w:tc>
          <w:tcPr>
            <w:tcW w:w="300" w:type="dxa"/>
            <w:vAlign w:val="bottom"/>
            <w:tcBorders>
              <w:bottom w:val="single" w:sz="8" w:color="DDE9F2"/>
            </w:tcBorders>
            <w:shd w:val="clear" w:color="auto" w:fill="DDE9F2"/>
          </w:tcPr>
          <w:p>
            <w:pPr>
              <w:jc w:val="right"/>
              <w:ind w:right="30"/>
              <w:spacing w:after="0"/>
              <w:rPr>
                <w:sz w:val="20"/>
                <w:szCs w:val="20"/>
                <w:color w:val="auto"/>
              </w:rPr>
            </w:pPr>
            <w:r>
              <w:rPr>
                <w:rFonts w:ascii="Arial" w:cs="Arial" w:eastAsia="Arial" w:hAnsi="Arial"/>
                <w:sz w:val="14"/>
                <w:szCs w:val="14"/>
                <w:color w:val="092E44"/>
              </w:rPr>
              <w:t>58</w:t>
            </w:r>
          </w:p>
        </w:tc>
        <w:tc>
          <w:tcPr>
            <w:tcW w:w="640" w:type="dxa"/>
            <w:vAlign w:val="bottom"/>
            <w:tcBorders>
              <w:bottom w:val="single" w:sz="8" w:color="DDE9F2"/>
            </w:tcBorders>
            <w:shd w:val="clear" w:color="auto" w:fill="DDE9F2"/>
          </w:tcPr>
          <w:p>
            <w:pPr>
              <w:jc w:val="right"/>
              <w:ind w:right="52"/>
              <w:spacing w:after="0"/>
              <w:rPr>
                <w:sz w:val="20"/>
                <w:szCs w:val="20"/>
                <w:color w:val="auto"/>
              </w:rPr>
            </w:pPr>
            <w:r>
              <w:rPr>
                <w:rFonts w:ascii="Arial" w:cs="Arial" w:eastAsia="Arial" w:hAnsi="Arial"/>
                <w:sz w:val="14"/>
                <w:szCs w:val="14"/>
                <w:color w:val="092E44"/>
              </w:rPr>
              <w:t>2019</w:t>
            </w:r>
          </w:p>
        </w:tc>
        <w:tc>
          <w:tcPr>
            <w:tcW w:w="3940" w:type="dxa"/>
            <w:vAlign w:val="bottom"/>
            <w:tcBorders>
              <w:bottom w:val="single" w:sz="8" w:color="DDE9F2"/>
            </w:tcBorders>
            <w:shd w:val="clear" w:color="auto" w:fill="DDE9F2"/>
          </w:tcPr>
          <w:p>
            <w:pPr>
              <w:ind w:left="120"/>
              <w:spacing w:after="0"/>
              <w:rPr>
                <w:sz w:val="20"/>
                <w:szCs w:val="20"/>
                <w:color w:val="auto"/>
              </w:rPr>
            </w:pPr>
            <w:r>
              <w:rPr>
                <w:rFonts w:ascii="Arial" w:cs="Arial" w:eastAsia="Arial" w:hAnsi="Arial"/>
                <w:sz w:val="14"/>
                <w:szCs w:val="14"/>
                <w:color w:val="092E44"/>
              </w:rPr>
              <w:t>President and Chief Executive Officer, Commvault Systems</w:t>
            </w:r>
          </w:p>
        </w:tc>
        <w:tc>
          <w:tcPr>
            <w:tcW w:w="180" w:type="dxa"/>
            <w:vAlign w:val="bottom"/>
            <w:tcBorders>
              <w:bottom w:val="single" w:sz="8" w:color="DDE9F2"/>
            </w:tcBorders>
            <w:shd w:val="clear" w:color="auto" w:fill="DDE9F2"/>
          </w:tcPr>
          <w:p>
            <w:pPr>
              <w:spacing w:after="0"/>
              <w:rPr>
                <w:sz w:val="24"/>
                <w:szCs w:val="24"/>
                <w:color w:val="auto"/>
              </w:rPr>
            </w:pPr>
          </w:p>
        </w:tc>
        <w:tc>
          <w:tcPr>
            <w:tcW w:w="580" w:type="dxa"/>
            <w:vAlign w:val="bottom"/>
            <w:tcBorders>
              <w:bottom w:val="single" w:sz="8" w:color="DDE9F2"/>
            </w:tcBorders>
            <w:shd w:val="clear" w:color="auto" w:fill="DDE9F2"/>
          </w:tcPr>
          <w:p>
            <w:pPr>
              <w:spacing w:after="0"/>
              <w:rPr>
                <w:sz w:val="24"/>
                <w:szCs w:val="24"/>
                <w:color w:val="auto"/>
              </w:rPr>
            </w:pPr>
          </w:p>
        </w:tc>
        <w:tc>
          <w:tcPr>
            <w:tcW w:w="860" w:type="dxa"/>
            <w:vAlign w:val="bottom"/>
            <w:tcBorders>
              <w:bottom w:val="single" w:sz="8" w:color="DDE9F2"/>
            </w:tcBorders>
            <w:shd w:val="clear" w:color="auto" w:fill="DDE9F2"/>
          </w:tcPr>
          <w:p>
            <w:pPr>
              <w:spacing w:after="0"/>
              <w:rPr>
                <w:sz w:val="24"/>
                <w:szCs w:val="24"/>
                <w:color w:val="auto"/>
              </w:rPr>
            </w:pPr>
          </w:p>
        </w:tc>
        <w:tc>
          <w:tcPr>
            <w:tcW w:w="1060" w:type="dxa"/>
            <w:vAlign w:val="bottom"/>
            <w:tcBorders>
              <w:bottom w:val="single" w:sz="8" w:color="DDE9F2"/>
            </w:tcBorders>
            <w:shd w:val="clear" w:color="auto" w:fill="DDE9F2"/>
          </w:tcPr>
          <w:p>
            <w:pPr>
              <w:spacing w:after="0"/>
              <w:rPr>
                <w:sz w:val="24"/>
                <w:szCs w:val="24"/>
                <w:color w:val="auto"/>
              </w:rPr>
            </w:pPr>
          </w:p>
        </w:tc>
        <w:tc>
          <w:tcPr>
            <w:tcW w:w="1020" w:type="dxa"/>
            <w:vAlign w:val="bottom"/>
            <w:tcBorders>
              <w:bottom w:val="single" w:sz="8" w:color="DDE9F2"/>
            </w:tcBorders>
            <w:shd w:val="clear" w:color="auto" w:fill="DDE9F2"/>
          </w:tcPr>
          <w:p>
            <w:pPr>
              <w:spacing w:after="0"/>
              <w:rPr>
                <w:sz w:val="24"/>
                <w:szCs w:val="24"/>
                <w:color w:val="auto"/>
              </w:rPr>
            </w:pPr>
          </w:p>
        </w:tc>
      </w:tr>
      <w:tr>
        <w:trPr>
          <w:trHeight w:val="218"/>
        </w:trPr>
        <w:tc>
          <w:tcPr>
            <w:tcW w:w="2340" w:type="dxa"/>
            <w:vAlign w:val="bottom"/>
          </w:tcPr>
          <w:p>
            <w:pPr>
              <w:ind w:left="80"/>
              <w:spacing w:after="0"/>
              <w:rPr>
                <w:sz w:val="20"/>
                <w:szCs w:val="20"/>
                <w:color w:val="auto"/>
              </w:rPr>
            </w:pPr>
            <w:r>
              <w:rPr>
                <w:rFonts w:ascii="Arial" w:cs="Arial" w:eastAsia="Arial" w:hAnsi="Arial"/>
                <w:sz w:val="16"/>
                <w:szCs w:val="16"/>
                <w:b w:val="1"/>
                <w:bCs w:val="1"/>
                <w:color w:val="092E44"/>
              </w:rPr>
              <w:t>David F. Walker</w:t>
            </w:r>
          </w:p>
        </w:tc>
        <w:tc>
          <w:tcPr>
            <w:tcW w:w="300" w:type="dxa"/>
            <w:vAlign w:val="bottom"/>
          </w:tcPr>
          <w:p>
            <w:pPr>
              <w:jc w:val="right"/>
              <w:ind w:right="30"/>
              <w:spacing w:after="0"/>
              <w:rPr>
                <w:sz w:val="20"/>
                <w:szCs w:val="20"/>
                <w:color w:val="auto"/>
              </w:rPr>
            </w:pPr>
            <w:r>
              <w:rPr>
                <w:rFonts w:ascii="Arial" w:cs="Arial" w:eastAsia="Arial" w:hAnsi="Arial"/>
                <w:sz w:val="14"/>
                <w:szCs w:val="14"/>
                <w:color w:val="092E44"/>
              </w:rPr>
              <w:t>68</w:t>
            </w:r>
          </w:p>
        </w:tc>
        <w:tc>
          <w:tcPr>
            <w:tcW w:w="640" w:type="dxa"/>
            <w:vAlign w:val="bottom"/>
          </w:tcPr>
          <w:p>
            <w:pPr>
              <w:jc w:val="right"/>
              <w:ind w:right="52"/>
              <w:spacing w:after="0"/>
              <w:rPr>
                <w:sz w:val="20"/>
                <w:szCs w:val="20"/>
                <w:color w:val="auto"/>
              </w:rPr>
            </w:pPr>
            <w:r>
              <w:rPr>
                <w:rFonts w:ascii="Arial" w:cs="Arial" w:eastAsia="Arial" w:hAnsi="Arial"/>
                <w:sz w:val="14"/>
                <w:szCs w:val="14"/>
                <w:color w:val="092E44"/>
              </w:rPr>
              <w:t>2006</w:t>
            </w:r>
          </w:p>
        </w:tc>
        <w:tc>
          <w:tcPr>
            <w:tcW w:w="3940" w:type="dxa"/>
            <w:vAlign w:val="bottom"/>
          </w:tcPr>
          <w:p>
            <w:pPr>
              <w:ind w:left="120"/>
              <w:spacing w:after="0"/>
              <w:rPr>
                <w:sz w:val="20"/>
                <w:szCs w:val="20"/>
                <w:color w:val="auto"/>
              </w:rPr>
            </w:pPr>
            <w:r>
              <w:rPr>
                <w:rFonts w:ascii="Arial" w:cs="Arial" w:eastAsia="Arial" w:hAnsi="Arial"/>
                <w:sz w:val="14"/>
                <w:szCs w:val="14"/>
                <w:color w:val="092E44"/>
              </w:rPr>
              <w:t>Former Director of the Accountancy Program and the</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60"/>
        </w:trPr>
        <w:tc>
          <w:tcPr>
            <w:tcW w:w="2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940" w:type="dxa"/>
            <w:vAlign w:val="bottom"/>
          </w:tcPr>
          <w:p>
            <w:pPr>
              <w:ind w:left="120"/>
              <w:spacing w:after="0"/>
              <w:rPr>
                <w:sz w:val="20"/>
                <w:szCs w:val="20"/>
                <w:color w:val="auto"/>
              </w:rPr>
            </w:pPr>
            <w:r>
              <w:rPr>
                <w:rFonts w:ascii="Arial" w:cs="Arial" w:eastAsia="Arial" w:hAnsi="Arial"/>
                <w:sz w:val="14"/>
                <w:szCs w:val="14"/>
                <w:color w:val="092E44"/>
              </w:rPr>
              <w:t>Program for Social Responsibility and Corporate Reporting,</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9"/>
        </w:trPr>
        <w:tc>
          <w:tcPr>
            <w:tcW w:w="2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940" w:type="dxa"/>
            <w:vAlign w:val="bottom"/>
          </w:tcPr>
          <w:p>
            <w:pPr>
              <w:ind w:left="120"/>
              <w:spacing w:after="0"/>
              <w:rPr>
                <w:sz w:val="20"/>
                <w:szCs w:val="20"/>
                <w:color w:val="auto"/>
              </w:rPr>
            </w:pPr>
            <w:r>
              <w:rPr>
                <w:rFonts w:ascii="Arial" w:cs="Arial" w:eastAsia="Arial" w:hAnsi="Arial"/>
                <w:sz w:val="14"/>
                <w:szCs w:val="14"/>
                <w:color w:val="092E44"/>
              </w:rPr>
              <w:t>University of South Florida St. Petersburg</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41"/>
        </w:trPr>
        <w:tc>
          <w:tcPr>
            <w:tcW w:w="2340" w:type="dxa"/>
            <w:vAlign w:val="bottom"/>
          </w:tcPr>
          <w:p>
            <w:pPr>
              <w:ind w:left="80"/>
              <w:spacing w:after="0"/>
              <w:rPr>
                <w:sz w:val="20"/>
                <w:szCs w:val="20"/>
                <w:color w:val="auto"/>
              </w:rPr>
            </w:pPr>
            <w:r>
              <w:rPr>
                <w:rFonts w:ascii="Arial" w:cs="Arial" w:eastAsia="Arial" w:hAnsi="Arial"/>
                <w:sz w:val="18"/>
                <w:szCs w:val="18"/>
                <w:b w:val="1"/>
                <w:bCs w:val="1"/>
                <w:color w:val="E14A6A"/>
                <w:w w:val="99"/>
              </w:rPr>
              <w:t>CONTINUING DIRECTORS</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
        </w:trPr>
        <w:tc>
          <w:tcPr>
            <w:tcW w:w="2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74"/>
        </w:trPr>
        <w:tc>
          <w:tcPr>
            <w:tcW w:w="2340" w:type="dxa"/>
            <w:vAlign w:val="bottom"/>
            <w:shd w:val="clear" w:color="auto" w:fill="DDE9F2"/>
          </w:tcPr>
          <w:p>
            <w:pPr>
              <w:ind w:left="80"/>
              <w:spacing w:after="0"/>
              <w:rPr>
                <w:sz w:val="20"/>
                <w:szCs w:val="20"/>
                <w:color w:val="auto"/>
              </w:rPr>
            </w:pPr>
            <w:r>
              <w:rPr>
                <w:rFonts w:ascii="Arial" w:cs="Arial" w:eastAsia="Arial" w:hAnsi="Arial"/>
                <w:sz w:val="16"/>
                <w:szCs w:val="16"/>
                <w:b w:val="1"/>
                <w:bCs w:val="1"/>
                <w:color w:val="092E44"/>
              </w:rPr>
              <w:t>R. Todd Bradley</w:t>
            </w:r>
          </w:p>
        </w:tc>
        <w:tc>
          <w:tcPr>
            <w:tcW w:w="300" w:type="dxa"/>
            <w:vAlign w:val="bottom"/>
            <w:shd w:val="clear" w:color="auto" w:fill="DDE9F2"/>
          </w:tcPr>
          <w:p>
            <w:pPr>
              <w:jc w:val="right"/>
              <w:ind w:right="30"/>
              <w:spacing w:after="0"/>
              <w:rPr>
                <w:sz w:val="20"/>
                <w:szCs w:val="20"/>
                <w:color w:val="auto"/>
              </w:rPr>
            </w:pPr>
            <w:r>
              <w:rPr>
                <w:rFonts w:ascii="Arial" w:cs="Arial" w:eastAsia="Arial" w:hAnsi="Arial"/>
                <w:sz w:val="14"/>
                <w:szCs w:val="14"/>
                <w:color w:val="092E44"/>
              </w:rPr>
              <w:t>64</w:t>
            </w:r>
          </w:p>
        </w:tc>
        <w:tc>
          <w:tcPr>
            <w:tcW w:w="640" w:type="dxa"/>
            <w:vAlign w:val="bottom"/>
            <w:shd w:val="clear" w:color="auto" w:fill="DDE9F2"/>
          </w:tcPr>
          <w:p>
            <w:pPr>
              <w:jc w:val="right"/>
              <w:ind w:right="52"/>
              <w:spacing w:after="0"/>
              <w:rPr>
                <w:sz w:val="20"/>
                <w:szCs w:val="20"/>
                <w:color w:val="auto"/>
              </w:rPr>
            </w:pPr>
            <w:r>
              <w:rPr>
                <w:rFonts w:ascii="Arial" w:cs="Arial" w:eastAsia="Arial" w:hAnsi="Arial"/>
                <w:sz w:val="14"/>
                <w:szCs w:val="14"/>
                <w:color w:val="092E44"/>
              </w:rPr>
              <w:t>2020</w:t>
            </w:r>
          </w:p>
        </w:tc>
        <w:tc>
          <w:tcPr>
            <w:tcW w:w="3940" w:type="dxa"/>
            <w:vAlign w:val="bottom"/>
            <w:shd w:val="clear" w:color="auto" w:fill="DDE9F2"/>
          </w:tcPr>
          <w:p>
            <w:pPr>
              <w:ind w:left="120"/>
              <w:spacing w:after="0"/>
              <w:rPr>
                <w:sz w:val="20"/>
                <w:szCs w:val="20"/>
                <w:color w:val="auto"/>
              </w:rPr>
            </w:pPr>
            <w:r>
              <w:rPr>
                <w:rFonts w:ascii="Arial" w:cs="Arial" w:eastAsia="Arial" w:hAnsi="Arial"/>
                <w:sz w:val="14"/>
                <w:szCs w:val="14"/>
                <w:color w:val="092E44"/>
              </w:rPr>
              <w:t>Operating Partner, One Equity Partners</w:t>
            </w:r>
          </w:p>
        </w:tc>
        <w:tc>
          <w:tcPr>
            <w:tcW w:w="180" w:type="dxa"/>
            <w:vAlign w:val="bottom"/>
            <w:shd w:val="clear" w:color="auto" w:fill="DDE9F2"/>
          </w:tcPr>
          <w:p>
            <w:pPr>
              <w:spacing w:after="0"/>
              <w:rPr>
                <w:sz w:val="23"/>
                <w:szCs w:val="23"/>
                <w:color w:val="auto"/>
              </w:rPr>
            </w:pPr>
          </w:p>
        </w:tc>
        <w:tc>
          <w:tcPr>
            <w:tcW w:w="580" w:type="dxa"/>
            <w:vAlign w:val="bottom"/>
            <w:shd w:val="clear" w:color="auto" w:fill="DDE9F2"/>
          </w:tcPr>
          <w:p>
            <w:pPr>
              <w:spacing w:after="0"/>
              <w:rPr>
                <w:sz w:val="23"/>
                <w:szCs w:val="23"/>
                <w:color w:val="auto"/>
              </w:rPr>
            </w:pPr>
          </w:p>
        </w:tc>
        <w:tc>
          <w:tcPr>
            <w:tcW w:w="860" w:type="dxa"/>
            <w:vAlign w:val="bottom"/>
            <w:shd w:val="clear" w:color="auto" w:fill="DDE9F2"/>
          </w:tcPr>
          <w:p>
            <w:pPr>
              <w:spacing w:after="0"/>
              <w:rPr>
                <w:sz w:val="23"/>
                <w:szCs w:val="23"/>
                <w:color w:val="auto"/>
              </w:rPr>
            </w:pPr>
          </w:p>
        </w:tc>
        <w:tc>
          <w:tcPr>
            <w:tcW w:w="1060" w:type="dxa"/>
            <w:vAlign w:val="bottom"/>
            <w:shd w:val="clear" w:color="auto" w:fill="DDE9F2"/>
          </w:tcPr>
          <w:p>
            <w:pPr>
              <w:spacing w:after="0"/>
              <w:rPr>
                <w:sz w:val="23"/>
                <w:szCs w:val="23"/>
                <w:color w:val="auto"/>
              </w:rPr>
            </w:pPr>
          </w:p>
        </w:tc>
        <w:tc>
          <w:tcPr>
            <w:tcW w:w="1020" w:type="dxa"/>
            <w:vAlign w:val="bottom"/>
            <w:shd w:val="clear" w:color="auto" w:fill="DDE9F2"/>
          </w:tcPr>
          <w:p>
            <w:pPr>
              <w:spacing w:after="0"/>
              <w:rPr>
                <w:sz w:val="23"/>
                <w:szCs w:val="23"/>
                <w:color w:val="auto"/>
              </w:rPr>
            </w:pPr>
          </w:p>
        </w:tc>
      </w:tr>
      <w:tr>
        <w:trPr>
          <w:trHeight w:val="114"/>
        </w:trPr>
        <w:tc>
          <w:tcPr>
            <w:tcW w:w="2340" w:type="dxa"/>
            <w:vAlign w:val="bottom"/>
            <w:shd w:val="clear" w:color="auto" w:fill="DDE9F2"/>
          </w:tcPr>
          <w:p>
            <w:pPr>
              <w:spacing w:after="0"/>
              <w:rPr>
                <w:sz w:val="9"/>
                <w:szCs w:val="9"/>
                <w:color w:val="auto"/>
              </w:rPr>
            </w:pPr>
          </w:p>
        </w:tc>
        <w:tc>
          <w:tcPr>
            <w:tcW w:w="300" w:type="dxa"/>
            <w:vAlign w:val="bottom"/>
            <w:shd w:val="clear" w:color="auto" w:fill="DDE9F2"/>
          </w:tcPr>
          <w:p>
            <w:pPr>
              <w:spacing w:after="0"/>
              <w:rPr>
                <w:sz w:val="9"/>
                <w:szCs w:val="9"/>
                <w:color w:val="auto"/>
              </w:rPr>
            </w:pPr>
          </w:p>
        </w:tc>
        <w:tc>
          <w:tcPr>
            <w:tcW w:w="640" w:type="dxa"/>
            <w:vAlign w:val="bottom"/>
            <w:shd w:val="clear" w:color="auto" w:fill="DDE9F2"/>
          </w:tcPr>
          <w:p>
            <w:pPr>
              <w:spacing w:after="0"/>
              <w:rPr>
                <w:sz w:val="9"/>
                <w:szCs w:val="9"/>
                <w:color w:val="auto"/>
              </w:rPr>
            </w:pPr>
          </w:p>
        </w:tc>
        <w:tc>
          <w:tcPr>
            <w:tcW w:w="3940" w:type="dxa"/>
            <w:vAlign w:val="bottom"/>
            <w:shd w:val="clear" w:color="auto" w:fill="DDE9F2"/>
          </w:tcPr>
          <w:p>
            <w:pPr>
              <w:spacing w:after="0"/>
              <w:rPr>
                <w:sz w:val="9"/>
                <w:szCs w:val="9"/>
                <w:color w:val="auto"/>
              </w:rPr>
            </w:pPr>
          </w:p>
        </w:tc>
        <w:tc>
          <w:tcPr>
            <w:tcW w:w="180" w:type="dxa"/>
            <w:vAlign w:val="bottom"/>
            <w:shd w:val="clear" w:color="auto" w:fill="DDE9F2"/>
          </w:tcPr>
          <w:p>
            <w:pPr>
              <w:spacing w:after="0"/>
              <w:rPr>
                <w:sz w:val="9"/>
                <w:szCs w:val="9"/>
                <w:color w:val="auto"/>
              </w:rPr>
            </w:pPr>
          </w:p>
        </w:tc>
        <w:tc>
          <w:tcPr>
            <w:tcW w:w="580" w:type="dxa"/>
            <w:vAlign w:val="bottom"/>
            <w:shd w:val="clear" w:color="auto" w:fill="DDE9F2"/>
          </w:tcPr>
          <w:p>
            <w:pPr>
              <w:spacing w:after="0"/>
              <w:rPr>
                <w:sz w:val="9"/>
                <w:szCs w:val="9"/>
                <w:color w:val="auto"/>
              </w:rPr>
            </w:pPr>
          </w:p>
        </w:tc>
        <w:tc>
          <w:tcPr>
            <w:tcW w:w="860" w:type="dxa"/>
            <w:vAlign w:val="bottom"/>
            <w:shd w:val="clear" w:color="auto" w:fill="DDE9F2"/>
          </w:tcPr>
          <w:p>
            <w:pPr>
              <w:spacing w:after="0"/>
              <w:rPr>
                <w:sz w:val="9"/>
                <w:szCs w:val="9"/>
                <w:color w:val="auto"/>
              </w:rPr>
            </w:pPr>
          </w:p>
        </w:tc>
        <w:tc>
          <w:tcPr>
            <w:tcW w:w="1060" w:type="dxa"/>
            <w:vAlign w:val="bottom"/>
            <w:shd w:val="clear" w:color="auto" w:fill="DDE9F2"/>
          </w:tcPr>
          <w:p>
            <w:pPr>
              <w:spacing w:after="0"/>
              <w:rPr>
                <w:sz w:val="9"/>
                <w:szCs w:val="9"/>
                <w:color w:val="auto"/>
              </w:rPr>
            </w:pPr>
          </w:p>
        </w:tc>
        <w:tc>
          <w:tcPr>
            <w:tcW w:w="1020" w:type="dxa"/>
            <w:vAlign w:val="bottom"/>
            <w:shd w:val="clear" w:color="auto" w:fill="DDE9F2"/>
          </w:tcPr>
          <w:p>
            <w:pPr>
              <w:spacing w:after="0"/>
              <w:rPr>
                <w:sz w:val="9"/>
                <w:szCs w:val="9"/>
                <w:color w:val="auto"/>
              </w:rPr>
            </w:pPr>
          </w:p>
        </w:tc>
      </w:tr>
      <w:tr>
        <w:trPr>
          <w:trHeight w:val="218"/>
        </w:trPr>
        <w:tc>
          <w:tcPr>
            <w:tcW w:w="2340" w:type="dxa"/>
            <w:vAlign w:val="bottom"/>
          </w:tcPr>
          <w:p>
            <w:pPr>
              <w:ind w:left="80"/>
              <w:spacing w:after="0"/>
              <w:rPr>
                <w:sz w:val="20"/>
                <w:szCs w:val="20"/>
                <w:color w:val="auto"/>
              </w:rPr>
            </w:pPr>
            <w:r>
              <w:rPr>
                <w:rFonts w:ascii="Arial" w:cs="Arial" w:eastAsia="Arial" w:hAnsi="Arial"/>
                <w:sz w:val="16"/>
                <w:szCs w:val="16"/>
                <w:b w:val="1"/>
                <w:bCs w:val="1"/>
                <w:color w:val="092E44"/>
              </w:rPr>
              <w:t>Charles Moran</w:t>
            </w:r>
          </w:p>
        </w:tc>
        <w:tc>
          <w:tcPr>
            <w:tcW w:w="300" w:type="dxa"/>
            <w:vAlign w:val="bottom"/>
          </w:tcPr>
          <w:p>
            <w:pPr>
              <w:jc w:val="right"/>
              <w:ind w:right="30"/>
              <w:spacing w:after="0"/>
              <w:rPr>
                <w:sz w:val="20"/>
                <w:szCs w:val="20"/>
                <w:color w:val="auto"/>
              </w:rPr>
            </w:pPr>
            <w:r>
              <w:rPr>
                <w:rFonts w:ascii="Arial" w:cs="Arial" w:eastAsia="Arial" w:hAnsi="Arial"/>
                <w:sz w:val="14"/>
                <w:szCs w:val="14"/>
                <w:color w:val="092E44"/>
              </w:rPr>
              <w:t>67</w:t>
            </w:r>
          </w:p>
        </w:tc>
        <w:tc>
          <w:tcPr>
            <w:tcW w:w="640" w:type="dxa"/>
            <w:vAlign w:val="bottom"/>
          </w:tcPr>
          <w:p>
            <w:pPr>
              <w:jc w:val="right"/>
              <w:ind w:right="52"/>
              <w:spacing w:after="0"/>
              <w:rPr>
                <w:sz w:val="20"/>
                <w:szCs w:val="20"/>
                <w:color w:val="auto"/>
              </w:rPr>
            </w:pPr>
            <w:r>
              <w:rPr>
                <w:rFonts w:ascii="Arial" w:cs="Arial" w:eastAsia="Arial" w:hAnsi="Arial"/>
                <w:sz w:val="14"/>
                <w:szCs w:val="14"/>
                <w:color w:val="092E44"/>
              </w:rPr>
              <w:t>2018</w:t>
            </w:r>
          </w:p>
        </w:tc>
        <w:tc>
          <w:tcPr>
            <w:tcW w:w="3940" w:type="dxa"/>
            <w:vAlign w:val="bottom"/>
          </w:tcPr>
          <w:p>
            <w:pPr>
              <w:ind w:left="120"/>
              <w:spacing w:after="0"/>
              <w:rPr>
                <w:sz w:val="20"/>
                <w:szCs w:val="20"/>
                <w:color w:val="auto"/>
              </w:rPr>
            </w:pPr>
            <w:r>
              <w:rPr>
                <w:rFonts w:ascii="Arial" w:cs="Arial" w:eastAsia="Arial" w:hAnsi="Arial"/>
                <w:sz w:val="14"/>
                <w:szCs w:val="14"/>
                <w:color w:val="092E44"/>
              </w:rPr>
              <w:t>Founder and former Chief Executive Officer and President,</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89"/>
        </w:trPr>
        <w:tc>
          <w:tcPr>
            <w:tcW w:w="2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940" w:type="dxa"/>
            <w:vAlign w:val="bottom"/>
          </w:tcPr>
          <w:p>
            <w:pPr>
              <w:ind w:left="120"/>
              <w:spacing w:after="0"/>
              <w:rPr>
                <w:sz w:val="20"/>
                <w:szCs w:val="20"/>
                <w:color w:val="auto"/>
              </w:rPr>
            </w:pPr>
            <w:r>
              <w:rPr>
                <w:rFonts w:ascii="Arial" w:cs="Arial" w:eastAsia="Arial" w:hAnsi="Arial"/>
                <w:sz w:val="14"/>
                <w:szCs w:val="14"/>
                <w:color w:val="092E44"/>
              </w:rPr>
              <w:t>Skillsoft Plc.</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48"/>
        </w:trPr>
        <w:tc>
          <w:tcPr>
            <w:tcW w:w="2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74"/>
        </w:trPr>
        <w:tc>
          <w:tcPr>
            <w:tcW w:w="2340" w:type="dxa"/>
            <w:vAlign w:val="bottom"/>
            <w:shd w:val="clear" w:color="auto" w:fill="DDE9F2"/>
          </w:tcPr>
          <w:p>
            <w:pPr>
              <w:ind w:left="80"/>
              <w:spacing w:after="0"/>
              <w:rPr>
                <w:sz w:val="20"/>
                <w:szCs w:val="20"/>
                <w:color w:val="auto"/>
              </w:rPr>
            </w:pPr>
            <w:r>
              <w:rPr>
                <w:rFonts w:ascii="Arial" w:cs="Arial" w:eastAsia="Arial" w:hAnsi="Arial"/>
                <w:sz w:val="16"/>
                <w:szCs w:val="16"/>
                <w:b w:val="1"/>
                <w:bCs w:val="1"/>
                <w:color w:val="092E44"/>
              </w:rPr>
              <w:t>Allison Pickens</w:t>
            </w:r>
          </w:p>
        </w:tc>
        <w:tc>
          <w:tcPr>
            <w:tcW w:w="300" w:type="dxa"/>
            <w:vAlign w:val="bottom"/>
            <w:shd w:val="clear" w:color="auto" w:fill="DDE9F2"/>
          </w:tcPr>
          <w:p>
            <w:pPr>
              <w:jc w:val="right"/>
              <w:ind w:right="30"/>
              <w:spacing w:after="0"/>
              <w:rPr>
                <w:sz w:val="20"/>
                <w:szCs w:val="20"/>
                <w:color w:val="auto"/>
              </w:rPr>
            </w:pPr>
            <w:r>
              <w:rPr>
                <w:rFonts w:ascii="Arial" w:cs="Arial" w:eastAsia="Arial" w:hAnsi="Arial"/>
                <w:sz w:val="14"/>
                <w:szCs w:val="14"/>
                <w:color w:val="092E44"/>
              </w:rPr>
              <w:t>37</w:t>
            </w:r>
          </w:p>
        </w:tc>
        <w:tc>
          <w:tcPr>
            <w:tcW w:w="640" w:type="dxa"/>
            <w:vAlign w:val="bottom"/>
            <w:shd w:val="clear" w:color="auto" w:fill="DDE9F2"/>
          </w:tcPr>
          <w:p>
            <w:pPr>
              <w:jc w:val="right"/>
              <w:ind w:right="52"/>
              <w:spacing w:after="0"/>
              <w:rPr>
                <w:sz w:val="20"/>
                <w:szCs w:val="20"/>
                <w:color w:val="auto"/>
              </w:rPr>
            </w:pPr>
            <w:r>
              <w:rPr>
                <w:rFonts w:ascii="Arial" w:cs="Arial" w:eastAsia="Arial" w:hAnsi="Arial"/>
                <w:sz w:val="14"/>
                <w:szCs w:val="14"/>
                <w:color w:val="092E44"/>
              </w:rPr>
              <w:t>2020</w:t>
            </w:r>
          </w:p>
        </w:tc>
        <w:tc>
          <w:tcPr>
            <w:tcW w:w="3940" w:type="dxa"/>
            <w:vAlign w:val="bottom"/>
            <w:shd w:val="clear" w:color="auto" w:fill="DDE9F2"/>
          </w:tcPr>
          <w:p>
            <w:pPr>
              <w:ind w:left="120"/>
              <w:spacing w:after="0"/>
              <w:rPr>
                <w:sz w:val="20"/>
                <w:szCs w:val="20"/>
                <w:color w:val="auto"/>
              </w:rPr>
            </w:pPr>
            <w:r>
              <w:rPr>
                <w:rFonts w:ascii="Arial" w:cs="Arial" w:eastAsia="Arial" w:hAnsi="Arial"/>
                <w:sz w:val="14"/>
                <w:szCs w:val="14"/>
                <w:color w:val="092E44"/>
              </w:rPr>
              <w:t>Former Chief Operating Officer, Gainsight</w:t>
            </w:r>
          </w:p>
        </w:tc>
        <w:tc>
          <w:tcPr>
            <w:tcW w:w="180" w:type="dxa"/>
            <w:vAlign w:val="bottom"/>
            <w:shd w:val="clear" w:color="auto" w:fill="DDE9F2"/>
          </w:tcPr>
          <w:p>
            <w:pPr>
              <w:spacing w:after="0"/>
              <w:rPr>
                <w:sz w:val="23"/>
                <w:szCs w:val="23"/>
                <w:color w:val="auto"/>
              </w:rPr>
            </w:pPr>
          </w:p>
        </w:tc>
        <w:tc>
          <w:tcPr>
            <w:tcW w:w="580" w:type="dxa"/>
            <w:vAlign w:val="bottom"/>
            <w:shd w:val="clear" w:color="auto" w:fill="DDE9F2"/>
          </w:tcPr>
          <w:p>
            <w:pPr>
              <w:spacing w:after="0"/>
              <w:rPr>
                <w:sz w:val="23"/>
                <w:szCs w:val="23"/>
                <w:color w:val="auto"/>
              </w:rPr>
            </w:pPr>
          </w:p>
        </w:tc>
        <w:tc>
          <w:tcPr>
            <w:tcW w:w="860" w:type="dxa"/>
            <w:vAlign w:val="bottom"/>
            <w:shd w:val="clear" w:color="auto" w:fill="DDE9F2"/>
          </w:tcPr>
          <w:p>
            <w:pPr>
              <w:spacing w:after="0"/>
              <w:rPr>
                <w:sz w:val="23"/>
                <w:szCs w:val="23"/>
                <w:color w:val="auto"/>
              </w:rPr>
            </w:pPr>
          </w:p>
        </w:tc>
        <w:tc>
          <w:tcPr>
            <w:tcW w:w="1060" w:type="dxa"/>
            <w:vAlign w:val="bottom"/>
            <w:shd w:val="clear" w:color="auto" w:fill="DDE9F2"/>
          </w:tcPr>
          <w:p>
            <w:pPr>
              <w:spacing w:after="0"/>
              <w:rPr>
                <w:sz w:val="23"/>
                <w:szCs w:val="23"/>
                <w:color w:val="auto"/>
              </w:rPr>
            </w:pPr>
          </w:p>
        </w:tc>
        <w:tc>
          <w:tcPr>
            <w:tcW w:w="1020" w:type="dxa"/>
            <w:vAlign w:val="bottom"/>
            <w:shd w:val="clear" w:color="auto" w:fill="DDE9F2"/>
          </w:tcPr>
          <w:p>
            <w:pPr>
              <w:spacing w:after="0"/>
              <w:rPr>
                <w:sz w:val="23"/>
                <w:szCs w:val="23"/>
                <w:color w:val="auto"/>
              </w:rPr>
            </w:pPr>
          </w:p>
        </w:tc>
      </w:tr>
      <w:tr>
        <w:trPr>
          <w:trHeight w:val="114"/>
        </w:trPr>
        <w:tc>
          <w:tcPr>
            <w:tcW w:w="2340" w:type="dxa"/>
            <w:vAlign w:val="bottom"/>
            <w:shd w:val="clear" w:color="auto" w:fill="DDE9F2"/>
          </w:tcPr>
          <w:p>
            <w:pPr>
              <w:spacing w:after="0"/>
              <w:rPr>
                <w:sz w:val="9"/>
                <w:szCs w:val="9"/>
                <w:color w:val="auto"/>
              </w:rPr>
            </w:pPr>
          </w:p>
        </w:tc>
        <w:tc>
          <w:tcPr>
            <w:tcW w:w="300" w:type="dxa"/>
            <w:vAlign w:val="bottom"/>
            <w:shd w:val="clear" w:color="auto" w:fill="DDE9F2"/>
          </w:tcPr>
          <w:p>
            <w:pPr>
              <w:spacing w:after="0"/>
              <w:rPr>
                <w:sz w:val="9"/>
                <w:szCs w:val="9"/>
                <w:color w:val="auto"/>
              </w:rPr>
            </w:pPr>
          </w:p>
        </w:tc>
        <w:tc>
          <w:tcPr>
            <w:tcW w:w="640" w:type="dxa"/>
            <w:vAlign w:val="bottom"/>
            <w:shd w:val="clear" w:color="auto" w:fill="DDE9F2"/>
          </w:tcPr>
          <w:p>
            <w:pPr>
              <w:spacing w:after="0"/>
              <w:rPr>
                <w:sz w:val="9"/>
                <w:szCs w:val="9"/>
                <w:color w:val="auto"/>
              </w:rPr>
            </w:pPr>
          </w:p>
        </w:tc>
        <w:tc>
          <w:tcPr>
            <w:tcW w:w="3940" w:type="dxa"/>
            <w:vAlign w:val="bottom"/>
            <w:shd w:val="clear" w:color="auto" w:fill="DDE9F2"/>
          </w:tcPr>
          <w:p>
            <w:pPr>
              <w:spacing w:after="0"/>
              <w:rPr>
                <w:sz w:val="9"/>
                <w:szCs w:val="9"/>
                <w:color w:val="auto"/>
              </w:rPr>
            </w:pPr>
          </w:p>
        </w:tc>
        <w:tc>
          <w:tcPr>
            <w:tcW w:w="180" w:type="dxa"/>
            <w:vAlign w:val="bottom"/>
            <w:shd w:val="clear" w:color="auto" w:fill="DDE9F2"/>
          </w:tcPr>
          <w:p>
            <w:pPr>
              <w:spacing w:after="0"/>
              <w:rPr>
                <w:sz w:val="9"/>
                <w:szCs w:val="9"/>
                <w:color w:val="auto"/>
              </w:rPr>
            </w:pPr>
          </w:p>
        </w:tc>
        <w:tc>
          <w:tcPr>
            <w:tcW w:w="580" w:type="dxa"/>
            <w:vAlign w:val="bottom"/>
            <w:shd w:val="clear" w:color="auto" w:fill="DDE9F2"/>
          </w:tcPr>
          <w:p>
            <w:pPr>
              <w:spacing w:after="0"/>
              <w:rPr>
                <w:sz w:val="9"/>
                <w:szCs w:val="9"/>
                <w:color w:val="auto"/>
              </w:rPr>
            </w:pPr>
          </w:p>
        </w:tc>
        <w:tc>
          <w:tcPr>
            <w:tcW w:w="860" w:type="dxa"/>
            <w:vAlign w:val="bottom"/>
            <w:shd w:val="clear" w:color="auto" w:fill="DDE9F2"/>
          </w:tcPr>
          <w:p>
            <w:pPr>
              <w:spacing w:after="0"/>
              <w:rPr>
                <w:sz w:val="9"/>
                <w:szCs w:val="9"/>
                <w:color w:val="auto"/>
              </w:rPr>
            </w:pPr>
          </w:p>
        </w:tc>
        <w:tc>
          <w:tcPr>
            <w:tcW w:w="1060" w:type="dxa"/>
            <w:vAlign w:val="bottom"/>
            <w:shd w:val="clear" w:color="auto" w:fill="DDE9F2"/>
          </w:tcPr>
          <w:p>
            <w:pPr>
              <w:spacing w:after="0"/>
              <w:rPr>
                <w:sz w:val="9"/>
                <w:szCs w:val="9"/>
                <w:color w:val="auto"/>
              </w:rPr>
            </w:pPr>
          </w:p>
        </w:tc>
        <w:tc>
          <w:tcPr>
            <w:tcW w:w="1020" w:type="dxa"/>
            <w:vAlign w:val="bottom"/>
            <w:shd w:val="clear" w:color="auto" w:fill="DDE9F2"/>
          </w:tcPr>
          <w:p>
            <w:pPr>
              <w:spacing w:after="0"/>
              <w:rPr>
                <w:sz w:val="9"/>
                <w:szCs w:val="9"/>
                <w:color w:val="auto"/>
              </w:rPr>
            </w:pPr>
          </w:p>
        </w:tc>
      </w:tr>
      <w:tr>
        <w:trPr>
          <w:trHeight w:val="218"/>
        </w:trPr>
        <w:tc>
          <w:tcPr>
            <w:tcW w:w="2340" w:type="dxa"/>
            <w:vAlign w:val="bottom"/>
          </w:tcPr>
          <w:p>
            <w:pPr>
              <w:ind w:left="80"/>
              <w:spacing w:after="0"/>
              <w:rPr>
                <w:sz w:val="20"/>
                <w:szCs w:val="20"/>
                <w:color w:val="auto"/>
              </w:rPr>
            </w:pPr>
            <w:r>
              <w:rPr>
                <w:rFonts w:ascii="Arial" w:cs="Arial" w:eastAsia="Arial" w:hAnsi="Arial"/>
                <w:sz w:val="16"/>
                <w:szCs w:val="16"/>
                <w:b w:val="1"/>
                <w:bCs w:val="1"/>
                <w:color w:val="092E44"/>
              </w:rPr>
              <w:t>Arlen Shenkman</w:t>
            </w:r>
          </w:p>
        </w:tc>
        <w:tc>
          <w:tcPr>
            <w:tcW w:w="300" w:type="dxa"/>
            <w:vAlign w:val="bottom"/>
          </w:tcPr>
          <w:p>
            <w:pPr>
              <w:jc w:val="right"/>
              <w:ind w:right="30"/>
              <w:spacing w:after="0"/>
              <w:rPr>
                <w:sz w:val="20"/>
                <w:szCs w:val="20"/>
                <w:color w:val="auto"/>
              </w:rPr>
            </w:pPr>
            <w:r>
              <w:rPr>
                <w:rFonts w:ascii="Arial" w:cs="Arial" w:eastAsia="Arial" w:hAnsi="Arial"/>
                <w:sz w:val="14"/>
                <w:szCs w:val="14"/>
                <w:color w:val="092E44"/>
              </w:rPr>
              <w:t>51</w:t>
            </w:r>
          </w:p>
        </w:tc>
        <w:tc>
          <w:tcPr>
            <w:tcW w:w="640" w:type="dxa"/>
            <w:vAlign w:val="bottom"/>
          </w:tcPr>
          <w:p>
            <w:pPr>
              <w:jc w:val="right"/>
              <w:ind w:right="52"/>
              <w:spacing w:after="0"/>
              <w:rPr>
                <w:sz w:val="20"/>
                <w:szCs w:val="20"/>
                <w:color w:val="auto"/>
              </w:rPr>
            </w:pPr>
            <w:r>
              <w:rPr>
                <w:rFonts w:ascii="Arial" w:cs="Arial" w:eastAsia="Arial" w:hAnsi="Arial"/>
                <w:sz w:val="14"/>
                <w:szCs w:val="14"/>
                <w:color w:val="092E44"/>
              </w:rPr>
              <w:t>2020</w:t>
            </w:r>
          </w:p>
        </w:tc>
        <w:tc>
          <w:tcPr>
            <w:tcW w:w="3940" w:type="dxa"/>
            <w:vAlign w:val="bottom"/>
          </w:tcPr>
          <w:p>
            <w:pPr>
              <w:ind w:left="120"/>
              <w:spacing w:after="0"/>
              <w:rPr>
                <w:sz w:val="20"/>
                <w:szCs w:val="20"/>
                <w:color w:val="auto"/>
              </w:rPr>
            </w:pPr>
            <w:r>
              <w:rPr>
                <w:rFonts w:ascii="Arial" w:cs="Arial" w:eastAsia="Arial" w:hAnsi="Arial"/>
                <w:sz w:val="14"/>
                <w:szCs w:val="14"/>
                <w:color w:val="092E44"/>
              </w:rPr>
              <w:t>Former Executive Vice President</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60"/>
        </w:trPr>
        <w:tc>
          <w:tcPr>
            <w:tcW w:w="2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940" w:type="dxa"/>
            <w:vAlign w:val="bottom"/>
          </w:tcPr>
          <w:p>
            <w:pPr>
              <w:ind w:left="120"/>
              <w:spacing w:after="0"/>
              <w:rPr>
                <w:sz w:val="20"/>
                <w:szCs w:val="20"/>
                <w:color w:val="auto"/>
              </w:rPr>
            </w:pPr>
            <w:r>
              <w:rPr>
                <w:rFonts w:ascii="Arial" w:cs="Arial" w:eastAsia="Arial" w:hAnsi="Arial"/>
                <w:sz w:val="14"/>
                <w:szCs w:val="14"/>
                <w:color w:val="092E44"/>
              </w:rPr>
              <w:t>and Chief Financial Officer, Citrix</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9"/>
        </w:trPr>
        <w:tc>
          <w:tcPr>
            <w:tcW w:w="2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940" w:type="dxa"/>
            <w:vAlign w:val="bottom"/>
          </w:tcPr>
          <w:p>
            <w:pPr>
              <w:ind w:left="120"/>
              <w:spacing w:after="0"/>
              <w:rPr>
                <w:sz w:val="20"/>
                <w:szCs w:val="20"/>
                <w:color w:val="auto"/>
              </w:rPr>
            </w:pPr>
            <w:r>
              <w:rPr>
                <w:rFonts w:ascii="Arial" w:cs="Arial" w:eastAsia="Arial" w:hAnsi="Arial"/>
                <w:sz w:val="14"/>
                <w:szCs w:val="14"/>
                <w:color w:val="092E44"/>
              </w:rPr>
              <w:t>Systems, Inc.</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61"/>
        </w:trPr>
        <w:tc>
          <w:tcPr>
            <w:tcW w:w="2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88"/>
        </w:trPr>
        <w:tc>
          <w:tcPr>
            <w:tcW w:w="2340" w:type="dxa"/>
            <w:vAlign w:val="bottom"/>
            <w:tcBorders>
              <w:bottom w:val="single" w:sz="8" w:color="092E44"/>
            </w:tcBorders>
            <w:shd w:val="clear" w:color="auto" w:fill="092E44"/>
          </w:tcPr>
          <w:p>
            <w:pPr>
              <w:ind w:left="80"/>
              <w:spacing w:after="0"/>
              <w:rPr>
                <w:sz w:val="20"/>
                <w:szCs w:val="20"/>
                <w:color w:val="auto"/>
              </w:rPr>
            </w:pPr>
            <w:r>
              <w:rPr>
                <w:rFonts w:ascii="Arial" w:cs="Arial" w:eastAsia="Arial" w:hAnsi="Arial"/>
                <w:sz w:val="14"/>
                <w:szCs w:val="14"/>
                <w:b w:val="1"/>
                <w:bCs w:val="1"/>
                <w:color w:val="FFFFFF"/>
              </w:rPr>
              <w:t>Number of Directors</w:t>
            </w:r>
          </w:p>
        </w:tc>
        <w:tc>
          <w:tcPr>
            <w:tcW w:w="300" w:type="dxa"/>
            <w:vAlign w:val="bottom"/>
            <w:tcBorders>
              <w:bottom w:val="single" w:sz="8" w:color="092E44"/>
            </w:tcBorders>
            <w:shd w:val="clear" w:color="auto" w:fill="092E44"/>
          </w:tcPr>
          <w:p>
            <w:pPr>
              <w:spacing w:after="0"/>
              <w:rPr>
                <w:sz w:val="24"/>
                <w:szCs w:val="24"/>
                <w:color w:val="auto"/>
              </w:rPr>
            </w:pPr>
          </w:p>
        </w:tc>
        <w:tc>
          <w:tcPr>
            <w:tcW w:w="640" w:type="dxa"/>
            <w:vAlign w:val="bottom"/>
            <w:tcBorders>
              <w:bottom w:val="single" w:sz="8" w:color="092E44"/>
            </w:tcBorders>
            <w:shd w:val="clear" w:color="auto" w:fill="092E44"/>
          </w:tcPr>
          <w:p>
            <w:pPr>
              <w:spacing w:after="0"/>
              <w:rPr>
                <w:sz w:val="24"/>
                <w:szCs w:val="24"/>
                <w:color w:val="auto"/>
              </w:rPr>
            </w:pPr>
          </w:p>
        </w:tc>
        <w:tc>
          <w:tcPr>
            <w:tcW w:w="3940" w:type="dxa"/>
            <w:vAlign w:val="bottom"/>
            <w:tcBorders>
              <w:bottom w:val="single" w:sz="8" w:color="092E44"/>
            </w:tcBorders>
            <w:shd w:val="clear" w:color="auto" w:fill="092E44"/>
          </w:tcPr>
          <w:p>
            <w:pPr>
              <w:spacing w:after="0"/>
              <w:rPr>
                <w:sz w:val="24"/>
                <w:szCs w:val="24"/>
                <w:color w:val="auto"/>
              </w:rPr>
            </w:pPr>
          </w:p>
        </w:tc>
        <w:tc>
          <w:tcPr>
            <w:tcW w:w="760" w:type="dxa"/>
            <w:vAlign w:val="bottom"/>
            <w:tcBorders>
              <w:bottom w:val="single" w:sz="8" w:color="092E44"/>
            </w:tcBorders>
            <w:gridSpan w:val="2"/>
            <w:shd w:val="clear" w:color="auto" w:fill="092E44"/>
          </w:tcPr>
          <w:p>
            <w:pPr>
              <w:jc w:val="right"/>
              <w:ind w:right="247"/>
              <w:spacing w:after="0"/>
              <w:rPr>
                <w:sz w:val="20"/>
                <w:szCs w:val="20"/>
                <w:color w:val="auto"/>
              </w:rPr>
            </w:pPr>
            <w:r>
              <w:rPr>
                <w:rFonts w:ascii="Arial" w:cs="Arial" w:eastAsia="Arial" w:hAnsi="Arial"/>
                <w:sz w:val="14"/>
                <w:szCs w:val="14"/>
                <w:color w:val="FFFFFF"/>
              </w:rPr>
              <w:t>3</w:t>
            </w:r>
          </w:p>
        </w:tc>
        <w:tc>
          <w:tcPr>
            <w:tcW w:w="860" w:type="dxa"/>
            <w:vAlign w:val="bottom"/>
            <w:tcBorders>
              <w:bottom w:val="single" w:sz="8" w:color="092E44"/>
            </w:tcBorders>
            <w:shd w:val="clear" w:color="auto" w:fill="092E44"/>
          </w:tcPr>
          <w:p>
            <w:pPr>
              <w:jc w:val="center"/>
              <w:ind w:left="82"/>
              <w:spacing w:after="0"/>
              <w:rPr>
                <w:sz w:val="20"/>
                <w:szCs w:val="20"/>
                <w:color w:val="auto"/>
              </w:rPr>
            </w:pPr>
            <w:r>
              <w:rPr>
                <w:rFonts w:ascii="Arial" w:cs="Arial" w:eastAsia="Arial" w:hAnsi="Arial"/>
                <w:sz w:val="14"/>
                <w:szCs w:val="14"/>
                <w:color w:val="FFFFFF"/>
              </w:rPr>
              <w:t>3</w:t>
            </w:r>
          </w:p>
        </w:tc>
        <w:tc>
          <w:tcPr>
            <w:tcW w:w="1060" w:type="dxa"/>
            <w:vAlign w:val="bottom"/>
            <w:tcBorders>
              <w:bottom w:val="single" w:sz="8" w:color="092E44"/>
            </w:tcBorders>
            <w:shd w:val="clear" w:color="auto" w:fill="092E44"/>
          </w:tcPr>
          <w:p>
            <w:pPr>
              <w:jc w:val="right"/>
              <w:ind w:right="355"/>
              <w:spacing w:after="0"/>
              <w:rPr>
                <w:sz w:val="20"/>
                <w:szCs w:val="20"/>
                <w:color w:val="auto"/>
              </w:rPr>
            </w:pPr>
            <w:r>
              <w:rPr>
                <w:rFonts w:ascii="Arial" w:cs="Arial" w:eastAsia="Arial" w:hAnsi="Arial"/>
                <w:sz w:val="14"/>
                <w:szCs w:val="14"/>
                <w:color w:val="FFFFFF"/>
              </w:rPr>
              <w:t>3</w:t>
            </w:r>
          </w:p>
        </w:tc>
        <w:tc>
          <w:tcPr>
            <w:tcW w:w="1020" w:type="dxa"/>
            <w:vAlign w:val="bottom"/>
            <w:tcBorders>
              <w:bottom w:val="single" w:sz="8" w:color="092E44"/>
            </w:tcBorders>
            <w:shd w:val="clear" w:color="auto" w:fill="092E44"/>
          </w:tcPr>
          <w:p>
            <w:pPr>
              <w:jc w:val="center"/>
              <w:ind w:left="43"/>
              <w:spacing w:after="0"/>
              <w:rPr>
                <w:sz w:val="20"/>
                <w:szCs w:val="20"/>
                <w:color w:val="auto"/>
              </w:rPr>
            </w:pPr>
            <w:r>
              <w:rPr>
                <w:rFonts w:ascii="Arial" w:cs="Arial" w:eastAsia="Arial" w:hAnsi="Arial"/>
                <w:sz w:val="14"/>
                <w:szCs w:val="14"/>
                <w:color w:val="FFFFFF"/>
              </w:rPr>
              <w:t>3</w:t>
            </w:r>
          </w:p>
        </w:tc>
      </w:tr>
      <w:tr>
        <w:trPr>
          <w:trHeight w:val="251"/>
        </w:trPr>
        <w:tc>
          <w:tcPr>
            <w:tcW w:w="2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092E44"/>
              </w:rPr>
              <w:t>Committee Chair</w:t>
            </w:r>
          </w:p>
        </w:tc>
        <w:tc>
          <w:tcPr>
            <w:tcW w:w="2080" w:type="dxa"/>
            <w:vAlign w:val="bottom"/>
            <w:gridSpan w:val="2"/>
          </w:tcPr>
          <w:p>
            <w:pPr>
              <w:ind w:left="600"/>
              <w:spacing w:after="0"/>
              <w:rPr>
                <w:sz w:val="20"/>
                <w:szCs w:val="20"/>
                <w:color w:val="auto"/>
              </w:rPr>
            </w:pPr>
            <w:r>
              <w:rPr>
                <w:rFonts w:ascii="Arial" w:cs="Arial" w:eastAsia="Arial" w:hAnsi="Arial"/>
                <w:sz w:val="16"/>
                <w:szCs w:val="16"/>
                <w:color w:val="092E44"/>
              </w:rPr>
              <w:t>Committee Member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-2986405</wp:posOffset>
            </wp:positionV>
            <wp:extent cx="118745" cy="1276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8745" cy="127635"/>
                    </a:xfrm>
                    <a:prstGeom prst="rect">
                      <a:avLst/>
                    </a:prstGeom>
                    <a:noFill/>
                  </pic:spPr>
                </pic:pic>
              </a:graphicData>
            </a:graphic>
          </wp:anchor>
        </w:drawing>
        <w:drawing>
          <wp:anchor simplePos="0" relativeHeight="251657728" behindDoc="1" locked="0" layoutInCell="0" allowOverlap="1">
            <wp:simplePos x="0" y="0"/>
            <wp:positionH relativeFrom="column">
              <wp:posOffset>6670675</wp:posOffset>
            </wp:positionH>
            <wp:positionV relativeFrom="paragraph">
              <wp:posOffset>-2731770</wp:posOffset>
            </wp:positionV>
            <wp:extent cx="135890" cy="144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5890" cy="14414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-2493645</wp:posOffset>
            </wp:positionV>
            <wp:extent cx="93345" cy="101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3345" cy="101600"/>
                    </a:xfrm>
                    <a:prstGeom prst="rect">
                      <a:avLst/>
                    </a:prstGeom>
                    <a:noFill/>
                  </pic:spPr>
                </pic:pic>
              </a:graphicData>
            </a:graphic>
          </wp:anchor>
        </w:drawing>
        <w:drawing>
          <wp:anchor simplePos="0" relativeHeight="251657728" behindDoc="1" locked="0" layoutInCell="0" allowOverlap="1">
            <wp:simplePos x="0" y="0"/>
            <wp:positionH relativeFrom="column">
              <wp:posOffset>6696710</wp:posOffset>
            </wp:positionH>
            <wp:positionV relativeFrom="paragraph">
              <wp:posOffset>-2493645</wp:posOffset>
            </wp:positionV>
            <wp:extent cx="93345" cy="101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345" cy="101600"/>
                    </a:xfrm>
                    <a:prstGeom prst="rect">
                      <a:avLst/>
                    </a:prstGeom>
                    <a:noFill/>
                  </pic:spPr>
                </pic:pic>
              </a:graphicData>
            </a:graphic>
          </wp:anchor>
        </w:drawing>
        <w:drawing>
          <wp:anchor simplePos="0" relativeHeight="251657728" behindDoc="1" locked="0" layoutInCell="0" allowOverlap="1">
            <wp:simplePos x="0" y="0"/>
            <wp:positionH relativeFrom="column">
              <wp:posOffset>4895850</wp:posOffset>
            </wp:positionH>
            <wp:positionV relativeFrom="paragraph">
              <wp:posOffset>-2009775</wp:posOffset>
            </wp:positionV>
            <wp:extent cx="118745" cy="1276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8745" cy="12763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-1491615</wp:posOffset>
            </wp:positionV>
            <wp:extent cx="153035" cy="161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3035" cy="161290"/>
                    </a:xfrm>
                    <a:prstGeom prst="rect">
                      <a:avLst/>
                    </a:prstGeom>
                    <a:noFill/>
                  </pic:spPr>
                </pic:pic>
              </a:graphicData>
            </a:graphic>
          </wp:anchor>
        </w:drawing>
        <w:drawing>
          <wp:anchor simplePos="0" relativeHeight="251657728" behindDoc="1" locked="0" layoutInCell="0" allowOverlap="1">
            <wp:simplePos x="0" y="0"/>
            <wp:positionH relativeFrom="column">
              <wp:posOffset>6662420</wp:posOffset>
            </wp:positionH>
            <wp:positionV relativeFrom="paragraph">
              <wp:posOffset>-1491615</wp:posOffset>
            </wp:positionV>
            <wp:extent cx="153035" cy="161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3035" cy="161290"/>
                    </a:xfrm>
                    <a:prstGeom prst="rect">
                      <a:avLst/>
                    </a:prstGeom>
                    <a:noFill/>
                  </pic:spPr>
                </pic:pic>
              </a:graphicData>
            </a:graphic>
          </wp:anchor>
        </w:drawing>
        <w:drawing>
          <wp:anchor simplePos="0" relativeHeight="251657728" behindDoc="1" locked="0" layoutInCell="0" allowOverlap="1">
            <wp:simplePos x="0" y="0"/>
            <wp:positionH relativeFrom="column">
              <wp:posOffset>4912995</wp:posOffset>
            </wp:positionH>
            <wp:positionV relativeFrom="paragraph">
              <wp:posOffset>-1194435</wp:posOffset>
            </wp:positionV>
            <wp:extent cx="93345" cy="101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3345" cy="101600"/>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-1194435</wp:posOffset>
            </wp:positionV>
            <wp:extent cx="93345" cy="101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345" cy="10160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-956945</wp:posOffset>
            </wp:positionV>
            <wp:extent cx="153035" cy="161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3035" cy="161290"/>
                    </a:xfrm>
                    <a:prstGeom prst="rect">
                      <a:avLst/>
                    </a:prstGeom>
                    <a:noFill/>
                  </pic:spPr>
                </pic:pic>
              </a:graphicData>
            </a:graphic>
          </wp:anchor>
        </w:drawing>
        <w:drawing>
          <wp:anchor simplePos="0" relativeHeight="251657728" behindDoc="1" locked="0" layoutInCell="0" allowOverlap="1">
            <wp:simplePos x="0" y="0"/>
            <wp:positionH relativeFrom="column">
              <wp:posOffset>4912995</wp:posOffset>
            </wp:positionH>
            <wp:positionV relativeFrom="paragraph">
              <wp:posOffset>-608330</wp:posOffset>
            </wp:positionV>
            <wp:extent cx="93345" cy="101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3345" cy="10160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-617220</wp:posOffset>
            </wp:positionV>
            <wp:extent cx="118745" cy="1276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8745" cy="12763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-124460</wp:posOffset>
            </wp:positionV>
            <wp:extent cx="118745" cy="1276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8745" cy="127635"/>
                    </a:xfrm>
                    <a:prstGeom prst="rect">
                      <a:avLst/>
                    </a:prstGeom>
                    <a:noFill/>
                  </pic:spPr>
                </pic:pic>
              </a:graphicData>
            </a:graphic>
          </wp:anchor>
        </w:drawing>
        <w:drawing>
          <wp:anchor simplePos="0" relativeHeight="251657728" behindDoc="1" locked="0" layoutInCell="0" allowOverlap="1">
            <wp:simplePos x="0" y="0"/>
            <wp:positionH relativeFrom="column">
              <wp:posOffset>5643245</wp:posOffset>
            </wp:positionH>
            <wp:positionV relativeFrom="paragraph">
              <wp:posOffset>-124460</wp:posOffset>
            </wp:positionV>
            <wp:extent cx="93345" cy="101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3345" cy="101600"/>
                    </a:xfrm>
                    <a:prstGeom prst="rect">
                      <a:avLst/>
                    </a:prstGeom>
                    <a:noFill/>
                  </pic:spPr>
                </pic:pic>
              </a:graphicData>
            </a:graphic>
          </wp:anchor>
        </w:drawing>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Diversity and Tenure Among the Ten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172720</wp:posOffset>
            </wp:positionV>
            <wp:extent cx="5375910" cy="823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75910" cy="82359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1242695</wp:posOffset>
            </wp:positionV>
            <wp:extent cx="220980" cy="2120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05</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80"/>
          </w:cols>
          <w:pgMar w:left="320" w:top="454"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297180</wp:posOffset>
            </wp:positionV>
            <wp:extent cx="6929755" cy="169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29755" cy="1695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240"/>
        <w:spacing w:after="0"/>
        <w:rPr>
          <w:sz w:val="20"/>
          <w:szCs w:val="20"/>
          <w:color w:val="auto"/>
        </w:rPr>
      </w:pPr>
      <w:r>
        <w:rPr>
          <w:rFonts w:ascii="Arial" w:cs="Arial" w:eastAsia="Arial" w:hAnsi="Arial"/>
          <w:sz w:val="11"/>
          <w:szCs w:val="11"/>
          <w:color w:val="092E44"/>
        </w:rPr>
        <w:t xml:space="preserve">PROXY SUMMARY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2022 FINANCIAL HIGHLIGHTS</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Fiscal 2022 Financial Highlights</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Focused and Thoughtful Board Refreshment</w:t>
      </w:r>
    </w:p>
    <w:p>
      <w:pPr>
        <w:spacing w:after="0" w:line="254" w:lineRule="exact"/>
        <w:rPr>
          <w:sz w:val="20"/>
          <w:szCs w:val="20"/>
          <w:color w:val="auto"/>
        </w:rPr>
      </w:pPr>
    </w:p>
    <w:p>
      <w:pPr>
        <w:ind w:left="160" w:right="7360"/>
        <w:spacing w:after="0" w:line="262" w:lineRule="auto"/>
        <w:rPr>
          <w:sz w:val="20"/>
          <w:szCs w:val="20"/>
          <w:color w:val="auto"/>
        </w:rPr>
      </w:pPr>
      <w:r>
        <w:rPr>
          <w:rFonts w:ascii="Arial" w:cs="Arial" w:eastAsia="Arial" w:hAnsi="Arial"/>
          <w:sz w:val="16"/>
          <w:szCs w:val="16"/>
          <w:color w:val="092E44"/>
        </w:rPr>
        <w:t>Eight of our ten directors have joined the Board in the past four years, increasing the Board’s diversity and range of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-372745</wp:posOffset>
            </wp:positionV>
            <wp:extent cx="2598420" cy="900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9842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60" w:right="280"/>
        <w:spacing w:after="0" w:line="279" w:lineRule="auto"/>
        <w:rPr>
          <w:sz w:val="20"/>
          <w:szCs w:val="20"/>
          <w:color w:val="auto"/>
        </w:rPr>
      </w:pPr>
      <w:r>
        <w:rPr>
          <w:rFonts w:ascii="Arial" w:cs="Arial" w:eastAsia="Arial" w:hAnsi="Arial"/>
          <w:sz w:val="16"/>
          <w:szCs w:val="16"/>
          <w:color w:val="092E44"/>
        </w:rPr>
        <w:t>Fiscal 2022 was a successful year for Commvault, with notable increases in revenues, GAAP and non-GAAP income from operations, and GAAP and non-GAAP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128270</wp:posOffset>
            </wp:positionV>
            <wp:extent cx="5358765" cy="19361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58765" cy="193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80" w:hanging="313"/>
        <w:spacing w:after="0" w:line="261" w:lineRule="auto"/>
        <w:tabs>
          <w:tab w:leader="none" w:pos="480" w:val="left"/>
        </w:tabs>
        <w:numPr>
          <w:ilvl w:val="0"/>
          <w:numId w:val="8"/>
        </w:numPr>
        <w:rPr>
          <w:rFonts w:ascii="Arial" w:cs="Arial" w:eastAsia="Arial" w:hAnsi="Arial"/>
          <w:sz w:val="12"/>
          <w:szCs w:val="12"/>
          <w:color w:val="092E44"/>
        </w:rPr>
      </w:pPr>
      <w:r>
        <w:rPr>
          <w:rFonts w:ascii="Arial" w:cs="Arial" w:eastAsia="Arial" w:hAnsi="Arial"/>
          <w:sz w:val="12"/>
          <w:szCs w:val="12"/>
          <w:color w:val="092E44"/>
        </w:rPr>
        <w:t>Please see “Reconciliation of GAAP to Non-GAAP Financial Measures” in Annex A for additional information about our non-GAAP financial measures. Our GAAP income/(loss) from operations (EBIT) was $41,566 and ($22,263) in fiscal years 2022 and 2021, respectively. Our GAAP diluted earnings/(loss) per share (EPS) was $0.71 and ($0.66) in fiscal years 2022 and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321945</wp:posOffset>
            </wp:positionV>
            <wp:extent cx="220980" cy="2120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06</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60"/>
          </w:cols>
          <w:pgMar w:left="320" w:top="454"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297180</wp:posOffset>
            </wp:positionV>
            <wp:extent cx="6929755" cy="169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29755" cy="1695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240"/>
        <w:spacing w:after="0"/>
        <w:rPr>
          <w:sz w:val="20"/>
          <w:szCs w:val="20"/>
          <w:color w:val="auto"/>
        </w:rPr>
      </w:pPr>
      <w:r>
        <w:rPr>
          <w:rFonts w:ascii="Arial" w:cs="Arial" w:eastAsia="Arial" w:hAnsi="Arial"/>
          <w:sz w:val="11"/>
          <w:szCs w:val="11"/>
          <w:color w:val="092E44"/>
        </w:rPr>
        <w:t xml:space="preserve">PROXY SUMMARY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GOVERNANCE HIGHLIGHTS</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Governance Highlights</w:t>
      </w:r>
    </w:p>
    <w:p>
      <w:pPr>
        <w:spacing w:after="0" w:line="71" w:lineRule="exact"/>
        <w:rPr>
          <w:sz w:val="20"/>
          <w:szCs w:val="20"/>
          <w:color w:val="auto"/>
        </w:rPr>
      </w:pPr>
    </w:p>
    <w:p>
      <w:pPr>
        <w:ind w:left="160" w:right="80"/>
        <w:spacing w:after="0" w:line="279" w:lineRule="auto"/>
        <w:rPr>
          <w:sz w:val="20"/>
          <w:szCs w:val="20"/>
          <w:color w:val="auto"/>
        </w:rPr>
      </w:pPr>
      <w:r>
        <w:rPr>
          <w:rFonts w:ascii="Arial" w:cs="Arial" w:eastAsia="Arial" w:hAnsi="Arial"/>
          <w:sz w:val="16"/>
          <w:szCs w:val="16"/>
          <w:color w:val="092E44"/>
        </w:rPr>
        <w:t>Commvault is committed to excellence in corporate governance. We have recently strengthened several of our policies and practices to demonstrate this commitment, including those summarized below.</w:t>
      </w:r>
    </w:p>
    <w:p>
      <w:pPr>
        <w:spacing w:after="0" w:line="40" w:lineRule="exact"/>
        <w:rPr>
          <w:sz w:val="20"/>
          <w:szCs w:val="20"/>
          <w:color w:val="auto"/>
        </w:rPr>
      </w:pPr>
    </w:p>
    <w:p>
      <w:pPr>
        <w:ind w:left="160" w:right="160"/>
        <w:spacing w:after="0" w:line="279" w:lineRule="auto"/>
        <w:rPr>
          <w:sz w:val="20"/>
          <w:szCs w:val="20"/>
          <w:color w:val="auto"/>
        </w:rPr>
      </w:pPr>
      <w:r>
        <w:rPr>
          <w:rFonts w:ascii="Arial" w:cs="Arial" w:eastAsia="Arial" w:hAnsi="Arial"/>
          <w:sz w:val="16"/>
          <w:szCs w:val="16"/>
          <w:b w:val="1"/>
          <w:bCs w:val="1"/>
          <w:color w:val="092E44"/>
        </w:rPr>
        <w:t xml:space="preserve">Independent Board leadership. </w:t>
      </w:r>
      <w:r>
        <w:rPr>
          <w:rFonts w:ascii="Arial" w:cs="Arial" w:eastAsia="Arial" w:hAnsi="Arial"/>
          <w:sz w:val="16"/>
          <w:szCs w:val="16"/>
          <w:color w:val="092E44"/>
        </w:rPr>
        <w:t>Our Board is led by an independent chairman so our President and Chief Executive Officer can focus on his executive</w:t>
      </w:r>
      <w:r>
        <w:rPr>
          <w:rFonts w:ascii="Arial" w:cs="Arial" w:eastAsia="Arial" w:hAnsi="Arial"/>
          <w:sz w:val="16"/>
          <w:szCs w:val="16"/>
          <w:b w:val="1"/>
          <w:bCs w:val="1"/>
          <w:color w:val="092E44"/>
        </w:rPr>
        <w:t xml:space="preserve"> </w:t>
      </w:r>
      <w:r>
        <w:rPr>
          <w:rFonts w:ascii="Arial" w:cs="Arial" w:eastAsia="Arial" w:hAnsi="Arial"/>
          <w:sz w:val="16"/>
          <w:szCs w:val="16"/>
          <w:color w:val="092E44"/>
        </w:rPr>
        <w:t>leadership role.</w:t>
      </w:r>
    </w:p>
    <w:p>
      <w:pPr>
        <w:spacing w:after="0" w:line="27" w:lineRule="exact"/>
        <w:rPr>
          <w:sz w:val="20"/>
          <w:szCs w:val="20"/>
          <w:color w:val="auto"/>
        </w:rPr>
      </w:pPr>
    </w:p>
    <w:p>
      <w:pPr>
        <w:ind w:left="160"/>
        <w:spacing w:after="0" w:line="279" w:lineRule="auto"/>
        <w:rPr>
          <w:sz w:val="20"/>
          <w:szCs w:val="20"/>
          <w:color w:val="auto"/>
        </w:rPr>
      </w:pPr>
      <w:r>
        <w:rPr>
          <w:rFonts w:ascii="Arial" w:cs="Arial" w:eastAsia="Arial" w:hAnsi="Arial"/>
          <w:sz w:val="16"/>
          <w:szCs w:val="16"/>
          <w:b w:val="1"/>
          <w:bCs w:val="1"/>
          <w:color w:val="092E44"/>
        </w:rPr>
        <w:t xml:space="preserve">Clawback policy. </w:t>
      </w:r>
      <w:r>
        <w:rPr>
          <w:rFonts w:ascii="Arial" w:cs="Arial" w:eastAsia="Arial" w:hAnsi="Arial"/>
          <w:sz w:val="16"/>
          <w:szCs w:val="16"/>
          <w:color w:val="092E44"/>
        </w:rPr>
        <w:t>In 2021, we implemented a “clawback” policy for cash and equity incentive awards. This policy allows us to recoup compensation if</w:t>
      </w:r>
      <w:r>
        <w:rPr>
          <w:rFonts w:ascii="Arial" w:cs="Arial" w:eastAsia="Arial" w:hAnsi="Arial"/>
          <w:sz w:val="16"/>
          <w:szCs w:val="16"/>
          <w:b w:val="1"/>
          <w:bCs w:val="1"/>
          <w:color w:val="092E44"/>
        </w:rPr>
        <w:t xml:space="preserve"> </w:t>
      </w:r>
      <w:r>
        <w:rPr>
          <w:rFonts w:ascii="Arial" w:cs="Arial" w:eastAsia="Arial" w:hAnsi="Arial"/>
          <w:sz w:val="16"/>
          <w:szCs w:val="16"/>
          <w:color w:val="092E44"/>
        </w:rPr>
        <w:t>Commvault is required to prepare a financial restatement, without regard to whether the restatement is caused by wrongdoing, negligence, or misconduct.</w:t>
      </w:r>
    </w:p>
    <w:p>
      <w:pPr>
        <w:spacing w:after="0" w:line="40" w:lineRule="exact"/>
        <w:rPr>
          <w:sz w:val="20"/>
          <w:szCs w:val="20"/>
          <w:color w:val="auto"/>
        </w:rPr>
      </w:pPr>
    </w:p>
    <w:p>
      <w:pPr>
        <w:ind w:left="160" w:right="700"/>
        <w:spacing w:after="0" w:line="279" w:lineRule="auto"/>
        <w:rPr>
          <w:sz w:val="20"/>
          <w:szCs w:val="20"/>
          <w:color w:val="auto"/>
        </w:rPr>
      </w:pPr>
      <w:r>
        <w:rPr>
          <w:rFonts w:ascii="Arial" w:cs="Arial" w:eastAsia="Arial" w:hAnsi="Arial"/>
          <w:sz w:val="16"/>
          <w:szCs w:val="16"/>
          <w:b w:val="1"/>
          <w:bCs w:val="1"/>
          <w:color w:val="092E44"/>
        </w:rPr>
        <w:t xml:space="preserve">Hedging policy. </w:t>
      </w:r>
      <w:r>
        <w:rPr>
          <w:rFonts w:ascii="Arial" w:cs="Arial" w:eastAsia="Arial" w:hAnsi="Arial"/>
          <w:sz w:val="16"/>
          <w:szCs w:val="16"/>
          <w:color w:val="092E44"/>
        </w:rPr>
        <w:t>We have a policy that prohibits our employees, officers, and directors from engaging in any hedging transactions with regard to</w:t>
      </w:r>
      <w:r>
        <w:rPr>
          <w:rFonts w:ascii="Arial" w:cs="Arial" w:eastAsia="Arial" w:hAnsi="Arial"/>
          <w:sz w:val="16"/>
          <w:szCs w:val="16"/>
          <w:b w:val="1"/>
          <w:bCs w:val="1"/>
          <w:color w:val="092E44"/>
        </w:rPr>
        <w:t xml:space="preserve"> </w:t>
      </w:r>
      <w:r>
        <w:rPr>
          <w:rFonts w:ascii="Arial" w:cs="Arial" w:eastAsia="Arial" w:hAnsi="Arial"/>
          <w:sz w:val="16"/>
          <w:szCs w:val="16"/>
          <w:color w:val="092E44"/>
        </w:rPr>
        <w:t>Commvault common stock.</w:t>
      </w:r>
    </w:p>
    <w:p>
      <w:pPr>
        <w:spacing w:after="0" w:line="40" w:lineRule="exact"/>
        <w:rPr>
          <w:sz w:val="20"/>
          <w:szCs w:val="20"/>
          <w:color w:val="auto"/>
        </w:rPr>
      </w:pPr>
    </w:p>
    <w:p>
      <w:pPr>
        <w:ind w:left="160" w:right="360"/>
        <w:spacing w:after="0" w:line="279" w:lineRule="auto"/>
        <w:rPr>
          <w:sz w:val="20"/>
          <w:szCs w:val="20"/>
          <w:color w:val="auto"/>
        </w:rPr>
      </w:pPr>
      <w:r>
        <w:rPr>
          <w:rFonts w:ascii="Arial" w:cs="Arial" w:eastAsia="Arial" w:hAnsi="Arial"/>
          <w:sz w:val="16"/>
          <w:szCs w:val="16"/>
          <w:b w:val="1"/>
          <w:bCs w:val="1"/>
          <w:color w:val="092E44"/>
        </w:rPr>
        <w:t xml:space="preserve">Proxy access. </w:t>
      </w:r>
      <w:r>
        <w:rPr>
          <w:rFonts w:ascii="Arial" w:cs="Arial" w:eastAsia="Arial" w:hAnsi="Arial"/>
          <w:sz w:val="16"/>
          <w:szCs w:val="16"/>
          <w:color w:val="092E44"/>
        </w:rPr>
        <w:t>Our Amended and Restated Bylaws include a “proxy access” provision that provides stockholders with the ability to nominate director</w:t>
      </w:r>
      <w:r>
        <w:rPr>
          <w:rFonts w:ascii="Arial" w:cs="Arial" w:eastAsia="Arial" w:hAnsi="Arial"/>
          <w:sz w:val="16"/>
          <w:szCs w:val="16"/>
          <w:b w:val="1"/>
          <w:bCs w:val="1"/>
          <w:color w:val="092E44"/>
        </w:rPr>
        <w:t xml:space="preserve"> </w:t>
      </w:r>
      <w:r>
        <w:rPr>
          <w:rFonts w:ascii="Arial" w:cs="Arial" w:eastAsia="Arial" w:hAnsi="Arial"/>
          <w:sz w:val="16"/>
          <w:szCs w:val="16"/>
          <w:color w:val="092E44"/>
        </w:rPr>
        <w:t>candidates to be included in our proxy materials.</w:t>
      </w:r>
    </w:p>
    <w:p>
      <w:pPr>
        <w:spacing w:after="0" w:line="27" w:lineRule="exact"/>
        <w:rPr>
          <w:sz w:val="20"/>
          <w:szCs w:val="20"/>
          <w:color w:val="auto"/>
        </w:rPr>
      </w:pPr>
    </w:p>
    <w:p>
      <w:pPr>
        <w:ind w:left="160" w:right="60"/>
        <w:spacing w:after="0" w:line="256" w:lineRule="auto"/>
        <w:rPr>
          <w:sz w:val="20"/>
          <w:szCs w:val="20"/>
          <w:color w:val="auto"/>
        </w:rPr>
      </w:pPr>
      <w:r>
        <w:rPr>
          <w:rFonts w:ascii="Arial" w:cs="Arial" w:eastAsia="Arial" w:hAnsi="Arial"/>
          <w:sz w:val="16"/>
          <w:szCs w:val="16"/>
          <w:b w:val="1"/>
          <w:bCs w:val="1"/>
          <w:color w:val="092E44"/>
        </w:rPr>
        <w:t xml:space="preserve">Leadership diversity. </w:t>
      </w:r>
      <w:r>
        <w:rPr>
          <w:rFonts w:ascii="Arial" w:cs="Arial" w:eastAsia="Arial" w:hAnsi="Arial"/>
          <w:sz w:val="16"/>
          <w:szCs w:val="16"/>
          <w:color w:val="092E44"/>
        </w:rPr>
        <w:t>Our Board has adopted Corporate Governance Guidelines that includes an express policy to prioritize diversity. Our Board</w:t>
      </w:r>
      <w:r>
        <w:rPr>
          <w:rFonts w:ascii="Arial" w:cs="Arial" w:eastAsia="Arial" w:hAnsi="Arial"/>
          <w:sz w:val="16"/>
          <w:szCs w:val="16"/>
          <w:b w:val="1"/>
          <w:bCs w:val="1"/>
          <w:color w:val="092E44"/>
        </w:rPr>
        <w:t xml:space="preserve"> </w:t>
      </w:r>
      <w:r>
        <w:rPr>
          <w:rFonts w:ascii="Arial" w:cs="Arial" w:eastAsia="Arial" w:hAnsi="Arial"/>
          <w:sz w:val="16"/>
          <w:szCs w:val="16"/>
          <w:color w:val="092E44"/>
        </w:rPr>
        <w:t>appointments reflect these considerations. Since Mr. Mirchandani joined Commvault in 2019, we have welcomed three women to our executive team and a third woman to our Board. Our Board participated in our employee diversity and inclusion initiatives for Pride month, including director Ms. YY Lee sharing her insights on the industry with a focus on allyship, inclusion in the workplace, and individuality as a key to success.</w:t>
      </w:r>
    </w:p>
    <w:p>
      <w:pPr>
        <w:spacing w:after="0" w:line="58" w:lineRule="exact"/>
        <w:rPr>
          <w:sz w:val="20"/>
          <w:szCs w:val="20"/>
          <w:color w:val="auto"/>
        </w:rPr>
      </w:pPr>
    </w:p>
    <w:p>
      <w:pPr>
        <w:ind w:left="160" w:right="60"/>
        <w:spacing w:after="0" w:line="279" w:lineRule="auto"/>
        <w:rPr>
          <w:sz w:val="20"/>
          <w:szCs w:val="20"/>
          <w:color w:val="auto"/>
        </w:rPr>
      </w:pPr>
      <w:r>
        <w:rPr>
          <w:rFonts w:ascii="Arial" w:cs="Arial" w:eastAsia="Arial" w:hAnsi="Arial"/>
          <w:sz w:val="16"/>
          <w:szCs w:val="16"/>
          <w:b w:val="1"/>
          <w:bCs w:val="1"/>
          <w:color w:val="092E44"/>
        </w:rPr>
        <w:t xml:space="preserve">Cybersecurity. </w:t>
      </w:r>
      <w:r>
        <w:rPr>
          <w:rFonts w:ascii="Arial" w:cs="Arial" w:eastAsia="Arial" w:hAnsi="Arial"/>
          <w:sz w:val="16"/>
          <w:szCs w:val="16"/>
          <w:color w:val="092E44"/>
        </w:rPr>
        <w:t>Leveraging his 20 years of experience in security program transformation, Mr. Javier Dominguez now leads our cybersecurity strategy as</w:t>
      </w:r>
      <w:r>
        <w:rPr>
          <w:rFonts w:ascii="Arial" w:cs="Arial" w:eastAsia="Arial" w:hAnsi="Arial"/>
          <w:sz w:val="16"/>
          <w:szCs w:val="16"/>
          <w:b w:val="1"/>
          <w:bCs w:val="1"/>
          <w:color w:val="092E44"/>
        </w:rPr>
        <w:t xml:space="preserve"> </w:t>
      </w:r>
      <w:r>
        <w:rPr>
          <w:rFonts w:ascii="Arial" w:cs="Arial" w:eastAsia="Arial" w:hAnsi="Arial"/>
          <w:sz w:val="16"/>
          <w:szCs w:val="16"/>
          <w:color w:val="092E44"/>
        </w:rPr>
        <w:t>our Chief Information Security Officer. The Board provides oversight of the Company’s cybersecurity and compliance programs.</w:t>
      </w:r>
    </w:p>
    <w:p>
      <w:pPr>
        <w:spacing w:after="0" w:line="40" w:lineRule="exact"/>
        <w:rPr>
          <w:sz w:val="20"/>
          <w:szCs w:val="20"/>
          <w:color w:val="auto"/>
        </w:rPr>
      </w:pPr>
    </w:p>
    <w:p>
      <w:pPr>
        <w:ind w:left="160" w:right="20"/>
        <w:spacing w:after="0" w:line="253" w:lineRule="auto"/>
        <w:rPr>
          <w:sz w:val="20"/>
          <w:szCs w:val="20"/>
          <w:color w:val="auto"/>
        </w:rPr>
      </w:pPr>
      <w:r>
        <w:rPr>
          <w:rFonts w:ascii="Arial" w:cs="Arial" w:eastAsia="Arial" w:hAnsi="Arial"/>
          <w:sz w:val="16"/>
          <w:szCs w:val="16"/>
          <w:b w:val="1"/>
          <w:bCs w:val="1"/>
          <w:color w:val="092E44"/>
        </w:rPr>
        <w:t xml:space="preserve">Compliance program. </w:t>
      </w:r>
      <w:r>
        <w:rPr>
          <w:rFonts w:ascii="Arial" w:cs="Arial" w:eastAsia="Arial" w:hAnsi="Arial"/>
          <w:sz w:val="16"/>
          <w:szCs w:val="16"/>
          <w:color w:val="092E44"/>
        </w:rPr>
        <w:t>We have expanded our compliance program under the leadership of a Director of Compliance. Under the Chief Legal and</w:t>
      </w:r>
      <w:r>
        <w:rPr>
          <w:rFonts w:ascii="Arial" w:cs="Arial" w:eastAsia="Arial" w:hAnsi="Arial"/>
          <w:sz w:val="16"/>
          <w:szCs w:val="16"/>
          <w:b w:val="1"/>
          <w:bCs w:val="1"/>
          <w:color w:val="092E44"/>
        </w:rPr>
        <w:t xml:space="preserve"> </w:t>
      </w:r>
      <w:r>
        <w:rPr>
          <w:rFonts w:ascii="Arial" w:cs="Arial" w:eastAsia="Arial" w:hAnsi="Arial"/>
          <w:sz w:val="16"/>
          <w:szCs w:val="16"/>
          <w:color w:val="092E44"/>
        </w:rPr>
        <w:t>Compliance Officer and in conjunction with the new Chief Information Security Officer, the Director of Compliance monitors and implements compliance training regarding our policies relating to sanctions, data privacy, cybersecurity, anti-harassment, modern slavery act, background checks, confidentiality, business continuity, equal employment, and anti-corruption. The goal of the compliance program is to meet the needs of our customers and partners in an ever-changing regulatory compliance landscape.</w:t>
      </w:r>
    </w:p>
    <w:p>
      <w:pPr>
        <w:spacing w:after="0" w:line="47" w:lineRule="exact"/>
        <w:rPr>
          <w:sz w:val="20"/>
          <w:szCs w:val="20"/>
          <w:color w:val="auto"/>
        </w:rPr>
      </w:pPr>
    </w:p>
    <w:p>
      <w:pPr>
        <w:ind w:left="160" w:right="780"/>
        <w:spacing w:after="0" w:line="279" w:lineRule="auto"/>
        <w:rPr>
          <w:sz w:val="20"/>
          <w:szCs w:val="20"/>
          <w:color w:val="auto"/>
        </w:rPr>
      </w:pPr>
      <w:r>
        <w:rPr>
          <w:rFonts w:ascii="Arial" w:cs="Arial" w:eastAsia="Arial" w:hAnsi="Arial"/>
          <w:sz w:val="16"/>
          <w:szCs w:val="16"/>
          <w:color w:val="092E44"/>
        </w:rPr>
        <w:t>We believe these changes and practices represent strong corporate governance measures that are in the best interests of our company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221615</wp:posOffset>
            </wp:positionV>
            <wp:extent cx="220980" cy="2120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07</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80"/>
          </w:cols>
          <w:pgMar w:left="320" w:top="454"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297180</wp:posOffset>
            </wp:positionV>
            <wp:extent cx="6929755" cy="169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29755" cy="1695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240"/>
        <w:spacing w:after="0"/>
        <w:rPr>
          <w:sz w:val="20"/>
          <w:szCs w:val="20"/>
          <w:color w:val="auto"/>
        </w:rPr>
      </w:pPr>
      <w:r>
        <w:rPr>
          <w:rFonts w:ascii="Arial" w:cs="Arial" w:eastAsia="Arial" w:hAnsi="Arial"/>
          <w:sz w:val="11"/>
          <w:szCs w:val="11"/>
          <w:color w:val="092E44"/>
        </w:rPr>
        <w:t xml:space="preserve">PROXY SUMMARY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EXECUTIVE COMPENSATION HIGHLIGHTS</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Executive Compensation Highlights</w:t>
      </w:r>
    </w:p>
    <w:p>
      <w:pPr>
        <w:spacing w:after="0" w:line="71" w:lineRule="exact"/>
        <w:rPr>
          <w:sz w:val="20"/>
          <w:szCs w:val="20"/>
          <w:color w:val="auto"/>
        </w:rPr>
      </w:pPr>
    </w:p>
    <w:p>
      <w:pPr>
        <w:ind w:left="160"/>
        <w:spacing w:after="0" w:line="262" w:lineRule="auto"/>
        <w:rPr>
          <w:sz w:val="20"/>
          <w:szCs w:val="20"/>
          <w:color w:val="auto"/>
        </w:rPr>
      </w:pPr>
      <w:r>
        <w:rPr>
          <w:rFonts w:ascii="Arial" w:cs="Arial" w:eastAsia="Arial" w:hAnsi="Arial"/>
          <w:sz w:val="16"/>
          <w:szCs w:val="16"/>
          <w:color w:val="092E44"/>
        </w:rPr>
        <w:t>Commvault’s executive compensation program is designed to support our long-term strategic vision and to align with our pay-for-performance philosophy. As shown below, a significant amount of our executives’ direct compensation is long-term and varies based on company (and, for some executives,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6148705" cy="35667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48705" cy="3566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08</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40"/>
          </w:cols>
          <w:pgMar w:left="320" w:top="454" w:right="5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297180</wp:posOffset>
            </wp:positionV>
            <wp:extent cx="6929755" cy="169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29755" cy="1695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240"/>
        <w:spacing w:after="0"/>
        <w:rPr>
          <w:sz w:val="20"/>
          <w:szCs w:val="20"/>
          <w:color w:val="auto"/>
        </w:rPr>
      </w:pPr>
      <w:r>
        <w:rPr>
          <w:rFonts w:ascii="Arial" w:cs="Arial" w:eastAsia="Arial" w:hAnsi="Arial"/>
          <w:sz w:val="11"/>
          <w:szCs w:val="11"/>
          <w:color w:val="092E44"/>
        </w:rPr>
        <w:t xml:space="preserve">PROXY SUMMARY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CORPORATE SOCIAL RESPONSIBILITY DEVELOPMENTS</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Corporate Social Responsibility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248920</wp:posOffset>
            </wp:positionV>
            <wp:extent cx="6938010" cy="23355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38010" cy="233553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320"/>
        <w:spacing w:after="0"/>
        <w:rPr>
          <w:sz w:val="20"/>
          <w:szCs w:val="20"/>
          <w:color w:val="auto"/>
        </w:rPr>
      </w:pPr>
      <w:r>
        <w:rPr>
          <w:rFonts w:ascii="Arial" w:cs="Arial" w:eastAsia="Arial" w:hAnsi="Arial"/>
          <w:sz w:val="18"/>
          <w:szCs w:val="18"/>
          <w:color w:val="E14A6A"/>
        </w:rPr>
        <w:t>Climate</w:t>
      </w:r>
    </w:p>
    <w:p>
      <w:pPr>
        <w:spacing w:after="0" w:line="119" w:lineRule="exact"/>
        <w:rPr>
          <w:sz w:val="20"/>
          <w:szCs w:val="20"/>
          <w:color w:val="auto"/>
        </w:rPr>
      </w:pPr>
    </w:p>
    <w:p>
      <w:pPr>
        <w:ind w:left="320" w:right="180"/>
        <w:spacing w:after="0" w:line="253" w:lineRule="auto"/>
        <w:rPr>
          <w:sz w:val="20"/>
          <w:szCs w:val="20"/>
          <w:color w:val="auto"/>
        </w:rPr>
      </w:pPr>
      <w:r>
        <w:rPr>
          <w:rFonts w:ascii="Arial" w:cs="Arial" w:eastAsia="Arial" w:hAnsi="Arial"/>
          <w:sz w:val="16"/>
          <w:szCs w:val="16"/>
          <w:color w:val="092E44"/>
        </w:rPr>
        <w:t>This past year, Commvault’s Environmental, Social and Governance (ESG) team completed a gap analysis against Sustainability Accounting Standards Board (SASB) requirements for software and technology companies. SASB is a widely recognized independent standard for financially material ESG information that is industry-specific, evidence-based, and market-informed to help investors compare companies fairly while monitoring markets over time. As a result of the gap analysis, the ESG team increased its focus on inclusion and belonging by adding three new employee resource groups (ERG)-Capabilities, Family Support Network, and Environmental-to the Commvault ERG community.</w:t>
      </w:r>
    </w:p>
    <w:p>
      <w:pPr>
        <w:spacing w:after="0" w:line="100" w:lineRule="exact"/>
        <w:rPr>
          <w:sz w:val="20"/>
          <w:szCs w:val="20"/>
          <w:color w:val="auto"/>
        </w:rPr>
      </w:pPr>
    </w:p>
    <w:p>
      <w:pPr>
        <w:ind w:left="320" w:right="2240"/>
        <w:spacing w:after="0" w:line="250" w:lineRule="auto"/>
        <w:rPr>
          <w:sz w:val="20"/>
          <w:szCs w:val="20"/>
          <w:color w:val="auto"/>
        </w:rPr>
      </w:pPr>
      <w:r>
        <w:rPr>
          <w:rFonts w:ascii="Arial" w:cs="Arial" w:eastAsia="Arial" w:hAnsi="Arial"/>
          <w:sz w:val="16"/>
          <w:szCs w:val="16"/>
          <w:color w:val="092E44"/>
        </w:rPr>
        <w:t>We published our second annual CSR report in June 2021. This report highlights that the nature of our business enables us to avoid having a traditional corporate environmental footprint. For example, we do not require physical manufacturing operations or global supply chains. Moreover, nearly 50% of the energy requirements (175 days) for Commvault’s main data center was avoided through the use of innovative free cooling processes, resulting in an annual reduction of 682,000 kilowatt hours or 159,000 kg of C02 emissions. Our products and services, which provide opportunities for responsible data management, can help reduce our customers’ environmental footprints and costs as well. Our third annual CSR report was published in June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676910</wp:posOffset>
            </wp:positionV>
            <wp:extent cx="6929755" cy="19532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29755" cy="1953260"/>
                    </a:xfrm>
                    <a:prstGeom prst="rect">
                      <a:avLst/>
                    </a:prstGeom>
                    <a:noFill/>
                  </pic:spPr>
                </pic:pic>
              </a:graphicData>
            </a:graphic>
          </wp:anchor>
        </w:drawing>
      </w:r>
    </w:p>
    <w:p>
      <w:pPr>
        <w:sectPr>
          <w:pgSz w:w="11900" w:h="16838" w:orient="portrait"/>
          <w:cols w:equalWidth="0" w:num="1">
            <w:col w:w="11040"/>
          </w:cols>
          <w:pgMar w:left="320" w:top="454"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20"/>
        <w:spacing w:after="0"/>
        <w:rPr>
          <w:sz w:val="20"/>
          <w:szCs w:val="20"/>
          <w:color w:val="auto"/>
        </w:rPr>
      </w:pPr>
      <w:r>
        <w:rPr>
          <w:rFonts w:ascii="Arial" w:cs="Arial" w:eastAsia="Arial" w:hAnsi="Arial"/>
          <w:sz w:val="18"/>
          <w:szCs w:val="18"/>
          <w:color w:val="E14A6A"/>
        </w:rPr>
        <w:t>Human Rights</w:t>
      </w:r>
    </w:p>
    <w:p>
      <w:pPr>
        <w:spacing w:after="0" w:line="119" w:lineRule="exact"/>
        <w:rPr>
          <w:sz w:val="20"/>
          <w:szCs w:val="20"/>
          <w:color w:val="auto"/>
        </w:rPr>
      </w:pPr>
    </w:p>
    <w:p>
      <w:pPr>
        <w:ind w:left="320"/>
        <w:spacing w:after="0" w:line="256" w:lineRule="auto"/>
        <w:rPr>
          <w:sz w:val="20"/>
          <w:szCs w:val="20"/>
          <w:color w:val="auto"/>
        </w:rPr>
      </w:pPr>
      <w:r>
        <w:rPr>
          <w:rFonts w:ascii="Arial" w:cs="Arial" w:eastAsia="Arial" w:hAnsi="Arial"/>
          <w:sz w:val="16"/>
          <w:szCs w:val="16"/>
          <w:color w:val="092E44"/>
        </w:rPr>
        <w:t>We are proud to be part of the United Nations’ Business Avengers Program, which unites global companies in a commitment to help deliver on the Sustainable Development Goals that have been agreed to by UN nations. For X years, Commvault has supported goal No. 12, Responsible Consumption and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1438275</wp:posOffset>
            </wp:positionV>
            <wp:extent cx="220980" cy="2120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E14A6A"/>
        </w:rPr>
        <w:t>Governance</w:t>
      </w:r>
    </w:p>
    <w:p>
      <w:pPr>
        <w:spacing w:after="0" w:line="119" w:lineRule="exact"/>
        <w:rPr>
          <w:sz w:val="20"/>
          <w:szCs w:val="20"/>
          <w:color w:val="auto"/>
        </w:rPr>
      </w:pPr>
    </w:p>
    <w:p>
      <w:pPr>
        <w:spacing w:after="0" w:line="266" w:lineRule="auto"/>
        <w:rPr>
          <w:sz w:val="20"/>
          <w:szCs w:val="20"/>
          <w:color w:val="auto"/>
        </w:rPr>
      </w:pPr>
      <w:r>
        <w:rPr>
          <w:rFonts w:ascii="Arial" w:cs="Arial" w:eastAsia="Arial" w:hAnsi="Arial"/>
          <w:sz w:val="15"/>
          <w:szCs w:val="15"/>
          <w:color w:val="092E44"/>
        </w:rPr>
        <w:t>In 2021, we amended the charter for the Board’s Nominations and Governance Committee to give that committee direct responsibility for overseeing and providing direction for Commvault’s corporate social responsibility and sustainability programs and efforts.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E14A6A"/>
        </w:rPr>
        <w:t>Global Philanthropy</w:t>
      </w:r>
    </w:p>
    <w:p>
      <w:pPr>
        <w:spacing w:after="0" w:line="119" w:lineRule="exact"/>
        <w:rPr>
          <w:sz w:val="20"/>
          <w:szCs w:val="20"/>
          <w:color w:val="auto"/>
        </w:rPr>
      </w:pPr>
    </w:p>
    <w:p>
      <w:pPr>
        <w:spacing w:after="0" w:line="251" w:lineRule="auto"/>
        <w:rPr>
          <w:sz w:val="20"/>
          <w:szCs w:val="20"/>
          <w:color w:val="auto"/>
        </w:rPr>
      </w:pPr>
      <w:r>
        <w:rPr>
          <w:rFonts w:ascii="Arial" w:cs="Arial" w:eastAsia="Arial" w:hAnsi="Arial"/>
          <w:sz w:val="16"/>
          <w:szCs w:val="16"/>
          <w:color w:val="092E44"/>
        </w:rPr>
        <w:t>Commvault matched employees’ donations to the International Rescue Committee dollar-for-dollar in support of Ukrainian refugees.</w:t>
      </w:r>
    </w:p>
    <w:p>
      <w:pPr>
        <w:spacing w:after="0" w:line="957" w:lineRule="exact"/>
        <w:rPr>
          <w:sz w:val="20"/>
          <w:szCs w:val="20"/>
          <w:color w:val="auto"/>
        </w:rPr>
      </w:pPr>
    </w:p>
    <w:p>
      <w:pPr>
        <w:sectPr>
          <w:pgSz w:w="11900" w:h="16838" w:orient="portrait"/>
          <w:cols w:equalWidth="0" w:num="3">
            <w:col w:w="6440" w:space="340"/>
            <w:col w:w="2140" w:space="380"/>
            <w:col w:w="1740"/>
          </w:cols>
          <w:pgMar w:left="320" w:top="454"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0"/>
          <w:szCs w:val="10"/>
          <w:color w:val="092E44"/>
        </w:rPr>
        <w:t>09</w:t>
      </w:r>
      <w:r>
        <w:rPr>
          <w:sz w:val="20"/>
          <w:szCs w:val="20"/>
          <w:color w:val="auto"/>
        </w:rPr>
        <w:tab/>
      </w:r>
      <w:r>
        <w:rPr>
          <w:rFonts w:ascii="Arial" w:cs="Arial" w:eastAsia="Arial" w:hAnsi="Arial"/>
          <w:sz w:val="10"/>
          <w:szCs w:val="10"/>
          <w:b w:val="1"/>
          <w:bCs w:val="1"/>
          <w:color w:val="092E44"/>
        </w:rPr>
        <w:t xml:space="preserve">COMMVAULT SYSTEMS, INC. </w:t>
      </w:r>
      <w:r>
        <w:rPr>
          <w:rFonts w:ascii="Arial" w:cs="Arial" w:eastAsia="Arial" w:hAnsi="Arial"/>
          <w:sz w:val="10"/>
          <w:szCs w:val="10"/>
          <w:color w:val="E14A6A"/>
        </w:rPr>
        <w:t>|</w:t>
      </w:r>
      <w:r>
        <w:rPr>
          <w:rFonts w:ascii="Arial" w:cs="Arial" w:eastAsia="Arial" w:hAnsi="Arial"/>
          <w:sz w:val="10"/>
          <w:szCs w:val="10"/>
          <w:b w:val="1"/>
          <w:bCs w:val="1"/>
          <w:color w:val="092E44"/>
        </w:rPr>
        <w:t xml:space="preserve"> </w:t>
      </w:r>
      <w:r>
        <w:rPr>
          <w:rFonts w:ascii="Arial" w:cs="Arial" w:eastAsia="Arial" w:hAnsi="Arial"/>
          <w:sz w:val="10"/>
          <w:szCs w:val="10"/>
          <w:color w:val="092E44"/>
        </w:rPr>
        <w:t>2022 PROXY STATEMENT</w:t>
      </w:r>
    </w:p>
    <w:p>
      <w:pPr>
        <w:sectPr>
          <w:pgSz w:w="11900" w:h="16838" w:orient="portrait"/>
          <w:cols w:equalWidth="0" w:num="1">
            <w:col w:w="11040"/>
          </w:cols>
          <w:pgMar w:left="320" w:top="454" w:right="5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6929755" cy="19615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29755" cy="196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60"/>
        <w:spacing w:after="0"/>
        <w:rPr>
          <w:sz w:val="20"/>
          <w:szCs w:val="20"/>
          <w:color w:val="auto"/>
        </w:rPr>
      </w:pPr>
      <w:r>
        <w:rPr>
          <w:rFonts w:ascii="Arial" w:cs="Arial" w:eastAsia="Arial" w:hAnsi="Arial"/>
          <w:sz w:val="64"/>
          <w:szCs w:val="64"/>
          <w:b w:val="1"/>
          <w:bCs w:val="1"/>
          <w:color w:val="E14A6A"/>
        </w:rPr>
        <w:t>Proposal No. 1:</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64"/>
          <w:szCs w:val="64"/>
          <w:b w:val="1"/>
          <w:bCs w:val="1"/>
          <w:color w:val="092E44"/>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309245</wp:posOffset>
            </wp:positionV>
            <wp:extent cx="5647690" cy="16217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47690" cy="162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right="40"/>
        <w:spacing w:after="0" w:line="252" w:lineRule="auto"/>
        <w:rPr>
          <w:sz w:val="20"/>
          <w:szCs w:val="20"/>
          <w:color w:val="auto"/>
        </w:rPr>
      </w:pPr>
      <w:r>
        <w:rPr>
          <w:rFonts w:ascii="Arial" w:cs="Arial" w:eastAsia="Arial" w:hAnsi="Arial"/>
          <w:sz w:val="21"/>
          <w:szCs w:val="21"/>
          <w:color w:val="092E44"/>
        </w:rPr>
        <w:t>Our Board of Directors was historically divided into three classes. Two years ago we began a three-year process of de-classifying our Board. At the upcoming annual meeting, six nominees—from classes I and III—will stand for re-election to one-year terms. Beginning with the 2023 Annual Meeting, all directors will be elected annually, and the Board will no longer be divided into classes.</w:t>
      </w:r>
    </w:p>
    <w:p>
      <w:pPr>
        <w:spacing w:after="0" w:line="175"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092E44"/>
        </w:rPr>
        <w:t>If you sign, date and return your proxy card, the individuals named as proxy voters on the proxy card for our 2022 Annual Meeting, or their substitutes, will vote your proxy for all the nominees, unless you provide contrary instructions. Commvault has no reason to believe that any nominee will be unavailable to serve as a director. However, if any nominee for director withdraws or for any reason is not able to serve as a director, we will vote your proxy for any replacement nominee designated by the Board.</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Director Independence</w:t>
      </w:r>
    </w:p>
    <w:p>
      <w:pPr>
        <w:spacing w:after="0" w:line="71" w:lineRule="exact"/>
        <w:rPr>
          <w:sz w:val="20"/>
          <w:szCs w:val="20"/>
          <w:color w:val="auto"/>
        </w:rPr>
      </w:pPr>
    </w:p>
    <w:p>
      <w:pPr>
        <w:ind w:left="160" w:right="140"/>
        <w:spacing w:after="0" w:line="251" w:lineRule="auto"/>
        <w:rPr>
          <w:sz w:val="20"/>
          <w:szCs w:val="20"/>
          <w:color w:val="auto"/>
        </w:rPr>
      </w:pPr>
      <w:r>
        <w:rPr>
          <w:rFonts w:ascii="Arial" w:cs="Arial" w:eastAsia="Arial" w:hAnsi="Arial"/>
          <w:sz w:val="16"/>
          <w:szCs w:val="16"/>
          <w:color w:val="092E44"/>
        </w:rPr>
        <w:t>Our Corporate Governance Guidelines provide that the Board must have a majority of members who meet the independence standards set forth in the listing rules of the Nasdaq Stock Market (“Nasdaq”). The Board annually assesses the independence of each director and has determined that all the current directors except our CEO, Mr. Mirchandani, are independent under these standards. In making this determination, the Nominations and Governance Committee, acting on behalf of our Board, considered all relevant facts and circumstances to ascertain whether there was any relationship between a director and Commvault that, in the opinion of the committee, would interfere with the director’s exercise of independent judgment in carrying out the responsibilities of a director. The Board has determined that all members, other than Mr. Mirchandani,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235585</wp:posOffset>
            </wp:positionV>
            <wp:extent cx="220980" cy="2120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10</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60"/>
          </w:cols>
          <w:pgMar w:left="320" w:top="454" w:right="5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PROPOSAL NO. 1: ELECTION OF DIRECTORS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BOARD DIVERSITY</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Board Diversity</w:t>
      </w:r>
    </w:p>
    <w:p>
      <w:pPr>
        <w:spacing w:after="0" w:line="71" w:lineRule="exact"/>
        <w:rPr>
          <w:sz w:val="20"/>
          <w:szCs w:val="20"/>
          <w:color w:val="auto"/>
        </w:rPr>
      </w:pPr>
    </w:p>
    <w:p>
      <w:pPr>
        <w:ind w:left="160" w:right="60"/>
        <w:spacing w:after="0" w:line="253" w:lineRule="auto"/>
        <w:rPr>
          <w:sz w:val="20"/>
          <w:szCs w:val="20"/>
          <w:color w:val="auto"/>
        </w:rPr>
      </w:pPr>
      <w:r>
        <w:rPr>
          <w:rFonts w:ascii="Arial" w:cs="Arial" w:eastAsia="Arial" w:hAnsi="Arial"/>
          <w:sz w:val="16"/>
          <w:szCs w:val="16"/>
          <w:color w:val="092E44"/>
        </w:rPr>
        <w:t>The Board of Directors has adopted a policy on Board diversity that is implemented by the Nominations and Governance Committee. This policy requires the Nominations and Governance Committee to consider gender, race, and ethnicity when recommending director nominees, as well as diversity in professional experience, skills, business knowledge, training and understanding of Commvault’s business environment when recommending nominees to the Board. Our objective is to achieve a board composed of members whose individual backgrounds collectively provide a portfolio of experience and knowledge that will serve Commvault’s governance and strategic needs.</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The diverse personal characteristics of our directors are shown in the graphics below.</w:t>
      </w:r>
    </w:p>
    <w:p>
      <w:pPr>
        <w:spacing w:after="0" w:line="31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 xml:space="preserve">Diversity Matrix </w:t>
      </w:r>
      <w:r>
        <w:rPr>
          <w:rFonts w:ascii="Arial" w:cs="Arial" w:eastAsia="Arial" w:hAnsi="Arial"/>
          <w:sz w:val="16"/>
          <w:szCs w:val="16"/>
          <w:color w:val="092E44"/>
        </w:rPr>
        <w:t>(As of July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3291205</wp:posOffset>
            </wp:positionH>
            <wp:positionV relativeFrom="paragraph">
              <wp:posOffset>93980</wp:posOffset>
            </wp:positionV>
            <wp:extent cx="8255" cy="2546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254635"/>
                    </a:xfrm>
                    <a:prstGeom prst="rect">
                      <a:avLst/>
                    </a:prstGeom>
                    <a:noFill/>
                  </pic:spPr>
                </pic:pic>
              </a:graphicData>
            </a:graphic>
          </wp:anchor>
        </w:drawing>
      </w:r>
    </w:p>
    <w:p>
      <w:pPr>
        <w:spacing w:after="0" w:line="128" w:lineRule="exact"/>
        <w:rPr>
          <w:sz w:val="20"/>
          <w:szCs w:val="20"/>
          <w:color w:val="auto"/>
        </w:rPr>
      </w:pPr>
    </w:p>
    <w:tbl>
      <w:tblPr>
        <w:tblLayout w:type="fixed"/>
        <w:tblInd w:w="160" w:type="dxa"/>
        <w:tblCellMar>
          <w:top w:w="0" w:type="dxa"/>
          <w:left w:w="0" w:type="dxa"/>
          <w:bottom w:w="0" w:type="dxa"/>
          <w:right w:w="0" w:type="dxa"/>
        </w:tblCellMar>
      </w:tblPr>
      <w:tr>
        <w:trPr>
          <w:trHeight w:val="314"/>
        </w:trPr>
        <w:tc>
          <w:tcPr>
            <w:tcW w:w="5580" w:type="dxa"/>
            <w:vAlign w:val="bottom"/>
            <w:shd w:val="clear" w:color="auto" w:fill="DDE9F2"/>
          </w:tcPr>
          <w:p>
            <w:pPr>
              <w:ind w:left="80"/>
              <w:spacing w:after="0"/>
              <w:rPr>
                <w:sz w:val="20"/>
                <w:szCs w:val="20"/>
                <w:color w:val="auto"/>
              </w:rPr>
            </w:pPr>
            <w:r>
              <w:rPr>
                <w:rFonts w:ascii="Arial" w:cs="Arial" w:eastAsia="Arial" w:hAnsi="Arial"/>
                <w:sz w:val="16"/>
                <w:szCs w:val="16"/>
                <w:b w:val="1"/>
                <w:bCs w:val="1"/>
                <w:color w:val="092E44"/>
              </w:rPr>
              <w:t>Total Number of Directors</w:t>
            </w:r>
          </w:p>
        </w:tc>
        <w:tc>
          <w:tcPr>
            <w:tcW w:w="980" w:type="dxa"/>
            <w:vAlign w:val="bottom"/>
            <w:shd w:val="clear" w:color="auto" w:fill="DDE9F2"/>
          </w:tcPr>
          <w:p>
            <w:pPr>
              <w:spacing w:after="0"/>
              <w:rPr>
                <w:sz w:val="24"/>
                <w:szCs w:val="24"/>
                <w:color w:val="auto"/>
              </w:rPr>
            </w:pPr>
          </w:p>
        </w:tc>
        <w:tc>
          <w:tcPr>
            <w:tcW w:w="1180" w:type="dxa"/>
            <w:vAlign w:val="bottom"/>
            <w:shd w:val="clear" w:color="auto" w:fill="DDE9F2"/>
          </w:tcPr>
          <w:p>
            <w:pPr>
              <w:spacing w:after="0"/>
              <w:rPr>
                <w:sz w:val="24"/>
                <w:szCs w:val="24"/>
                <w:color w:val="auto"/>
              </w:rPr>
            </w:pPr>
          </w:p>
        </w:tc>
        <w:tc>
          <w:tcPr>
            <w:tcW w:w="1700" w:type="dxa"/>
            <w:vAlign w:val="bottom"/>
            <w:shd w:val="clear" w:color="auto" w:fill="DDE9F2"/>
          </w:tcPr>
          <w:p>
            <w:pPr>
              <w:jc w:val="center"/>
              <w:ind w:right="721"/>
              <w:spacing w:after="0"/>
              <w:rPr>
                <w:sz w:val="20"/>
                <w:szCs w:val="20"/>
                <w:color w:val="auto"/>
              </w:rPr>
            </w:pPr>
            <w:r>
              <w:rPr>
                <w:rFonts w:ascii="Arial" w:cs="Arial" w:eastAsia="Arial" w:hAnsi="Arial"/>
                <w:sz w:val="16"/>
                <w:szCs w:val="16"/>
                <w:b w:val="1"/>
                <w:bCs w:val="1"/>
                <w:color w:val="092E44"/>
              </w:rPr>
              <w:t>10</w:t>
            </w:r>
          </w:p>
        </w:tc>
        <w:tc>
          <w:tcPr>
            <w:tcW w:w="1480" w:type="dxa"/>
            <w:vAlign w:val="bottom"/>
            <w:shd w:val="clear" w:color="auto" w:fill="DDE9F2"/>
          </w:tcPr>
          <w:p>
            <w:pPr>
              <w:spacing w:after="0"/>
              <w:rPr>
                <w:sz w:val="24"/>
                <w:szCs w:val="24"/>
                <w:color w:val="auto"/>
              </w:rPr>
            </w:pPr>
          </w:p>
        </w:tc>
      </w:tr>
      <w:tr>
        <w:trPr>
          <w:trHeight w:val="87"/>
        </w:trPr>
        <w:tc>
          <w:tcPr>
            <w:tcW w:w="5580" w:type="dxa"/>
            <w:vAlign w:val="bottom"/>
            <w:shd w:val="clear" w:color="auto" w:fill="DDE9F2"/>
          </w:tcPr>
          <w:p>
            <w:pPr>
              <w:spacing w:after="0"/>
              <w:rPr>
                <w:sz w:val="7"/>
                <w:szCs w:val="7"/>
                <w:color w:val="auto"/>
              </w:rPr>
            </w:pPr>
          </w:p>
        </w:tc>
        <w:tc>
          <w:tcPr>
            <w:tcW w:w="980" w:type="dxa"/>
            <w:vAlign w:val="bottom"/>
            <w:shd w:val="clear" w:color="auto" w:fill="DDE9F2"/>
          </w:tcPr>
          <w:p>
            <w:pPr>
              <w:spacing w:after="0"/>
              <w:rPr>
                <w:sz w:val="7"/>
                <w:szCs w:val="7"/>
                <w:color w:val="auto"/>
              </w:rPr>
            </w:pPr>
          </w:p>
        </w:tc>
        <w:tc>
          <w:tcPr>
            <w:tcW w:w="1180" w:type="dxa"/>
            <w:vAlign w:val="bottom"/>
            <w:shd w:val="clear" w:color="auto" w:fill="DDE9F2"/>
          </w:tcPr>
          <w:p>
            <w:pPr>
              <w:spacing w:after="0"/>
              <w:rPr>
                <w:sz w:val="7"/>
                <w:szCs w:val="7"/>
                <w:color w:val="auto"/>
              </w:rPr>
            </w:pPr>
          </w:p>
        </w:tc>
        <w:tc>
          <w:tcPr>
            <w:tcW w:w="1700" w:type="dxa"/>
            <w:vAlign w:val="bottom"/>
            <w:shd w:val="clear" w:color="auto" w:fill="DDE9F2"/>
          </w:tcPr>
          <w:p>
            <w:pPr>
              <w:spacing w:after="0"/>
              <w:rPr>
                <w:sz w:val="7"/>
                <w:szCs w:val="7"/>
                <w:color w:val="auto"/>
              </w:rPr>
            </w:pPr>
          </w:p>
        </w:tc>
        <w:tc>
          <w:tcPr>
            <w:tcW w:w="1480" w:type="dxa"/>
            <w:vAlign w:val="bottom"/>
            <w:shd w:val="clear" w:color="auto" w:fill="DDE9F2"/>
          </w:tcPr>
          <w:p>
            <w:pPr>
              <w:spacing w:after="0"/>
              <w:rPr>
                <w:sz w:val="7"/>
                <w:szCs w:val="7"/>
                <w:color w:val="auto"/>
              </w:rPr>
            </w:pPr>
          </w:p>
        </w:tc>
      </w:tr>
      <w:tr>
        <w:trPr>
          <w:trHeight w:val="151"/>
        </w:trPr>
        <w:tc>
          <w:tcPr>
            <w:tcW w:w="5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480" w:type="dxa"/>
            <w:vAlign w:val="bottom"/>
          </w:tcPr>
          <w:p>
            <w:pPr>
              <w:jc w:val="center"/>
              <w:ind w:left="262"/>
              <w:spacing w:after="0" w:line="151" w:lineRule="exact"/>
              <w:rPr>
                <w:sz w:val="20"/>
                <w:szCs w:val="20"/>
                <w:color w:val="auto"/>
              </w:rPr>
            </w:pPr>
            <w:r>
              <w:rPr>
                <w:rFonts w:ascii="Arial" w:cs="Arial" w:eastAsia="Arial" w:hAnsi="Arial"/>
                <w:sz w:val="14"/>
                <w:szCs w:val="14"/>
                <w:color w:val="092E44"/>
              </w:rPr>
              <w:t>Did not disclose</w:t>
            </w:r>
          </w:p>
        </w:tc>
      </w:tr>
      <w:tr>
        <w:trPr>
          <w:trHeight w:val="170"/>
        </w:trPr>
        <w:tc>
          <w:tcPr>
            <w:tcW w:w="5580" w:type="dxa"/>
            <w:vAlign w:val="bottom"/>
            <w:tcBorders>
              <w:bottom w:val="single" w:sz="8" w:color="E14A6A"/>
            </w:tcBorders>
          </w:tcPr>
          <w:p>
            <w:pPr>
              <w:spacing w:after="0"/>
              <w:rPr>
                <w:sz w:val="14"/>
                <w:szCs w:val="14"/>
                <w:color w:val="auto"/>
              </w:rPr>
            </w:pPr>
          </w:p>
        </w:tc>
        <w:tc>
          <w:tcPr>
            <w:tcW w:w="980" w:type="dxa"/>
            <w:vAlign w:val="bottom"/>
            <w:tcBorders>
              <w:bottom w:val="single" w:sz="8" w:color="E14A6A"/>
            </w:tcBorders>
          </w:tcPr>
          <w:p>
            <w:pPr>
              <w:spacing w:after="0"/>
              <w:rPr>
                <w:sz w:val="20"/>
                <w:szCs w:val="20"/>
                <w:color w:val="auto"/>
              </w:rPr>
            </w:pPr>
            <w:r>
              <w:rPr>
                <w:rFonts w:ascii="Arial" w:cs="Arial" w:eastAsia="Arial" w:hAnsi="Arial"/>
                <w:sz w:val="14"/>
                <w:szCs w:val="14"/>
                <w:color w:val="092E44"/>
              </w:rPr>
              <w:t>Female</w:t>
            </w:r>
          </w:p>
        </w:tc>
        <w:tc>
          <w:tcPr>
            <w:tcW w:w="1180" w:type="dxa"/>
            <w:vAlign w:val="bottom"/>
            <w:tcBorders>
              <w:bottom w:val="single" w:sz="8" w:color="E14A6A"/>
            </w:tcBorders>
          </w:tcPr>
          <w:p>
            <w:pPr>
              <w:ind w:left="500"/>
              <w:spacing w:after="0"/>
              <w:rPr>
                <w:sz w:val="20"/>
                <w:szCs w:val="20"/>
                <w:color w:val="auto"/>
              </w:rPr>
            </w:pPr>
            <w:r>
              <w:rPr>
                <w:rFonts w:ascii="Arial" w:cs="Arial" w:eastAsia="Arial" w:hAnsi="Arial"/>
                <w:sz w:val="14"/>
                <w:szCs w:val="14"/>
                <w:color w:val="092E44"/>
              </w:rPr>
              <w:t>Male</w:t>
            </w:r>
          </w:p>
        </w:tc>
        <w:tc>
          <w:tcPr>
            <w:tcW w:w="1700" w:type="dxa"/>
            <w:vAlign w:val="bottom"/>
            <w:tcBorders>
              <w:bottom w:val="single" w:sz="8" w:color="E14A6A"/>
            </w:tcBorders>
          </w:tcPr>
          <w:p>
            <w:pPr>
              <w:jc w:val="center"/>
              <w:ind w:left="101"/>
              <w:spacing w:after="0"/>
              <w:rPr>
                <w:sz w:val="20"/>
                <w:szCs w:val="20"/>
                <w:color w:val="auto"/>
              </w:rPr>
            </w:pPr>
            <w:r>
              <w:rPr>
                <w:rFonts w:ascii="Arial" w:cs="Arial" w:eastAsia="Arial" w:hAnsi="Arial"/>
                <w:sz w:val="14"/>
                <w:szCs w:val="14"/>
                <w:color w:val="092E44"/>
              </w:rPr>
              <w:t>Non-Binary</w:t>
            </w:r>
          </w:p>
        </w:tc>
        <w:tc>
          <w:tcPr>
            <w:tcW w:w="1480" w:type="dxa"/>
            <w:vAlign w:val="bottom"/>
            <w:tcBorders>
              <w:bottom w:val="single" w:sz="8" w:color="E14A6A"/>
            </w:tcBorders>
          </w:tcPr>
          <w:p>
            <w:pPr>
              <w:jc w:val="center"/>
              <w:ind w:left="282"/>
              <w:spacing w:after="0"/>
              <w:rPr>
                <w:sz w:val="20"/>
                <w:szCs w:val="20"/>
                <w:color w:val="auto"/>
              </w:rPr>
            </w:pPr>
            <w:r>
              <w:rPr>
                <w:rFonts w:ascii="Arial" w:cs="Arial" w:eastAsia="Arial" w:hAnsi="Arial"/>
                <w:sz w:val="14"/>
                <w:szCs w:val="14"/>
                <w:color w:val="092E44"/>
              </w:rPr>
              <w:t>Gender</w:t>
            </w:r>
          </w:p>
        </w:tc>
      </w:tr>
      <w:tr>
        <w:trPr>
          <w:trHeight w:val="294"/>
        </w:trPr>
        <w:tc>
          <w:tcPr>
            <w:tcW w:w="5580" w:type="dxa"/>
            <w:vAlign w:val="bottom"/>
            <w:shd w:val="clear" w:color="auto" w:fill="DDE9F2"/>
          </w:tcPr>
          <w:p>
            <w:pPr>
              <w:ind w:left="80"/>
              <w:spacing w:after="0"/>
              <w:rPr>
                <w:sz w:val="20"/>
                <w:szCs w:val="20"/>
                <w:color w:val="auto"/>
              </w:rPr>
            </w:pPr>
            <w:r>
              <w:rPr>
                <w:rFonts w:ascii="Arial" w:cs="Arial" w:eastAsia="Arial" w:hAnsi="Arial"/>
                <w:sz w:val="16"/>
                <w:szCs w:val="16"/>
                <w:b w:val="1"/>
                <w:bCs w:val="1"/>
                <w:color w:val="092E44"/>
              </w:rPr>
              <w:t>Directors</w:t>
            </w:r>
          </w:p>
        </w:tc>
        <w:tc>
          <w:tcPr>
            <w:tcW w:w="980" w:type="dxa"/>
            <w:vAlign w:val="bottom"/>
            <w:shd w:val="clear" w:color="auto" w:fill="DDE9F2"/>
          </w:tcPr>
          <w:p>
            <w:pPr>
              <w:jc w:val="center"/>
              <w:ind w:right="461"/>
              <w:spacing w:after="0"/>
              <w:rPr>
                <w:sz w:val="20"/>
                <w:szCs w:val="20"/>
                <w:color w:val="auto"/>
              </w:rPr>
            </w:pPr>
            <w:r>
              <w:rPr>
                <w:rFonts w:ascii="Arial" w:cs="Arial" w:eastAsia="Arial" w:hAnsi="Arial"/>
                <w:sz w:val="16"/>
                <w:szCs w:val="16"/>
                <w:color w:val="092E44"/>
                <w:w w:val="89"/>
              </w:rPr>
              <w:t>3</w:t>
            </w:r>
          </w:p>
        </w:tc>
        <w:tc>
          <w:tcPr>
            <w:tcW w:w="1180" w:type="dxa"/>
            <w:vAlign w:val="bottom"/>
            <w:shd w:val="clear" w:color="auto" w:fill="DDE9F2"/>
          </w:tcPr>
          <w:p>
            <w:pPr>
              <w:jc w:val="center"/>
              <w:ind w:left="41"/>
              <w:spacing w:after="0"/>
              <w:rPr>
                <w:sz w:val="20"/>
                <w:szCs w:val="20"/>
                <w:color w:val="auto"/>
              </w:rPr>
            </w:pPr>
            <w:r>
              <w:rPr>
                <w:rFonts w:ascii="Arial" w:cs="Arial" w:eastAsia="Arial" w:hAnsi="Arial"/>
                <w:sz w:val="16"/>
                <w:szCs w:val="16"/>
                <w:color w:val="092E44"/>
              </w:rPr>
              <w:t>6</w:t>
            </w:r>
          </w:p>
        </w:tc>
        <w:tc>
          <w:tcPr>
            <w:tcW w:w="1700" w:type="dxa"/>
            <w:vAlign w:val="bottom"/>
            <w:shd w:val="clear" w:color="auto" w:fill="DDE9F2"/>
          </w:tcPr>
          <w:p>
            <w:pPr>
              <w:jc w:val="center"/>
              <w:ind w:left="101"/>
              <w:spacing w:after="0"/>
              <w:rPr>
                <w:sz w:val="20"/>
                <w:szCs w:val="20"/>
                <w:color w:val="auto"/>
              </w:rPr>
            </w:pPr>
            <w:r>
              <w:rPr>
                <w:rFonts w:ascii="Arial" w:cs="Arial" w:eastAsia="Arial" w:hAnsi="Arial"/>
                <w:sz w:val="16"/>
                <w:szCs w:val="16"/>
                <w:color w:val="092E44"/>
                <w:w w:val="99"/>
              </w:rPr>
              <w:t>—</w:t>
            </w:r>
          </w:p>
        </w:tc>
        <w:tc>
          <w:tcPr>
            <w:tcW w:w="1480" w:type="dxa"/>
            <w:vAlign w:val="bottom"/>
            <w:shd w:val="clear" w:color="auto" w:fill="DDE9F2"/>
          </w:tcPr>
          <w:p>
            <w:pPr>
              <w:jc w:val="center"/>
              <w:ind w:left="82"/>
              <w:spacing w:after="0"/>
              <w:rPr>
                <w:sz w:val="20"/>
                <w:szCs w:val="20"/>
                <w:color w:val="auto"/>
              </w:rPr>
            </w:pPr>
            <w:r>
              <w:rPr>
                <w:rFonts w:ascii="Arial" w:cs="Arial" w:eastAsia="Arial" w:hAnsi="Arial"/>
                <w:sz w:val="16"/>
                <w:szCs w:val="16"/>
                <w:color w:val="092E44"/>
                <w:w w:val="89"/>
              </w:rPr>
              <w:t>1</w:t>
            </w:r>
          </w:p>
        </w:tc>
      </w:tr>
      <w:tr>
        <w:trPr>
          <w:trHeight w:val="87"/>
        </w:trPr>
        <w:tc>
          <w:tcPr>
            <w:tcW w:w="5580" w:type="dxa"/>
            <w:vAlign w:val="bottom"/>
            <w:shd w:val="clear" w:color="auto" w:fill="DDE9F2"/>
          </w:tcPr>
          <w:p>
            <w:pPr>
              <w:spacing w:after="0"/>
              <w:rPr>
                <w:sz w:val="7"/>
                <w:szCs w:val="7"/>
                <w:color w:val="auto"/>
              </w:rPr>
            </w:pPr>
          </w:p>
        </w:tc>
        <w:tc>
          <w:tcPr>
            <w:tcW w:w="980" w:type="dxa"/>
            <w:vAlign w:val="bottom"/>
            <w:shd w:val="clear" w:color="auto" w:fill="DDE9F2"/>
          </w:tcPr>
          <w:p>
            <w:pPr>
              <w:spacing w:after="0"/>
              <w:rPr>
                <w:sz w:val="7"/>
                <w:szCs w:val="7"/>
                <w:color w:val="auto"/>
              </w:rPr>
            </w:pPr>
          </w:p>
        </w:tc>
        <w:tc>
          <w:tcPr>
            <w:tcW w:w="1180" w:type="dxa"/>
            <w:vAlign w:val="bottom"/>
            <w:shd w:val="clear" w:color="auto" w:fill="DDE9F2"/>
          </w:tcPr>
          <w:p>
            <w:pPr>
              <w:spacing w:after="0"/>
              <w:rPr>
                <w:sz w:val="7"/>
                <w:szCs w:val="7"/>
                <w:color w:val="auto"/>
              </w:rPr>
            </w:pPr>
          </w:p>
        </w:tc>
        <w:tc>
          <w:tcPr>
            <w:tcW w:w="1700" w:type="dxa"/>
            <w:vAlign w:val="bottom"/>
            <w:shd w:val="clear" w:color="auto" w:fill="DDE9F2"/>
          </w:tcPr>
          <w:p>
            <w:pPr>
              <w:spacing w:after="0"/>
              <w:rPr>
                <w:sz w:val="7"/>
                <w:szCs w:val="7"/>
                <w:color w:val="auto"/>
              </w:rPr>
            </w:pPr>
          </w:p>
        </w:tc>
        <w:tc>
          <w:tcPr>
            <w:tcW w:w="1480" w:type="dxa"/>
            <w:vAlign w:val="bottom"/>
            <w:shd w:val="clear" w:color="auto" w:fill="DDE9F2"/>
          </w:tcPr>
          <w:p>
            <w:pPr>
              <w:spacing w:after="0"/>
              <w:rPr>
                <w:sz w:val="7"/>
                <w:szCs w:val="7"/>
                <w:color w:val="auto"/>
              </w:rPr>
            </w:pPr>
          </w:p>
        </w:tc>
      </w:tr>
      <w:tr>
        <w:trPr>
          <w:trHeight w:val="293"/>
        </w:trPr>
        <w:tc>
          <w:tcPr>
            <w:tcW w:w="5580" w:type="dxa"/>
            <w:vAlign w:val="bottom"/>
          </w:tcPr>
          <w:p>
            <w:pPr>
              <w:ind w:left="80"/>
              <w:spacing w:after="0"/>
              <w:rPr>
                <w:sz w:val="20"/>
                <w:szCs w:val="20"/>
                <w:color w:val="auto"/>
              </w:rPr>
            </w:pPr>
            <w:r>
              <w:rPr>
                <w:rFonts w:ascii="Arial" w:cs="Arial" w:eastAsia="Arial" w:hAnsi="Arial"/>
                <w:sz w:val="14"/>
                <w:szCs w:val="14"/>
                <w:b w:val="1"/>
                <w:bCs w:val="1"/>
                <w:color w:val="092E44"/>
              </w:rPr>
              <w:t>NUMBER OF DIRECTORS WHO IDENTIFY IN ANY OF THE CATEGORIES BELOW:</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82"/>
        </w:trPr>
        <w:tc>
          <w:tcPr>
            <w:tcW w:w="55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480" w:type="dxa"/>
            <w:vAlign w:val="bottom"/>
          </w:tcPr>
          <w:p>
            <w:pPr>
              <w:spacing w:after="0"/>
              <w:rPr>
                <w:sz w:val="7"/>
                <w:szCs w:val="7"/>
                <w:color w:val="auto"/>
              </w:rPr>
            </w:pPr>
          </w:p>
        </w:tc>
      </w:tr>
      <w:tr>
        <w:trPr>
          <w:trHeight w:val="304"/>
        </w:trPr>
        <w:tc>
          <w:tcPr>
            <w:tcW w:w="5580" w:type="dxa"/>
            <w:vAlign w:val="bottom"/>
            <w:shd w:val="clear" w:color="auto" w:fill="DDE9F2"/>
          </w:tcPr>
          <w:p>
            <w:pPr>
              <w:ind w:left="80"/>
              <w:spacing w:after="0"/>
              <w:rPr>
                <w:sz w:val="20"/>
                <w:szCs w:val="20"/>
                <w:color w:val="auto"/>
              </w:rPr>
            </w:pPr>
            <w:r>
              <w:rPr>
                <w:rFonts w:ascii="Arial" w:cs="Arial" w:eastAsia="Arial" w:hAnsi="Arial"/>
                <w:sz w:val="14"/>
                <w:szCs w:val="14"/>
                <w:b w:val="1"/>
                <w:bCs w:val="1"/>
                <w:color w:val="092E44"/>
              </w:rPr>
              <w:t>African American or Black</w:t>
            </w:r>
          </w:p>
        </w:tc>
        <w:tc>
          <w:tcPr>
            <w:tcW w:w="980" w:type="dxa"/>
            <w:vAlign w:val="bottom"/>
            <w:shd w:val="clear" w:color="auto" w:fill="DDE9F2"/>
          </w:tcPr>
          <w:p>
            <w:pPr>
              <w:jc w:val="center"/>
              <w:ind w:right="461"/>
              <w:spacing w:after="0"/>
              <w:rPr>
                <w:sz w:val="20"/>
                <w:szCs w:val="20"/>
                <w:color w:val="auto"/>
              </w:rPr>
            </w:pPr>
            <w:r>
              <w:rPr>
                <w:rFonts w:ascii="Arial" w:cs="Arial" w:eastAsia="Arial" w:hAnsi="Arial"/>
                <w:sz w:val="16"/>
                <w:szCs w:val="16"/>
                <w:color w:val="092E44"/>
                <w:w w:val="99"/>
              </w:rPr>
              <w:t>—</w:t>
            </w:r>
          </w:p>
        </w:tc>
        <w:tc>
          <w:tcPr>
            <w:tcW w:w="1180" w:type="dxa"/>
            <w:vAlign w:val="bottom"/>
            <w:shd w:val="clear" w:color="auto" w:fill="DDE9F2"/>
          </w:tcPr>
          <w:p>
            <w:pPr>
              <w:jc w:val="center"/>
              <w:ind w:left="61"/>
              <w:spacing w:after="0"/>
              <w:rPr>
                <w:sz w:val="20"/>
                <w:szCs w:val="20"/>
                <w:color w:val="auto"/>
              </w:rPr>
            </w:pPr>
            <w:r>
              <w:rPr>
                <w:rFonts w:ascii="Arial" w:cs="Arial" w:eastAsia="Arial" w:hAnsi="Arial"/>
                <w:sz w:val="16"/>
                <w:szCs w:val="16"/>
                <w:color w:val="092E44"/>
                <w:w w:val="99"/>
              </w:rPr>
              <w:t>—</w:t>
            </w:r>
          </w:p>
        </w:tc>
        <w:tc>
          <w:tcPr>
            <w:tcW w:w="1700" w:type="dxa"/>
            <w:vAlign w:val="bottom"/>
            <w:shd w:val="clear" w:color="auto" w:fill="DDE9F2"/>
          </w:tcPr>
          <w:p>
            <w:pPr>
              <w:jc w:val="center"/>
              <w:ind w:left="101"/>
              <w:spacing w:after="0"/>
              <w:rPr>
                <w:sz w:val="20"/>
                <w:szCs w:val="20"/>
                <w:color w:val="auto"/>
              </w:rPr>
            </w:pPr>
            <w:r>
              <w:rPr>
                <w:rFonts w:ascii="Arial" w:cs="Arial" w:eastAsia="Arial" w:hAnsi="Arial"/>
                <w:sz w:val="16"/>
                <w:szCs w:val="16"/>
                <w:color w:val="092E44"/>
                <w:w w:val="99"/>
              </w:rPr>
              <w:t>—</w:t>
            </w:r>
          </w:p>
        </w:tc>
        <w:tc>
          <w:tcPr>
            <w:tcW w:w="1480" w:type="dxa"/>
            <w:vAlign w:val="bottom"/>
            <w:shd w:val="clear" w:color="auto" w:fill="DDE9F2"/>
          </w:tcPr>
          <w:p>
            <w:pPr>
              <w:jc w:val="center"/>
              <w:ind w:left="82"/>
              <w:spacing w:after="0"/>
              <w:rPr>
                <w:sz w:val="20"/>
                <w:szCs w:val="20"/>
                <w:color w:val="auto"/>
              </w:rPr>
            </w:pPr>
            <w:r>
              <w:rPr>
                <w:rFonts w:ascii="Arial" w:cs="Arial" w:eastAsia="Arial" w:hAnsi="Arial"/>
                <w:sz w:val="16"/>
                <w:szCs w:val="16"/>
                <w:color w:val="092E44"/>
                <w:w w:val="99"/>
              </w:rPr>
              <w:t>—</w:t>
            </w:r>
          </w:p>
        </w:tc>
      </w:tr>
      <w:tr>
        <w:trPr>
          <w:trHeight w:val="97"/>
        </w:trPr>
        <w:tc>
          <w:tcPr>
            <w:tcW w:w="5580" w:type="dxa"/>
            <w:vAlign w:val="bottom"/>
            <w:shd w:val="clear" w:color="auto" w:fill="DDE9F2"/>
          </w:tcPr>
          <w:p>
            <w:pPr>
              <w:spacing w:after="0"/>
              <w:rPr>
                <w:sz w:val="8"/>
                <w:szCs w:val="8"/>
                <w:color w:val="auto"/>
              </w:rPr>
            </w:pPr>
          </w:p>
        </w:tc>
        <w:tc>
          <w:tcPr>
            <w:tcW w:w="980" w:type="dxa"/>
            <w:vAlign w:val="bottom"/>
            <w:shd w:val="clear" w:color="auto" w:fill="DDE9F2"/>
          </w:tcPr>
          <w:p>
            <w:pPr>
              <w:spacing w:after="0"/>
              <w:rPr>
                <w:sz w:val="8"/>
                <w:szCs w:val="8"/>
                <w:color w:val="auto"/>
              </w:rPr>
            </w:pPr>
          </w:p>
        </w:tc>
        <w:tc>
          <w:tcPr>
            <w:tcW w:w="1180" w:type="dxa"/>
            <w:vAlign w:val="bottom"/>
            <w:shd w:val="clear" w:color="auto" w:fill="DDE9F2"/>
          </w:tcPr>
          <w:p>
            <w:pPr>
              <w:spacing w:after="0"/>
              <w:rPr>
                <w:sz w:val="8"/>
                <w:szCs w:val="8"/>
                <w:color w:val="auto"/>
              </w:rPr>
            </w:pPr>
          </w:p>
        </w:tc>
        <w:tc>
          <w:tcPr>
            <w:tcW w:w="1700" w:type="dxa"/>
            <w:vAlign w:val="bottom"/>
            <w:shd w:val="clear" w:color="auto" w:fill="DDE9F2"/>
          </w:tcPr>
          <w:p>
            <w:pPr>
              <w:spacing w:after="0"/>
              <w:rPr>
                <w:sz w:val="8"/>
                <w:szCs w:val="8"/>
                <w:color w:val="auto"/>
              </w:rPr>
            </w:pPr>
          </w:p>
        </w:tc>
        <w:tc>
          <w:tcPr>
            <w:tcW w:w="1480" w:type="dxa"/>
            <w:vAlign w:val="bottom"/>
            <w:shd w:val="clear" w:color="auto" w:fill="DDE9F2"/>
          </w:tcPr>
          <w:p>
            <w:pPr>
              <w:spacing w:after="0"/>
              <w:rPr>
                <w:sz w:val="8"/>
                <w:szCs w:val="8"/>
                <w:color w:val="auto"/>
              </w:rPr>
            </w:pPr>
          </w:p>
        </w:tc>
      </w:tr>
      <w:tr>
        <w:trPr>
          <w:trHeight w:val="304"/>
        </w:trPr>
        <w:tc>
          <w:tcPr>
            <w:tcW w:w="5580" w:type="dxa"/>
            <w:vAlign w:val="bottom"/>
          </w:tcPr>
          <w:p>
            <w:pPr>
              <w:ind w:left="80"/>
              <w:spacing w:after="0"/>
              <w:rPr>
                <w:sz w:val="20"/>
                <w:szCs w:val="20"/>
                <w:color w:val="auto"/>
              </w:rPr>
            </w:pPr>
            <w:r>
              <w:rPr>
                <w:rFonts w:ascii="Arial" w:cs="Arial" w:eastAsia="Arial" w:hAnsi="Arial"/>
                <w:sz w:val="14"/>
                <w:szCs w:val="14"/>
                <w:b w:val="1"/>
                <w:bCs w:val="1"/>
                <w:color w:val="092E44"/>
              </w:rPr>
              <w:t>Alaskan Native or Native American</w:t>
            </w:r>
          </w:p>
        </w:tc>
        <w:tc>
          <w:tcPr>
            <w:tcW w:w="980" w:type="dxa"/>
            <w:vAlign w:val="bottom"/>
          </w:tcPr>
          <w:p>
            <w:pPr>
              <w:jc w:val="center"/>
              <w:ind w:right="461"/>
              <w:spacing w:after="0"/>
              <w:rPr>
                <w:sz w:val="20"/>
                <w:szCs w:val="20"/>
                <w:color w:val="auto"/>
              </w:rPr>
            </w:pPr>
            <w:r>
              <w:rPr>
                <w:rFonts w:ascii="Arial" w:cs="Arial" w:eastAsia="Arial" w:hAnsi="Arial"/>
                <w:sz w:val="16"/>
                <w:szCs w:val="16"/>
                <w:color w:val="092E44"/>
                <w:w w:val="99"/>
              </w:rPr>
              <w:t>—</w:t>
            </w:r>
          </w:p>
        </w:tc>
        <w:tc>
          <w:tcPr>
            <w:tcW w:w="1180" w:type="dxa"/>
            <w:vAlign w:val="bottom"/>
          </w:tcPr>
          <w:p>
            <w:pPr>
              <w:jc w:val="center"/>
              <w:ind w:left="61"/>
              <w:spacing w:after="0"/>
              <w:rPr>
                <w:sz w:val="20"/>
                <w:szCs w:val="20"/>
                <w:color w:val="auto"/>
              </w:rPr>
            </w:pPr>
            <w:r>
              <w:rPr>
                <w:rFonts w:ascii="Arial" w:cs="Arial" w:eastAsia="Arial" w:hAnsi="Arial"/>
                <w:sz w:val="16"/>
                <w:szCs w:val="16"/>
                <w:color w:val="092E44"/>
                <w:w w:val="99"/>
              </w:rPr>
              <w:t>—</w:t>
            </w:r>
          </w:p>
        </w:tc>
        <w:tc>
          <w:tcPr>
            <w:tcW w:w="1700" w:type="dxa"/>
            <w:vAlign w:val="bottom"/>
          </w:tcPr>
          <w:p>
            <w:pPr>
              <w:jc w:val="center"/>
              <w:ind w:left="101"/>
              <w:spacing w:after="0"/>
              <w:rPr>
                <w:sz w:val="20"/>
                <w:szCs w:val="20"/>
                <w:color w:val="auto"/>
              </w:rPr>
            </w:pPr>
            <w:r>
              <w:rPr>
                <w:rFonts w:ascii="Arial" w:cs="Arial" w:eastAsia="Arial" w:hAnsi="Arial"/>
                <w:sz w:val="16"/>
                <w:szCs w:val="16"/>
                <w:color w:val="092E44"/>
                <w:w w:val="99"/>
              </w:rPr>
              <w:t>—</w:t>
            </w:r>
          </w:p>
        </w:tc>
        <w:tc>
          <w:tcPr>
            <w:tcW w:w="1480" w:type="dxa"/>
            <w:vAlign w:val="bottom"/>
          </w:tcPr>
          <w:p>
            <w:pPr>
              <w:jc w:val="center"/>
              <w:ind w:left="82"/>
              <w:spacing w:after="0"/>
              <w:rPr>
                <w:sz w:val="20"/>
                <w:szCs w:val="20"/>
                <w:color w:val="auto"/>
              </w:rPr>
            </w:pPr>
            <w:r>
              <w:rPr>
                <w:rFonts w:ascii="Arial" w:cs="Arial" w:eastAsia="Arial" w:hAnsi="Arial"/>
                <w:sz w:val="16"/>
                <w:szCs w:val="16"/>
                <w:color w:val="092E44"/>
                <w:w w:val="99"/>
              </w:rPr>
              <w:t>—</w:t>
            </w:r>
          </w:p>
        </w:tc>
      </w:tr>
      <w:tr>
        <w:trPr>
          <w:trHeight w:val="97"/>
        </w:trPr>
        <w:tc>
          <w:tcPr>
            <w:tcW w:w="55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304"/>
        </w:trPr>
        <w:tc>
          <w:tcPr>
            <w:tcW w:w="5580" w:type="dxa"/>
            <w:vAlign w:val="bottom"/>
            <w:shd w:val="clear" w:color="auto" w:fill="DDE9F2"/>
          </w:tcPr>
          <w:p>
            <w:pPr>
              <w:ind w:left="80"/>
              <w:spacing w:after="0"/>
              <w:rPr>
                <w:sz w:val="20"/>
                <w:szCs w:val="20"/>
                <w:color w:val="auto"/>
              </w:rPr>
            </w:pPr>
            <w:r>
              <w:rPr>
                <w:rFonts w:ascii="Arial" w:cs="Arial" w:eastAsia="Arial" w:hAnsi="Arial"/>
                <w:sz w:val="14"/>
                <w:szCs w:val="14"/>
                <w:b w:val="1"/>
                <w:bCs w:val="1"/>
                <w:color w:val="092E44"/>
              </w:rPr>
              <w:t>Asian</w:t>
            </w:r>
          </w:p>
        </w:tc>
        <w:tc>
          <w:tcPr>
            <w:tcW w:w="980" w:type="dxa"/>
            <w:vAlign w:val="bottom"/>
            <w:shd w:val="clear" w:color="auto" w:fill="DDE9F2"/>
          </w:tcPr>
          <w:p>
            <w:pPr>
              <w:jc w:val="center"/>
              <w:ind w:right="461"/>
              <w:spacing w:after="0"/>
              <w:rPr>
                <w:sz w:val="20"/>
                <w:szCs w:val="20"/>
                <w:color w:val="auto"/>
              </w:rPr>
            </w:pPr>
            <w:r>
              <w:rPr>
                <w:rFonts w:ascii="Arial" w:cs="Arial" w:eastAsia="Arial" w:hAnsi="Arial"/>
                <w:sz w:val="16"/>
                <w:szCs w:val="16"/>
                <w:color w:val="092E44"/>
                <w:w w:val="89"/>
              </w:rPr>
              <w:t>1</w:t>
            </w:r>
          </w:p>
        </w:tc>
        <w:tc>
          <w:tcPr>
            <w:tcW w:w="1180" w:type="dxa"/>
            <w:vAlign w:val="bottom"/>
            <w:shd w:val="clear" w:color="auto" w:fill="DDE9F2"/>
          </w:tcPr>
          <w:p>
            <w:pPr>
              <w:jc w:val="center"/>
              <w:ind w:left="41"/>
              <w:spacing w:after="0"/>
              <w:rPr>
                <w:sz w:val="20"/>
                <w:szCs w:val="20"/>
                <w:color w:val="auto"/>
              </w:rPr>
            </w:pPr>
            <w:r>
              <w:rPr>
                <w:rFonts w:ascii="Arial" w:cs="Arial" w:eastAsia="Arial" w:hAnsi="Arial"/>
                <w:sz w:val="16"/>
                <w:szCs w:val="16"/>
                <w:color w:val="092E44"/>
              </w:rPr>
              <w:t>1</w:t>
            </w:r>
          </w:p>
        </w:tc>
        <w:tc>
          <w:tcPr>
            <w:tcW w:w="1700" w:type="dxa"/>
            <w:vAlign w:val="bottom"/>
            <w:shd w:val="clear" w:color="auto" w:fill="DDE9F2"/>
          </w:tcPr>
          <w:p>
            <w:pPr>
              <w:jc w:val="center"/>
              <w:ind w:left="101"/>
              <w:spacing w:after="0"/>
              <w:rPr>
                <w:sz w:val="20"/>
                <w:szCs w:val="20"/>
                <w:color w:val="auto"/>
              </w:rPr>
            </w:pPr>
            <w:r>
              <w:rPr>
                <w:rFonts w:ascii="Arial" w:cs="Arial" w:eastAsia="Arial" w:hAnsi="Arial"/>
                <w:sz w:val="16"/>
                <w:szCs w:val="16"/>
                <w:color w:val="092E44"/>
                <w:w w:val="99"/>
              </w:rPr>
              <w:t>—</w:t>
            </w:r>
          </w:p>
        </w:tc>
        <w:tc>
          <w:tcPr>
            <w:tcW w:w="1480" w:type="dxa"/>
            <w:vAlign w:val="bottom"/>
            <w:shd w:val="clear" w:color="auto" w:fill="DDE9F2"/>
          </w:tcPr>
          <w:p>
            <w:pPr>
              <w:jc w:val="center"/>
              <w:ind w:left="82"/>
              <w:spacing w:after="0"/>
              <w:rPr>
                <w:sz w:val="20"/>
                <w:szCs w:val="20"/>
                <w:color w:val="auto"/>
              </w:rPr>
            </w:pPr>
            <w:r>
              <w:rPr>
                <w:rFonts w:ascii="Arial" w:cs="Arial" w:eastAsia="Arial" w:hAnsi="Arial"/>
                <w:sz w:val="16"/>
                <w:szCs w:val="16"/>
                <w:color w:val="092E44"/>
                <w:w w:val="99"/>
              </w:rPr>
              <w:t>—</w:t>
            </w:r>
          </w:p>
        </w:tc>
      </w:tr>
      <w:tr>
        <w:trPr>
          <w:trHeight w:val="97"/>
        </w:trPr>
        <w:tc>
          <w:tcPr>
            <w:tcW w:w="5580" w:type="dxa"/>
            <w:vAlign w:val="bottom"/>
            <w:shd w:val="clear" w:color="auto" w:fill="DDE9F2"/>
          </w:tcPr>
          <w:p>
            <w:pPr>
              <w:spacing w:after="0"/>
              <w:rPr>
                <w:sz w:val="8"/>
                <w:szCs w:val="8"/>
                <w:color w:val="auto"/>
              </w:rPr>
            </w:pPr>
          </w:p>
        </w:tc>
        <w:tc>
          <w:tcPr>
            <w:tcW w:w="980" w:type="dxa"/>
            <w:vAlign w:val="bottom"/>
            <w:shd w:val="clear" w:color="auto" w:fill="DDE9F2"/>
          </w:tcPr>
          <w:p>
            <w:pPr>
              <w:spacing w:after="0"/>
              <w:rPr>
                <w:sz w:val="8"/>
                <w:szCs w:val="8"/>
                <w:color w:val="auto"/>
              </w:rPr>
            </w:pPr>
          </w:p>
        </w:tc>
        <w:tc>
          <w:tcPr>
            <w:tcW w:w="1180" w:type="dxa"/>
            <w:vAlign w:val="bottom"/>
            <w:shd w:val="clear" w:color="auto" w:fill="DDE9F2"/>
          </w:tcPr>
          <w:p>
            <w:pPr>
              <w:spacing w:after="0"/>
              <w:rPr>
                <w:sz w:val="8"/>
                <w:szCs w:val="8"/>
                <w:color w:val="auto"/>
              </w:rPr>
            </w:pPr>
          </w:p>
        </w:tc>
        <w:tc>
          <w:tcPr>
            <w:tcW w:w="1700" w:type="dxa"/>
            <w:vAlign w:val="bottom"/>
            <w:shd w:val="clear" w:color="auto" w:fill="DDE9F2"/>
          </w:tcPr>
          <w:p>
            <w:pPr>
              <w:spacing w:after="0"/>
              <w:rPr>
                <w:sz w:val="8"/>
                <w:szCs w:val="8"/>
                <w:color w:val="auto"/>
              </w:rPr>
            </w:pPr>
          </w:p>
        </w:tc>
        <w:tc>
          <w:tcPr>
            <w:tcW w:w="1480" w:type="dxa"/>
            <w:vAlign w:val="bottom"/>
            <w:shd w:val="clear" w:color="auto" w:fill="DDE9F2"/>
          </w:tcPr>
          <w:p>
            <w:pPr>
              <w:spacing w:after="0"/>
              <w:rPr>
                <w:sz w:val="8"/>
                <w:szCs w:val="8"/>
                <w:color w:val="auto"/>
              </w:rPr>
            </w:pPr>
          </w:p>
        </w:tc>
      </w:tr>
      <w:tr>
        <w:trPr>
          <w:trHeight w:val="304"/>
        </w:trPr>
        <w:tc>
          <w:tcPr>
            <w:tcW w:w="5580" w:type="dxa"/>
            <w:vAlign w:val="bottom"/>
          </w:tcPr>
          <w:p>
            <w:pPr>
              <w:ind w:left="80"/>
              <w:spacing w:after="0"/>
              <w:rPr>
                <w:sz w:val="20"/>
                <w:szCs w:val="20"/>
                <w:color w:val="auto"/>
              </w:rPr>
            </w:pPr>
            <w:r>
              <w:rPr>
                <w:rFonts w:ascii="Arial" w:cs="Arial" w:eastAsia="Arial" w:hAnsi="Arial"/>
                <w:sz w:val="14"/>
                <w:szCs w:val="14"/>
                <w:b w:val="1"/>
                <w:bCs w:val="1"/>
                <w:color w:val="092E44"/>
              </w:rPr>
              <w:t>Hispanic or Latinx</w:t>
            </w:r>
          </w:p>
        </w:tc>
        <w:tc>
          <w:tcPr>
            <w:tcW w:w="980" w:type="dxa"/>
            <w:vAlign w:val="bottom"/>
          </w:tcPr>
          <w:p>
            <w:pPr>
              <w:jc w:val="center"/>
              <w:ind w:right="461"/>
              <w:spacing w:after="0"/>
              <w:rPr>
                <w:sz w:val="20"/>
                <w:szCs w:val="20"/>
                <w:color w:val="auto"/>
              </w:rPr>
            </w:pPr>
            <w:r>
              <w:rPr>
                <w:rFonts w:ascii="Arial" w:cs="Arial" w:eastAsia="Arial" w:hAnsi="Arial"/>
                <w:sz w:val="16"/>
                <w:szCs w:val="16"/>
                <w:color w:val="092E44"/>
                <w:w w:val="89"/>
              </w:rPr>
              <w:t>1</w:t>
            </w:r>
          </w:p>
        </w:tc>
        <w:tc>
          <w:tcPr>
            <w:tcW w:w="1180" w:type="dxa"/>
            <w:vAlign w:val="bottom"/>
          </w:tcPr>
          <w:p>
            <w:pPr>
              <w:jc w:val="center"/>
              <w:ind w:left="61"/>
              <w:spacing w:after="0"/>
              <w:rPr>
                <w:sz w:val="20"/>
                <w:szCs w:val="20"/>
                <w:color w:val="auto"/>
              </w:rPr>
            </w:pPr>
            <w:r>
              <w:rPr>
                <w:rFonts w:ascii="Arial" w:cs="Arial" w:eastAsia="Arial" w:hAnsi="Arial"/>
                <w:sz w:val="16"/>
                <w:szCs w:val="16"/>
                <w:color w:val="092E44"/>
                <w:w w:val="99"/>
              </w:rPr>
              <w:t>—</w:t>
            </w:r>
          </w:p>
        </w:tc>
        <w:tc>
          <w:tcPr>
            <w:tcW w:w="1700" w:type="dxa"/>
            <w:vAlign w:val="bottom"/>
          </w:tcPr>
          <w:p>
            <w:pPr>
              <w:jc w:val="center"/>
              <w:ind w:left="101"/>
              <w:spacing w:after="0"/>
              <w:rPr>
                <w:sz w:val="20"/>
                <w:szCs w:val="20"/>
                <w:color w:val="auto"/>
              </w:rPr>
            </w:pPr>
            <w:r>
              <w:rPr>
                <w:rFonts w:ascii="Arial" w:cs="Arial" w:eastAsia="Arial" w:hAnsi="Arial"/>
                <w:sz w:val="16"/>
                <w:szCs w:val="16"/>
                <w:color w:val="092E44"/>
                <w:w w:val="99"/>
              </w:rPr>
              <w:t>—</w:t>
            </w:r>
          </w:p>
        </w:tc>
        <w:tc>
          <w:tcPr>
            <w:tcW w:w="1480" w:type="dxa"/>
            <w:vAlign w:val="bottom"/>
          </w:tcPr>
          <w:p>
            <w:pPr>
              <w:jc w:val="center"/>
              <w:ind w:left="82"/>
              <w:spacing w:after="0"/>
              <w:rPr>
                <w:sz w:val="20"/>
                <w:szCs w:val="20"/>
                <w:color w:val="auto"/>
              </w:rPr>
            </w:pPr>
            <w:r>
              <w:rPr>
                <w:rFonts w:ascii="Arial" w:cs="Arial" w:eastAsia="Arial" w:hAnsi="Arial"/>
                <w:sz w:val="16"/>
                <w:szCs w:val="16"/>
                <w:color w:val="092E44"/>
                <w:w w:val="99"/>
              </w:rPr>
              <w:t>—</w:t>
            </w:r>
          </w:p>
        </w:tc>
      </w:tr>
      <w:tr>
        <w:trPr>
          <w:trHeight w:val="97"/>
        </w:trPr>
        <w:tc>
          <w:tcPr>
            <w:tcW w:w="55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304"/>
        </w:trPr>
        <w:tc>
          <w:tcPr>
            <w:tcW w:w="5580" w:type="dxa"/>
            <w:vAlign w:val="bottom"/>
            <w:shd w:val="clear" w:color="auto" w:fill="DDE9F2"/>
          </w:tcPr>
          <w:p>
            <w:pPr>
              <w:ind w:left="80"/>
              <w:spacing w:after="0"/>
              <w:rPr>
                <w:sz w:val="20"/>
                <w:szCs w:val="20"/>
                <w:color w:val="auto"/>
              </w:rPr>
            </w:pPr>
            <w:r>
              <w:rPr>
                <w:rFonts w:ascii="Arial" w:cs="Arial" w:eastAsia="Arial" w:hAnsi="Arial"/>
                <w:sz w:val="14"/>
                <w:szCs w:val="14"/>
                <w:b w:val="1"/>
                <w:bCs w:val="1"/>
                <w:color w:val="092E44"/>
              </w:rPr>
              <w:t>Native Hawaiian or Pacific Islander</w:t>
            </w:r>
          </w:p>
        </w:tc>
        <w:tc>
          <w:tcPr>
            <w:tcW w:w="980" w:type="dxa"/>
            <w:vAlign w:val="bottom"/>
            <w:shd w:val="clear" w:color="auto" w:fill="DDE9F2"/>
          </w:tcPr>
          <w:p>
            <w:pPr>
              <w:jc w:val="center"/>
              <w:ind w:right="461"/>
              <w:spacing w:after="0"/>
              <w:rPr>
                <w:sz w:val="20"/>
                <w:szCs w:val="20"/>
                <w:color w:val="auto"/>
              </w:rPr>
            </w:pPr>
            <w:r>
              <w:rPr>
                <w:rFonts w:ascii="Arial" w:cs="Arial" w:eastAsia="Arial" w:hAnsi="Arial"/>
                <w:sz w:val="16"/>
                <w:szCs w:val="16"/>
                <w:color w:val="092E44"/>
                <w:w w:val="99"/>
              </w:rPr>
              <w:t>—</w:t>
            </w:r>
          </w:p>
        </w:tc>
        <w:tc>
          <w:tcPr>
            <w:tcW w:w="1180" w:type="dxa"/>
            <w:vAlign w:val="bottom"/>
            <w:shd w:val="clear" w:color="auto" w:fill="DDE9F2"/>
          </w:tcPr>
          <w:p>
            <w:pPr>
              <w:jc w:val="center"/>
              <w:ind w:left="61"/>
              <w:spacing w:after="0"/>
              <w:rPr>
                <w:sz w:val="20"/>
                <w:szCs w:val="20"/>
                <w:color w:val="auto"/>
              </w:rPr>
            </w:pPr>
            <w:r>
              <w:rPr>
                <w:rFonts w:ascii="Arial" w:cs="Arial" w:eastAsia="Arial" w:hAnsi="Arial"/>
                <w:sz w:val="16"/>
                <w:szCs w:val="16"/>
                <w:color w:val="092E44"/>
                <w:w w:val="99"/>
              </w:rPr>
              <w:t>—</w:t>
            </w:r>
          </w:p>
        </w:tc>
        <w:tc>
          <w:tcPr>
            <w:tcW w:w="1700" w:type="dxa"/>
            <w:vAlign w:val="bottom"/>
            <w:shd w:val="clear" w:color="auto" w:fill="DDE9F2"/>
          </w:tcPr>
          <w:p>
            <w:pPr>
              <w:jc w:val="center"/>
              <w:ind w:left="101"/>
              <w:spacing w:after="0"/>
              <w:rPr>
                <w:sz w:val="20"/>
                <w:szCs w:val="20"/>
                <w:color w:val="auto"/>
              </w:rPr>
            </w:pPr>
            <w:r>
              <w:rPr>
                <w:rFonts w:ascii="Arial" w:cs="Arial" w:eastAsia="Arial" w:hAnsi="Arial"/>
                <w:sz w:val="16"/>
                <w:szCs w:val="16"/>
                <w:color w:val="092E44"/>
                <w:w w:val="99"/>
              </w:rPr>
              <w:t>—</w:t>
            </w:r>
          </w:p>
        </w:tc>
        <w:tc>
          <w:tcPr>
            <w:tcW w:w="1480" w:type="dxa"/>
            <w:vAlign w:val="bottom"/>
            <w:shd w:val="clear" w:color="auto" w:fill="DDE9F2"/>
          </w:tcPr>
          <w:p>
            <w:pPr>
              <w:jc w:val="center"/>
              <w:ind w:left="82"/>
              <w:spacing w:after="0"/>
              <w:rPr>
                <w:sz w:val="20"/>
                <w:szCs w:val="20"/>
                <w:color w:val="auto"/>
              </w:rPr>
            </w:pPr>
            <w:r>
              <w:rPr>
                <w:rFonts w:ascii="Arial" w:cs="Arial" w:eastAsia="Arial" w:hAnsi="Arial"/>
                <w:sz w:val="16"/>
                <w:szCs w:val="16"/>
                <w:color w:val="092E44"/>
                <w:w w:val="99"/>
              </w:rPr>
              <w:t>—</w:t>
            </w:r>
          </w:p>
        </w:tc>
      </w:tr>
      <w:tr>
        <w:trPr>
          <w:trHeight w:val="97"/>
        </w:trPr>
        <w:tc>
          <w:tcPr>
            <w:tcW w:w="5580" w:type="dxa"/>
            <w:vAlign w:val="bottom"/>
            <w:shd w:val="clear" w:color="auto" w:fill="DDE9F2"/>
          </w:tcPr>
          <w:p>
            <w:pPr>
              <w:spacing w:after="0"/>
              <w:rPr>
                <w:sz w:val="8"/>
                <w:szCs w:val="8"/>
                <w:color w:val="auto"/>
              </w:rPr>
            </w:pPr>
          </w:p>
        </w:tc>
        <w:tc>
          <w:tcPr>
            <w:tcW w:w="980" w:type="dxa"/>
            <w:vAlign w:val="bottom"/>
            <w:shd w:val="clear" w:color="auto" w:fill="DDE9F2"/>
          </w:tcPr>
          <w:p>
            <w:pPr>
              <w:spacing w:after="0"/>
              <w:rPr>
                <w:sz w:val="8"/>
                <w:szCs w:val="8"/>
                <w:color w:val="auto"/>
              </w:rPr>
            </w:pPr>
          </w:p>
        </w:tc>
        <w:tc>
          <w:tcPr>
            <w:tcW w:w="1180" w:type="dxa"/>
            <w:vAlign w:val="bottom"/>
            <w:shd w:val="clear" w:color="auto" w:fill="DDE9F2"/>
          </w:tcPr>
          <w:p>
            <w:pPr>
              <w:spacing w:after="0"/>
              <w:rPr>
                <w:sz w:val="8"/>
                <w:szCs w:val="8"/>
                <w:color w:val="auto"/>
              </w:rPr>
            </w:pPr>
          </w:p>
        </w:tc>
        <w:tc>
          <w:tcPr>
            <w:tcW w:w="1700" w:type="dxa"/>
            <w:vAlign w:val="bottom"/>
            <w:shd w:val="clear" w:color="auto" w:fill="DDE9F2"/>
          </w:tcPr>
          <w:p>
            <w:pPr>
              <w:spacing w:after="0"/>
              <w:rPr>
                <w:sz w:val="8"/>
                <w:szCs w:val="8"/>
                <w:color w:val="auto"/>
              </w:rPr>
            </w:pPr>
          </w:p>
        </w:tc>
        <w:tc>
          <w:tcPr>
            <w:tcW w:w="1480" w:type="dxa"/>
            <w:vAlign w:val="bottom"/>
            <w:shd w:val="clear" w:color="auto" w:fill="DDE9F2"/>
          </w:tcPr>
          <w:p>
            <w:pPr>
              <w:spacing w:after="0"/>
              <w:rPr>
                <w:sz w:val="8"/>
                <w:szCs w:val="8"/>
                <w:color w:val="auto"/>
              </w:rPr>
            </w:pPr>
          </w:p>
        </w:tc>
      </w:tr>
      <w:tr>
        <w:trPr>
          <w:trHeight w:val="304"/>
        </w:trPr>
        <w:tc>
          <w:tcPr>
            <w:tcW w:w="5580" w:type="dxa"/>
            <w:vAlign w:val="bottom"/>
          </w:tcPr>
          <w:p>
            <w:pPr>
              <w:ind w:left="80"/>
              <w:spacing w:after="0"/>
              <w:rPr>
                <w:sz w:val="20"/>
                <w:szCs w:val="20"/>
                <w:color w:val="auto"/>
              </w:rPr>
            </w:pPr>
            <w:r>
              <w:rPr>
                <w:rFonts w:ascii="Arial" w:cs="Arial" w:eastAsia="Arial" w:hAnsi="Arial"/>
                <w:sz w:val="14"/>
                <w:szCs w:val="14"/>
                <w:b w:val="1"/>
                <w:bCs w:val="1"/>
                <w:color w:val="092E44"/>
              </w:rPr>
              <w:t>White</w:t>
            </w:r>
          </w:p>
        </w:tc>
        <w:tc>
          <w:tcPr>
            <w:tcW w:w="980" w:type="dxa"/>
            <w:vAlign w:val="bottom"/>
          </w:tcPr>
          <w:p>
            <w:pPr>
              <w:jc w:val="center"/>
              <w:ind w:right="461"/>
              <w:spacing w:after="0"/>
              <w:rPr>
                <w:sz w:val="20"/>
                <w:szCs w:val="20"/>
                <w:color w:val="auto"/>
              </w:rPr>
            </w:pPr>
            <w:r>
              <w:rPr>
                <w:rFonts w:ascii="Arial" w:cs="Arial" w:eastAsia="Arial" w:hAnsi="Arial"/>
                <w:sz w:val="16"/>
                <w:szCs w:val="16"/>
                <w:color w:val="092E44"/>
                <w:w w:val="89"/>
              </w:rPr>
              <w:t>1</w:t>
            </w:r>
          </w:p>
        </w:tc>
        <w:tc>
          <w:tcPr>
            <w:tcW w:w="1180" w:type="dxa"/>
            <w:vAlign w:val="bottom"/>
          </w:tcPr>
          <w:p>
            <w:pPr>
              <w:jc w:val="center"/>
              <w:ind w:left="41"/>
              <w:spacing w:after="0"/>
              <w:rPr>
                <w:sz w:val="20"/>
                <w:szCs w:val="20"/>
                <w:color w:val="auto"/>
              </w:rPr>
            </w:pPr>
            <w:r>
              <w:rPr>
                <w:rFonts w:ascii="Arial" w:cs="Arial" w:eastAsia="Arial" w:hAnsi="Arial"/>
                <w:sz w:val="16"/>
                <w:szCs w:val="16"/>
                <w:color w:val="092E44"/>
              </w:rPr>
              <w:t>5</w:t>
            </w:r>
          </w:p>
        </w:tc>
        <w:tc>
          <w:tcPr>
            <w:tcW w:w="1700" w:type="dxa"/>
            <w:vAlign w:val="bottom"/>
          </w:tcPr>
          <w:p>
            <w:pPr>
              <w:jc w:val="center"/>
              <w:ind w:left="101"/>
              <w:spacing w:after="0"/>
              <w:rPr>
                <w:sz w:val="20"/>
                <w:szCs w:val="20"/>
                <w:color w:val="auto"/>
              </w:rPr>
            </w:pPr>
            <w:r>
              <w:rPr>
                <w:rFonts w:ascii="Arial" w:cs="Arial" w:eastAsia="Arial" w:hAnsi="Arial"/>
                <w:sz w:val="16"/>
                <w:szCs w:val="16"/>
                <w:color w:val="092E44"/>
                <w:w w:val="99"/>
              </w:rPr>
              <w:t>—</w:t>
            </w:r>
          </w:p>
        </w:tc>
        <w:tc>
          <w:tcPr>
            <w:tcW w:w="1480" w:type="dxa"/>
            <w:vAlign w:val="bottom"/>
          </w:tcPr>
          <w:p>
            <w:pPr>
              <w:jc w:val="center"/>
              <w:ind w:left="82"/>
              <w:spacing w:after="0"/>
              <w:rPr>
                <w:sz w:val="20"/>
                <w:szCs w:val="20"/>
                <w:color w:val="auto"/>
              </w:rPr>
            </w:pPr>
            <w:r>
              <w:rPr>
                <w:rFonts w:ascii="Arial" w:cs="Arial" w:eastAsia="Arial" w:hAnsi="Arial"/>
                <w:sz w:val="16"/>
                <w:szCs w:val="16"/>
                <w:color w:val="092E44"/>
                <w:w w:val="99"/>
              </w:rPr>
              <w:t>—</w:t>
            </w:r>
          </w:p>
        </w:tc>
      </w:tr>
      <w:tr>
        <w:trPr>
          <w:trHeight w:val="97"/>
        </w:trPr>
        <w:tc>
          <w:tcPr>
            <w:tcW w:w="55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304"/>
        </w:trPr>
        <w:tc>
          <w:tcPr>
            <w:tcW w:w="5580" w:type="dxa"/>
            <w:vAlign w:val="bottom"/>
            <w:shd w:val="clear" w:color="auto" w:fill="DDE9F2"/>
          </w:tcPr>
          <w:p>
            <w:pPr>
              <w:ind w:left="80"/>
              <w:spacing w:after="0"/>
              <w:rPr>
                <w:sz w:val="20"/>
                <w:szCs w:val="20"/>
                <w:color w:val="auto"/>
              </w:rPr>
            </w:pPr>
            <w:r>
              <w:rPr>
                <w:rFonts w:ascii="Arial" w:cs="Arial" w:eastAsia="Arial" w:hAnsi="Arial"/>
                <w:sz w:val="14"/>
                <w:szCs w:val="14"/>
                <w:b w:val="1"/>
                <w:bCs w:val="1"/>
                <w:color w:val="092E44"/>
              </w:rPr>
              <w:t>Two or More Races or Ethnicities</w:t>
            </w:r>
          </w:p>
        </w:tc>
        <w:tc>
          <w:tcPr>
            <w:tcW w:w="980" w:type="dxa"/>
            <w:vAlign w:val="bottom"/>
            <w:shd w:val="clear" w:color="auto" w:fill="DDE9F2"/>
          </w:tcPr>
          <w:p>
            <w:pPr>
              <w:jc w:val="center"/>
              <w:ind w:right="461"/>
              <w:spacing w:after="0"/>
              <w:rPr>
                <w:sz w:val="20"/>
                <w:szCs w:val="20"/>
                <w:color w:val="auto"/>
              </w:rPr>
            </w:pPr>
            <w:r>
              <w:rPr>
                <w:rFonts w:ascii="Arial" w:cs="Arial" w:eastAsia="Arial" w:hAnsi="Arial"/>
                <w:sz w:val="16"/>
                <w:szCs w:val="16"/>
                <w:color w:val="092E44"/>
                <w:w w:val="99"/>
              </w:rPr>
              <w:t>—</w:t>
            </w:r>
          </w:p>
        </w:tc>
        <w:tc>
          <w:tcPr>
            <w:tcW w:w="1180" w:type="dxa"/>
            <w:vAlign w:val="bottom"/>
            <w:shd w:val="clear" w:color="auto" w:fill="DDE9F2"/>
          </w:tcPr>
          <w:p>
            <w:pPr>
              <w:jc w:val="center"/>
              <w:ind w:left="61"/>
              <w:spacing w:after="0"/>
              <w:rPr>
                <w:sz w:val="20"/>
                <w:szCs w:val="20"/>
                <w:color w:val="auto"/>
              </w:rPr>
            </w:pPr>
            <w:r>
              <w:rPr>
                <w:rFonts w:ascii="Arial" w:cs="Arial" w:eastAsia="Arial" w:hAnsi="Arial"/>
                <w:sz w:val="16"/>
                <w:szCs w:val="16"/>
                <w:color w:val="092E44"/>
                <w:w w:val="99"/>
              </w:rPr>
              <w:t>—</w:t>
            </w:r>
          </w:p>
        </w:tc>
        <w:tc>
          <w:tcPr>
            <w:tcW w:w="1700" w:type="dxa"/>
            <w:vAlign w:val="bottom"/>
            <w:shd w:val="clear" w:color="auto" w:fill="DDE9F2"/>
          </w:tcPr>
          <w:p>
            <w:pPr>
              <w:jc w:val="center"/>
              <w:ind w:left="101"/>
              <w:spacing w:after="0"/>
              <w:rPr>
                <w:sz w:val="20"/>
                <w:szCs w:val="20"/>
                <w:color w:val="auto"/>
              </w:rPr>
            </w:pPr>
            <w:r>
              <w:rPr>
                <w:rFonts w:ascii="Arial" w:cs="Arial" w:eastAsia="Arial" w:hAnsi="Arial"/>
                <w:sz w:val="16"/>
                <w:szCs w:val="16"/>
                <w:color w:val="092E44"/>
                <w:w w:val="99"/>
              </w:rPr>
              <w:t>—</w:t>
            </w:r>
          </w:p>
        </w:tc>
        <w:tc>
          <w:tcPr>
            <w:tcW w:w="1480" w:type="dxa"/>
            <w:vAlign w:val="bottom"/>
            <w:shd w:val="clear" w:color="auto" w:fill="DDE9F2"/>
          </w:tcPr>
          <w:p>
            <w:pPr>
              <w:jc w:val="center"/>
              <w:ind w:left="82"/>
              <w:spacing w:after="0"/>
              <w:rPr>
                <w:sz w:val="20"/>
                <w:szCs w:val="20"/>
                <w:color w:val="auto"/>
              </w:rPr>
            </w:pPr>
            <w:r>
              <w:rPr>
                <w:rFonts w:ascii="Arial" w:cs="Arial" w:eastAsia="Arial" w:hAnsi="Arial"/>
                <w:sz w:val="16"/>
                <w:szCs w:val="16"/>
                <w:color w:val="092E44"/>
                <w:w w:val="99"/>
              </w:rPr>
              <w:t>—</w:t>
            </w:r>
          </w:p>
        </w:tc>
      </w:tr>
      <w:tr>
        <w:trPr>
          <w:trHeight w:val="97"/>
        </w:trPr>
        <w:tc>
          <w:tcPr>
            <w:tcW w:w="5580" w:type="dxa"/>
            <w:vAlign w:val="bottom"/>
            <w:shd w:val="clear" w:color="auto" w:fill="DDE9F2"/>
          </w:tcPr>
          <w:p>
            <w:pPr>
              <w:spacing w:after="0"/>
              <w:rPr>
                <w:sz w:val="8"/>
                <w:szCs w:val="8"/>
                <w:color w:val="auto"/>
              </w:rPr>
            </w:pPr>
          </w:p>
        </w:tc>
        <w:tc>
          <w:tcPr>
            <w:tcW w:w="980" w:type="dxa"/>
            <w:vAlign w:val="bottom"/>
            <w:shd w:val="clear" w:color="auto" w:fill="DDE9F2"/>
          </w:tcPr>
          <w:p>
            <w:pPr>
              <w:spacing w:after="0"/>
              <w:rPr>
                <w:sz w:val="8"/>
                <w:szCs w:val="8"/>
                <w:color w:val="auto"/>
              </w:rPr>
            </w:pPr>
          </w:p>
        </w:tc>
        <w:tc>
          <w:tcPr>
            <w:tcW w:w="1180" w:type="dxa"/>
            <w:vAlign w:val="bottom"/>
            <w:shd w:val="clear" w:color="auto" w:fill="DDE9F2"/>
          </w:tcPr>
          <w:p>
            <w:pPr>
              <w:spacing w:after="0"/>
              <w:rPr>
                <w:sz w:val="8"/>
                <w:szCs w:val="8"/>
                <w:color w:val="auto"/>
              </w:rPr>
            </w:pPr>
          </w:p>
        </w:tc>
        <w:tc>
          <w:tcPr>
            <w:tcW w:w="1700" w:type="dxa"/>
            <w:vAlign w:val="bottom"/>
            <w:shd w:val="clear" w:color="auto" w:fill="DDE9F2"/>
          </w:tcPr>
          <w:p>
            <w:pPr>
              <w:spacing w:after="0"/>
              <w:rPr>
                <w:sz w:val="8"/>
                <w:szCs w:val="8"/>
                <w:color w:val="auto"/>
              </w:rPr>
            </w:pPr>
          </w:p>
        </w:tc>
        <w:tc>
          <w:tcPr>
            <w:tcW w:w="1480" w:type="dxa"/>
            <w:vAlign w:val="bottom"/>
            <w:shd w:val="clear" w:color="auto" w:fill="DDE9F2"/>
          </w:tcPr>
          <w:p>
            <w:pPr>
              <w:spacing w:after="0"/>
              <w:rPr>
                <w:sz w:val="8"/>
                <w:szCs w:val="8"/>
                <w:color w:val="auto"/>
              </w:rPr>
            </w:pPr>
          </w:p>
        </w:tc>
      </w:tr>
      <w:tr>
        <w:trPr>
          <w:trHeight w:val="304"/>
        </w:trPr>
        <w:tc>
          <w:tcPr>
            <w:tcW w:w="5580" w:type="dxa"/>
            <w:vAlign w:val="bottom"/>
          </w:tcPr>
          <w:p>
            <w:pPr>
              <w:ind w:left="80"/>
              <w:spacing w:after="0"/>
              <w:rPr>
                <w:sz w:val="20"/>
                <w:szCs w:val="20"/>
                <w:color w:val="auto"/>
              </w:rPr>
            </w:pPr>
            <w:r>
              <w:rPr>
                <w:rFonts w:ascii="Arial" w:cs="Arial" w:eastAsia="Arial" w:hAnsi="Arial"/>
                <w:sz w:val="14"/>
                <w:szCs w:val="14"/>
                <w:b w:val="1"/>
                <w:bCs w:val="1"/>
                <w:color w:val="092E44"/>
              </w:rPr>
              <w:t>LGBTQ+</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00" w:type="dxa"/>
            <w:vAlign w:val="bottom"/>
          </w:tcPr>
          <w:p>
            <w:pPr>
              <w:jc w:val="center"/>
              <w:ind w:right="721"/>
              <w:spacing w:after="0"/>
              <w:rPr>
                <w:sz w:val="20"/>
                <w:szCs w:val="20"/>
                <w:color w:val="auto"/>
              </w:rPr>
            </w:pPr>
            <w:r>
              <w:rPr>
                <w:rFonts w:ascii="Arial" w:cs="Arial" w:eastAsia="Arial" w:hAnsi="Arial"/>
                <w:sz w:val="16"/>
                <w:szCs w:val="16"/>
                <w:color w:val="092E44"/>
              </w:rPr>
              <w:t>1</w:t>
            </w:r>
          </w:p>
        </w:tc>
        <w:tc>
          <w:tcPr>
            <w:tcW w:w="1480" w:type="dxa"/>
            <w:vAlign w:val="bottom"/>
          </w:tcPr>
          <w:p>
            <w:pPr>
              <w:spacing w:after="0"/>
              <w:rPr>
                <w:sz w:val="24"/>
                <w:szCs w:val="24"/>
                <w:color w:val="auto"/>
              </w:rPr>
            </w:pPr>
          </w:p>
        </w:tc>
      </w:tr>
      <w:tr>
        <w:trPr>
          <w:trHeight w:val="97"/>
        </w:trPr>
        <w:tc>
          <w:tcPr>
            <w:tcW w:w="55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304"/>
        </w:trPr>
        <w:tc>
          <w:tcPr>
            <w:tcW w:w="5580" w:type="dxa"/>
            <w:vAlign w:val="bottom"/>
            <w:shd w:val="clear" w:color="auto" w:fill="DDE9F2"/>
          </w:tcPr>
          <w:p>
            <w:pPr>
              <w:ind w:left="80"/>
              <w:spacing w:after="0"/>
              <w:rPr>
                <w:sz w:val="20"/>
                <w:szCs w:val="20"/>
                <w:color w:val="auto"/>
              </w:rPr>
            </w:pPr>
            <w:r>
              <w:rPr>
                <w:rFonts w:ascii="Arial" w:cs="Arial" w:eastAsia="Arial" w:hAnsi="Arial"/>
                <w:sz w:val="14"/>
                <w:szCs w:val="14"/>
                <w:b w:val="1"/>
                <w:bCs w:val="1"/>
                <w:color w:val="092E44"/>
              </w:rPr>
              <w:t>Did not Disclose Demographic Background</w:t>
            </w:r>
          </w:p>
        </w:tc>
        <w:tc>
          <w:tcPr>
            <w:tcW w:w="980" w:type="dxa"/>
            <w:vAlign w:val="bottom"/>
            <w:shd w:val="clear" w:color="auto" w:fill="DDE9F2"/>
          </w:tcPr>
          <w:p>
            <w:pPr>
              <w:spacing w:after="0"/>
              <w:rPr>
                <w:sz w:val="24"/>
                <w:szCs w:val="24"/>
                <w:color w:val="auto"/>
              </w:rPr>
            </w:pPr>
          </w:p>
        </w:tc>
        <w:tc>
          <w:tcPr>
            <w:tcW w:w="1180" w:type="dxa"/>
            <w:vAlign w:val="bottom"/>
            <w:shd w:val="clear" w:color="auto" w:fill="DDE9F2"/>
          </w:tcPr>
          <w:p>
            <w:pPr>
              <w:spacing w:after="0"/>
              <w:rPr>
                <w:sz w:val="24"/>
                <w:szCs w:val="24"/>
                <w:color w:val="auto"/>
              </w:rPr>
            </w:pPr>
          </w:p>
        </w:tc>
        <w:tc>
          <w:tcPr>
            <w:tcW w:w="1700" w:type="dxa"/>
            <w:vAlign w:val="bottom"/>
            <w:shd w:val="clear" w:color="auto" w:fill="DDE9F2"/>
          </w:tcPr>
          <w:p>
            <w:pPr>
              <w:jc w:val="center"/>
              <w:ind w:right="721"/>
              <w:spacing w:after="0"/>
              <w:rPr>
                <w:sz w:val="20"/>
                <w:szCs w:val="20"/>
                <w:color w:val="auto"/>
              </w:rPr>
            </w:pPr>
            <w:r>
              <w:rPr>
                <w:rFonts w:ascii="Arial" w:cs="Arial" w:eastAsia="Arial" w:hAnsi="Arial"/>
                <w:sz w:val="16"/>
                <w:szCs w:val="16"/>
                <w:color w:val="092E44"/>
              </w:rPr>
              <w:t>1</w:t>
            </w:r>
          </w:p>
        </w:tc>
        <w:tc>
          <w:tcPr>
            <w:tcW w:w="1480" w:type="dxa"/>
            <w:vAlign w:val="bottom"/>
            <w:shd w:val="clear" w:color="auto" w:fill="DDE9F2"/>
          </w:tcPr>
          <w:p>
            <w:pPr>
              <w:spacing w:after="0"/>
              <w:rPr>
                <w:sz w:val="24"/>
                <w:szCs w:val="24"/>
                <w:color w:val="auto"/>
              </w:rPr>
            </w:pPr>
          </w:p>
        </w:tc>
      </w:tr>
      <w:tr>
        <w:trPr>
          <w:trHeight w:val="97"/>
        </w:trPr>
        <w:tc>
          <w:tcPr>
            <w:tcW w:w="5580" w:type="dxa"/>
            <w:vAlign w:val="bottom"/>
            <w:tcBorders>
              <w:bottom w:val="single" w:sz="8" w:color="092E44"/>
            </w:tcBorders>
            <w:shd w:val="clear" w:color="auto" w:fill="DDE9F2"/>
          </w:tcPr>
          <w:p>
            <w:pPr>
              <w:spacing w:after="0"/>
              <w:rPr>
                <w:sz w:val="8"/>
                <w:szCs w:val="8"/>
                <w:color w:val="auto"/>
              </w:rPr>
            </w:pPr>
          </w:p>
        </w:tc>
        <w:tc>
          <w:tcPr>
            <w:tcW w:w="980" w:type="dxa"/>
            <w:vAlign w:val="bottom"/>
            <w:tcBorders>
              <w:bottom w:val="single" w:sz="8" w:color="092E44"/>
            </w:tcBorders>
            <w:shd w:val="clear" w:color="auto" w:fill="DDE9F2"/>
          </w:tcPr>
          <w:p>
            <w:pPr>
              <w:spacing w:after="0"/>
              <w:rPr>
                <w:sz w:val="8"/>
                <w:szCs w:val="8"/>
                <w:color w:val="auto"/>
              </w:rPr>
            </w:pPr>
          </w:p>
        </w:tc>
        <w:tc>
          <w:tcPr>
            <w:tcW w:w="1180" w:type="dxa"/>
            <w:vAlign w:val="bottom"/>
            <w:tcBorders>
              <w:bottom w:val="single" w:sz="8" w:color="092E44"/>
            </w:tcBorders>
            <w:shd w:val="clear" w:color="auto" w:fill="DDE9F2"/>
          </w:tcPr>
          <w:p>
            <w:pPr>
              <w:spacing w:after="0"/>
              <w:rPr>
                <w:sz w:val="8"/>
                <w:szCs w:val="8"/>
                <w:color w:val="auto"/>
              </w:rPr>
            </w:pPr>
          </w:p>
        </w:tc>
        <w:tc>
          <w:tcPr>
            <w:tcW w:w="1700" w:type="dxa"/>
            <w:vAlign w:val="bottom"/>
            <w:tcBorders>
              <w:bottom w:val="single" w:sz="8" w:color="092E44"/>
            </w:tcBorders>
            <w:shd w:val="clear" w:color="auto" w:fill="DDE9F2"/>
          </w:tcPr>
          <w:p>
            <w:pPr>
              <w:spacing w:after="0"/>
              <w:rPr>
                <w:sz w:val="8"/>
                <w:szCs w:val="8"/>
                <w:color w:val="auto"/>
              </w:rPr>
            </w:pPr>
          </w:p>
        </w:tc>
        <w:tc>
          <w:tcPr>
            <w:tcW w:w="1480" w:type="dxa"/>
            <w:vAlign w:val="bottom"/>
            <w:tcBorders>
              <w:bottom w:val="single" w:sz="8" w:color="092E44"/>
            </w:tcBorders>
            <w:shd w:val="clear" w:color="auto" w:fill="DDE9F2"/>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5974715</wp:posOffset>
            </wp:positionH>
            <wp:positionV relativeFrom="paragraph">
              <wp:posOffset>-2300605</wp:posOffset>
            </wp:positionV>
            <wp:extent cx="8255" cy="1783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1783715"/>
                    </a:xfrm>
                    <a:prstGeom prst="rect">
                      <a:avLst/>
                    </a:prstGeom>
                    <a:noFill/>
                  </pic:spPr>
                </pic:pic>
              </a:graphicData>
            </a:graphic>
          </wp:anchor>
        </w:drawing>
        <w:drawing>
          <wp:anchor simplePos="0" relativeHeight="251657728" behindDoc="1" locked="0" layoutInCell="0" allowOverlap="1">
            <wp:simplePos x="0" y="0"/>
            <wp:positionH relativeFrom="column">
              <wp:posOffset>5015230</wp:posOffset>
            </wp:positionH>
            <wp:positionV relativeFrom="paragraph">
              <wp:posOffset>-2300605</wp:posOffset>
            </wp:positionV>
            <wp:extent cx="8255" cy="1783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1783715"/>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-2300605</wp:posOffset>
            </wp:positionV>
            <wp:extent cx="8255" cy="1783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1783715"/>
                    </a:xfrm>
                    <a:prstGeom prst="rect">
                      <a:avLst/>
                    </a:prstGeom>
                    <a:noFill/>
                  </pic:spPr>
                </pic:pic>
              </a:graphicData>
            </a:graphic>
          </wp:anchor>
        </w:drawing>
        <w:drawing>
          <wp:anchor simplePos="0" relativeHeight="251657728" behindDoc="1" locked="0" layoutInCell="0" allowOverlap="1">
            <wp:simplePos x="0" y="0"/>
            <wp:positionH relativeFrom="column">
              <wp:posOffset>3291205</wp:posOffset>
            </wp:positionH>
            <wp:positionV relativeFrom="paragraph">
              <wp:posOffset>-2793365</wp:posOffset>
            </wp:positionV>
            <wp:extent cx="2692400" cy="27940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92400" cy="279400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246380</wp:posOffset>
            </wp:positionV>
            <wp:extent cx="220980" cy="2120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11</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80"/>
          </w:cols>
          <w:pgMar w:left="320" w:top="454"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PROPOSAL NO. 1: ELECTION OF DIRECTORS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NOMINEES FOR ELECTION</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Nominees for Election</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Class I Directors Whose Three-Year Terms Expire in 2022</w:t>
      </w:r>
    </w:p>
    <w:p>
      <w:pPr>
        <w:sectPr>
          <w:pgSz w:w="11900" w:h="16838" w:orient="portrait"/>
          <w:cols w:equalWidth="0" w:num="1">
            <w:col w:w="10940"/>
          </w:cols>
          <w:pgMar w:left="320" w:top="454"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E14A6A"/>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-1403350</wp:posOffset>
            </wp:positionV>
            <wp:extent cx="1155065" cy="130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55065" cy="1308100"/>
                    </a:xfrm>
                    <a:prstGeom prst="rect">
                      <a:avLst/>
                    </a:prstGeom>
                    <a:noFill/>
                  </pic:spPr>
                </pic:pic>
              </a:graphicData>
            </a:graphic>
          </wp:anchor>
        </w:drawing>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 xml:space="preserve">Age: </w:t>
      </w:r>
      <w:r>
        <w:rPr>
          <w:rFonts w:ascii="Arial" w:cs="Arial" w:eastAsia="Arial" w:hAnsi="Arial"/>
          <w:sz w:val="14"/>
          <w:szCs w:val="14"/>
          <w:b w:val="1"/>
          <w:bCs w:val="1"/>
          <w:color w:val="092E44"/>
        </w:rPr>
        <w:t>58</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 xml:space="preserve">Director since </w:t>
      </w:r>
      <w:r>
        <w:rPr>
          <w:rFonts w:ascii="Arial" w:cs="Arial" w:eastAsia="Arial" w:hAnsi="Arial"/>
          <w:sz w:val="14"/>
          <w:szCs w:val="14"/>
          <w:b w:val="1"/>
          <w:bCs w:val="1"/>
          <w:color w:val="092E44"/>
        </w:rPr>
        <w:t>2018</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Chair of the Board</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since 2019</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Committees:</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92E44"/>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506095</wp:posOffset>
            </wp:positionV>
            <wp:extent cx="220980" cy="2120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30"/>
          <w:szCs w:val="30"/>
          <w:color w:val="E14A6A"/>
        </w:rPr>
        <w:t>Nicholas Adamo</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Professional Background</w:t>
      </w:r>
    </w:p>
    <w:p>
      <w:pPr>
        <w:spacing w:after="0" w:line="67" w:lineRule="exact"/>
        <w:rPr>
          <w:sz w:val="20"/>
          <w:szCs w:val="20"/>
          <w:color w:val="auto"/>
        </w:rPr>
      </w:pPr>
    </w:p>
    <w:p>
      <w:pPr>
        <w:ind w:right="60"/>
        <w:spacing w:after="0" w:line="230" w:lineRule="auto"/>
        <w:rPr>
          <w:sz w:val="20"/>
          <w:szCs w:val="20"/>
          <w:color w:val="auto"/>
        </w:rPr>
      </w:pPr>
      <w:r>
        <w:rPr>
          <w:rFonts w:ascii="Arial" w:cs="Arial" w:eastAsia="Arial" w:hAnsi="Arial"/>
          <w:sz w:val="15"/>
          <w:szCs w:val="15"/>
          <w:color w:val="092E44"/>
        </w:rPr>
        <w:t>Mr. Adamo is a former senior executive of Cisco Systems, where he served in a variety of sales and leadership roles over a 22-year career before his retirement in 2016. In particular, Mr. Adamo was Senior Vice President of the Americas, where he managed Cisco’s largest geographic region, with annual IT and communications sales of more than $ 26 billion, and was responsible for 6,500 employees working across 60 countries. Mr. Adamo also served as Senior Vice President of Cisco’s $12 billion Global Service Provider organization, leading sales, service delivery, and development for the company’s top service provider customers, among various other roles. Prior to his tenure at Cisco, Mr. Adamo spent more than a decade at IBM in various sales and management assignments.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Qualifications</w:t>
      </w:r>
    </w:p>
    <w:p>
      <w:pPr>
        <w:spacing w:after="0" w:line="67"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092E44"/>
        </w:rPr>
        <w:t>Mr. Adamo is an experienced information technology executive, with a deep working knowledge of the industry. He leverages his background with both enterprise and service provider segments to provide valuable insight and perspectives to our Board and management. He also has demonstrated an extensive ability to balance strategy and operational execution, foster long-standing strategic relationships, and guide business and technology discussions and decisions for shared success.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Other Affiliations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Founder and president of Making A Mark, Inc., a New</w:t>
      </w:r>
    </w:p>
    <w:p>
      <w:pPr>
        <w:ind w:left="160"/>
        <w:spacing w:after="0" w:line="225" w:lineRule="auto"/>
        <w:rPr>
          <w:sz w:val="20"/>
          <w:szCs w:val="20"/>
          <w:color w:val="auto"/>
        </w:rPr>
      </w:pPr>
      <w:r>
        <w:rPr>
          <w:rFonts w:ascii="Arial" w:cs="Arial" w:eastAsia="Arial" w:hAnsi="Arial"/>
          <w:sz w:val="15"/>
          <w:szCs w:val="15"/>
          <w:color w:val="092E44"/>
        </w:rPr>
        <w:t>Jersey-based charitable foundation targeting the</w:t>
      </w:r>
    </w:p>
    <w:p>
      <w:pPr>
        <w:ind w:left="160"/>
        <w:spacing w:after="0"/>
        <w:rPr>
          <w:sz w:val="20"/>
          <w:szCs w:val="20"/>
          <w:color w:val="auto"/>
        </w:rPr>
      </w:pPr>
      <w:r>
        <w:rPr>
          <w:rFonts w:ascii="Arial" w:cs="Arial" w:eastAsia="Arial" w:hAnsi="Arial"/>
          <w:sz w:val="15"/>
          <w:szCs w:val="15"/>
          <w:color w:val="092E44"/>
        </w:rPr>
        <w:t>environment and education</w:t>
      </w:r>
    </w:p>
    <w:p>
      <w:pPr>
        <w:spacing w:after="0" w:line="200" w:lineRule="exact"/>
        <w:rPr>
          <w:sz w:val="20"/>
          <w:szCs w:val="20"/>
          <w:color w:val="auto"/>
        </w:rPr>
      </w:pPr>
    </w:p>
    <w:p>
      <w:pPr>
        <w:sectPr>
          <w:pgSz w:w="11900" w:h="16838" w:orient="portrait"/>
          <w:cols w:equalWidth="0" w:num="2">
            <w:col w:w="1860" w:space="720"/>
            <w:col w:w="8360"/>
          </w:cols>
          <w:pgMar w:left="320" w:top="454" w:right="639" w:bottom="1440" w:gutter="0" w:footer="0" w:header="0"/>
          <w:type w:val="continuous"/>
        </w:sectPr>
      </w:pPr>
    </w:p>
    <w:p>
      <w:pPr>
        <w:spacing w:after="0" w:line="300"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0"/>
          <w:szCs w:val="10"/>
          <w:color w:val="092E44"/>
        </w:rPr>
        <w:t>12</w:t>
      </w:r>
      <w:r>
        <w:rPr>
          <w:sz w:val="20"/>
          <w:szCs w:val="20"/>
          <w:color w:val="auto"/>
        </w:rPr>
        <w:tab/>
      </w:r>
      <w:r>
        <w:rPr>
          <w:rFonts w:ascii="Arial" w:cs="Arial" w:eastAsia="Arial" w:hAnsi="Arial"/>
          <w:sz w:val="10"/>
          <w:szCs w:val="10"/>
          <w:b w:val="1"/>
          <w:bCs w:val="1"/>
          <w:color w:val="092E44"/>
        </w:rPr>
        <w:t xml:space="preserve">COMMVAULT SYSTEMS, INC. </w:t>
      </w:r>
      <w:r>
        <w:rPr>
          <w:rFonts w:ascii="Arial" w:cs="Arial" w:eastAsia="Arial" w:hAnsi="Arial"/>
          <w:sz w:val="10"/>
          <w:szCs w:val="10"/>
          <w:color w:val="E14A6A"/>
        </w:rPr>
        <w:t>|</w:t>
      </w:r>
      <w:r>
        <w:rPr>
          <w:rFonts w:ascii="Arial" w:cs="Arial" w:eastAsia="Arial" w:hAnsi="Arial"/>
          <w:sz w:val="10"/>
          <w:szCs w:val="10"/>
          <w:b w:val="1"/>
          <w:bCs w:val="1"/>
          <w:color w:val="092E44"/>
        </w:rPr>
        <w:t xml:space="preserve"> </w:t>
      </w:r>
      <w:r>
        <w:rPr>
          <w:rFonts w:ascii="Arial" w:cs="Arial" w:eastAsia="Arial" w:hAnsi="Arial"/>
          <w:sz w:val="10"/>
          <w:szCs w:val="10"/>
          <w:color w:val="092E44"/>
        </w:rPr>
        <w:t>2022 PROXY STATEMENT</w:t>
      </w:r>
    </w:p>
    <w:p>
      <w:pPr>
        <w:sectPr>
          <w:pgSz w:w="11900" w:h="16838" w:orient="portrait"/>
          <w:cols w:equalWidth="0" w:num="1">
            <w:col w:w="10940"/>
          </w:cols>
          <w:pgMar w:left="320" w:top="454" w:right="6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0"/>
          <w:szCs w:val="10"/>
          <w:color w:val="092E44"/>
        </w:rPr>
        <w:t xml:space="preserve">PROPOSAL NO. 1: ELECTION OF DIRECTORS </w:t>
      </w:r>
      <w:r>
        <w:rPr>
          <w:rFonts w:ascii="Arial" w:cs="Arial" w:eastAsia="Arial" w:hAnsi="Arial"/>
          <w:sz w:val="10"/>
          <w:szCs w:val="10"/>
          <w:color w:val="E14A6A"/>
        </w:rPr>
        <w:t>|</w:t>
      </w:r>
      <w:r>
        <w:rPr>
          <w:rFonts w:ascii="Arial" w:cs="Arial" w:eastAsia="Arial" w:hAnsi="Arial"/>
          <w:sz w:val="10"/>
          <w:szCs w:val="10"/>
          <w:color w:val="092E44"/>
        </w:rPr>
        <w:t xml:space="preserve"> </w:t>
      </w:r>
      <w:r>
        <w:rPr>
          <w:rFonts w:ascii="Arial" w:cs="Arial" w:eastAsia="Arial" w:hAnsi="Arial"/>
          <w:sz w:val="10"/>
          <w:szCs w:val="10"/>
          <w:b w:val="1"/>
          <w:bCs w:val="1"/>
          <w:color w:val="092E44"/>
        </w:rPr>
        <w:t>NOMINEES FOR ELECTION</w:t>
      </w:r>
    </w:p>
    <w:p>
      <w:pPr>
        <w:sectPr>
          <w:pgSz w:w="11900" w:h="16838" w:orient="portrait"/>
          <w:cols w:equalWidth="0" w:num="1">
            <w:col w:w="11000"/>
          </w:cols>
          <w:pgMar w:left="320" w:top="454"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E14A6A"/>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-1242060</wp:posOffset>
            </wp:positionV>
            <wp:extent cx="1010285" cy="11461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10285" cy="1146175"/>
                    </a:xfrm>
                    <a:prstGeom prst="rect">
                      <a:avLst/>
                    </a:prstGeom>
                    <a:noFill/>
                  </pic:spPr>
                </pic:pic>
              </a:graphicData>
            </a:graphic>
          </wp:anchor>
        </w:drawing>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 xml:space="preserve">Age: </w:t>
      </w:r>
      <w:r>
        <w:rPr>
          <w:rFonts w:ascii="Arial" w:cs="Arial" w:eastAsia="Arial" w:hAnsi="Arial"/>
          <w:sz w:val="14"/>
          <w:szCs w:val="14"/>
          <w:b w:val="1"/>
          <w:bCs w:val="1"/>
          <w:color w:val="092E44"/>
        </w:rPr>
        <w:t>60</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 xml:space="preserve">Director since </w:t>
      </w:r>
      <w:r>
        <w:rPr>
          <w:rFonts w:ascii="Arial" w:cs="Arial" w:eastAsia="Arial" w:hAnsi="Arial"/>
          <w:sz w:val="14"/>
          <w:szCs w:val="14"/>
          <w:b w:val="1"/>
          <w:bCs w:val="1"/>
          <w:color w:val="092E44"/>
        </w:rPr>
        <w:t>2018</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Committees:</w:t>
      </w:r>
    </w:p>
    <w:p>
      <w:pPr>
        <w:spacing w:after="0" w:line="13" w:lineRule="exact"/>
        <w:rPr>
          <w:sz w:val="20"/>
          <w:szCs w:val="20"/>
          <w:color w:val="auto"/>
        </w:rPr>
      </w:pPr>
    </w:p>
    <w:p>
      <w:pPr>
        <w:ind w:left="160" w:right="400"/>
        <w:spacing w:after="0" w:line="269" w:lineRule="auto"/>
        <w:rPr>
          <w:sz w:val="20"/>
          <w:szCs w:val="20"/>
          <w:color w:val="auto"/>
        </w:rPr>
      </w:pPr>
      <w:r>
        <w:rPr>
          <w:rFonts w:ascii="Arial" w:cs="Arial" w:eastAsia="Arial" w:hAnsi="Arial"/>
          <w:sz w:val="14"/>
          <w:szCs w:val="14"/>
          <w:b w:val="1"/>
          <w:bCs w:val="1"/>
          <w:color w:val="092E44"/>
        </w:rPr>
        <w:t>Nominations and Governance (chair)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30"/>
          <w:szCs w:val="30"/>
          <w:color w:val="E14A6A"/>
        </w:rPr>
        <w:t>Martha Bejar</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Professional Background</w:t>
      </w:r>
    </w:p>
    <w:p>
      <w:pPr>
        <w:spacing w:after="0" w:line="67" w:lineRule="exact"/>
        <w:rPr>
          <w:sz w:val="20"/>
          <w:szCs w:val="20"/>
          <w:color w:val="auto"/>
        </w:rPr>
      </w:pPr>
    </w:p>
    <w:p>
      <w:pPr>
        <w:ind w:right="80"/>
        <w:spacing w:after="0" w:line="236" w:lineRule="auto"/>
        <w:rPr>
          <w:sz w:val="20"/>
          <w:szCs w:val="20"/>
          <w:color w:val="auto"/>
        </w:rPr>
      </w:pPr>
      <w:r>
        <w:rPr>
          <w:rFonts w:ascii="Arial" w:cs="Arial" w:eastAsia="Arial" w:hAnsi="Arial"/>
          <w:sz w:val="15"/>
          <w:szCs w:val="15"/>
          <w:color w:val="092E44"/>
        </w:rPr>
        <w:t>Ms. Bejar has been a senior partner at Dagrosa Capital LLC since 2021. She is also the co-founder and Chief Executive Officer of Red Bison Advisory Group, LLC. Ms. Bejar has served as Chief Executive Officer of several private telecommunications and technology companies, including Unium Inc., Flow Mobile Inc., and Wipro Infocrossing Inc. She has also held executive positions at Microsoft Corporation, Nortel Networks Corporation, and Bell Communications Research.</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Qualifications</w:t>
      </w:r>
    </w:p>
    <w:p>
      <w:pPr>
        <w:spacing w:after="0" w:line="67" w:lineRule="exact"/>
        <w:rPr>
          <w:sz w:val="20"/>
          <w:szCs w:val="20"/>
          <w:color w:val="auto"/>
        </w:rPr>
      </w:pPr>
    </w:p>
    <w:p>
      <w:pPr>
        <w:spacing w:after="0" w:line="236" w:lineRule="auto"/>
        <w:rPr>
          <w:sz w:val="20"/>
          <w:szCs w:val="20"/>
          <w:color w:val="auto"/>
        </w:rPr>
      </w:pPr>
      <w:r>
        <w:rPr>
          <w:rFonts w:ascii="Arial" w:cs="Arial" w:eastAsia="Arial" w:hAnsi="Arial"/>
          <w:sz w:val="15"/>
          <w:szCs w:val="15"/>
          <w:color w:val="092E44"/>
        </w:rPr>
        <w:t>Ms. Bejar has a strong track record of leadership and a proven ability to drive and support innovation in the technology and software space. She provides the Board with a wealth of executive, strategic, and governance experience in the industry and valuable insights regarding Commvault’s operations and strategic development. She has a passion for CSR and sustainability and is an active participant in driving initiatives in those areas.</w:t>
      </w:r>
    </w:p>
    <w:p>
      <w:pPr>
        <w:spacing w:after="0" w:line="101" w:lineRule="exact"/>
        <w:rPr>
          <w:sz w:val="20"/>
          <w:szCs w:val="20"/>
          <w:color w:val="auto"/>
        </w:rPr>
      </w:pPr>
    </w:p>
    <w:p>
      <w:pPr>
        <w:spacing w:after="0"/>
        <w:tabs>
          <w:tab w:leader="none" w:pos="4120" w:val="left"/>
        </w:tabs>
        <w:rPr>
          <w:sz w:val="20"/>
          <w:szCs w:val="20"/>
          <w:color w:val="auto"/>
        </w:rPr>
      </w:pPr>
      <w:r>
        <w:rPr>
          <w:rFonts w:ascii="Arial" w:cs="Arial" w:eastAsia="Arial" w:hAnsi="Arial"/>
          <w:sz w:val="16"/>
          <w:szCs w:val="16"/>
          <w:b w:val="1"/>
          <w:bCs w:val="1"/>
          <w:color w:val="092E44"/>
        </w:rPr>
        <w:t>Other Public Company Boards</w:t>
      </w:r>
      <w:r>
        <w:rPr>
          <w:sz w:val="20"/>
          <w:szCs w:val="20"/>
          <w:color w:val="auto"/>
        </w:rPr>
        <w:tab/>
      </w:r>
      <w:r>
        <w:rPr>
          <w:rFonts w:ascii="Arial" w:cs="Arial" w:eastAsia="Arial" w:hAnsi="Arial"/>
          <w:sz w:val="16"/>
          <w:szCs w:val="16"/>
          <w:b w:val="1"/>
          <w:bCs w:val="1"/>
          <w:color w:val="092E44"/>
        </w:rPr>
        <w:t>Other Affiliations</w:t>
      </w:r>
    </w:p>
    <w:p>
      <w:pPr>
        <w:spacing w:after="0" w:line="67" w:lineRule="exact"/>
        <w:rPr>
          <w:sz w:val="20"/>
          <w:szCs w:val="20"/>
          <w:color w:val="auto"/>
        </w:rPr>
      </w:pPr>
    </w:p>
    <w:p>
      <w:pPr>
        <w:spacing w:after="0"/>
        <w:tabs>
          <w:tab w:leader="none" w:pos="4120" w:val="left"/>
        </w:tabs>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Lumen Technologies (since 2016)</w:t>
      </w:r>
      <w:r>
        <w:rPr>
          <w:sz w:val="20"/>
          <w:szCs w:val="20"/>
          <w:color w:val="auto"/>
        </w:rPr>
        <w:tab/>
      </w:r>
      <w:r>
        <w:rPr>
          <w:rFonts w:ascii="Times New Roman" w:cs="Times New Roman" w:eastAsia="Times New Roman" w:hAnsi="Times New Roman"/>
          <w:sz w:val="14"/>
          <w:szCs w:val="14"/>
          <w:color w:val="E14A6A"/>
        </w:rPr>
        <w:t>•</w:t>
      </w:r>
      <w:r>
        <w:rPr>
          <w:rFonts w:ascii="Arial" w:cs="Arial" w:eastAsia="Arial" w:hAnsi="Arial"/>
          <w:sz w:val="14"/>
          <w:szCs w:val="14"/>
          <w:color w:val="092E44"/>
        </w:rPr>
        <w:t xml:space="preserve">   Afiniti</w:t>
      </w:r>
    </w:p>
    <w:p>
      <w:pPr>
        <w:spacing w:after="0" w:line="224" w:lineRule="auto"/>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Quadient S.A. (since 2019)</w:t>
      </w:r>
    </w:p>
    <w:p>
      <w:pPr>
        <w:spacing w:after="0"/>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Sportsman’s Warehouse (since 2019)</w:t>
      </w:r>
    </w:p>
    <w:p>
      <w:pPr>
        <w:spacing w:after="0" w:line="200" w:lineRule="exact"/>
        <w:rPr>
          <w:sz w:val="20"/>
          <w:szCs w:val="20"/>
          <w:color w:val="auto"/>
        </w:rPr>
      </w:pPr>
    </w:p>
    <w:p>
      <w:pPr>
        <w:sectPr>
          <w:pgSz w:w="11900" w:h="16838" w:orient="portrait"/>
          <w:cols w:equalWidth="0" w:num="2">
            <w:col w:w="1860" w:space="720"/>
            <w:col w:w="8420"/>
          </w:cols>
          <w:pgMar w:left="320" w:top="454"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E14A6A"/>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-1242060</wp:posOffset>
            </wp:positionV>
            <wp:extent cx="1010285" cy="11461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10285" cy="1146175"/>
                    </a:xfrm>
                    <a:prstGeom prst="rect">
                      <a:avLst/>
                    </a:prstGeom>
                    <a:noFill/>
                  </pic:spPr>
                </pic:pic>
              </a:graphicData>
            </a:graphic>
          </wp:anchor>
        </w:drawing>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 xml:space="preserve">Age: </w:t>
      </w:r>
      <w:r>
        <w:rPr>
          <w:rFonts w:ascii="Arial" w:cs="Arial" w:eastAsia="Arial" w:hAnsi="Arial"/>
          <w:sz w:val="14"/>
          <w:szCs w:val="14"/>
          <w:b w:val="1"/>
          <w:bCs w:val="1"/>
          <w:color w:val="092E44"/>
        </w:rPr>
        <w:t>68</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 xml:space="preserve">Director since </w:t>
      </w:r>
      <w:r>
        <w:rPr>
          <w:rFonts w:ascii="Arial" w:cs="Arial" w:eastAsia="Arial" w:hAnsi="Arial"/>
          <w:sz w:val="14"/>
          <w:szCs w:val="14"/>
          <w:b w:val="1"/>
          <w:bCs w:val="1"/>
          <w:color w:val="092E44"/>
        </w:rPr>
        <w:t>2006</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Committees:</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92E44"/>
        </w:rPr>
        <w:t>Audit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488950</wp:posOffset>
            </wp:positionV>
            <wp:extent cx="220980" cy="2120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30"/>
          <w:szCs w:val="30"/>
          <w:color w:val="E14A6A"/>
        </w:rPr>
        <w:t>David F. Walker</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Professional Background</w:t>
      </w:r>
    </w:p>
    <w:p>
      <w:pPr>
        <w:spacing w:after="0" w:line="67" w:lineRule="exact"/>
        <w:rPr>
          <w:sz w:val="20"/>
          <w:szCs w:val="20"/>
          <w:color w:val="auto"/>
        </w:rPr>
      </w:pPr>
    </w:p>
    <w:p>
      <w:pPr>
        <w:ind w:right="80"/>
        <w:spacing w:after="0" w:line="228" w:lineRule="auto"/>
        <w:rPr>
          <w:sz w:val="20"/>
          <w:szCs w:val="20"/>
          <w:color w:val="auto"/>
        </w:rPr>
      </w:pPr>
      <w:r>
        <w:rPr>
          <w:rFonts w:ascii="Arial" w:cs="Arial" w:eastAsia="Arial" w:hAnsi="Arial"/>
          <w:sz w:val="15"/>
          <w:szCs w:val="15"/>
          <w:color w:val="092E44"/>
        </w:rPr>
        <w:t>Mr. Walker was the Director of the Accountancy Program and the Program for Social Responsibility and Corporate Reporting at the University of South Florida St. Petersburg from 2002 through 2009. Prior to joining the University of South Florida, Mr. Walker was with Arthur Andersen LLP. He served as a partner in that firm from 1986 through 2002, including 3 years as partner in charge of the firm’s assurance and business advisory services practice for the Florida and Caribbean region.</w:t>
      </w:r>
    </w:p>
    <w:p>
      <w:pPr>
        <w:spacing w:after="0" w:line="1" w:lineRule="exact"/>
        <w:rPr>
          <w:sz w:val="20"/>
          <w:szCs w:val="20"/>
          <w:color w:val="auto"/>
        </w:rPr>
      </w:pPr>
    </w:p>
    <w:p>
      <w:pPr>
        <w:ind w:right="620"/>
        <w:spacing w:after="0"/>
        <w:rPr>
          <w:sz w:val="20"/>
          <w:szCs w:val="20"/>
          <w:color w:val="auto"/>
        </w:rPr>
      </w:pPr>
      <w:r>
        <w:rPr>
          <w:rFonts w:ascii="Arial" w:cs="Arial" w:eastAsia="Arial" w:hAnsi="Arial"/>
          <w:sz w:val="15"/>
          <w:szCs w:val="15"/>
          <w:color w:val="092E44"/>
        </w:rPr>
        <w:t>Mr. Walker is a certified public accountant and a certified fraud examiner, and he was recognized as an NACD Board Leadership Fellow from 2015 through 2021.</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Qualifications</w:t>
      </w:r>
    </w:p>
    <w:p>
      <w:pPr>
        <w:spacing w:after="0" w:line="67" w:lineRule="exact"/>
        <w:rPr>
          <w:sz w:val="20"/>
          <w:szCs w:val="20"/>
          <w:color w:val="auto"/>
        </w:rPr>
      </w:pPr>
    </w:p>
    <w:p>
      <w:pPr>
        <w:ind w:right="680"/>
        <w:spacing w:after="0" w:line="260" w:lineRule="auto"/>
        <w:rPr>
          <w:sz w:val="20"/>
          <w:szCs w:val="20"/>
          <w:color w:val="auto"/>
        </w:rPr>
      </w:pPr>
      <w:r>
        <w:rPr>
          <w:rFonts w:ascii="Arial" w:cs="Arial" w:eastAsia="Arial" w:hAnsi="Arial"/>
          <w:sz w:val="15"/>
          <w:szCs w:val="15"/>
          <w:color w:val="092E44"/>
        </w:rPr>
        <w:t>Mr. Walker’s governance, accounting, and finance qualifications include an in-depth understanding of risk oversight, accounting, and financial reporting. The Board has determined that he is an audit committee financial expert.</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Other Public Company Boards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Chico’s FAS, Inc. (since 2005)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CoreLogic (2010-2020)</w:t>
      </w:r>
    </w:p>
    <w:p>
      <w:pPr>
        <w:spacing w:after="0" w:line="200" w:lineRule="exact"/>
        <w:rPr>
          <w:sz w:val="20"/>
          <w:szCs w:val="20"/>
          <w:color w:val="auto"/>
        </w:rPr>
      </w:pPr>
    </w:p>
    <w:p>
      <w:pPr>
        <w:sectPr>
          <w:pgSz w:w="11900" w:h="16838" w:orient="portrait"/>
          <w:cols w:equalWidth="0" w:num="2">
            <w:col w:w="1860" w:space="720"/>
            <w:col w:w="8420"/>
          </w:cols>
          <w:pgMar w:left="320" w:top="454" w:right="579" w:bottom="1440" w:gutter="0" w:footer="0" w:header="0"/>
          <w:type w:val="continuous"/>
        </w:sectPr>
      </w:pPr>
    </w:p>
    <w:p>
      <w:pPr>
        <w:spacing w:after="0" w:line="299"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0"/>
          <w:szCs w:val="10"/>
          <w:color w:val="092E44"/>
        </w:rPr>
        <w:t>13</w:t>
      </w:r>
      <w:r>
        <w:rPr>
          <w:sz w:val="20"/>
          <w:szCs w:val="20"/>
          <w:color w:val="auto"/>
        </w:rPr>
        <w:tab/>
      </w:r>
      <w:r>
        <w:rPr>
          <w:rFonts w:ascii="Arial" w:cs="Arial" w:eastAsia="Arial" w:hAnsi="Arial"/>
          <w:sz w:val="10"/>
          <w:szCs w:val="10"/>
          <w:b w:val="1"/>
          <w:bCs w:val="1"/>
          <w:color w:val="092E44"/>
        </w:rPr>
        <w:t xml:space="preserve">COMMVAULT SYSTEMS, INC. </w:t>
      </w:r>
      <w:r>
        <w:rPr>
          <w:rFonts w:ascii="Arial" w:cs="Arial" w:eastAsia="Arial" w:hAnsi="Arial"/>
          <w:sz w:val="10"/>
          <w:szCs w:val="10"/>
          <w:color w:val="E14A6A"/>
        </w:rPr>
        <w:t>|</w:t>
      </w:r>
      <w:r>
        <w:rPr>
          <w:rFonts w:ascii="Arial" w:cs="Arial" w:eastAsia="Arial" w:hAnsi="Arial"/>
          <w:sz w:val="10"/>
          <w:szCs w:val="10"/>
          <w:b w:val="1"/>
          <w:bCs w:val="1"/>
          <w:color w:val="092E44"/>
        </w:rPr>
        <w:t xml:space="preserve"> </w:t>
      </w:r>
      <w:r>
        <w:rPr>
          <w:rFonts w:ascii="Arial" w:cs="Arial" w:eastAsia="Arial" w:hAnsi="Arial"/>
          <w:sz w:val="10"/>
          <w:szCs w:val="10"/>
          <w:color w:val="092E44"/>
        </w:rPr>
        <w:t>2022 PROXY STATEMENT</w:t>
      </w:r>
    </w:p>
    <w:p>
      <w:pPr>
        <w:sectPr>
          <w:pgSz w:w="11900" w:h="16838" w:orient="portrait"/>
          <w:cols w:equalWidth="0" w:num="1">
            <w:col w:w="11000"/>
          </w:cols>
          <w:pgMar w:left="320" w:top="454" w:right="57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PROPOSAL NO. 1: ELECTION OF DIRECTORS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NOMINEES FOR ELECTION</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Class III Directors Whose One-Year Terms Expire in 2022</w:t>
      </w:r>
    </w:p>
    <w:p>
      <w:pPr>
        <w:sectPr>
          <w:pgSz w:w="11900" w:h="16838" w:orient="portrait"/>
          <w:cols w:equalWidth="0" w:num="1">
            <w:col w:w="11020"/>
          </w:cols>
          <w:pgMar w:left="320" w:top="454"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E14A6A"/>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-1344295</wp:posOffset>
            </wp:positionV>
            <wp:extent cx="1010285" cy="11461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10285" cy="1146175"/>
                    </a:xfrm>
                    <a:prstGeom prst="rect">
                      <a:avLst/>
                    </a:prstGeom>
                    <a:noFill/>
                  </pic:spPr>
                </pic:pic>
              </a:graphicData>
            </a:graphic>
          </wp:anchor>
        </w:drawing>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 xml:space="preserve">Age: </w:t>
      </w:r>
      <w:r>
        <w:rPr>
          <w:rFonts w:ascii="Arial" w:cs="Arial" w:eastAsia="Arial" w:hAnsi="Arial"/>
          <w:sz w:val="14"/>
          <w:szCs w:val="14"/>
          <w:b w:val="1"/>
          <w:bCs w:val="1"/>
          <w:color w:val="092E44"/>
        </w:rPr>
        <w:t>69</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 xml:space="preserve">Director since </w:t>
      </w:r>
      <w:r>
        <w:rPr>
          <w:rFonts w:ascii="Arial" w:cs="Arial" w:eastAsia="Arial" w:hAnsi="Arial"/>
          <w:sz w:val="14"/>
          <w:szCs w:val="14"/>
          <w:b w:val="1"/>
          <w:bCs w:val="1"/>
          <w:color w:val="092E44"/>
        </w:rPr>
        <w:t>1996</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Committees:</w:t>
      </w:r>
    </w:p>
    <w:p>
      <w:pPr>
        <w:spacing w:after="0" w:line="13" w:lineRule="exact"/>
        <w:rPr>
          <w:sz w:val="20"/>
          <w:szCs w:val="20"/>
          <w:color w:val="auto"/>
        </w:rPr>
      </w:pPr>
    </w:p>
    <w:p>
      <w:pPr>
        <w:jc w:val="both"/>
        <w:ind w:left="160" w:right="380"/>
        <w:spacing w:after="0" w:line="254" w:lineRule="auto"/>
        <w:rPr>
          <w:sz w:val="20"/>
          <w:szCs w:val="20"/>
          <w:color w:val="auto"/>
        </w:rPr>
      </w:pPr>
      <w:r>
        <w:rPr>
          <w:rFonts w:ascii="Arial" w:cs="Arial" w:eastAsia="Arial" w:hAnsi="Arial"/>
          <w:sz w:val="14"/>
          <w:szCs w:val="14"/>
          <w:b w:val="1"/>
          <w:bCs w:val="1"/>
          <w:color w:val="092E44"/>
        </w:rPr>
        <w:t>Talent Management and Compensation (chair)</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30"/>
          <w:szCs w:val="30"/>
          <w:color w:val="E14A6A"/>
        </w:rPr>
        <w:t>Keith Geeslin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Professional Background</w:t>
      </w:r>
    </w:p>
    <w:p>
      <w:pPr>
        <w:spacing w:after="0" w:line="67" w:lineRule="exact"/>
        <w:rPr>
          <w:sz w:val="20"/>
          <w:szCs w:val="20"/>
          <w:color w:val="auto"/>
        </w:rPr>
      </w:pPr>
    </w:p>
    <w:p>
      <w:pPr>
        <w:ind w:right="20"/>
        <w:spacing w:after="0" w:line="234" w:lineRule="auto"/>
        <w:rPr>
          <w:sz w:val="20"/>
          <w:szCs w:val="20"/>
          <w:color w:val="auto"/>
        </w:rPr>
      </w:pPr>
      <w:r>
        <w:rPr>
          <w:rFonts w:ascii="Arial" w:cs="Arial" w:eastAsia="Arial" w:hAnsi="Arial"/>
          <w:sz w:val="15"/>
          <w:szCs w:val="15"/>
          <w:color w:val="092E44"/>
        </w:rPr>
        <w:t>Mr. Geeslin has been a partner at Francisco Partners, a global private equity firm, since 2004. Before joining Francisco Partners, Mr. Geeslin spent 19 years with the Sprout Group, the venture capital arm of Credit Suisse’s asset management business. Prior to joining the Sprout Group, Mr. Geeslin was the general manager of a division of Tymshare, Inc., a provider of public computer and network services, and held various positions at its Tymnet subsidiary, from 1980 to 1984. He was also previously a staff member of the U.S. Senate Commerce Committee.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Qualifications</w:t>
      </w:r>
    </w:p>
    <w:p>
      <w:pPr>
        <w:spacing w:after="0" w:line="67" w:lineRule="exact"/>
        <w:rPr>
          <w:sz w:val="20"/>
          <w:szCs w:val="20"/>
          <w:color w:val="auto"/>
        </w:rPr>
      </w:pPr>
    </w:p>
    <w:p>
      <w:pPr>
        <w:ind w:right="120"/>
        <w:spacing w:after="0" w:line="234" w:lineRule="auto"/>
        <w:rPr>
          <w:sz w:val="20"/>
          <w:szCs w:val="20"/>
          <w:color w:val="auto"/>
        </w:rPr>
      </w:pPr>
      <w:r>
        <w:rPr>
          <w:rFonts w:ascii="Arial" w:cs="Arial" w:eastAsia="Arial" w:hAnsi="Arial"/>
          <w:sz w:val="15"/>
          <w:szCs w:val="15"/>
          <w:color w:val="092E44"/>
        </w:rPr>
        <w:t>Mr. Geeslin’s private equity and venture capital experience, with a focus on technology sector companies, has given him an understanding of finance and of growth strategies, as well as experience in evaluating businesses in our company’s industry. Originally representing one of our company’s initial investors, Mr. Geeslin has a long history with Commvault and its management, providing continuity to Board deliberations. Mr. Geeslin’s experience on other public company boards is also valuable to the Board.</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Other Public Company Boards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Synaptics, Inc. (since 1986)</w:t>
      </w:r>
    </w:p>
    <w:p>
      <w:pPr>
        <w:spacing w:after="0" w:line="200" w:lineRule="exact"/>
        <w:rPr>
          <w:sz w:val="20"/>
          <w:szCs w:val="20"/>
          <w:color w:val="auto"/>
        </w:rPr>
      </w:pPr>
    </w:p>
    <w:p>
      <w:pPr>
        <w:sectPr>
          <w:pgSz w:w="11900" w:h="16838" w:orient="portrait"/>
          <w:cols w:equalWidth="0" w:num="2">
            <w:col w:w="1860" w:space="720"/>
            <w:col w:w="8440"/>
          </w:cols>
          <w:pgMar w:left="320" w:top="454"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E14A6A"/>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-1344295</wp:posOffset>
            </wp:positionV>
            <wp:extent cx="1010285" cy="11461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10285" cy="1146175"/>
                    </a:xfrm>
                    <a:prstGeom prst="rect">
                      <a:avLst/>
                    </a:prstGeom>
                    <a:noFill/>
                  </pic:spPr>
                </pic:pic>
              </a:graphicData>
            </a:graphic>
          </wp:anchor>
        </w:drawing>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 xml:space="preserve">Age: </w:t>
      </w:r>
      <w:r>
        <w:rPr>
          <w:rFonts w:ascii="Arial" w:cs="Arial" w:eastAsia="Arial" w:hAnsi="Arial"/>
          <w:sz w:val="14"/>
          <w:szCs w:val="14"/>
          <w:b w:val="1"/>
          <w:bCs w:val="1"/>
          <w:color w:val="092E44"/>
        </w:rPr>
        <w:t>55</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 xml:space="preserve">Director since </w:t>
      </w:r>
      <w:r>
        <w:rPr>
          <w:rFonts w:ascii="Arial" w:cs="Arial" w:eastAsia="Arial" w:hAnsi="Arial"/>
          <w:sz w:val="14"/>
          <w:szCs w:val="14"/>
          <w:b w:val="1"/>
          <w:bCs w:val="1"/>
          <w:color w:val="092E44"/>
        </w:rPr>
        <w:t>2018</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Committees:</w:t>
      </w:r>
    </w:p>
    <w:p>
      <w:pPr>
        <w:spacing w:after="0" w:line="13" w:lineRule="exact"/>
        <w:rPr>
          <w:sz w:val="20"/>
          <w:szCs w:val="20"/>
          <w:color w:val="auto"/>
        </w:rPr>
      </w:pPr>
    </w:p>
    <w:p>
      <w:pPr>
        <w:ind w:left="160" w:right="380"/>
        <w:spacing w:after="0" w:line="249" w:lineRule="auto"/>
        <w:rPr>
          <w:sz w:val="20"/>
          <w:szCs w:val="20"/>
          <w:color w:val="auto"/>
        </w:rPr>
      </w:pPr>
      <w:r>
        <w:rPr>
          <w:rFonts w:ascii="Arial" w:cs="Arial" w:eastAsia="Arial" w:hAnsi="Arial"/>
          <w:sz w:val="14"/>
          <w:szCs w:val="14"/>
          <w:b w:val="1"/>
          <w:bCs w:val="1"/>
          <w:color w:val="092E44"/>
        </w:rPr>
        <w:t>Talent Management and Compensation, Nominations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668020</wp:posOffset>
            </wp:positionV>
            <wp:extent cx="220980" cy="2120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30"/>
          <w:szCs w:val="30"/>
          <w:color w:val="E14A6A"/>
        </w:rPr>
        <w:t>Vivie “YY” Lee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Professional Background</w:t>
      </w:r>
    </w:p>
    <w:p>
      <w:pPr>
        <w:spacing w:after="0" w:line="67" w:lineRule="exact"/>
        <w:rPr>
          <w:sz w:val="20"/>
          <w:szCs w:val="20"/>
          <w:color w:val="auto"/>
        </w:rPr>
      </w:pPr>
    </w:p>
    <w:p>
      <w:pPr>
        <w:spacing w:after="0" w:line="228" w:lineRule="auto"/>
        <w:rPr>
          <w:sz w:val="20"/>
          <w:szCs w:val="20"/>
          <w:color w:val="auto"/>
        </w:rPr>
      </w:pPr>
      <w:r>
        <w:rPr>
          <w:rFonts w:ascii="Arial" w:cs="Arial" w:eastAsia="Arial" w:hAnsi="Arial"/>
          <w:sz w:val="15"/>
          <w:szCs w:val="15"/>
          <w:color w:val="092E44"/>
        </w:rPr>
        <w:t>Ms. Lee served as Senior Vice President and Chief Strategy Officer of Anaplan, a SaaS software company, from 2018 until October 2021. Prior to joining Anaplan, Ms. Lee served as Chief Executive Officer for FirstRain, a business analytics platform company, from 2015 until 2018, and as Chief Operating Officer for ten years before that. Earlier in her career, Ms. Lee served as General Manager of Worldwide Services at Cadence Design Systems. In that position, she merged several services divisions into an industry-leading advanced technology operation. She held P&amp;L responsibility for the business, spanning research and development, go-to-market, sales, and support across global regions including the US, UK/EU, India, China, and Japan. Before Ms. Lee’s tenure at Cadence, she co-founded Aqueduct Software, an enterprise-class software development solution for automating application data collection, profiling, and analysis during iterative development, testing, and deployment. Bootstrapping the company from the ground-up, she secured top-tier VC financing, and ultimately led the company through acquisition by NetManage in 2000. Ms. Lee began her career at Bell Labs and has also worked at Synopsys and 8x8 (formerly Integrated Information Technology, Inc.) in various product management roles.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Qualifications</w:t>
      </w:r>
    </w:p>
    <w:p>
      <w:pPr>
        <w:spacing w:after="0" w:line="67" w:lineRule="exact"/>
        <w:rPr>
          <w:sz w:val="20"/>
          <w:szCs w:val="20"/>
          <w:color w:val="auto"/>
        </w:rPr>
      </w:pPr>
    </w:p>
    <w:p>
      <w:pPr>
        <w:ind w:right="120"/>
        <w:spacing w:after="0" w:line="236" w:lineRule="auto"/>
        <w:rPr>
          <w:sz w:val="20"/>
          <w:szCs w:val="20"/>
          <w:color w:val="auto"/>
        </w:rPr>
      </w:pPr>
      <w:r>
        <w:rPr>
          <w:rFonts w:ascii="Arial" w:cs="Arial" w:eastAsia="Arial" w:hAnsi="Arial"/>
          <w:sz w:val="15"/>
          <w:szCs w:val="15"/>
          <w:color w:val="092E44"/>
        </w:rPr>
        <w:t>Through her tenures at numerous start-up and mature technology companies, Ms. Lee brings significant entrepreneurial and executive-level experience in the technology and software industry to the Board. Her expertise in the IT space is broad; and provides the Board with tech-focused insight and perspective in the critical areas of operations, marketing, and strategic development.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Other Public Company Boards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Synaptics, Inc. (since 2022)</w:t>
      </w:r>
    </w:p>
    <w:p>
      <w:pPr>
        <w:spacing w:after="0" w:line="200" w:lineRule="exact"/>
        <w:rPr>
          <w:sz w:val="20"/>
          <w:szCs w:val="20"/>
          <w:color w:val="auto"/>
        </w:rPr>
      </w:pPr>
    </w:p>
    <w:p>
      <w:pPr>
        <w:sectPr>
          <w:pgSz w:w="11900" w:h="16838" w:orient="portrait"/>
          <w:cols w:equalWidth="0" w:num="2">
            <w:col w:w="1860" w:space="720"/>
            <w:col w:w="8440"/>
          </w:cols>
          <w:pgMar w:left="320" w:top="454" w:right="559" w:bottom="1440" w:gutter="0" w:footer="0" w:header="0"/>
          <w:type w:val="continuous"/>
        </w:sectPr>
      </w:pPr>
    </w:p>
    <w:p>
      <w:pPr>
        <w:spacing w:after="0" w:line="313"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0"/>
          <w:szCs w:val="10"/>
          <w:color w:val="092E44"/>
        </w:rPr>
        <w:t>14</w:t>
      </w:r>
      <w:r>
        <w:rPr>
          <w:sz w:val="20"/>
          <w:szCs w:val="20"/>
          <w:color w:val="auto"/>
        </w:rPr>
        <w:tab/>
      </w:r>
      <w:r>
        <w:rPr>
          <w:rFonts w:ascii="Arial" w:cs="Arial" w:eastAsia="Arial" w:hAnsi="Arial"/>
          <w:sz w:val="10"/>
          <w:szCs w:val="10"/>
          <w:b w:val="1"/>
          <w:bCs w:val="1"/>
          <w:color w:val="092E44"/>
        </w:rPr>
        <w:t xml:space="preserve">COMMVAULT SYSTEMS, INC. </w:t>
      </w:r>
      <w:r>
        <w:rPr>
          <w:rFonts w:ascii="Arial" w:cs="Arial" w:eastAsia="Arial" w:hAnsi="Arial"/>
          <w:sz w:val="10"/>
          <w:szCs w:val="10"/>
          <w:color w:val="E14A6A"/>
        </w:rPr>
        <w:t>|</w:t>
      </w:r>
      <w:r>
        <w:rPr>
          <w:rFonts w:ascii="Arial" w:cs="Arial" w:eastAsia="Arial" w:hAnsi="Arial"/>
          <w:sz w:val="10"/>
          <w:szCs w:val="10"/>
          <w:b w:val="1"/>
          <w:bCs w:val="1"/>
          <w:color w:val="092E44"/>
        </w:rPr>
        <w:t xml:space="preserve"> </w:t>
      </w:r>
      <w:r>
        <w:rPr>
          <w:rFonts w:ascii="Arial" w:cs="Arial" w:eastAsia="Arial" w:hAnsi="Arial"/>
          <w:sz w:val="10"/>
          <w:szCs w:val="10"/>
          <w:color w:val="092E44"/>
        </w:rPr>
        <w:t>2022 PROXY STATEMENT</w:t>
      </w:r>
    </w:p>
    <w:p>
      <w:pPr>
        <w:sectPr>
          <w:pgSz w:w="11900" w:h="16838" w:orient="portrait"/>
          <w:cols w:equalWidth="0" w:num="1">
            <w:col w:w="11020"/>
          </w:cols>
          <w:pgMar w:left="320" w:top="454" w:right="5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0"/>
          <w:szCs w:val="10"/>
          <w:color w:val="092E44"/>
        </w:rPr>
        <w:t xml:space="preserve">PROPOSAL NO. 1: ELECTION OF DIRECTORS </w:t>
      </w:r>
      <w:r>
        <w:rPr>
          <w:rFonts w:ascii="Arial" w:cs="Arial" w:eastAsia="Arial" w:hAnsi="Arial"/>
          <w:sz w:val="10"/>
          <w:szCs w:val="10"/>
          <w:color w:val="E14A6A"/>
        </w:rPr>
        <w:t>|</w:t>
      </w:r>
      <w:r>
        <w:rPr>
          <w:rFonts w:ascii="Arial" w:cs="Arial" w:eastAsia="Arial" w:hAnsi="Arial"/>
          <w:sz w:val="10"/>
          <w:szCs w:val="10"/>
          <w:color w:val="092E44"/>
        </w:rPr>
        <w:t xml:space="preserve"> </w:t>
      </w:r>
      <w:r>
        <w:rPr>
          <w:rFonts w:ascii="Arial" w:cs="Arial" w:eastAsia="Arial" w:hAnsi="Arial"/>
          <w:sz w:val="10"/>
          <w:szCs w:val="10"/>
          <w:b w:val="1"/>
          <w:bCs w:val="1"/>
          <w:color w:val="092E44"/>
        </w:rPr>
        <w:t>NOMINEES FOR ELECTION</w:t>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 xml:space="preserve">Age: </w:t>
      </w:r>
      <w:r>
        <w:rPr>
          <w:rFonts w:ascii="Arial" w:cs="Arial" w:eastAsia="Arial" w:hAnsi="Arial"/>
          <w:sz w:val="14"/>
          <w:szCs w:val="14"/>
          <w:b w:val="1"/>
          <w:bCs w:val="1"/>
          <w:color w:val="092E44"/>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-1344295</wp:posOffset>
            </wp:positionV>
            <wp:extent cx="1010285" cy="11461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10285" cy="1146175"/>
                    </a:xfrm>
                    <a:prstGeom prst="rect">
                      <a:avLst/>
                    </a:prstGeom>
                    <a:noFill/>
                  </pic:spPr>
                </pic:pic>
              </a:graphicData>
            </a:graphic>
          </wp:anchor>
        </w:drawing>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 xml:space="preserve">Director since </w:t>
      </w:r>
      <w:r>
        <w:rPr>
          <w:rFonts w:ascii="Arial" w:cs="Arial" w:eastAsia="Arial" w:hAnsi="Arial"/>
          <w:sz w:val="14"/>
          <w:szCs w:val="14"/>
          <w:b w:val="1"/>
          <w:bCs w:val="1"/>
          <w:color w:val="092E44"/>
        </w:rPr>
        <w:t>2019</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Committees:</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92E44"/>
        </w:rPr>
        <w:t>None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30"/>
          <w:szCs w:val="30"/>
          <w:color w:val="E14A6A"/>
        </w:rPr>
        <w:t>Sanjay Mirchandani</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Professional Background</w:t>
      </w:r>
    </w:p>
    <w:p>
      <w:pPr>
        <w:spacing w:after="0" w:line="67" w:lineRule="exact"/>
        <w:rPr>
          <w:sz w:val="20"/>
          <w:szCs w:val="20"/>
          <w:color w:val="auto"/>
        </w:rPr>
      </w:pPr>
    </w:p>
    <w:p>
      <w:pPr>
        <w:ind w:right="40"/>
        <w:spacing w:after="0" w:line="232" w:lineRule="auto"/>
        <w:rPr>
          <w:sz w:val="20"/>
          <w:szCs w:val="20"/>
          <w:color w:val="auto"/>
        </w:rPr>
      </w:pPr>
      <w:r>
        <w:rPr>
          <w:rFonts w:ascii="Arial" w:cs="Arial" w:eastAsia="Arial" w:hAnsi="Arial"/>
          <w:sz w:val="15"/>
          <w:szCs w:val="15"/>
          <w:color w:val="092E44"/>
        </w:rPr>
        <w:t>Mr. Mirchandani has been the President and Chief Executive Officer of Commvault since joining the company in February 2019. Previously, Mr. Mirchandani served as the Chief Executive Officer of Puppet, Inc., an Oregon-based IT automation company from 2016-2019. Before joining Puppet, Mr. Mirchandani was Corporate Senior Vice President and General Manager of Asia Pacific and Japan at VMware, Inc. from 2013 to 2016. From 2006 to 2013, Mr. Mirchandani served as EMC Corporation’s Chief Information Officer and led its Global Centers of Excellence. Prior to that, Mr. Mirchandani held various positions at Microsoft Corporation and Arthur Andersen LLP.</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Qualifications</w:t>
      </w:r>
    </w:p>
    <w:p>
      <w:pPr>
        <w:spacing w:after="0" w:line="67" w:lineRule="exact"/>
        <w:rPr>
          <w:sz w:val="20"/>
          <w:szCs w:val="20"/>
          <w:color w:val="auto"/>
        </w:rPr>
      </w:pPr>
    </w:p>
    <w:p>
      <w:pPr>
        <w:ind w:right="20"/>
        <w:spacing w:after="0" w:line="234" w:lineRule="auto"/>
        <w:rPr>
          <w:sz w:val="20"/>
          <w:szCs w:val="20"/>
          <w:color w:val="auto"/>
        </w:rPr>
      </w:pPr>
      <w:r>
        <w:rPr>
          <w:rFonts w:ascii="Arial" w:cs="Arial" w:eastAsia="Arial" w:hAnsi="Arial"/>
          <w:sz w:val="15"/>
          <w:szCs w:val="15"/>
          <w:color w:val="092E44"/>
        </w:rPr>
        <w:t>Mr. Mirchandani brings a wealth of international business, software and SaaS experience from a rich background in technology and IT leadership. As a former CIO, he has unique experience helping CIOs and IT leaders manage the collision occurring between IT and Security. As our Chief Executive Officer, Mr. Mirchandani brings his knowledge and perspective about critical company business strategies, financial position, and operational matters into Board deliberations. His insight regarding the Company’s operations and future are critical to the successful functioning of the Board.</w:t>
      </w:r>
    </w:p>
    <w:p>
      <w:pPr>
        <w:spacing w:after="0" w:line="200" w:lineRule="exact"/>
        <w:rPr>
          <w:sz w:val="20"/>
          <w:szCs w:val="20"/>
          <w:color w:val="auto"/>
        </w:rPr>
      </w:pPr>
    </w:p>
    <w:p>
      <w:pPr>
        <w:sectPr>
          <w:pgSz w:w="11900" w:h="16838" w:orient="portrait"/>
          <w:cols w:equalWidth="0" w:num="2">
            <w:col w:w="1860" w:space="720"/>
            <w:col w:w="8500"/>
          </w:cols>
          <w:pgMar w:left="320" w:top="454" w:right="499" w:bottom="1440" w:gutter="0" w:footer="0" w:header="0"/>
          <w:type w:val="continuous"/>
        </w:sectPr>
      </w:pPr>
    </w:p>
    <w:p>
      <w:pPr>
        <w:spacing w:after="0" w:line="273"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 xml:space="preserve">The Board of Directors recommends that you vote </w:t>
      </w:r>
      <w:r>
        <w:rPr>
          <w:rFonts w:ascii="Arial" w:cs="Arial" w:eastAsia="Arial" w:hAnsi="Arial"/>
          <w:sz w:val="16"/>
          <w:szCs w:val="16"/>
          <w:b w:val="1"/>
          <w:bCs w:val="1"/>
          <w:color w:val="E14A6A"/>
        </w:rPr>
        <w:t>FOR</w:t>
      </w:r>
      <w:r>
        <w:rPr>
          <w:rFonts w:ascii="Arial" w:cs="Arial" w:eastAsia="Arial" w:hAnsi="Arial"/>
          <w:sz w:val="16"/>
          <w:szCs w:val="16"/>
          <w:color w:val="092E44"/>
        </w:rPr>
        <w:t xml:space="preserve"> each of the director nominees.</w:t>
      </w:r>
    </w:p>
    <w:p>
      <w:pPr>
        <w:spacing w:after="0" w:line="36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Continuing Directors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Class II Directors Whose Terms Expire in 2023</w:t>
      </w:r>
    </w:p>
    <w:p>
      <w:pPr>
        <w:sectPr>
          <w:pgSz w:w="11900" w:h="16838" w:orient="portrait"/>
          <w:cols w:equalWidth="0" w:num="1">
            <w:col w:w="11080"/>
          </w:cols>
          <w:pgMar w:left="320" w:top="45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E14A6A"/>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-1344295</wp:posOffset>
            </wp:positionV>
            <wp:extent cx="1010285" cy="11461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10285" cy="1146175"/>
                    </a:xfrm>
                    <a:prstGeom prst="rect">
                      <a:avLst/>
                    </a:prstGeom>
                    <a:noFill/>
                  </pic:spPr>
                </pic:pic>
              </a:graphicData>
            </a:graphic>
          </wp:anchor>
        </w:drawing>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 xml:space="preserve">Age: </w:t>
      </w:r>
      <w:r>
        <w:rPr>
          <w:rFonts w:ascii="Arial" w:cs="Arial" w:eastAsia="Arial" w:hAnsi="Arial"/>
          <w:sz w:val="14"/>
          <w:szCs w:val="14"/>
          <w:b w:val="1"/>
          <w:bCs w:val="1"/>
          <w:color w:val="092E44"/>
        </w:rPr>
        <w:t>64</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 xml:space="preserve">Director since </w:t>
      </w:r>
      <w:r>
        <w:rPr>
          <w:rFonts w:ascii="Arial" w:cs="Arial" w:eastAsia="Arial" w:hAnsi="Arial"/>
          <w:sz w:val="14"/>
          <w:szCs w:val="14"/>
          <w:b w:val="1"/>
          <w:bCs w:val="1"/>
          <w:color w:val="092E44"/>
        </w:rPr>
        <w:t>2020</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Committees:</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92E44"/>
        </w:rPr>
        <w:t>Talent Management</w:t>
      </w:r>
    </w:p>
    <w:p>
      <w:pPr>
        <w:ind w:left="160"/>
        <w:spacing w:after="0"/>
        <w:rPr>
          <w:sz w:val="20"/>
          <w:szCs w:val="20"/>
          <w:color w:val="auto"/>
        </w:rPr>
      </w:pPr>
      <w:r>
        <w:rPr>
          <w:rFonts w:ascii="Arial" w:cs="Arial" w:eastAsia="Arial" w:hAnsi="Arial"/>
          <w:sz w:val="14"/>
          <w:szCs w:val="14"/>
          <w:b w:val="1"/>
          <w:bCs w:val="1"/>
          <w:color w:val="092E44"/>
        </w:rPr>
        <w:t>and Compensation,</w:t>
      </w:r>
    </w:p>
    <w:p>
      <w:pPr>
        <w:ind w:left="160"/>
        <w:spacing w:after="0"/>
        <w:rPr>
          <w:sz w:val="20"/>
          <w:szCs w:val="20"/>
          <w:color w:val="auto"/>
        </w:rPr>
      </w:pPr>
      <w:r>
        <w:rPr>
          <w:rFonts w:ascii="Arial" w:cs="Arial" w:eastAsia="Arial" w:hAnsi="Arial"/>
          <w:sz w:val="14"/>
          <w:szCs w:val="14"/>
          <w:b w:val="1"/>
          <w:bCs w:val="1"/>
          <w:color w:val="092E44"/>
        </w:rPr>
        <w:t>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480695</wp:posOffset>
            </wp:positionV>
            <wp:extent cx="220980" cy="2120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30"/>
          <w:szCs w:val="30"/>
          <w:color w:val="E14A6A"/>
        </w:rPr>
        <w:t>R. Todd Bradley</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Professional Background</w:t>
      </w:r>
    </w:p>
    <w:p>
      <w:pPr>
        <w:spacing w:after="0" w:line="67" w:lineRule="exact"/>
        <w:rPr>
          <w:sz w:val="20"/>
          <w:szCs w:val="20"/>
          <w:color w:val="auto"/>
        </w:rPr>
      </w:pPr>
    </w:p>
    <w:p>
      <w:pPr>
        <w:spacing w:after="0" w:line="230" w:lineRule="auto"/>
        <w:rPr>
          <w:sz w:val="20"/>
          <w:szCs w:val="20"/>
          <w:color w:val="auto"/>
        </w:rPr>
      </w:pPr>
      <w:r>
        <w:rPr>
          <w:rFonts w:ascii="Arial" w:cs="Arial" w:eastAsia="Arial" w:hAnsi="Arial"/>
          <w:sz w:val="15"/>
          <w:szCs w:val="15"/>
          <w:color w:val="092E44"/>
        </w:rPr>
        <w:t>Mr. Bradley has been an Operating Partner at One Equity Partners since 2020. He previously served as the Chairman and Chief Executive Officer of Mozido, a cloud-based mobile payment provider, from 2015 to 2017. Prior to that, Mr. Bradley served as the President of TIBCO Software Inc., a provider of infrastructure and business intelligence software, from June 2014 until it was acquired in December 2014. From 2005 to 2014, Mr. Bradley served in a variety of roles at HP Inc., a technology company offering computers and printing products and related services, including Executive Vice President, Strategic Growth Initiatives from 2013 to 2014. Earlier in his career, Mr. Bradley served as President and CEO of Palm, Inc., a personal digital assistant and smartphone manufacturer, which was later acquired by HP.</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Qualifications</w:t>
      </w:r>
    </w:p>
    <w:p>
      <w:pPr>
        <w:spacing w:after="0" w:line="67"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092E44"/>
        </w:rPr>
        <w:t>With decades of experience in the technology industry, Mr. Bradley has significant expertise leading global technology companies as a senior executive and director, particularly as they adapt to large-scale technological and competitive changes. He also has significant leadership, finance, digital, marketing, and software experience.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Other Public Company Boards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Mattel, Inc. (since 2018)</w:t>
      </w:r>
    </w:p>
    <w:p>
      <w:pPr>
        <w:spacing w:after="0" w:line="224" w:lineRule="auto"/>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Eastman Kodak Company (2017 to 2020)</w:t>
      </w:r>
    </w:p>
    <w:p>
      <w:pPr>
        <w:spacing w:after="0"/>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TrueCar Inc. (2013 to 2016)</w:t>
      </w:r>
    </w:p>
    <w:p>
      <w:pPr>
        <w:spacing w:after="0" w:line="200" w:lineRule="exact"/>
        <w:rPr>
          <w:sz w:val="20"/>
          <w:szCs w:val="20"/>
          <w:color w:val="auto"/>
        </w:rPr>
      </w:pPr>
    </w:p>
    <w:p>
      <w:pPr>
        <w:sectPr>
          <w:pgSz w:w="11900" w:h="16838" w:orient="portrait"/>
          <w:cols w:equalWidth="0" w:num="2">
            <w:col w:w="1860" w:space="720"/>
            <w:col w:w="8500"/>
          </w:cols>
          <w:pgMar w:left="320" w:top="454" w:right="499" w:bottom="1440" w:gutter="0" w:footer="0" w:header="0"/>
          <w:type w:val="continuous"/>
        </w:sectPr>
      </w:pPr>
    </w:p>
    <w:p>
      <w:pPr>
        <w:spacing w:after="0" w:line="299"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0"/>
          <w:szCs w:val="10"/>
          <w:color w:val="092E44"/>
        </w:rPr>
        <w:t>15</w:t>
      </w:r>
      <w:r>
        <w:rPr>
          <w:sz w:val="20"/>
          <w:szCs w:val="20"/>
          <w:color w:val="auto"/>
        </w:rPr>
        <w:tab/>
      </w:r>
      <w:r>
        <w:rPr>
          <w:rFonts w:ascii="Arial" w:cs="Arial" w:eastAsia="Arial" w:hAnsi="Arial"/>
          <w:sz w:val="10"/>
          <w:szCs w:val="10"/>
          <w:b w:val="1"/>
          <w:bCs w:val="1"/>
          <w:color w:val="092E44"/>
        </w:rPr>
        <w:t xml:space="preserve">COMMVAULT SYSTEMS, INC. </w:t>
      </w:r>
      <w:r>
        <w:rPr>
          <w:rFonts w:ascii="Arial" w:cs="Arial" w:eastAsia="Arial" w:hAnsi="Arial"/>
          <w:sz w:val="10"/>
          <w:szCs w:val="10"/>
          <w:color w:val="E14A6A"/>
        </w:rPr>
        <w:t>|</w:t>
      </w:r>
      <w:r>
        <w:rPr>
          <w:rFonts w:ascii="Arial" w:cs="Arial" w:eastAsia="Arial" w:hAnsi="Arial"/>
          <w:sz w:val="10"/>
          <w:szCs w:val="10"/>
          <w:b w:val="1"/>
          <w:bCs w:val="1"/>
          <w:color w:val="092E44"/>
        </w:rPr>
        <w:t xml:space="preserve"> </w:t>
      </w:r>
      <w:r>
        <w:rPr>
          <w:rFonts w:ascii="Arial" w:cs="Arial" w:eastAsia="Arial" w:hAnsi="Arial"/>
          <w:sz w:val="10"/>
          <w:szCs w:val="10"/>
          <w:color w:val="092E44"/>
        </w:rPr>
        <w:t>2022 PROXY STATEMENT</w:t>
      </w:r>
    </w:p>
    <w:p>
      <w:pPr>
        <w:sectPr>
          <w:pgSz w:w="11900" w:h="16838" w:orient="portrait"/>
          <w:cols w:equalWidth="0" w:num="1">
            <w:col w:w="11080"/>
          </w:cols>
          <w:pgMar w:left="320" w:top="454" w:right="4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0"/>
          <w:szCs w:val="10"/>
          <w:color w:val="092E44"/>
        </w:rPr>
        <w:t xml:space="preserve">PROPOSAL NO. 1: ELECTION OF DIRECTORS </w:t>
      </w:r>
      <w:r>
        <w:rPr>
          <w:rFonts w:ascii="Arial" w:cs="Arial" w:eastAsia="Arial" w:hAnsi="Arial"/>
          <w:sz w:val="10"/>
          <w:szCs w:val="10"/>
          <w:color w:val="E14A6A"/>
        </w:rPr>
        <w:t>|</w:t>
      </w:r>
      <w:r>
        <w:rPr>
          <w:rFonts w:ascii="Arial" w:cs="Arial" w:eastAsia="Arial" w:hAnsi="Arial"/>
          <w:sz w:val="10"/>
          <w:szCs w:val="10"/>
          <w:color w:val="092E44"/>
        </w:rPr>
        <w:t xml:space="preserve"> </w:t>
      </w:r>
      <w:r>
        <w:rPr>
          <w:rFonts w:ascii="Arial" w:cs="Arial" w:eastAsia="Arial" w:hAnsi="Arial"/>
          <w:sz w:val="10"/>
          <w:szCs w:val="10"/>
          <w:b w:val="1"/>
          <w:bCs w:val="1"/>
          <w:color w:val="092E44"/>
        </w:rPr>
        <w:t>NOMINEES FOR ELECTION</w:t>
      </w:r>
    </w:p>
    <w:p>
      <w:pPr>
        <w:sectPr>
          <w:pgSz w:w="11900" w:h="16838" w:orient="portrait"/>
          <w:cols w:equalWidth="0" w:num="1">
            <w:col w:w="11060"/>
          </w:cols>
          <w:pgMar w:left="320" w:top="454"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E14A6A"/>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-1344295</wp:posOffset>
            </wp:positionV>
            <wp:extent cx="1010285" cy="11461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10285" cy="1146175"/>
                    </a:xfrm>
                    <a:prstGeom prst="rect">
                      <a:avLst/>
                    </a:prstGeom>
                    <a:noFill/>
                  </pic:spPr>
                </pic:pic>
              </a:graphicData>
            </a:graphic>
          </wp:anchor>
        </w:drawing>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 xml:space="preserve">Age: </w:t>
      </w:r>
      <w:r>
        <w:rPr>
          <w:rFonts w:ascii="Arial" w:cs="Arial" w:eastAsia="Arial" w:hAnsi="Arial"/>
          <w:sz w:val="14"/>
          <w:szCs w:val="14"/>
          <w:b w:val="1"/>
          <w:bCs w:val="1"/>
          <w:color w:val="092E44"/>
        </w:rPr>
        <w:t>67</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 xml:space="preserve">Director since </w:t>
      </w:r>
      <w:r>
        <w:rPr>
          <w:rFonts w:ascii="Arial" w:cs="Arial" w:eastAsia="Arial" w:hAnsi="Arial"/>
          <w:sz w:val="14"/>
          <w:szCs w:val="14"/>
          <w:b w:val="1"/>
          <w:bCs w:val="1"/>
          <w:color w:val="092E44"/>
        </w:rPr>
        <w:t>2018</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Committees:</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92E44"/>
        </w:rPr>
        <w:t>Audit,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1016000</wp:posOffset>
            </wp:positionV>
            <wp:extent cx="1010285" cy="11461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10285" cy="114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E14A6A"/>
        </w:rPr>
        <w:t>Independent</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 xml:space="preserve">Age: </w:t>
      </w:r>
      <w:r>
        <w:rPr>
          <w:rFonts w:ascii="Arial" w:cs="Arial" w:eastAsia="Arial" w:hAnsi="Arial"/>
          <w:sz w:val="14"/>
          <w:szCs w:val="14"/>
          <w:b w:val="1"/>
          <w:bCs w:val="1"/>
          <w:color w:val="092E44"/>
        </w:rPr>
        <w:t>37</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 xml:space="preserve">Director since </w:t>
      </w:r>
      <w:r>
        <w:rPr>
          <w:rFonts w:ascii="Arial" w:cs="Arial" w:eastAsia="Arial" w:hAnsi="Arial"/>
          <w:sz w:val="14"/>
          <w:szCs w:val="14"/>
          <w:b w:val="1"/>
          <w:bCs w:val="1"/>
          <w:color w:val="092E44"/>
        </w:rPr>
        <w:t>2020</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Committees:</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92E44"/>
        </w:rPr>
        <w:t>Nominations and</w:t>
      </w:r>
    </w:p>
    <w:p>
      <w:pPr>
        <w:ind w:left="160"/>
        <w:spacing w:after="0"/>
        <w:rPr>
          <w:sz w:val="20"/>
          <w:szCs w:val="20"/>
          <w:color w:val="auto"/>
        </w:rPr>
      </w:pPr>
      <w:r>
        <w:rPr>
          <w:rFonts w:ascii="Arial" w:cs="Arial" w:eastAsia="Arial" w:hAnsi="Arial"/>
          <w:sz w:val="14"/>
          <w:szCs w:val="14"/>
          <w:b w:val="1"/>
          <w:bCs w:val="1"/>
          <w:color w:val="092E44"/>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548640</wp:posOffset>
            </wp:positionV>
            <wp:extent cx="220980" cy="2120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30"/>
          <w:szCs w:val="30"/>
          <w:color w:val="E14A6A"/>
        </w:rPr>
        <w:t>Charles “Chuck” Moran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Professional Background</w:t>
      </w:r>
    </w:p>
    <w:p>
      <w:pPr>
        <w:spacing w:after="0" w:line="67" w:lineRule="exact"/>
        <w:rPr>
          <w:sz w:val="20"/>
          <w:szCs w:val="20"/>
          <w:color w:val="auto"/>
        </w:rPr>
      </w:pPr>
    </w:p>
    <w:p>
      <w:pPr>
        <w:spacing w:after="0" w:line="229" w:lineRule="auto"/>
        <w:rPr>
          <w:sz w:val="20"/>
          <w:szCs w:val="20"/>
          <w:color w:val="auto"/>
        </w:rPr>
      </w:pPr>
      <w:r>
        <w:rPr>
          <w:rFonts w:ascii="Arial" w:cs="Arial" w:eastAsia="Arial" w:hAnsi="Arial"/>
          <w:sz w:val="15"/>
          <w:szCs w:val="15"/>
          <w:color w:val="092E44"/>
        </w:rPr>
        <w:t>Mr. Moran is the founder of Skillsoft Plc., and served as its Chief Executive Officer and President from 1998 until his retirement in 2015. He served as Chairman of the Board for Skillsoft from 1998 to 2002, as a director from 2002 to 2006, and resumed his service as Chairman from 2006 to 2010. Upon Skillsoft’s privatization in 2010, Mr. Moran served as a director until 2015, and as Chairman from 2015 to 2016. He now serves as a director and advisor to various private companies and private equity firms. Before forming Skillsoft, Mr. Moran was the President and Chief Executive Officer of NETg National Education Training Group, a computer-based information technology training company, from 1995 to 1997. Prior to NETg, Mr. Moran was the Chief Financial Officer and Chief Operations Officer of Softdesk, Inc., where he helped lead the company’s successful initial public offering. Earlier in his career, Mr. Moran held senior-level sales and marketing positions at Insite Peripherals, Inc. and Archive Corporation.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Qualifications</w:t>
      </w:r>
    </w:p>
    <w:p>
      <w:pPr>
        <w:spacing w:after="0" w:line="67" w:lineRule="exact"/>
        <w:rPr>
          <w:sz w:val="20"/>
          <w:szCs w:val="20"/>
          <w:color w:val="auto"/>
        </w:rPr>
      </w:pPr>
    </w:p>
    <w:p>
      <w:pPr>
        <w:ind w:right="160"/>
        <w:spacing w:after="0" w:line="233" w:lineRule="auto"/>
        <w:rPr>
          <w:sz w:val="20"/>
          <w:szCs w:val="20"/>
          <w:color w:val="auto"/>
        </w:rPr>
      </w:pPr>
      <w:r>
        <w:rPr>
          <w:rFonts w:ascii="Arial" w:cs="Arial" w:eastAsia="Arial" w:hAnsi="Arial"/>
          <w:sz w:val="15"/>
          <w:szCs w:val="15"/>
          <w:color w:val="092E44"/>
        </w:rPr>
        <w:t>With more than two decades of experience working with technology companies, Mr. Moran has an in-depth understanding of the industry and expertise in critical areas including operations, finance, sales, marketing, and cloud/SaaS software.</w:t>
      </w:r>
    </w:p>
    <w:p>
      <w:pPr>
        <w:ind w:right="120"/>
        <w:spacing w:after="0"/>
        <w:rPr>
          <w:sz w:val="20"/>
          <w:szCs w:val="20"/>
          <w:color w:val="auto"/>
        </w:rPr>
      </w:pPr>
      <w:r>
        <w:rPr>
          <w:rFonts w:ascii="Arial" w:cs="Arial" w:eastAsia="Arial" w:hAnsi="Arial"/>
          <w:sz w:val="15"/>
          <w:szCs w:val="15"/>
          <w:color w:val="092E44"/>
        </w:rPr>
        <w:t>Mr. Moran’s various board memberships also give him financial expertise that he deploys to great benefit as a member of our Audit Committee. The Board has determined that he is an audit committee financial expert.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Other Public Company Boards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Manhattan Associates, Inc. (since 2017)</w:t>
      </w:r>
    </w:p>
    <w:p>
      <w:pPr>
        <w:spacing w:after="0" w:line="224" w:lineRule="auto"/>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Intapp Inc. (since 2019)</w:t>
      </w:r>
    </w:p>
    <w:p>
      <w:pPr>
        <w:spacing w:after="0"/>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Duck Creek Technologies (2016-2022)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30"/>
          <w:szCs w:val="30"/>
          <w:color w:val="E14A6A"/>
        </w:rPr>
        <w:t>Allison Pickens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Professional Background</w:t>
      </w:r>
    </w:p>
    <w:p>
      <w:pPr>
        <w:spacing w:after="0" w:line="67" w:lineRule="exact"/>
        <w:rPr>
          <w:sz w:val="20"/>
          <w:szCs w:val="20"/>
          <w:color w:val="auto"/>
        </w:rPr>
      </w:pPr>
    </w:p>
    <w:p>
      <w:pPr>
        <w:ind w:right="20"/>
        <w:spacing w:after="0" w:line="230" w:lineRule="auto"/>
        <w:rPr>
          <w:sz w:val="20"/>
          <w:szCs w:val="20"/>
          <w:color w:val="auto"/>
        </w:rPr>
      </w:pPr>
      <w:r>
        <w:rPr>
          <w:rFonts w:ascii="Arial" w:cs="Arial" w:eastAsia="Arial" w:hAnsi="Arial"/>
          <w:sz w:val="15"/>
          <w:szCs w:val="15"/>
          <w:color w:val="092E44"/>
        </w:rPr>
        <w:t xml:space="preserve">Ms. Pickens is the founding General Partner of The New Normal Fund, LP, a venture capital fund focused on SaaS businesses, a director at dbt Labs, Inc., a venture-backed data transformation company, and a Senior Advisor to Boston Consulting Group, where she advises on strategic transformations of technology companies. Previously, Ms. Pickens served as Chief Operating Officer, and held other executive roles, at Gainsight, a SaaS company, from 2014 to 2020. From 2018 to 2020, she also served as the Executive-in-Residence at Bessemer Venture Partners. Earlier in her career, Ms. Pickens was an associate at Bain Capital Private Equity from 2009 to 2011, where she evaluated investments in a range of industries, and a management consultant to both public and private companies at Boston Consulting Group from 2007 to 2009. She is the co-author of the book </w:t>
      </w:r>
      <w:r>
        <w:rPr>
          <w:rFonts w:ascii="Arial" w:cs="Arial" w:eastAsia="Arial" w:hAnsi="Arial"/>
          <w:sz w:val="15"/>
          <w:szCs w:val="15"/>
          <w:i w:val="1"/>
          <w:iCs w:val="1"/>
          <w:color w:val="092E44"/>
        </w:rPr>
        <w:t>The Customer Success Economy</w:t>
      </w:r>
      <w:r>
        <w:rPr>
          <w:rFonts w:ascii="Arial" w:cs="Arial" w:eastAsia="Arial" w:hAnsi="Arial"/>
          <w:sz w:val="15"/>
          <w:szCs w:val="15"/>
          <w:color w:val="092E44"/>
        </w:rPr>
        <w:t>, published by Wiley in 2020.</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Qualifications</w:t>
      </w:r>
    </w:p>
    <w:p>
      <w:pPr>
        <w:spacing w:after="0" w:line="67" w:lineRule="exact"/>
        <w:rPr>
          <w:sz w:val="20"/>
          <w:szCs w:val="20"/>
          <w:color w:val="auto"/>
        </w:rPr>
      </w:pPr>
    </w:p>
    <w:p>
      <w:pPr>
        <w:ind w:right="40"/>
        <w:spacing w:after="0" w:line="230" w:lineRule="auto"/>
        <w:rPr>
          <w:sz w:val="20"/>
          <w:szCs w:val="20"/>
          <w:color w:val="auto"/>
        </w:rPr>
      </w:pPr>
      <w:r>
        <w:rPr>
          <w:rFonts w:ascii="Arial" w:cs="Arial" w:eastAsia="Arial" w:hAnsi="Arial"/>
          <w:sz w:val="15"/>
          <w:szCs w:val="15"/>
          <w:color w:val="092E44"/>
        </w:rPr>
        <w:t>Ms. Pickens is a technology executive with significant experience driving growth and strategic transformation initiatives at SaaS companies. She has extensive experience coaching CEOs and executives in the software industry through her work at Gainsight and other advisory roles, through speaking engagements, and through the content she has authored, which earned her recognition as one of the Top Women Leaders in SaaS in 2018 by The Software Report. Ms. Pickens also has a unique breadth of experience that spans industries including software, investment management, and management consulting. She brings significant skill in finance, general management, mergers and acquisitions, strategy, and customer growth and retention to the Board.</w:t>
      </w:r>
    </w:p>
    <w:p>
      <w:pPr>
        <w:spacing w:after="0" w:line="200" w:lineRule="exact"/>
        <w:rPr>
          <w:sz w:val="20"/>
          <w:szCs w:val="20"/>
          <w:color w:val="auto"/>
        </w:rPr>
      </w:pPr>
    </w:p>
    <w:p>
      <w:pPr>
        <w:sectPr>
          <w:pgSz w:w="11900" w:h="16838" w:orient="portrait"/>
          <w:cols w:equalWidth="0" w:num="2">
            <w:col w:w="1860" w:space="720"/>
            <w:col w:w="8480"/>
          </w:cols>
          <w:pgMar w:left="320" w:top="454" w:right="519" w:bottom="1440" w:gutter="0" w:footer="0" w:header="0"/>
          <w:type w:val="continuous"/>
        </w:sectPr>
      </w:pPr>
    </w:p>
    <w:p>
      <w:pPr>
        <w:spacing w:after="0" w:line="292"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0"/>
          <w:szCs w:val="10"/>
          <w:color w:val="092E44"/>
        </w:rPr>
        <w:t>16</w:t>
      </w:r>
      <w:r>
        <w:rPr>
          <w:sz w:val="20"/>
          <w:szCs w:val="20"/>
          <w:color w:val="auto"/>
        </w:rPr>
        <w:tab/>
      </w:r>
      <w:r>
        <w:rPr>
          <w:rFonts w:ascii="Arial" w:cs="Arial" w:eastAsia="Arial" w:hAnsi="Arial"/>
          <w:sz w:val="10"/>
          <w:szCs w:val="10"/>
          <w:b w:val="1"/>
          <w:bCs w:val="1"/>
          <w:color w:val="092E44"/>
        </w:rPr>
        <w:t xml:space="preserve">COMMVAULT SYSTEMS, INC. </w:t>
      </w:r>
      <w:r>
        <w:rPr>
          <w:rFonts w:ascii="Arial" w:cs="Arial" w:eastAsia="Arial" w:hAnsi="Arial"/>
          <w:sz w:val="10"/>
          <w:szCs w:val="10"/>
          <w:color w:val="E14A6A"/>
        </w:rPr>
        <w:t>|</w:t>
      </w:r>
      <w:r>
        <w:rPr>
          <w:rFonts w:ascii="Arial" w:cs="Arial" w:eastAsia="Arial" w:hAnsi="Arial"/>
          <w:sz w:val="10"/>
          <w:szCs w:val="10"/>
          <w:b w:val="1"/>
          <w:bCs w:val="1"/>
          <w:color w:val="092E44"/>
        </w:rPr>
        <w:t xml:space="preserve"> </w:t>
      </w:r>
      <w:r>
        <w:rPr>
          <w:rFonts w:ascii="Arial" w:cs="Arial" w:eastAsia="Arial" w:hAnsi="Arial"/>
          <w:sz w:val="10"/>
          <w:szCs w:val="10"/>
          <w:color w:val="092E44"/>
        </w:rPr>
        <w:t>2022 PROXY STATEMENT</w:t>
      </w:r>
    </w:p>
    <w:p>
      <w:pPr>
        <w:sectPr>
          <w:pgSz w:w="11900" w:h="16838" w:orient="portrait"/>
          <w:cols w:equalWidth="0" w:num="1">
            <w:col w:w="11060"/>
          </w:cols>
          <w:pgMar w:left="320" w:top="454" w:right="51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0"/>
          <w:szCs w:val="10"/>
          <w:color w:val="092E44"/>
        </w:rPr>
        <w:t xml:space="preserve">PROPOSAL NO. 1: ELECTION OF DIRECTORS </w:t>
      </w:r>
      <w:r>
        <w:rPr>
          <w:rFonts w:ascii="Arial" w:cs="Arial" w:eastAsia="Arial" w:hAnsi="Arial"/>
          <w:sz w:val="10"/>
          <w:szCs w:val="10"/>
          <w:color w:val="E14A6A"/>
        </w:rPr>
        <w:t>|</w:t>
      </w:r>
      <w:r>
        <w:rPr>
          <w:rFonts w:ascii="Arial" w:cs="Arial" w:eastAsia="Arial" w:hAnsi="Arial"/>
          <w:sz w:val="10"/>
          <w:szCs w:val="10"/>
          <w:color w:val="092E44"/>
        </w:rPr>
        <w:t xml:space="preserve"> </w:t>
      </w:r>
      <w:r>
        <w:rPr>
          <w:rFonts w:ascii="Arial" w:cs="Arial" w:eastAsia="Arial" w:hAnsi="Arial"/>
          <w:sz w:val="10"/>
          <w:szCs w:val="10"/>
          <w:b w:val="1"/>
          <w:bCs w:val="1"/>
          <w:color w:val="092E44"/>
        </w:rPr>
        <w:t>NOMINEES FOR ELECTION</w:t>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E14A6A"/>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-1344295</wp:posOffset>
            </wp:positionV>
            <wp:extent cx="1010285" cy="11461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10285" cy="1146175"/>
                    </a:xfrm>
                    <a:prstGeom prst="rect">
                      <a:avLst/>
                    </a:prstGeom>
                    <a:noFill/>
                  </pic:spPr>
                </pic:pic>
              </a:graphicData>
            </a:graphic>
          </wp:anchor>
        </w:drawing>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 xml:space="preserve">Age: </w:t>
      </w:r>
      <w:r>
        <w:rPr>
          <w:rFonts w:ascii="Arial" w:cs="Arial" w:eastAsia="Arial" w:hAnsi="Arial"/>
          <w:sz w:val="14"/>
          <w:szCs w:val="14"/>
          <w:b w:val="1"/>
          <w:bCs w:val="1"/>
          <w:color w:val="092E44"/>
        </w:rPr>
        <w:t>51</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 xml:space="preserve">Director since </w:t>
      </w:r>
      <w:r>
        <w:rPr>
          <w:rFonts w:ascii="Arial" w:cs="Arial" w:eastAsia="Arial" w:hAnsi="Arial"/>
          <w:sz w:val="14"/>
          <w:szCs w:val="14"/>
          <w:b w:val="1"/>
          <w:bCs w:val="1"/>
          <w:color w:val="092E44"/>
        </w:rPr>
        <w:t>2020</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Committees:</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92E44"/>
        </w:rPr>
        <w:t>Operating (chair),</w:t>
      </w:r>
    </w:p>
    <w:p>
      <w:pPr>
        <w:ind w:left="160"/>
        <w:spacing w:after="0"/>
        <w:rPr>
          <w:sz w:val="20"/>
          <w:szCs w:val="20"/>
          <w:color w:val="auto"/>
        </w:rPr>
      </w:pPr>
      <w:r>
        <w:rPr>
          <w:rFonts w:ascii="Arial" w:cs="Arial" w:eastAsia="Arial" w:hAnsi="Arial"/>
          <w:sz w:val="14"/>
          <w:szCs w:val="14"/>
          <w:b w:val="1"/>
          <w:bCs w:val="1"/>
          <w:color w:val="092E44"/>
        </w:rPr>
        <w:t>Audit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30"/>
          <w:szCs w:val="30"/>
          <w:color w:val="E14A6A"/>
        </w:rPr>
        <w:t>Arlen Shenkman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Professional Background</w:t>
      </w:r>
    </w:p>
    <w:p>
      <w:pPr>
        <w:spacing w:after="0" w:line="67" w:lineRule="exact"/>
        <w:rPr>
          <w:sz w:val="20"/>
          <w:szCs w:val="20"/>
          <w:color w:val="auto"/>
        </w:rPr>
      </w:pPr>
    </w:p>
    <w:p>
      <w:pPr>
        <w:ind w:right="140"/>
        <w:spacing w:after="0" w:line="230" w:lineRule="auto"/>
        <w:rPr>
          <w:sz w:val="20"/>
          <w:szCs w:val="20"/>
          <w:color w:val="auto"/>
        </w:rPr>
      </w:pPr>
      <w:r>
        <w:rPr>
          <w:rFonts w:ascii="Arial" w:cs="Arial" w:eastAsia="Arial" w:hAnsi="Arial"/>
          <w:sz w:val="15"/>
          <w:szCs w:val="15"/>
          <w:color w:val="092E44"/>
        </w:rPr>
        <w:t>Mr. Shenkman was Executive Vice President and Chief Financial Officer at Citrix Systems, Inc. from 2019 until March 2022, where he was responsible for all of the company’s financial and capital management strategies, budgeting and planning, financial accounting, tax and treasury, investor relations, strategic alliances, and M&amp;A. He joined Citrix from SAP, where he served in many roles, including Executive Vice President and Global Head of Business Development and Ecosystems (2017-2019); Chief Financial Officer of SAP North America, the company’s largest business unit (2015-2017); and Global Head of Corporate Development (2012-2015). During his tenure, Mr. Shenkman led the finance functions across North America, including planning and forecasting, business streamlining, and overall financial management, and led SAP’s corporate development and M&amp;A activities worldwide.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Qualifications</w:t>
      </w:r>
    </w:p>
    <w:p>
      <w:pPr>
        <w:spacing w:after="0" w:line="67" w:lineRule="exact"/>
        <w:rPr>
          <w:sz w:val="20"/>
          <w:szCs w:val="20"/>
          <w:color w:val="auto"/>
        </w:rPr>
      </w:pPr>
    </w:p>
    <w:p>
      <w:pPr>
        <w:spacing w:after="0" w:line="230" w:lineRule="auto"/>
        <w:rPr>
          <w:sz w:val="20"/>
          <w:szCs w:val="20"/>
          <w:color w:val="auto"/>
        </w:rPr>
      </w:pPr>
      <w:r>
        <w:rPr>
          <w:rFonts w:ascii="Arial" w:cs="Arial" w:eastAsia="Arial" w:hAnsi="Arial"/>
          <w:sz w:val="15"/>
          <w:szCs w:val="15"/>
          <w:color w:val="092E44"/>
        </w:rPr>
        <w:t>Mr. Shenkman has substantial experience helping to lead large-scale business transformations for growth of SaaS and working with companies that specialize in complex-cloud environments and enterprise application software. He has significant financial experience, including in his role as Chief Financial Officer for Citrix. Due to that experience, the Board has determined that he is an audit committee financial expert. Mr. Shenkman also has significant experience managing large software companies, including in his former roles at Citrix and as CFO of SAP North America, where he was a principal architect of SAP’s rapid transformation into a cloud company. Mr. Shenkman’s substantial record and experience at global SaaS companies make him well qualified to serve as Chair of the Operating Committee.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Other Public Company Boards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AspenTech (since 2022)</w:t>
      </w:r>
    </w:p>
    <w:p>
      <w:pPr>
        <w:spacing w:after="0" w:line="200" w:lineRule="exact"/>
        <w:rPr>
          <w:sz w:val="20"/>
          <w:szCs w:val="20"/>
          <w:color w:val="auto"/>
        </w:rPr>
      </w:pPr>
    </w:p>
    <w:p>
      <w:pPr>
        <w:sectPr>
          <w:pgSz w:w="11900" w:h="16838" w:orient="portrait"/>
          <w:cols w:equalWidth="0" w:num="2">
            <w:col w:w="1860" w:space="720"/>
            <w:col w:w="8500"/>
          </w:cols>
          <w:pgMar w:left="320" w:top="454" w:right="499" w:bottom="1440" w:gutter="0" w:footer="0" w:header="0"/>
          <w:type w:val="continuous"/>
        </w:sectPr>
      </w:pPr>
    </w:p>
    <w:p>
      <w:pPr>
        <w:spacing w:after="0" w:line="11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Majority Vote Standard and Resignation Policy in Director Elections</w:t>
      </w:r>
    </w:p>
    <w:p>
      <w:pPr>
        <w:spacing w:after="0" w:line="71" w:lineRule="exact"/>
        <w:rPr>
          <w:sz w:val="20"/>
          <w:szCs w:val="20"/>
          <w:color w:val="auto"/>
        </w:rPr>
      </w:pPr>
    </w:p>
    <w:p>
      <w:pPr>
        <w:ind w:left="160" w:right="40"/>
        <w:spacing w:after="0" w:line="250" w:lineRule="auto"/>
        <w:rPr>
          <w:sz w:val="20"/>
          <w:szCs w:val="20"/>
          <w:color w:val="auto"/>
        </w:rPr>
      </w:pPr>
      <w:r>
        <w:rPr>
          <w:rFonts w:ascii="Arial" w:cs="Arial" w:eastAsia="Arial" w:hAnsi="Arial"/>
          <w:sz w:val="16"/>
          <w:szCs w:val="16"/>
          <w:color w:val="092E44"/>
        </w:rPr>
        <w:t>In uncontested elections, if a quorum is present or represented, directors are elected by an affirmative vote of a majority of the votes cast. If an incumbent director fails to receive the affirmative vote of a majority of votes cast in an uncontested election, such director must promptly tender an irrevocable resignation to the Board which is contingent upon the Board’s acceptance. Within 90 days after certification of the results of the stockholder vote, the Board of Directors will act on the resignation, taking into account, among other things, a recommendation from the Nominations and Governance Committee. We will publicly disclose the Board’s decision whether to accept or reject the resignation, together with an explanation of the process (and the reasons for rejecting the resignation, if applicable). Any director whose resignation is being so considered may not participate in the deliberations of the Nominations and Governance Committee or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235585</wp:posOffset>
            </wp:positionV>
            <wp:extent cx="220980" cy="2120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17</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80"/>
          </w:cols>
          <w:pgMar w:left="320" w:top="454" w:right="4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6929755" cy="19615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29755" cy="196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60"/>
        <w:spacing w:after="0"/>
        <w:rPr>
          <w:sz w:val="20"/>
          <w:szCs w:val="20"/>
          <w:color w:val="auto"/>
        </w:rPr>
      </w:pPr>
      <w:r>
        <w:rPr>
          <w:rFonts w:ascii="Arial" w:cs="Arial" w:eastAsia="Arial" w:hAnsi="Arial"/>
          <w:sz w:val="64"/>
          <w:szCs w:val="64"/>
          <w:b w:val="1"/>
          <w:bCs w:val="1"/>
          <w:color w:val="FCFCFC"/>
        </w:rPr>
        <w:t>Corporate</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64"/>
          <w:szCs w:val="64"/>
          <w:b w:val="1"/>
          <w:bCs w:val="1"/>
          <w:color w:val="FCFCFC"/>
        </w:rPr>
        <w:t>Governance</w:t>
      </w:r>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Overview</w:t>
      </w:r>
    </w:p>
    <w:p>
      <w:pPr>
        <w:spacing w:after="0" w:line="112" w:lineRule="exact"/>
        <w:rPr>
          <w:sz w:val="20"/>
          <w:szCs w:val="20"/>
          <w:color w:val="auto"/>
        </w:rPr>
      </w:pPr>
    </w:p>
    <w:p>
      <w:pPr>
        <w:ind w:left="160" w:right="140"/>
        <w:spacing w:after="0" w:line="249" w:lineRule="auto"/>
        <w:rPr>
          <w:sz w:val="20"/>
          <w:szCs w:val="20"/>
          <w:color w:val="auto"/>
        </w:rPr>
      </w:pPr>
      <w:r>
        <w:rPr>
          <w:rFonts w:ascii="Arial" w:cs="Arial" w:eastAsia="Arial" w:hAnsi="Arial"/>
          <w:sz w:val="21"/>
          <w:szCs w:val="21"/>
          <w:color w:val="092E44"/>
        </w:rPr>
        <w:t>The Board has adopted comprehensive Corporate Governance Guidelines to define responsibilities, set high standards of professional and personal integrity, and ensure compliance with such responsibilities and standards. The Board of Directors annually monitors developments in the area of corporate governance and reviews the Corporate Governance Guidelines. Some of our significant corporate governance policies and practices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214630</wp:posOffset>
            </wp:positionV>
            <wp:extent cx="6938010" cy="12820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38010" cy="1282065"/>
                    </a:xfrm>
                    <a:prstGeom prst="rect">
                      <a:avLst/>
                    </a:prstGeom>
                    <a:noFill/>
                  </pic:spPr>
                </pic:pic>
              </a:graphicData>
            </a:graphic>
          </wp:anchor>
        </w:drawing>
      </w:r>
    </w:p>
    <w:p>
      <w:pPr>
        <w:spacing w:after="0" w:line="380" w:lineRule="exact"/>
        <w:rPr>
          <w:sz w:val="20"/>
          <w:szCs w:val="20"/>
          <w:color w:val="auto"/>
        </w:rPr>
      </w:pPr>
    </w:p>
    <w:p>
      <w:pPr>
        <w:ind w:left="400"/>
        <w:spacing w:after="0"/>
        <w:rPr>
          <w:sz w:val="20"/>
          <w:szCs w:val="20"/>
          <w:color w:val="auto"/>
        </w:rPr>
      </w:pPr>
      <w:r>
        <w:rPr>
          <w:rFonts w:ascii="Arial" w:cs="Arial" w:eastAsia="Arial" w:hAnsi="Arial"/>
          <w:sz w:val="18"/>
          <w:szCs w:val="18"/>
          <w:color w:val="E14A6A"/>
        </w:rPr>
        <w:t>Independence and Composition of Our Board of Directors</w:t>
      </w:r>
    </w:p>
    <w:p>
      <w:pPr>
        <w:spacing w:after="0" w:line="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Nine of our ten current directors are independent under Nasdaq listing standards.</w:t>
      </w:r>
    </w:p>
    <w:p>
      <w:pPr>
        <w:spacing w:after="0" w:line="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Our Board is led by an independent chairman so our President and Chief Executive Officer can focus on his executive leadership role.</w:t>
      </w:r>
    </w:p>
    <w:p>
      <w:pPr>
        <w:spacing w:after="0" w:line="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Eight of our directors have joined the Board since 2018, substantially reducing the Board’s average tenure.</w:t>
      </w:r>
    </w:p>
    <w:p>
      <w:pPr>
        <w:spacing w:after="0" w:line="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Three women have joined the Board since 2018, significantly increasing the Board’s gender diversity.</w:t>
      </w:r>
    </w:p>
    <w:p>
      <w:pPr>
        <w:spacing w:after="0" w:line="83" w:lineRule="exact"/>
        <w:rPr>
          <w:sz w:val="20"/>
          <w:szCs w:val="20"/>
          <w:color w:val="auto"/>
        </w:rPr>
      </w:pPr>
    </w:p>
    <w:p>
      <w:pPr>
        <w:ind w:left="560" w:hanging="159"/>
        <w:spacing w:after="0" w:line="295" w:lineRule="auto"/>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We amended our Charter and Bylaws to end the classification of our Board, and are in the process of implementing that change. Beginning with the</w:t>
      </w:r>
      <w:r>
        <w:rPr>
          <w:rFonts w:ascii="Times New Roman" w:cs="Times New Roman" w:eastAsia="Times New Roman" w:hAnsi="Times New Roman"/>
          <w:sz w:val="16"/>
          <w:szCs w:val="16"/>
          <w:color w:val="E14A6A"/>
        </w:rPr>
        <w:t xml:space="preserve"> </w:t>
      </w:r>
      <w:r>
        <w:rPr>
          <w:rFonts w:ascii="Arial" w:cs="Arial" w:eastAsia="Arial" w:hAnsi="Arial"/>
          <w:sz w:val="16"/>
          <w:szCs w:val="16"/>
          <w:color w:val="092E44"/>
        </w:rPr>
        <w:t>Annual Meeting in 2023, all directors will stand for election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255905</wp:posOffset>
            </wp:positionV>
            <wp:extent cx="6938010" cy="7727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38010" cy="77279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00"/>
        <w:spacing w:after="0"/>
        <w:rPr>
          <w:sz w:val="20"/>
          <w:szCs w:val="20"/>
          <w:color w:val="auto"/>
        </w:rPr>
      </w:pPr>
      <w:r>
        <w:rPr>
          <w:rFonts w:ascii="Arial" w:cs="Arial" w:eastAsia="Arial" w:hAnsi="Arial"/>
          <w:sz w:val="18"/>
          <w:szCs w:val="18"/>
          <w:color w:val="E14A6A"/>
        </w:rPr>
        <w:t>Majority Voting for Directors</w:t>
      </w:r>
    </w:p>
    <w:p>
      <w:pPr>
        <w:spacing w:after="0" w:line="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We have adopted a majority vote standard for the election of directors in an uncontested election.</w:t>
      </w:r>
    </w:p>
    <w:p>
      <w:pPr>
        <w:spacing w:after="0" w:line="83" w:lineRule="exact"/>
        <w:rPr>
          <w:sz w:val="20"/>
          <w:szCs w:val="20"/>
          <w:color w:val="auto"/>
        </w:rPr>
      </w:pPr>
    </w:p>
    <w:p>
      <w:pPr>
        <w:ind w:left="560" w:right="800" w:hanging="159"/>
        <w:spacing w:after="0" w:line="295" w:lineRule="auto"/>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Any incumbent director who does not receive a majority of the votes cast in an uncontested election must promptly tender an irrevocable</w:t>
      </w:r>
      <w:r>
        <w:rPr>
          <w:rFonts w:ascii="Times New Roman" w:cs="Times New Roman" w:eastAsia="Times New Roman" w:hAnsi="Times New Roman"/>
          <w:sz w:val="16"/>
          <w:szCs w:val="16"/>
          <w:color w:val="E14A6A"/>
        </w:rPr>
        <w:t xml:space="preserve"> </w:t>
      </w:r>
      <w:r>
        <w:rPr>
          <w:rFonts w:ascii="Arial" w:cs="Arial" w:eastAsia="Arial" w:hAnsi="Arial"/>
          <w:sz w:val="16"/>
          <w:szCs w:val="16"/>
          <w:color w:val="092E44"/>
        </w:rPr>
        <w:t>resignation, which is contingent upon the Board’s acceptance.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255905</wp:posOffset>
            </wp:positionV>
            <wp:extent cx="6938010" cy="12312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38010" cy="123126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00"/>
        <w:spacing w:after="0"/>
        <w:rPr>
          <w:sz w:val="20"/>
          <w:szCs w:val="20"/>
          <w:color w:val="auto"/>
        </w:rPr>
      </w:pPr>
      <w:r>
        <w:rPr>
          <w:rFonts w:ascii="Arial" w:cs="Arial" w:eastAsia="Arial" w:hAnsi="Arial"/>
          <w:sz w:val="18"/>
          <w:szCs w:val="18"/>
          <w:color w:val="E14A6A"/>
        </w:rPr>
        <w:t>Standing Committees</w:t>
      </w:r>
    </w:p>
    <w:p>
      <w:pPr>
        <w:spacing w:after="0" w:line="65" w:lineRule="exact"/>
        <w:rPr>
          <w:sz w:val="20"/>
          <w:szCs w:val="20"/>
          <w:color w:val="auto"/>
        </w:rPr>
      </w:pPr>
    </w:p>
    <w:p>
      <w:pPr>
        <w:ind w:left="560" w:right="200" w:hanging="159"/>
        <w:spacing w:after="0" w:line="295" w:lineRule="auto"/>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The members of all four of the Board’s standing committees are independent and, where relevant, meet the heightened independence standards</w:t>
      </w:r>
      <w:r>
        <w:rPr>
          <w:rFonts w:ascii="Times New Roman" w:cs="Times New Roman" w:eastAsia="Times New Roman" w:hAnsi="Times New Roman"/>
          <w:sz w:val="16"/>
          <w:szCs w:val="16"/>
          <w:color w:val="E14A6A"/>
        </w:rPr>
        <w:t xml:space="preserve"> </w:t>
      </w:r>
      <w:r>
        <w:rPr>
          <w:rFonts w:ascii="Arial" w:cs="Arial" w:eastAsia="Arial" w:hAnsi="Arial"/>
          <w:sz w:val="16"/>
          <w:szCs w:val="16"/>
          <w:color w:val="092E44"/>
        </w:rPr>
        <w:t>prescribed by the Nasdaq listing standards and Securities and Exchange Commission (“SEC”) rules for service on particular committees.</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The Board decided all members of the Audit Committee qualify as “audit committee financial experts” pursuant to SEC guidelines.</w:t>
      </w:r>
    </w:p>
    <w:p>
      <w:pPr>
        <w:spacing w:after="0" w:line="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Each standing committee operates under a written charter that is available on our website.</w:t>
      </w:r>
    </w:p>
    <w:p>
      <w:pPr>
        <w:spacing w:after="0" w:line="83" w:lineRule="exact"/>
        <w:rPr>
          <w:sz w:val="20"/>
          <w:szCs w:val="20"/>
          <w:color w:val="auto"/>
        </w:rPr>
      </w:pPr>
    </w:p>
    <w:p>
      <w:pPr>
        <w:ind w:left="560" w:right="20" w:hanging="159"/>
        <w:spacing w:after="0" w:line="295" w:lineRule="auto"/>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As of 2021, the Nominations and Governance Committee resolved to rotate chairs of each committee every five years and Chair of the Board every</w:t>
      </w:r>
      <w:r>
        <w:rPr>
          <w:rFonts w:ascii="Times New Roman" w:cs="Times New Roman" w:eastAsia="Times New Roman" w:hAnsi="Times New Roman"/>
          <w:sz w:val="16"/>
          <w:szCs w:val="16"/>
          <w:color w:val="E14A6A"/>
        </w:rPr>
        <w:t xml:space="preserve"> </w:t>
      </w:r>
      <w:r>
        <w:rPr>
          <w:rFonts w:ascii="Arial" w:cs="Arial" w:eastAsia="Arial" w:hAnsi="Arial"/>
          <w:sz w:val="16"/>
          <w:szCs w:val="16"/>
          <w:color w:val="092E44"/>
        </w:rPr>
        <w:t>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502285</wp:posOffset>
            </wp:positionV>
            <wp:extent cx="220980" cy="2120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18</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20"/>
          </w:cols>
          <w:pgMar w:left="320" w:top="454" w:right="5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CORPORATE GOVERNANCE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97790</wp:posOffset>
            </wp:positionV>
            <wp:extent cx="6938010" cy="19786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38010" cy="1978660"/>
                    </a:xfrm>
                    <a:prstGeom prst="rect">
                      <a:avLst/>
                    </a:prstGeom>
                    <a:noFill/>
                  </pic:spPr>
                </pic:pic>
              </a:graphicData>
            </a:graphic>
          </wp:anchor>
        </w:drawing>
      </w:r>
    </w:p>
    <w:p>
      <w:pPr>
        <w:spacing w:after="0" w:line="196" w:lineRule="exact"/>
        <w:rPr>
          <w:sz w:val="20"/>
          <w:szCs w:val="20"/>
          <w:color w:val="auto"/>
        </w:rPr>
      </w:pPr>
    </w:p>
    <w:p>
      <w:pPr>
        <w:ind w:left="400"/>
        <w:spacing w:after="0"/>
        <w:rPr>
          <w:sz w:val="20"/>
          <w:szCs w:val="20"/>
          <w:color w:val="auto"/>
        </w:rPr>
      </w:pPr>
      <w:r>
        <w:rPr>
          <w:rFonts w:ascii="Arial" w:cs="Arial" w:eastAsia="Arial" w:hAnsi="Arial"/>
          <w:sz w:val="18"/>
          <w:szCs w:val="18"/>
          <w:color w:val="E14A6A"/>
        </w:rPr>
        <w:t>Corporate Governance Policies</w:t>
      </w:r>
    </w:p>
    <w:p>
      <w:pPr>
        <w:spacing w:after="0" w:line="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A “proxy access” provision in our Bylaws gives stockholders the ability to nominate director candidates for inclusion in our proxy materials.</w:t>
      </w:r>
    </w:p>
    <w:p>
      <w:pPr>
        <w:spacing w:after="0" w:line="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We have adopted a policy on Board diversity, which prioritizes a Board made up of individuals with diverse backgrounds.</w:t>
      </w:r>
    </w:p>
    <w:p>
      <w:pPr>
        <w:spacing w:after="0" w:line="83" w:lineRule="exact"/>
        <w:rPr>
          <w:sz w:val="20"/>
          <w:szCs w:val="20"/>
          <w:color w:val="auto"/>
        </w:rPr>
      </w:pPr>
    </w:p>
    <w:p>
      <w:pPr>
        <w:ind w:left="560" w:right="640" w:hanging="159"/>
        <w:spacing w:after="0" w:line="295" w:lineRule="auto"/>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Our “clawback” policy permits us to recover incentive compensation from certain officers in the event we are required to prepare a financial</w:t>
      </w:r>
      <w:r>
        <w:rPr>
          <w:rFonts w:ascii="Times New Roman" w:cs="Times New Roman" w:eastAsia="Times New Roman" w:hAnsi="Times New Roman"/>
          <w:sz w:val="16"/>
          <w:szCs w:val="16"/>
          <w:color w:val="E14A6A"/>
        </w:rPr>
        <w:t xml:space="preserve"> </w:t>
      </w:r>
      <w:r>
        <w:rPr>
          <w:rFonts w:ascii="Arial" w:cs="Arial" w:eastAsia="Arial" w:hAnsi="Arial"/>
          <w:sz w:val="16"/>
          <w:szCs w:val="16"/>
          <w:color w:val="092E44"/>
        </w:rPr>
        <w:t>restatement, without regard to whether the restatement is caused by wrongdoing, negligence, or other misconduct.</w:t>
      </w:r>
    </w:p>
    <w:p>
      <w:pPr>
        <w:spacing w:after="0" w:line="1" w:lineRule="exact"/>
        <w:rPr>
          <w:sz w:val="20"/>
          <w:szCs w:val="20"/>
          <w:color w:val="auto"/>
        </w:rPr>
      </w:pPr>
    </w:p>
    <w:p>
      <w:pPr>
        <w:ind w:left="560" w:right="140" w:hanging="159"/>
        <w:spacing w:after="0" w:line="295" w:lineRule="auto"/>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Our hedging policy prohibits our employees, officers, and directors from engaging in any hedging transactions with regard to Commvault common</w:t>
      </w:r>
      <w:r>
        <w:rPr>
          <w:rFonts w:ascii="Times New Roman" w:cs="Times New Roman" w:eastAsia="Times New Roman" w:hAnsi="Times New Roman"/>
          <w:sz w:val="16"/>
          <w:szCs w:val="16"/>
          <w:color w:val="E14A6A"/>
        </w:rPr>
        <w:t xml:space="preserve"> </w:t>
      </w:r>
      <w:r>
        <w:rPr>
          <w:rFonts w:ascii="Arial" w:cs="Arial" w:eastAsia="Arial" w:hAnsi="Arial"/>
          <w:sz w:val="16"/>
          <w:szCs w:val="16"/>
          <w:color w:val="092E44"/>
        </w:rPr>
        <w:t>stock.</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Our insider trading policy subjects all employee trading to prescribed trading window and blackout periods.</w:t>
      </w:r>
    </w:p>
    <w:p>
      <w:pPr>
        <w:spacing w:after="0" w:line="83" w:lineRule="exact"/>
        <w:rPr>
          <w:sz w:val="20"/>
          <w:szCs w:val="20"/>
          <w:color w:val="auto"/>
        </w:rPr>
      </w:pPr>
    </w:p>
    <w:p>
      <w:pPr>
        <w:ind w:left="560" w:right="460" w:hanging="159"/>
        <w:spacing w:after="0" w:line="295" w:lineRule="auto"/>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We implemented guidebooks for the Board and each committee to provide guidance, establish organization, and ensure predictability as they</w:t>
      </w:r>
      <w:r>
        <w:rPr>
          <w:rFonts w:ascii="Times New Roman" w:cs="Times New Roman" w:eastAsia="Times New Roman" w:hAnsi="Times New Roman"/>
          <w:sz w:val="16"/>
          <w:szCs w:val="16"/>
          <w:color w:val="E14A6A"/>
        </w:rPr>
        <w:t xml:space="preserve"> </w:t>
      </w:r>
      <w:r>
        <w:rPr>
          <w:rFonts w:ascii="Arial" w:cs="Arial" w:eastAsia="Arial" w:hAnsi="Arial"/>
          <w:sz w:val="16"/>
          <w:szCs w:val="16"/>
          <w:color w:val="092E44"/>
        </w:rPr>
        <w:t>execute their respective duties.</w:t>
      </w:r>
    </w:p>
    <w:p>
      <w:pPr>
        <w:spacing w:after="0" w:line="1" w:lineRule="exact"/>
        <w:rPr>
          <w:sz w:val="20"/>
          <w:szCs w:val="20"/>
          <w:color w:val="auto"/>
        </w:rPr>
      </w:pPr>
    </w:p>
    <w:p>
      <w:pPr>
        <w:ind w:left="560" w:right="140" w:hanging="159"/>
        <w:spacing w:after="0" w:line="295" w:lineRule="auto"/>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We established Sanctions Guidelines for the Company that detail our global economic sanctions program, discuss our compliance with applicable</w:t>
      </w:r>
      <w:r>
        <w:rPr>
          <w:rFonts w:ascii="Times New Roman" w:cs="Times New Roman" w:eastAsia="Times New Roman" w:hAnsi="Times New Roman"/>
          <w:sz w:val="16"/>
          <w:szCs w:val="16"/>
          <w:color w:val="E14A6A"/>
        </w:rPr>
        <w:t xml:space="preserve"> </w:t>
      </w:r>
      <w:r>
        <w:rPr>
          <w:rFonts w:ascii="Arial" w:cs="Arial" w:eastAsia="Arial" w:hAnsi="Arial"/>
          <w:sz w:val="16"/>
          <w:szCs w:val="16"/>
          <w:color w:val="092E44"/>
        </w:rPr>
        <w:t>sanctions, and explain how employees can seek guidance for their business engagements.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255905</wp:posOffset>
            </wp:positionV>
            <wp:extent cx="6938010" cy="14693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38010" cy="14693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00"/>
        <w:spacing w:after="0"/>
        <w:rPr>
          <w:sz w:val="20"/>
          <w:szCs w:val="20"/>
          <w:color w:val="auto"/>
        </w:rPr>
      </w:pPr>
      <w:r>
        <w:rPr>
          <w:rFonts w:ascii="Arial" w:cs="Arial" w:eastAsia="Arial" w:hAnsi="Arial"/>
          <w:sz w:val="18"/>
          <w:szCs w:val="18"/>
          <w:color w:val="E14A6A"/>
        </w:rPr>
        <w:t>Governance Documents</w:t>
      </w:r>
    </w:p>
    <w:p>
      <w:pPr>
        <w:spacing w:after="0" w:line="65" w:lineRule="exact"/>
        <w:rPr>
          <w:sz w:val="20"/>
          <w:szCs w:val="20"/>
          <w:color w:val="auto"/>
        </w:rPr>
      </w:pPr>
    </w:p>
    <w:p>
      <w:pPr>
        <w:ind w:left="560" w:hanging="159"/>
        <w:spacing w:after="0" w:line="295" w:lineRule="auto"/>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Our Code of Ethics, which applies to all directors, officers, employees, and contractors is approved by the Nominations and Governance Committee</w:t>
      </w:r>
      <w:r>
        <w:rPr>
          <w:rFonts w:ascii="Times New Roman" w:cs="Times New Roman" w:eastAsia="Times New Roman" w:hAnsi="Times New Roman"/>
          <w:sz w:val="16"/>
          <w:szCs w:val="16"/>
          <w:color w:val="E14A6A"/>
        </w:rPr>
        <w:t xml:space="preserve"> </w:t>
      </w:r>
      <w:r>
        <w:rPr>
          <w:rFonts w:ascii="Arial" w:cs="Arial" w:eastAsia="Arial" w:hAnsi="Arial"/>
          <w:sz w:val="16"/>
          <w:szCs w:val="16"/>
          <w:color w:val="092E44"/>
        </w:rPr>
        <w:t>annually.</w:t>
      </w:r>
    </w:p>
    <w:p>
      <w:pPr>
        <w:spacing w:after="0" w:line="1" w:lineRule="exact"/>
        <w:rPr>
          <w:sz w:val="20"/>
          <w:szCs w:val="20"/>
          <w:color w:val="auto"/>
        </w:rPr>
      </w:pPr>
    </w:p>
    <w:p>
      <w:pPr>
        <w:ind w:left="560" w:right="680" w:hanging="159"/>
        <w:spacing w:after="0" w:line="295" w:lineRule="auto"/>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We have adopted a Code of Ethics for Senior Financial Managers that applies to our Chief Executive Officer, Chief Financial Officer, Chief</w:t>
      </w:r>
      <w:r>
        <w:rPr>
          <w:rFonts w:ascii="Times New Roman" w:cs="Times New Roman" w:eastAsia="Times New Roman" w:hAnsi="Times New Roman"/>
          <w:sz w:val="16"/>
          <w:szCs w:val="16"/>
          <w:color w:val="E14A6A"/>
        </w:rPr>
        <w:t xml:space="preserve"> </w:t>
      </w:r>
      <w:r>
        <w:rPr>
          <w:rFonts w:ascii="Arial" w:cs="Arial" w:eastAsia="Arial" w:hAnsi="Arial"/>
          <w:sz w:val="16"/>
          <w:szCs w:val="16"/>
          <w:color w:val="092E44"/>
        </w:rPr>
        <w:t>Accounting Officer, and Controller.</w:t>
      </w:r>
    </w:p>
    <w:p>
      <w:pPr>
        <w:spacing w:after="0" w:line="1" w:lineRule="exact"/>
        <w:rPr>
          <w:sz w:val="20"/>
          <w:szCs w:val="20"/>
          <w:color w:val="auto"/>
        </w:rPr>
      </w:pPr>
    </w:p>
    <w:p>
      <w:pPr>
        <w:ind w:left="560" w:right="500" w:hanging="159"/>
        <w:spacing w:after="0" w:line="295" w:lineRule="auto"/>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Our Integrity Counts program provides for confidential and anonymous submissions by our employees and other interested parties regarding</w:t>
      </w:r>
      <w:r>
        <w:rPr>
          <w:rFonts w:ascii="Times New Roman" w:cs="Times New Roman" w:eastAsia="Times New Roman" w:hAnsi="Times New Roman"/>
          <w:sz w:val="16"/>
          <w:szCs w:val="16"/>
          <w:color w:val="E14A6A"/>
        </w:rPr>
        <w:t xml:space="preserve"> </w:t>
      </w:r>
      <w:r>
        <w:rPr>
          <w:rFonts w:ascii="Arial" w:cs="Arial" w:eastAsia="Arial" w:hAnsi="Arial"/>
          <w:sz w:val="16"/>
          <w:szCs w:val="16"/>
          <w:color w:val="092E44"/>
        </w:rPr>
        <w:t>accounting or auditing matters, violations of our Code of Ethics, and other unethical behavior or practices.</w:t>
      </w:r>
    </w:p>
    <w:p>
      <w:pPr>
        <w:spacing w:after="0" w:line="1" w:lineRule="exact"/>
        <w:rPr>
          <w:sz w:val="20"/>
          <w:szCs w:val="20"/>
          <w:color w:val="auto"/>
        </w:rPr>
      </w:pPr>
    </w:p>
    <w:p>
      <w:pPr>
        <w:ind w:left="560" w:right="260" w:hanging="159"/>
        <w:spacing w:after="0" w:line="295" w:lineRule="auto"/>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All of our key governance documents are available on our website at www.commvault.com, from the Investor Relations—Corporate Governance</w:t>
      </w:r>
      <w:r>
        <w:rPr>
          <w:rFonts w:ascii="Times New Roman" w:cs="Times New Roman" w:eastAsia="Times New Roman" w:hAnsi="Times New Roman"/>
          <w:sz w:val="16"/>
          <w:szCs w:val="16"/>
          <w:color w:val="E14A6A"/>
        </w:rPr>
        <w:t xml:space="preserve"> </w:t>
      </w:r>
      <w:r>
        <w:rPr>
          <w:rFonts w:ascii="Arial" w:cs="Arial" w:eastAsia="Arial" w:hAnsi="Arial"/>
          <w:sz w:val="16"/>
          <w:szCs w:val="16"/>
          <w:color w:val="092E44"/>
        </w:rPr>
        <w:t>tab.</w:t>
      </w:r>
    </w:p>
    <w:p>
      <w:pPr>
        <w:spacing w:after="0" w:line="200" w:lineRule="exact"/>
        <w:rPr>
          <w:sz w:val="20"/>
          <w:szCs w:val="20"/>
          <w:color w:val="auto"/>
        </w:rPr>
      </w:pPr>
    </w:p>
    <w:p>
      <w:pPr>
        <w:spacing w:after="0" w:line="25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Board Leadership Structure</w:t>
      </w:r>
    </w:p>
    <w:p>
      <w:pPr>
        <w:spacing w:after="0" w:line="71" w:lineRule="exact"/>
        <w:rPr>
          <w:sz w:val="20"/>
          <w:szCs w:val="20"/>
          <w:color w:val="auto"/>
        </w:rPr>
      </w:pPr>
    </w:p>
    <w:p>
      <w:pPr>
        <w:ind w:left="160" w:right="120"/>
        <w:spacing w:after="0" w:line="251" w:lineRule="auto"/>
        <w:rPr>
          <w:sz w:val="20"/>
          <w:szCs w:val="20"/>
          <w:color w:val="auto"/>
        </w:rPr>
      </w:pPr>
      <w:r>
        <w:rPr>
          <w:rFonts w:ascii="Arial" w:cs="Arial" w:eastAsia="Arial" w:hAnsi="Arial"/>
          <w:sz w:val="16"/>
          <w:szCs w:val="16"/>
          <w:color w:val="092E44"/>
        </w:rPr>
        <w:t>Our policy is to adopt the leadership structure that best serves Commvault’s needs at any particular time. Currently, our Board has determined that the most effective leadership structure is to have an independent Chairman so our President and Chief Executive Officer can focus on his executive leadership role. Mr. Adamo has served as Chair of the Board since 2019. In this capacity, Mr. Adamo is responsible for presiding at Board meetings and executive sessions, and facilitating communication between Board members and the CEO and other members of senior management. As a member of our Board, Mr. Mirchandani ensures that Board members have a high level of access and visibility regarding Commvault’s business, including Mr. Mirchandani’ s insights and perspectives on our operations, strategy, and future performance.</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Board Oversight of Risk</w:t>
      </w:r>
    </w:p>
    <w:p>
      <w:pPr>
        <w:spacing w:after="0" w:line="71" w:lineRule="exact"/>
        <w:rPr>
          <w:sz w:val="20"/>
          <w:szCs w:val="20"/>
          <w:color w:val="auto"/>
        </w:rPr>
      </w:pPr>
    </w:p>
    <w:p>
      <w:pPr>
        <w:jc w:val="both"/>
        <w:ind w:left="160" w:right="160"/>
        <w:spacing w:after="0" w:line="262" w:lineRule="auto"/>
        <w:rPr>
          <w:sz w:val="20"/>
          <w:szCs w:val="20"/>
          <w:color w:val="auto"/>
        </w:rPr>
      </w:pPr>
      <w:r>
        <w:rPr>
          <w:rFonts w:ascii="Arial" w:cs="Arial" w:eastAsia="Arial" w:hAnsi="Arial"/>
          <w:sz w:val="16"/>
          <w:szCs w:val="16"/>
          <w:color w:val="092E44"/>
        </w:rPr>
        <w:t>The Board oversees Commvault’s policies and procedures relating to enterprise risk. This involves understanding the risks the Company faces and the steps management is taking to manage those risks, and also considering what level of risk is appropriate for our Company. The Board’s involvement in overseeing Commvault’s business strategy informs its assessment of management’s risk tolerance and its determination of an appropriate level of risk.</w:t>
      </w:r>
    </w:p>
    <w:p>
      <w:pPr>
        <w:spacing w:after="0" w:line="53" w:lineRule="exact"/>
        <w:rPr>
          <w:sz w:val="20"/>
          <w:szCs w:val="20"/>
          <w:color w:val="auto"/>
        </w:rPr>
      </w:pPr>
    </w:p>
    <w:p>
      <w:pPr>
        <w:ind w:left="160" w:right="480"/>
        <w:spacing w:after="0" w:line="279" w:lineRule="auto"/>
        <w:rPr>
          <w:sz w:val="20"/>
          <w:szCs w:val="20"/>
          <w:color w:val="auto"/>
        </w:rPr>
      </w:pPr>
      <w:r>
        <w:rPr>
          <w:rFonts w:ascii="Arial" w:cs="Arial" w:eastAsia="Arial" w:hAnsi="Arial"/>
          <w:sz w:val="16"/>
          <w:szCs w:val="16"/>
          <w:color w:val="092E44"/>
        </w:rPr>
        <w:t>The Board of Directors considers risk management to varying degrees regularly at its meetings. The Board adjusts its practices with respect to risk oversight as necessary and involves itself in particular areas or business circumstances where the proper exercise of oversight requires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280670</wp:posOffset>
            </wp:positionV>
            <wp:extent cx="220980" cy="2120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19</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20"/>
          </w:cols>
          <w:pgMar w:left="320" w:top="454" w:right="5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CORPORATE GOVERNANCE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BOARD OVERSIGHT OF RISK</w:t>
      </w:r>
    </w:p>
    <w:p>
      <w:pPr>
        <w:spacing w:after="0" w:line="140" w:lineRule="exact"/>
        <w:rPr>
          <w:sz w:val="20"/>
          <w:szCs w:val="20"/>
          <w:color w:val="auto"/>
        </w:rPr>
      </w:pPr>
    </w:p>
    <w:p>
      <w:pPr>
        <w:ind w:left="160" w:right="140"/>
        <w:spacing w:after="0" w:line="279" w:lineRule="auto"/>
        <w:rPr>
          <w:sz w:val="20"/>
          <w:szCs w:val="20"/>
          <w:color w:val="auto"/>
        </w:rPr>
      </w:pPr>
      <w:r>
        <w:rPr>
          <w:rFonts w:ascii="Arial" w:cs="Arial" w:eastAsia="Arial" w:hAnsi="Arial"/>
          <w:sz w:val="16"/>
          <w:szCs w:val="16"/>
          <w:color w:val="092E44"/>
        </w:rPr>
        <w:t>While the Board has ultimate oversight responsibility for the risk management process, the Board’s standing committees also have responsibility for risk assessment and risk management with respect to matters in their purview.</w:t>
      </w:r>
    </w:p>
    <w:p>
      <w:pPr>
        <w:sectPr>
          <w:pgSz w:w="11900" w:h="16838" w:orient="portrait"/>
          <w:cols w:equalWidth="0" w:num="1">
            <w:col w:w="11060"/>
          </w:cols>
          <w:pgMar w:left="320" w:top="454" w:right="519" w:bottom="1440" w:gutter="0" w:footer="0" w:header="0"/>
        </w:sectPr>
      </w:pPr>
    </w:p>
    <w:p>
      <w:pPr>
        <w:spacing w:after="0" w:line="94" w:lineRule="exact"/>
        <w:rPr>
          <w:sz w:val="20"/>
          <w:szCs w:val="20"/>
          <w:color w:val="auto"/>
        </w:rPr>
      </w:pPr>
    </w:p>
    <w:p>
      <w:pPr>
        <w:ind w:left="160"/>
        <w:spacing w:after="0" w:line="249" w:lineRule="auto"/>
        <w:rPr>
          <w:sz w:val="20"/>
          <w:szCs w:val="20"/>
          <w:color w:val="auto"/>
        </w:rPr>
      </w:pPr>
      <w:r>
        <w:rPr>
          <w:rFonts w:ascii="Arial" w:cs="Arial" w:eastAsia="Arial" w:hAnsi="Arial"/>
          <w:sz w:val="16"/>
          <w:szCs w:val="16"/>
          <w:b w:val="1"/>
          <w:bCs w:val="1"/>
          <w:color w:val="E14A6A"/>
        </w:rPr>
        <w:t xml:space="preserve">The Audit Committee </w:t>
      </w:r>
      <w:r>
        <w:rPr>
          <w:rFonts w:ascii="Arial" w:cs="Arial" w:eastAsia="Arial" w:hAnsi="Arial"/>
          <w:sz w:val="16"/>
          <w:szCs w:val="16"/>
          <w:color w:val="092E44"/>
        </w:rPr>
        <w:t>is required under its charter to discuss with</w:t>
      </w:r>
      <w:r>
        <w:rPr>
          <w:rFonts w:ascii="Arial" w:cs="Arial" w:eastAsia="Arial" w:hAnsi="Arial"/>
          <w:sz w:val="16"/>
          <w:szCs w:val="16"/>
          <w:b w:val="1"/>
          <w:bCs w:val="1"/>
          <w:color w:val="E14A6A"/>
        </w:rPr>
        <w:t xml:space="preserve"> </w:t>
      </w:r>
      <w:r>
        <w:rPr>
          <w:rFonts w:ascii="Arial" w:cs="Arial" w:eastAsia="Arial" w:hAnsi="Arial"/>
          <w:sz w:val="16"/>
          <w:szCs w:val="16"/>
          <w:color w:val="092E44"/>
        </w:rPr>
        <w:t>management and the independent auditor our significant financial risks or exposures and to assess the steps management has taken to minimize such risks. The Audit Committee also oversees Commvault’s internal audit function and compliance matters, and reviews with the Chief Legal and Compliance Officer any legal matters, including litigation, that may have a material impact on our financial statements, financial condition, or results of operations.</w:t>
      </w:r>
    </w:p>
    <w:p>
      <w:pPr>
        <w:spacing w:after="0" w:line="64" w:lineRule="exact"/>
        <w:rPr>
          <w:sz w:val="20"/>
          <w:szCs w:val="20"/>
          <w:color w:val="auto"/>
        </w:rPr>
      </w:pPr>
    </w:p>
    <w:p>
      <w:pPr>
        <w:ind w:left="160" w:right="320"/>
        <w:spacing w:after="0" w:line="279" w:lineRule="auto"/>
        <w:rPr>
          <w:sz w:val="20"/>
          <w:szCs w:val="20"/>
          <w:color w:val="auto"/>
        </w:rPr>
      </w:pPr>
      <w:r>
        <w:rPr>
          <w:rFonts w:ascii="Arial" w:cs="Arial" w:eastAsia="Arial" w:hAnsi="Arial"/>
          <w:sz w:val="16"/>
          <w:szCs w:val="16"/>
          <w:b w:val="1"/>
          <w:bCs w:val="1"/>
          <w:color w:val="E14A6A"/>
        </w:rPr>
        <w:t xml:space="preserve">The Talent Management and Compensation Committee </w:t>
      </w:r>
      <w:r>
        <w:rPr>
          <w:rFonts w:ascii="Arial" w:cs="Arial" w:eastAsia="Arial" w:hAnsi="Arial"/>
          <w:sz w:val="16"/>
          <w:szCs w:val="16"/>
          <w:color w:val="092E44"/>
        </w:rPr>
        <w:t>assesses</w:t>
      </w:r>
      <w:r>
        <w:rPr>
          <w:rFonts w:ascii="Arial" w:cs="Arial" w:eastAsia="Arial" w:hAnsi="Arial"/>
          <w:sz w:val="16"/>
          <w:szCs w:val="16"/>
          <w:b w:val="1"/>
          <w:bCs w:val="1"/>
          <w:color w:val="E14A6A"/>
        </w:rPr>
        <w:t xml:space="preserve"> </w:t>
      </w:r>
      <w:r>
        <w:rPr>
          <w:rFonts w:ascii="Arial" w:cs="Arial" w:eastAsia="Arial" w:hAnsi="Arial"/>
          <w:sz w:val="16"/>
          <w:szCs w:val="16"/>
          <w:color w:val="092E44"/>
        </w:rPr>
        <w:t>compensation-related risk.</w:t>
      </w:r>
    </w:p>
    <w:p>
      <w:pPr>
        <w:spacing w:after="0" w:line="40" w:lineRule="exact"/>
        <w:rPr>
          <w:sz w:val="20"/>
          <w:szCs w:val="20"/>
          <w:color w:val="auto"/>
        </w:rPr>
      </w:pPr>
    </w:p>
    <w:p>
      <w:pPr>
        <w:ind w:left="160" w:right="120"/>
        <w:spacing w:after="0" w:line="256" w:lineRule="auto"/>
        <w:rPr>
          <w:sz w:val="20"/>
          <w:szCs w:val="20"/>
          <w:color w:val="auto"/>
        </w:rPr>
      </w:pPr>
      <w:r>
        <w:rPr>
          <w:rFonts w:ascii="Arial" w:cs="Arial" w:eastAsia="Arial" w:hAnsi="Arial"/>
          <w:sz w:val="16"/>
          <w:szCs w:val="16"/>
          <w:b w:val="1"/>
          <w:bCs w:val="1"/>
          <w:color w:val="E14A6A"/>
        </w:rPr>
        <w:t xml:space="preserve">The Nominations and Governance Committee </w:t>
      </w:r>
      <w:r>
        <w:rPr>
          <w:rFonts w:ascii="Arial" w:cs="Arial" w:eastAsia="Arial" w:hAnsi="Arial"/>
          <w:sz w:val="16"/>
          <w:szCs w:val="16"/>
          <w:color w:val="092E44"/>
        </w:rPr>
        <w:t>addresses</w:t>
      </w:r>
      <w:r>
        <w:rPr>
          <w:rFonts w:ascii="Arial" w:cs="Arial" w:eastAsia="Arial" w:hAnsi="Arial"/>
          <w:sz w:val="16"/>
          <w:szCs w:val="16"/>
          <w:b w:val="1"/>
          <w:bCs w:val="1"/>
          <w:color w:val="E14A6A"/>
        </w:rPr>
        <w:t xml:space="preserve"> </w:t>
      </w:r>
      <w:r>
        <w:rPr>
          <w:rFonts w:ascii="Arial" w:cs="Arial" w:eastAsia="Arial" w:hAnsi="Arial"/>
          <w:sz w:val="16"/>
          <w:szCs w:val="16"/>
          <w:color w:val="092E44"/>
        </w:rPr>
        <w:t>management and governance risk, including through its oversight of the succession planning and nominating processes, our Corporate Governance Guidelines, and our corporate social responsibility efforts.</w:t>
      </w:r>
    </w:p>
    <w:p>
      <w:pPr>
        <w:spacing w:after="0" w:line="44" w:lineRule="exact"/>
        <w:rPr>
          <w:sz w:val="20"/>
          <w:szCs w:val="20"/>
          <w:color w:val="auto"/>
        </w:rPr>
      </w:pPr>
    </w:p>
    <w:p>
      <w:pPr>
        <w:ind w:left="160" w:right="320"/>
        <w:spacing w:after="0" w:line="279" w:lineRule="auto"/>
        <w:rPr>
          <w:sz w:val="20"/>
          <w:szCs w:val="20"/>
          <w:color w:val="auto"/>
        </w:rPr>
      </w:pPr>
      <w:r>
        <w:rPr>
          <w:rFonts w:ascii="Arial" w:cs="Arial" w:eastAsia="Arial" w:hAnsi="Arial"/>
          <w:sz w:val="16"/>
          <w:szCs w:val="16"/>
          <w:b w:val="1"/>
          <w:bCs w:val="1"/>
          <w:color w:val="E14A6A"/>
        </w:rPr>
        <w:t xml:space="preserve">The Operating Committee </w:t>
      </w:r>
      <w:r>
        <w:rPr>
          <w:rFonts w:ascii="Arial" w:cs="Arial" w:eastAsia="Arial" w:hAnsi="Arial"/>
          <w:sz w:val="16"/>
          <w:szCs w:val="16"/>
          <w:color w:val="092E44"/>
        </w:rPr>
        <w:t>provides oversight on various matters as</w:t>
      </w:r>
      <w:r>
        <w:rPr>
          <w:rFonts w:ascii="Arial" w:cs="Arial" w:eastAsia="Arial" w:hAnsi="Arial"/>
          <w:sz w:val="16"/>
          <w:szCs w:val="16"/>
          <w:b w:val="1"/>
          <w:bCs w:val="1"/>
          <w:color w:val="E14A6A"/>
        </w:rPr>
        <w:t xml:space="preserve"> </w:t>
      </w:r>
      <w:r>
        <w:rPr>
          <w:rFonts w:ascii="Arial" w:cs="Arial" w:eastAsia="Arial" w:hAnsi="Arial"/>
          <w:sz w:val="16"/>
          <w:szCs w:val="16"/>
          <w:color w:val="092E44"/>
        </w:rPr>
        <w:t>determined by the Board and management.</w:t>
      </w:r>
    </w:p>
    <w:p>
      <w:pPr>
        <w:spacing w:after="0" w:line="40" w:lineRule="exact"/>
        <w:rPr>
          <w:sz w:val="20"/>
          <w:szCs w:val="20"/>
          <w:color w:val="auto"/>
        </w:rPr>
      </w:pPr>
    </w:p>
    <w:p>
      <w:pPr>
        <w:ind w:left="160" w:right="100"/>
        <w:spacing w:after="0" w:line="279" w:lineRule="auto"/>
        <w:rPr>
          <w:sz w:val="20"/>
          <w:szCs w:val="20"/>
          <w:color w:val="auto"/>
        </w:rPr>
      </w:pPr>
      <w:r>
        <w:rPr>
          <w:rFonts w:ascii="Arial" w:cs="Arial" w:eastAsia="Arial" w:hAnsi="Arial"/>
          <w:sz w:val="16"/>
          <w:szCs w:val="16"/>
          <w:color w:val="092E44"/>
        </w:rPr>
        <w:t>Each of these Board committees reports to the full Board with respect to its risk oversight functions.</w:t>
      </w:r>
    </w:p>
    <w:p>
      <w:pPr>
        <w:spacing w:after="0" w:line="40" w:lineRule="exact"/>
        <w:rPr>
          <w:sz w:val="20"/>
          <w:szCs w:val="20"/>
          <w:color w:val="auto"/>
        </w:rPr>
      </w:pPr>
    </w:p>
    <w:p>
      <w:pPr>
        <w:ind w:left="160" w:right="60"/>
        <w:spacing w:after="0" w:line="250" w:lineRule="auto"/>
        <w:rPr>
          <w:sz w:val="20"/>
          <w:szCs w:val="20"/>
          <w:color w:val="auto"/>
        </w:rPr>
      </w:pPr>
      <w:r>
        <w:rPr>
          <w:rFonts w:ascii="Arial" w:cs="Arial" w:eastAsia="Arial" w:hAnsi="Arial"/>
          <w:sz w:val="16"/>
          <w:szCs w:val="16"/>
          <w:b w:val="1"/>
          <w:bCs w:val="1"/>
          <w:color w:val="E14A6A"/>
        </w:rPr>
        <w:t xml:space="preserve">At the management level, </w:t>
      </w:r>
      <w:r>
        <w:rPr>
          <w:rFonts w:ascii="Arial" w:cs="Arial" w:eastAsia="Arial" w:hAnsi="Arial"/>
          <w:sz w:val="16"/>
          <w:szCs w:val="16"/>
          <w:color w:val="092E44"/>
        </w:rPr>
        <w:t>our Chief Legal Officer serves as our Chief</w:t>
      </w:r>
      <w:r>
        <w:rPr>
          <w:rFonts w:ascii="Arial" w:cs="Arial" w:eastAsia="Arial" w:hAnsi="Arial"/>
          <w:sz w:val="16"/>
          <w:szCs w:val="16"/>
          <w:b w:val="1"/>
          <w:bCs w:val="1"/>
          <w:color w:val="E14A6A"/>
        </w:rPr>
        <w:t xml:space="preserve"> </w:t>
      </w:r>
      <w:r>
        <w:rPr>
          <w:rFonts w:ascii="Arial" w:cs="Arial" w:eastAsia="Arial" w:hAnsi="Arial"/>
          <w:sz w:val="16"/>
          <w:szCs w:val="16"/>
          <w:color w:val="092E44"/>
        </w:rPr>
        <w:t>Compliance Officer to oversee risk-related matters. In addition, we have established disclosure controls to monitor our compliance with securities disclosure obligations and an executive review committee to monitor and approve certain transactions or other corporate matters that deviate from our standard practices. Senior management, including the Chief Legal and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320675</wp:posOffset>
            </wp:positionV>
            <wp:extent cx="220980" cy="2120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360"/>
        <w:spacing w:after="0" w:line="279" w:lineRule="auto"/>
        <w:rPr>
          <w:sz w:val="20"/>
          <w:szCs w:val="20"/>
          <w:color w:val="auto"/>
        </w:rPr>
      </w:pPr>
      <w:r>
        <w:rPr>
          <w:rFonts w:ascii="Arial" w:cs="Arial" w:eastAsia="Arial" w:hAnsi="Arial"/>
          <w:sz w:val="16"/>
          <w:szCs w:val="16"/>
          <w:color w:val="092E44"/>
        </w:rPr>
        <w:t>reports to the Board or an appropriate Board committee regarding risk issues.</w:t>
      </w:r>
    </w:p>
    <w:p>
      <w:pPr>
        <w:spacing w:after="0" w:line="40"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092E44"/>
        </w:rPr>
        <w:t>Commvault maintains a cybersecurity governance program for the benefit of the company, our customers, and stockholders. Headed by our Chief Information Security Officer (CISO), our cybersecurity program has a dedicated team monitoring information security using best practices and maintaining a robust security certification library. The CISO regularly meets with management to set our information security policies and priorities based on our assessment of risks and business priorities. Quarterly, the CIO and the CISO update our Audit Committee on information security priorities, key metrics, and progress on audits and compliance measures. The Audit Committee provides oversight of the security program and advises on risk management strategies.</w:t>
      </w:r>
    </w:p>
    <w:p>
      <w:pPr>
        <w:spacing w:after="0" w:line="70" w:lineRule="exact"/>
        <w:rPr>
          <w:sz w:val="20"/>
          <w:szCs w:val="20"/>
          <w:color w:val="auto"/>
        </w:rPr>
      </w:pPr>
    </w:p>
    <w:p>
      <w:pPr>
        <w:spacing w:after="0" w:line="248" w:lineRule="auto"/>
        <w:rPr>
          <w:sz w:val="20"/>
          <w:szCs w:val="20"/>
          <w:color w:val="auto"/>
        </w:rPr>
      </w:pPr>
      <w:r>
        <w:rPr>
          <w:rFonts w:ascii="Arial" w:cs="Arial" w:eastAsia="Arial" w:hAnsi="Arial"/>
          <w:sz w:val="16"/>
          <w:szCs w:val="16"/>
          <w:color w:val="092E44"/>
        </w:rPr>
        <w:t>Under our Corporate Governance Policies, the Board has complete and open access to any member of management and any employee, as well as any outside advisor or independent advisor retained by the Board, to inquire about risk-related (or other) topics. In addition, our Chief Financial Officer and Chief Legal and Compliance Officer are available at Board and committee meetings to answer questions relating to risk oversight. Further, because the Chief Executive Officer is a director, he brings a unique perspective on our risk profile and risk assessment to Board deliberations based on his day-to-day management responsibilities and knowledge about the Company.</w:t>
      </w:r>
    </w:p>
    <w:p>
      <w:pPr>
        <w:spacing w:after="0" w:line="844" w:lineRule="exact"/>
        <w:rPr>
          <w:sz w:val="20"/>
          <w:szCs w:val="20"/>
          <w:color w:val="auto"/>
        </w:rPr>
      </w:pPr>
    </w:p>
    <w:p>
      <w:pPr>
        <w:sectPr>
          <w:pgSz w:w="11900" w:h="16838" w:orient="portrait"/>
          <w:cols w:equalWidth="0" w:num="2">
            <w:col w:w="5380" w:space="360"/>
            <w:col w:w="5320"/>
          </w:cols>
          <w:pgMar w:left="320" w:top="454" w:right="51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0"/>
          <w:szCs w:val="10"/>
          <w:color w:val="092E44"/>
        </w:rPr>
        <w:t>20</w:t>
      </w:r>
      <w:r>
        <w:rPr>
          <w:sz w:val="20"/>
          <w:szCs w:val="20"/>
          <w:color w:val="auto"/>
        </w:rPr>
        <w:tab/>
      </w:r>
      <w:r>
        <w:rPr>
          <w:rFonts w:ascii="Arial" w:cs="Arial" w:eastAsia="Arial" w:hAnsi="Arial"/>
          <w:sz w:val="10"/>
          <w:szCs w:val="10"/>
          <w:b w:val="1"/>
          <w:bCs w:val="1"/>
          <w:color w:val="092E44"/>
        </w:rPr>
        <w:t xml:space="preserve">COMMVAULT SYSTEMS, INC. </w:t>
      </w:r>
      <w:r>
        <w:rPr>
          <w:rFonts w:ascii="Arial" w:cs="Arial" w:eastAsia="Arial" w:hAnsi="Arial"/>
          <w:sz w:val="10"/>
          <w:szCs w:val="10"/>
          <w:color w:val="E14A6A"/>
        </w:rPr>
        <w:t>|</w:t>
      </w:r>
      <w:r>
        <w:rPr>
          <w:rFonts w:ascii="Arial" w:cs="Arial" w:eastAsia="Arial" w:hAnsi="Arial"/>
          <w:sz w:val="10"/>
          <w:szCs w:val="10"/>
          <w:b w:val="1"/>
          <w:bCs w:val="1"/>
          <w:color w:val="092E44"/>
        </w:rPr>
        <w:t xml:space="preserve"> </w:t>
      </w:r>
      <w:r>
        <w:rPr>
          <w:rFonts w:ascii="Arial" w:cs="Arial" w:eastAsia="Arial" w:hAnsi="Arial"/>
          <w:sz w:val="10"/>
          <w:szCs w:val="10"/>
          <w:color w:val="092E44"/>
        </w:rPr>
        <w:t>2022 PROXY STATEMENT</w:t>
      </w:r>
    </w:p>
    <w:p>
      <w:pPr>
        <w:sectPr>
          <w:pgSz w:w="11900" w:h="16838" w:orient="portrait"/>
          <w:cols w:equalWidth="0" w:num="1">
            <w:col w:w="11060"/>
          </w:cols>
          <w:pgMar w:left="320" w:top="454" w:right="51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CORPORATE GOVERNANCE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STOCKHOLDER ENGAGEMENT</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Stockholder Engagement</w:t>
      </w:r>
    </w:p>
    <w:p>
      <w:pPr>
        <w:spacing w:after="0" w:line="84" w:lineRule="exact"/>
        <w:rPr>
          <w:sz w:val="20"/>
          <w:szCs w:val="20"/>
          <w:color w:val="auto"/>
        </w:rPr>
      </w:pPr>
    </w:p>
    <w:p>
      <w:pPr>
        <w:ind w:left="160"/>
        <w:spacing w:after="0" w:line="251" w:lineRule="auto"/>
        <w:rPr>
          <w:sz w:val="20"/>
          <w:szCs w:val="20"/>
          <w:color w:val="auto"/>
        </w:rPr>
      </w:pPr>
      <w:r>
        <w:rPr>
          <w:rFonts w:ascii="Arial" w:cs="Arial" w:eastAsia="Arial" w:hAnsi="Arial"/>
          <w:sz w:val="16"/>
          <w:szCs w:val="16"/>
          <w:color w:val="092E44"/>
        </w:rPr>
        <w:t>We maintain a quarterly stockholder outreach program, which includes proactive CEO and CFO post-earnings calls with our top 40 stockholders, and subsequent phone calls with all interested investors. Our CEO, CFO, Head of Investor Relations, and senior management participate in broker-sponsored, non-deal roadshows and conferences each quarter. In fiscal year 2022 we hosted 206 investor meetings or phone calls (compared to 193 in fiscal year 2021), including 116 meetings with existing investors and 90 meetings with potential investors.</w:t>
      </w:r>
    </w:p>
    <w:p>
      <w:pPr>
        <w:spacing w:after="0" w:line="63" w:lineRule="exact"/>
        <w:rPr>
          <w:sz w:val="20"/>
          <w:szCs w:val="20"/>
          <w:color w:val="auto"/>
        </w:rPr>
      </w:pPr>
    </w:p>
    <w:p>
      <w:pPr>
        <w:ind w:left="160"/>
        <w:spacing w:after="0" w:line="249" w:lineRule="auto"/>
        <w:rPr>
          <w:sz w:val="20"/>
          <w:szCs w:val="20"/>
          <w:color w:val="auto"/>
        </w:rPr>
      </w:pPr>
      <w:r>
        <w:rPr>
          <w:rFonts w:ascii="Arial" w:cs="Arial" w:eastAsia="Arial" w:hAnsi="Arial"/>
          <w:sz w:val="16"/>
          <w:szCs w:val="16"/>
          <w:color w:val="092E44"/>
        </w:rPr>
        <w:t>Every June through August, in advance of our Annual Meeting, we reach out to our top 50 stockholders, representing 78% of our outstanding common stock. During that time period in 2021, we spoke to 11 stockholders, representing approximately 24% of our outstanding common stock. Our proxy outreach team includes the Chair of the Board and several independent directors, the Head of Investor Relations, our Chief Legal Officer, and the Chief People Officer. Topics discussed include our timeline to identify standards for ESG reporting, measures to increase workforce diversity, pandemic effects on our business, capital allocation (such as share repurchases and M&amp;A), and executive compensation.</w:t>
      </w:r>
    </w:p>
    <w:p>
      <w:pPr>
        <w:spacing w:after="0" w:line="64" w:lineRule="exact"/>
        <w:rPr>
          <w:sz w:val="20"/>
          <w:szCs w:val="20"/>
          <w:color w:val="auto"/>
        </w:rPr>
      </w:pPr>
    </w:p>
    <w:p>
      <w:pPr>
        <w:ind w:left="160" w:right="480"/>
        <w:spacing w:after="0" w:line="256" w:lineRule="auto"/>
        <w:rPr>
          <w:sz w:val="20"/>
          <w:szCs w:val="20"/>
          <w:color w:val="auto"/>
        </w:rPr>
      </w:pPr>
      <w:r>
        <w:rPr>
          <w:rFonts w:ascii="Arial" w:cs="Arial" w:eastAsia="Arial" w:hAnsi="Arial"/>
          <w:sz w:val="16"/>
          <w:szCs w:val="16"/>
          <w:color w:val="092E44"/>
        </w:rPr>
        <w:t>We received positive stockholder feedback on our fiscal year 2022 outreach. In particular, stockholders were impressed with our independent directors’ commitment to stockholder engagement, our receptivity to stockholder feedback, and our numerous corporate governance enhancements over the last several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In fiscal year 2022 we hosted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-124460</wp:posOffset>
            </wp:positionV>
            <wp:extent cx="2012950" cy="18770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12950" cy="187706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50"/>
          <w:szCs w:val="50"/>
          <w:b w:val="1"/>
          <w:bCs w:val="1"/>
          <w:color w:val="E14A6A"/>
        </w:rPr>
        <w:t>206</w:t>
      </w:r>
      <w:r>
        <w:rPr>
          <w:rFonts w:ascii="Arial" w:cs="Arial" w:eastAsia="Arial" w:hAnsi="Arial"/>
          <w:sz w:val="16"/>
          <w:szCs w:val="16"/>
          <w:b w:val="1"/>
          <w:bCs w:val="1"/>
          <w:color w:val="092E44"/>
        </w:rPr>
        <w:t>investor meetings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092E44"/>
        </w:rPr>
        <w:t>or phone calls including</w:t>
      </w:r>
    </w:p>
    <w:p>
      <w:pPr>
        <w:spacing w:after="0" w:line="33" w:lineRule="exact"/>
        <w:rPr>
          <w:sz w:val="20"/>
          <w:szCs w:val="20"/>
          <w:color w:val="auto"/>
        </w:rPr>
      </w:pPr>
    </w:p>
    <w:p>
      <w:pPr>
        <w:spacing w:after="0"/>
        <w:rPr>
          <w:sz w:val="20"/>
          <w:szCs w:val="20"/>
          <w:color w:val="auto"/>
        </w:rPr>
      </w:pPr>
      <w:r>
        <w:rPr>
          <w:rFonts w:ascii="Arial" w:cs="Arial" w:eastAsia="Arial" w:hAnsi="Arial"/>
          <w:sz w:val="50"/>
          <w:szCs w:val="50"/>
          <w:b w:val="1"/>
          <w:bCs w:val="1"/>
          <w:color w:val="E14A6A"/>
        </w:rPr>
        <w:t xml:space="preserve">116 </w:t>
      </w:r>
      <w:r>
        <w:rPr>
          <w:rFonts w:ascii="Arial" w:cs="Arial" w:eastAsia="Arial" w:hAnsi="Arial"/>
          <w:sz w:val="16"/>
          <w:szCs w:val="16"/>
          <w:b w:val="1"/>
          <w:bCs w:val="1"/>
          <w:color w:val="092E44"/>
        </w:rPr>
        <w:t>meetings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092E44"/>
        </w:rPr>
        <w:t>with existing investors and</w:t>
      </w:r>
    </w:p>
    <w:p>
      <w:pPr>
        <w:spacing w:after="0" w:line="33" w:lineRule="exact"/>
        <w:rPr>
          <w:sz w:val="20"/>
          <w:szCs w:val="20"/>
          <w:color w:val="auto"/>
        </w:rPr>
      </w:pPr>
    </w:p>
    <w:p>
      <w:pPr>
        <w:spacing w:after="0"/>
        <w:rPr>
          <w:sz w:val="20"/>
          <w:szCs w:val="20"/>
          <w:color w:val="auto"/>
        </w:rPr>
      </w:pPr>
      <w:r>
        <w:rPr>
          <w:rFonts w:ascii="Arial" w:cs="Arial" w:eastAsia="Arial" w:hAnsi="Arial"/>
          <w:sz w:val="50"/>
          <w:szCs w:val="50"/>
          <w:b w:val="1"/>
          <w:bCs w:val="1"/>
          <w:color w:val="E14A6A"/>
        </w:rPr>
        <w:t xml:space="preserve">90 </w:t>
      </w:r>
      <w:r>
        <w:rPr>
          <w:rFonts w:ascii="Arial" w:cs="Arial" w:eastAsia="Arial" w:hAnsi="Arial"/>
          <w:sz w:val="16"/>
          <w:szCs w:val="16"/>
          <w:b w:val="1"/>
          <w:bCs w:val="1"/>
          <w:color w:val="092E44"/>
        </w:rPr>
        <w:t>meetings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092E44"/>
        </w:rPr>
        <w:t>with potential investors.</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092E44"/>
        </w:rPr>
        <w:t>Topics discussed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-107315</wp:posOffset>
            </wp:positionV>
            <wp:extent cx="2004060" cy="18510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04060" cy="1851025"/>
                    </a:xfrm>
                    <a:prstGeom prst="rect">
                      <a:avLst/>
                    </a:prstGeom>
                    <a:noFill/>
                  </pic:spPr>
                </pic:pic>
              </a:graphicData>
            </a:graphic>
          </wp:anchor>
        </w:drawing>
      </w:r>
    </w:p>
    <w:p>
      <w:pPr>
        <w:spacing w:after="0" w:line="63" w:lineRule="exact"/>
        <w:rPr>
          <w:sz w:val="20"/>
          <w:szCs w:val="20"/>
          <w:color w:val="auto"/>
        </w:rPr>
      </w:pPr>
    </w:p>
    <w:p>
      <w:pPr>
        <w:ind w:left="160" w:right="300" w:hanging="160"/>
        <w:spacing w:after="0" w:line="295" w:lineRule="auto"/>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our timeline to identify standards for</w:t>
      </w:r>
      <w:r>
        <w:rPr>
          <w:rFonts w:ascii="Times New Roman" w:cs="Times New Roman" w:eastAsia="Times New Roman" w:hAnsi="Times New Roman"/>
          <w:sz w:val="16"/>
          <w:szCs w:val="16"/>
          <w:color w:val="E14A6A"/>
        </w:rPr>
        <w:t xml:space="preserve"> </w:t>
      </w:r>
      <w:r>
        <w:rPr>
          <w:rFonts w:ascii="Arial" w:cs="Arial" w:eastAsia="Arial" w:hAnsi="Arial"/>
          <w:sz w:val="16"/>
          <w:szCs w:val="16"/>
          <w:color w:val="092E44"/>
        </w:rPr>
        <w:t>ESG reporting</w:t>
      </w:r>
    </w:p>
    <w:p>
      <w:pPr>
        <w:spacing w:after="0" w:line="14" w:lineRule="exact"/>
        <w:rPr>
          <w:sz w:val="20"/>
          <w:szCs w:val="20"/>
          <w:color w:val="auto"/>
        </w:rPr>
      </w:pPr>
    </w:p>
    <w:p>
      <w:pPr>
        <w:ind w:left="160" w:right="560" w:hanging="160"/>
        <w:spacing w:after="0" w:line="295" w:lineRule="auto"/>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measures to increase workforce</w:t>
      </w:r>
      <w:r>
        <w:rPr>
          <w:rFonts w:ascii="Times New Roman" w:cs="Times New Roman" w:eastAsia="Times New Roman" w:hAnsi="Times New Roman"/>
          <w:sz w:val="16"/>
          <w:szCs w:val="16"/>
          <w:color w:val="E14A6A"/>
        </w:rPr>
        <w:t xml:space="preserve"> </w:t>
      </w:r>
      <w:r>
        <w:rPr>
          <w:rFonts w:ascii="Arial" w:cs="Arial" w:eastAsia="Arial" w:hAnsi="Arial"/>
          <w:sz w:val="16"/>
          <w:szCs w:val="16"/>
          <w:color w:val="092E44"/>
        </w:rPr>
        <w:t>diversity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pandemic effects on our business</w:t>
      </w:r>
    </w:p>
    <w:p>
      <w:pPr>
        <w:spacing w:after="0" w:line="96" w:lineRule="exact"/>
        <w:rPr>
          <w:sz w:val="20"/>
          <w:szCs w:val="20"/>
          <w:color w:val="auto"/>
        </w:rPr>
      </w:pPr>
    </w:p>
    <w:p>
      <w:pPr>
        <w:ind w:left="160" w:right="560" w:hanging="160"/>
        <w:spacing w:after="0" w:line="295" w:lineRule="auto"/>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capital allocation (such as share</w:t>
      </w:r>
      <w:r>
        <w:rPr>
          <w:rFonts w:ascii="Times New Roman" w:cs="Times New Roman" w:eastAsia="Times New Roman" w:hAnsi="Times New Roman"/>
          <w:sz w:val="16"/>
          <w:szCs w:val="16"/>
          <w:color w:val="E14A6A"/>
        </w:rPr>
        <w:t xml:space="preserve"> </w:t>
      </w:r>
      <w:r>
        <w:rPr>
          <w:rFonts w:ascii="Arial" w:cs="Arial" w:eastAsia="Arial" w:hAnsi="Arial"/>
          <w:sz w:val="16"/>
          <w:szCs w:val="16"/>
          <w:color w:val="092E44"/>
        </w:rPr>
        <w:t>repurchases and M&amp;A)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executive compensation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operational efficiency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revenue growth and margin targets</w:t>
      </w:r>
    </w:p>
    <w:p>
      <w:pPr>
        <w:spacing w:after="0" w:line="200" w:lineRule="exact"/>
        <w:rPr>
          <w:sz w:val="20"/>
          <w:szCs w:val="20"/>
          <w:color w:val="auto"/>
        </w:rPr>
      </w:pPr>
    </w:p>
    <w:p>
      <w:pPr>
        <w:sectPr>
          <w:pgSz w:w="11900" w:h="16838" w:orient="portrait"/>
          <w:cols w:equalWidth="0" w:num="2">
            <w:col w:w="7360" w:space="680"/>
            <w:col w:w="3000"/>
          </w:cols>
          <w:pgMar w:left="320" w:top="454" w:right="539" w:bottom="1440" w:gutter="0" w:footer="0" w:header="0"/>
        </w:sectPr>
      </w:pPr>
    </w:p>
    <w:p>
      <w:pPr>
        <w:spacing w:after="0" w:line="32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How We Choose Directors</w:t>
      </w:r>
    </w:p>
    <w:p>
      <w:pPr>
        <w:spacing w:after="0" w:line="71" w:lineRule="exact"/>
        <w:rPr>
          <w:sz w:val="20"/>
          <w:szCs w:val="20"/>
          <w:color w:val="auto"/>
        </w:rPr>
      </w:pPr>
    </w:p>
    <w:p>
      <w:pPr>
        <w:ind w:left="160"/>
        <w:spacing w:after="0" w:line="262" w:lineRule="auto"/>
        <w:rPr>
          <w:sz w:val="20"/>
          <w:szCs w:val="20"/>
          <w:color w:val="auto"/>
        </w:rPr>
      </w:pPr>
      <w:r>
        <w:rPr>
          <w:rFonts w:ascii="Arial" w:cs="Arial" w:eastAsia="Arial" w:hAnsi="Arial"/>
          <w:sz w:val="16"/>
          <w:szCs w:val="16"/>
          <w:color w:val="092E44"/>
        </w:rPr>
        <w:t>The Nominations and Governance Committee is responsible for assessing the appropriate balance of experience, skills, and characteristics required of our Board of Directors and for carrying out adequate due diligence with respect to prospective board members. Generally speaking, we believe the Board should include individuals with skills and experience in the following areas:</w:t>
      </w:r>
    </w:p>
    <w:p>
      <w:pPr>
        <w:spacing w:after="0" w:line="106" w:lineRule="exact"/>
        <w:rPr>
          <w:sz w:val="20"/>
          <w:szCs w:val="20"/>
          <w:color w:val="auto"/>
        </w:rPr>
      </w:pPr>
    </w:p>
    <w:tbl>
      <w:tblPr>
        <w:tblLayout w:type="fixed"/>
        <w:tblInd w:w="160" w:type="dxa"/>
        <w:tblCellMar>
          <w:top w:w="0" w:type="dxa"/>
          <w:left w:w="0" w:type="dxa"/>
          <w:bottom w:w="0" w:type="dxa"/>
          <w:right w:w="0" w:type="dxa"/>
        </w:tblCellMar>
      </w:tblPr>
      <w:tr>
        <w:trPr>
          <w:trHeight w:val="211"/>
        </w:trPr>
        <w:tc>
          <w:tcPr>
            <w:tcW w:w="2940" w:type="dxa"/>
            <w:vAlign w:val="bottom"/>
            <w:gridSpan w:val="2"/>
          </w:tcPr>
          <w:p>
            <w:pPr>
              <w:spacing w:after="0"/>
              <w:rPr>
                <w:sz w:val="20"/>
                <w:szCs w:val="20"/>
                <w:color w:val="auto"/>
              </w:rPr>
            </w:pPr>
            <w:r>
              <w:rPr>
                <w:rFonts w:ascii="Times New Roman" w:cs="Times New Roman" w:eastAsia="Times New Roman" w:hAnsi="Times New Roman"/>
                <w:sz w:val="16"/>
                <w:szCs w:val="16"/>
                <w:color w:val="E14A6A"/>
              </w:rPr>
              <w:t xml:space="preserve">•  </w:t>
            </w:r>
            <w:r>
              <w:rPr>
                <w:rFonts w:ascii="Arial" w:cs="Arial" w:eastAsia="Arial" w:hAnsi="Arial"/>
                <w:sz w:val="16"/>
                <w:szCs w:val="16"/>
                <w:color w:val="092E44"/>
              </w:rPr>
              <w:t>HR-Workforce of the Future</w:t>
            </w:r>
          </w:p>
        </w:tc>
        <w:tc>
          <w:tcPr>
            <w:tcW w:w="900" w:type="dxa"/>
            <w:vAlign w:val="bottom"/>
          </w:tcPr>
          <w:p>
            <w:pPr>
              <w:ind w:left="780"/>
              <w:spacing w:after="0"/>
              <w:rPr>
                <w:sz w:val="20"/>
                <w:szCs w:val="20"/>
                <w:color w:val="auto"/>
              </w:rPr>
            </w:pPr>
            <w:r>
              <w:rPr>
                <w:rFonts w:ascii="Times New Roman" w:cs="Times New Roman" w:eastAsia="Times New Roman" w:hAnsi="Times New Roman"/>
                <w:sz w:val="16"/>
                <w:szCs w:val="16"/>
                <w:color w:val="E14A6A"/>
              </w:rPr>
              <w:t>•</w:t>
            </w:r>
          </w:p>
        </w:tc>
        <w:tc>
          <w:tcPr>
            <w:tcW w:w="2720" w:type="dxa"/>
            <w:vAlign w:val="bottom"/>
          </w:tcPr>
          <w:p>
            <w:pPr>
              <w:ind w:left="80"/>
              <w:spacing w:after="0"/>
              <w:rPr>
                <w:sz w:val="20"/>
                <w:szCs w:val="20"/>
                <w:color w:val="auto"/>
              </w:rPr>
            </w:pPr>
            <w:r>
              <w:rPr>
                <w:rFonts w:ascii="Arial" w:cs="Arial" w:eastAsia="Arial" w:hAnsi="Arial"/>
                <w:sz w:val="16"/>
                <w:szCs w:val="16"/>
                <w:color w:val="092E44"/>
              </w:rPr>
              <w:t>Digital Marketing</w:t>
            </w:r>
          </w:p>
        </w:tc>
        <w:tc>
          <w:tcPr>
            <w:tcW w:w="1100" w:type="dxa"/>
            <w:vAlign w:val="bottom"/>
          </w:tcPr>
          <w:p>
            <w:pPr>
              <w:ind w:left="980"/>
              <w:spacing w:after="0"/>
              <w:rPr>
                <w:sz w:val="20"/>
                <w:szCs w:val="20"/>
                <w:color w:val="auto"/>
              </w:rPr>
            </w:pPr>
            <w:r>
              <w:rPr>
                <w:rFonts w:ascii="Times New Roman" w:cs="Times New Roman" w:eastAsia="Times New Roman" w:hAnsi="Times New Roman"/>
                <w:sz w:val="16"/>
                <w:szCs w:val="16"/>
                <w:color w:val="E14A6A"/>
              </w:rPr>
              <w:t>•</w:t>
            </w:r>
          </w:p>
        </w:tc>
        <w:tc>
          <w:tcPr>
            <w:tcW w:w="1760" w:type="dxa"/>
            <w:vAlign w:val="bottom"/>
          </w:tcPr>
          <w:p>
            <w:pPr>
              <w:ind w:left="80"/>
              <w:spacing w:after="0"/>
              <w:rPr>
                <w:sz w:val="20"/>
                <w:szCs w:val="20"/>
                <w:color w:val="auto"/>
              </w:rPr>
            </w:pPr>
            <w:r>
              <w:rPr>
                <w:rFonts w:ascii="Arial" w:cs="Arial" w:eastAsia="Arial" w:hAnsi="Arial"/>
                <w:sz w:val="16"/>
                <w:szCs w:val="16"/>
                <w:color w:val="092E44"/>
              </w:rPr>
              <w:t>M&amp;A and Integrations</w:t>
            </w:r>
          </w:p>
        </w:tc>
      </w:tr>
      <w:tr>
        <w:trPr>
          <w:trHeight w:val="267"/>
        </w:trPr>
        <w:tc>
          <w:tcPr>
            <w:tcW w:w="140" w:type="dxa"/>
            <w:vAlign w:val="bottom"/>
          </w:tcPr>
          <w:p>
            <w:pPr>
              <w:spacing w:after="0"/>
              <w:rPr>
                <w:sz w:val="20"/>
                <w:szCs w:val="20"/>
                <w:color w:val="auto"/>
              </w:rPr>
            </w:pPr>
            <w:r>
              <w:rPr>
                <w:rFonts w:ascii="Times New Roman" w:cs="Times New Roman" w:eastAsia="Times New Roman" w:hAnsi="Times New Roman"/>
                <w:sz w:val="16"/>
                <w:szCs w:val="16"/>
                <w:color w:val="E14A6A"/>
              </w:rPr>
              <w:t>•</w:t>
            </w:r>
          </w:p>
        </w:tc>
        <w:tc>
          <w:tcPr>
            <w:tcW w:w="2800" w:type="dxa"/>
            <w:vAlign w:val="bottom"/>
          </w:tcPr>
          <w:p>
            <w:pPr>
              <w:ind w:left="60"/>
              <w:spacing w:after="0"/>
              <w:rPr>
                <w:sz w:val="20"/>
                <w:szCs w:val="20"/>
                <w:color w:val="auto"/>
              </w:rPr>
            </w:pPr>
            <w:r>
              <w:rPr>
                <w:rFonts w:ascii="Arial" w:cs="Arial" w:eastAsia="Arial" w:hAnsi="Arial"/>
                <w:sz w:val="16"/>
                <w:szCs w:val="16"/>
                <w:color w:val="092E44"/>
              </w:rPr>
              <w:t>Engineering and Innovation</w:t>
            </w:r>
          </w:p>
        </w:tc>
        <w:tc>
          <w:tcPr>
            <w:tcW w:w="900" w:type="dxa"/>
            <w:vAlign w:val="bottom"/>
          </w:tcPr>
          <w:p>
            <w:pPr>
              <w:ind w:left="780"/>
              <w:spacing w:after="0"/>
              <w:rPr>
                <w:sz w:val="20"/>
                <w:szCs w:val="20"/>
                <w:color w:val="auto"/>
              </w:rPr>
            </w:pPr>
            <w:r>
              <w:rPr>
                <w:rFonts w:ascii="Times New Roman" w:cs="Times New Roman" w:eastAsia="Times New Roman" w:hAnsi="Times New Roman"/>
                <w:sz w:val="16"/>
                <w:szCs w:val="16"/>
                <w:color w:val="E14A6A"/>
              </w:rPr>
              <w:t>•</w:t>
            </w:r>
          </w:p>
        </w:tc>
        <w:tc>
          <w:tcPr>
            <w:tcW w:w="2720" w:type="dxa"/>
            <w:vAlign w:val="bottom"/>
          </w:tcPr>
          <w:p>
            <w:pPr>
              <w:ind w:left="80"/>
              <w:spacing w:after="0"/>
              <w:rPr>
                <w:sz w:val="20"/>
                <w:szCs w:val="20"/>
                <w:color w:val="auto"/>
              </w:rPr>
            </w:pPr>
            <w:r>
              <w:rPr>
                <w:rFonts w:ascii="Arial" w:cs="Arial" w:eastAsia="Arial" w:hAnsi="Arial"/>
                <w:sz w:val="16"/>
                <w:szCs w:val="16"/>
                <w:color w:val="092E44"/>
              </w:rPr>
              <w:t>Transition/Shift to SaaS</w:t>
            </w:r>
          </w:p>
        </w:tc>
        <w:tc>
          <w:tcPr>
            <w:tcW w:w="1100" w:type="dxa"/>
            <w:vAlign w:val="bottom"/>
          </w:tcPr>
          <w:p>
            <w:pPr>
              <w:ind w:left="980"/>
              <w:spacing w:after="0"/>
              <w:rPr>
                <w:sz w:val="20"/>
                <w:szCs w:val="20"/>
                <w:color w:val="auto"/>
              </w:rPr>
            </w:pPr>
            <w:r>
              <w:rPr>
                <w:rFonts w:ascii="Times New Roman" w:cs="Times New Roman" w:eastAsia="Times New Roman" w:hAnsi="Times New Roman"/>
                <w:sz w:val="16"/>
                <w:szCs w:val="16"/>
                <w:color w:val="E14A6A"/>
              </w:rPr>
              <w:t>•</w:t>
            </w:r>
          </w:p>
        </w:tc>
        <w:tc>
          <w:tcPr>
            <w:tcW w:w="1760" w:type="dxa"/>
            <w:vAlign w:val="bottom"/>
          </w:tcPr>
          <w:p>
            <w:pPr>
              <w:ind w:left="80"/>
              <w:spacing w:after="0"/>
              <w:rPr>
                <w:sz w:val="20"/>
                <w:szCs w:val="20"/>
                <w:color w:val="auto"/>
              </w:rPr>
            </w:pPr>
            <w:r>
              <w:rPr>
                <w:rFonts w:ascii="Arial" w:cs="Arial" w:eastAsia="Arial" w:hAnsi="Arial"/>
                <w:sz w:val="16"/>
                <w:szCs w:val="16"/>
                <w:color w:val="092E44"/>
                <w:w w:val="99"/>
              </w:rPr>
              <w:t>Executive Management</w:t>
            </w:r>
          </w:p>
        </w:tc>
      </w:tr>
      <w:tr>
        <w:trPr>
          <w:trHeight w:val="267"/>
        </w:trPr>
        <w:tc>
          <w:tcPr>
            <w:tcW w:w="140" w:type="dxa"/>
            <w:vAlign w:val="bottom"/>
          </w:tcPr>
          <w:p>
            <w:pPr>
              <w:spacing w:after="0"/>
              <w:rPr>
                <w:sz w:val="20"/>
                <w:szCs w:val="20"/>
                <w:color w:val="auto"/>
              </w:rPr>
            </w:pPr>
            <w:r>
              <w:rPr>
                <w:rFonts w:ascii="Times New Roman" w:cs="Times New Roman" w:eastAsia="Times New Roman" w:hAnsi="Times New Roman"/>
                <w:sz w:val="16"/>
                <w:szCs w:val="16"/>
                <w:color w:val="E14A6A"/>
              </w:rPr>
              <w:t>•</w:t>
            </w:r>
          </w:p>
        </w:tc>
        <w:tc>
          <w:tcPr>
            <w:tcW w:w="2800" w:type="dxa"/>
            <w:vAlign w:val="bottom"/>
          </w:tcPr>
          <w:p>
            <w:pPr>
              <w:ind w:left="60"/>
              <w:spacing w:after="0"/>
              <w:rPr>
                <w:sz w:val="20"/>
                <w:szCs w:val="20"/>
                <w:color w:val="auto"/>
              </w:rPr>
            </w:pPr>
            <w:r>
              <w:rPr>
                <w:rFonts w:ascii="Arial" w:cs="Arial" w:eastAsia="Arial" w:hAnsi="Arial"/>
                <w:sz w:val="16"/>
                <w:szCs w:val="16"/>
                <w:color w:val="092E44"/>
              </w:rPr>
              <w:t>Go-to-Market</w:t>
            </w:r>
          </w:p>
        </w:tc>
        <w:tc>
          <w:tcPr>
            <w:tcW w:w="900" w:type="dxa"/>
            <w:vAlign w:val="bottom"/>
          </w:tcPr>
          <w:p>
            <w:pPr>
              <w:ind w:left="780"/>
              <w:spacing w:after="0"/>
              <w:rPr>
                <w:sz w:val="20"/>
                <w:szCs w:val="20"/>
                <w:color w:val="auto"/>
              </w:rPr>
            </w:pPr>
            <w:r>
              <w:rPr>
                <w:rFonts w:ascii="Times New Roman" w:cs="Times New Roman" w:eastAsia="Times New Roman" w:hAnsi="Times New Roman"/>
                <w:sz w:val="16"/>
                <w:szCs w:val="16"/>
                <w:color w:val="E14A6A"/>
              </w:rPr>
              <w:t>•</w:t>
            </w:r>
          </w:p>
        </w:tc>
        <w:tc>
          <w:tcPr>
            <w:tcW w:w="2720" w:type="dxa"/>
            <w:vAlign w:val="bottom"/>
          </w:tcPr>
          <w:p>
            <w:pPr>
              <w:ind w:left="80"/>
              <w:spacing w:after="0"/>
              <w:rPr>
                <w:sz w:val="20"/>
                <w:szCs w:val="20"/>
                <w:color w:val="auto"/>
              </w:rPr>
            </w:pPr>
            <w:r>
              <w:rPr>
                <w:rFonts w:ascii="Arial" w:cs="Arial" w:eastAsia="Arial" w:hAnsi="Arial"/>
                <w:sz w:val="16"/>
                <w:szCs w:val="16"/>
                <w:color w:val="092E44"/>
              </w:rPr>
              <w:t>Finance</w:t>
            </w:r>
          </w:p>
        </w:tc>
        <w:tc>
          <w:tcPr>
            <w:tcW w:w="110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67"/>
        </w:trPr>
        <w:tc>
          <w:tcPr>
            <w:tcW w:w="140" w:type="dxa"/>
            <w:vAlign w:val="bottom"/>
          </w:tcPr>
          <w:p>
            <w:pPr>
              <w:spacing w:after="0"/>
              <w:rPr>
                <w:sz w:val="20"/>
                <w:szCs w:val="20"/>
                <w:color w:val="auto"/>
              </w:rPr>
            </w:pPr>
            <w:r>
              <w:rPr>
                <w:rFonts w:ascii="Times New Roman" w:cs="Times New Roman" w:eastAsia="Times New Roman" w:hAnsi="Times New Roman"/>
                <w:sz w:val="16"/>
                <w:szCs w:val="16"/>
                <w:color w:val="E14A6A"/>
              </w:rPr>
              <w:t>•</w:t>
            </w:r>
          </w:p>
        </w:tc>
        <w:tc>
          <w:tcPr>
            <w:tcW w:w="2800" w:type="dxa"/>
            <w:vAlign w:val="bottom"/>
          </w:tcPr>
          <w:p>
            <w:pPr>
              <w:ind w:left="60"/>
              <w:spacing w:after="0"/>
              <w:rPr>
                <w:sz w:val="20"/>
                <w:szCs w:val="20"/>
                <w:color w:val="auto"/>
              </w:rPr>
            </w:pPr>
            <w:r>
              <w:rPr>
                <w:rFonts w:ascii="Arial" w:cs="Arial" w:eastAsia="Arial" w:hAnsi="Arial"/>
                <w:sz w:val="16"/>
                <w:szCs w:val="16"/>
                <w:color w:val="092E44"/>
              </w:rPr>
              <w:t>Cybersecurity</w:t>
            </w:r>
          </w:p>
        </w:tc>
        <w:tc>
          <w:tcPr>
            <w:tcW w:w="900" w:type="dxa"/>
            <w:vAlign w:val="bottom"/>
          </w:tcPr>
          <w:p>
            <w:pPr>
              <w:ind w:left="780"/>
              <w:spacing w:after="0"/>
              <w:rPr>
                <w:sz w:val="20"/>
                <w:szCs w:val="20"/>
                <w:color w:val="auto"/>
              </w:rPr>
            </w:pPr>
            <w:r>
              <w:rPr>
                <w:rFonts w:ascii="Times New Roman" w:cs="Times New Roman" w:eastAsia="Times New Roman" w:hAnsi="Times New Roman"/>
                <w:sz w:val="16"/>
                <w:szCs w:val="16"/>
                <w:color w:val="E14A6A"/>
              </w:rPr>
              <w:t>•</w:t>
            </w:r>
          </w:p>
        </w:tc>
        <w:tc>
          <w:tcPr>
            <w:tcW w:w="2720" w:type="dxa"/>
            <w:vAlign w:val="bottom"/>
          </w:tcPr>
          <w:p>
            <w:pPr>
              <w:ind w:left="80"/>
              <w:spacing w:after="0"/>
              <w:rPr>
                <w:sz w:val="20"/>
                <w:szCs w:val="20"/>
                <w:color w:val="auto"/>
              </w:rPr>
            </w:pPr>
            <w:r>
              <w:rPr>
                <w:rFonts w:ascii="Arial" w:cs="Arial" w:eastAsia="Arial" w:hAnsi="Arial"/>
                <w:sz w:val="16"/>
                <w:szCs w:val="16"/>
                <w:color w:val="092E44"/>
              </w:rPr>
              <w:t>Global/Strategy</w:t>
            </w:r>
          </w:p>
        </w:tc>
        <w:tc>
          <w:tcPr>
            <w:tcW w:w="1100" w:type="dxa"/>
            <w:vAlign w:val="bottom"/>
          </w:tcPr>
          <w:p>
            <w:pPr>
              <w:spacing w:after="0"/>
              <w:rPr>
                <w:sz w:val="23"/>
                <w:szCs w:val="23"/>
                <w:color w:val="auto"/>
              </w:rPr>
            </w:pPr>
          </w:p>
        </w:tc>
        <w:tc>
          <w:tcPr>
            <w:tcW w:w="1760" w:type="dxa"/>
            <w:vAlign w:val="bottom"/>
          </w:tcPr>
          <w:p>
            <w:pPr>
              <w:spacing w:after="0"/>
              <w:rPr>
                <w:sz w:val="23"/>
                <w:szCs w:val="23"/>
                <w:color w:val="auto"/>
              </w:rPr>
            </w:pPr>
          </w:p>
        </w:tc>
      </w:tr>
    </w:tbl>
    <w:p>
      <w:pPr>
        <w:spacing w:after="0" w:line="230"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The Nominations and Governance Committee will consider nominees that are recommended by current directors, management, or stockholders.</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Candidates recommended by stockholders will be evaluated in the same manner as candidates identified through other means.</w:t>
      </w:r>
    </w:p>
    <w:p>
      <w:pPr>
        <w:spacing w:after="0" w:line="81" w:lineRule="exact"/>
        <w:rPr>
          <w:sz w:val="20"/>
          <w:szCs w:val="20"/>
          <w:color w:val="auto"/>
        </w:rPr>
      </w:pPr>
    </w:p>
    <w:p>
      <w:pPr>
        <w:ind w:left="160" w:right="20"/>
        <w:spacing w:after="0" w:line="253" w:lineRule="auto"/>
        <w:rPr>
          <w:sz w:val="20"/>
          <w:szCs w:val="20"/>
          <w:color w:val="auto"/>
        </w:rPr>
      </w:pPr>
      <w:r>
        <w:rPr>
          <w:rFonts w:ascii="Arial" w:cs="Arial" w:eastAsia="Arial" w:hAnsi="Arial"/>
          <w:sz w:val="16"/>
          <w:szCs w:val="16"/>
          <w:color w:val="092E44"/>
        </w:rPr>
        <w:t>Nominees for director are selected on the basis of diversity, depth and breadth of experience, integrity, ability to make independent analytical inquiries, understanding of our business environment, willingness to devote adequate time to board duties, and the interplay of the candidate’s experience and skills with those of other board members. Our Corporate Governance Guidelines provide that the Nominations and Governance Committee must also consider gender, race, and ethnicity when recommending director nominees, with the objective of achieving a Board with diverse business, personal, and educational backgrounds.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233680</wp:posOffset>
            </wp:positionV>
            <wp:extent cx="220980" cy="2120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21</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40"/>
          </w:cols>
          <w:pgMar w:left="320" w:top="454" w:right="5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CORPORATE GOVERNANCE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BOARD COMMITTEES</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Board Committees</w:t>
      </w:r>
    </w:p>
    <w:p>
      <w:pPr>
        <w:spacing w:after="0" w:line="71" w:lineRule="exact"/>
        <w:rPr>
          <w:sz w:val="20"/>
          <w:szCs w:val="20"/>
          <w:color w:val="auto"/>
        </w:rPr>
      </w:pPr>
    </w:p>
    <w:p>
      <w:pPr>
        <w:jc w:val="both"/>
        <w:ind w:left="160" w:right="180"/>
        <w:spacing w:after="0" w:line="262" w:lineRule="auto"/>
        <w:rPr>
          <w:sz w:val="20"/>
          <w:szCs w:val="20"/>
          <w:color w:val="auto"/>
        </w:rPr>
      </w:pPr>
      <w:r>
        <w:rPr>
          <w:rFonts w:ascii="Arial" w:cs="Arial" w:eastAsia="Arial" w:hAnsi="Arial"/>
          <w:sz w:val="16"/>
          <w:szCs w:val="16"/>
          <w:color w:val="092E44"/>
        </w:rPr>
        <w:t xml:space="preserve">The Board of Directors has three standing committees and one </w:t>
      </w:r>
      <w:r>
        <w:rPr>
          <w:rFonts w:ascii="Arial" w:cs="Arial" w:eastAsia="Arial" w:hAnsi="Arial"/>
          <w:sz w:val="16"/>
          <w:szCs w:val="16"/>
          <w:i w:val="1"/>
          <w:iCs w:val="1"/>
          <w:color w:val="092E44"/>
        </w:rPr>
        <w:t>ad hoc</w:t>
      </w:r>
      <w:r>
        <w:rPr>
          <w:rFonts w:ascii="Arial" w:cs="Arial" w:eastAsia="Arial" w:hAnsi="Arial"/>
          <w:sz w:val="16"/>
          <w:szCs w:val="16"/>
          <w:color w:val="092E44"/>
        </w:rPr>
        <w:t xml:space="preserve"> committee. Each committee operates under a written charter that is available on the “Investor Relations—Corporate Governance Overview” section of our website. The members of all of the committees are independent as defined in the Nasdaq listing standards.</w:t>
      </w:r>
    </w:p>
    <w:p>
      <w:pPr>
        <w:spacing w:after="0" w:line="311" w:lineRule="exact"/>
        <w:rPr>
          <w:sz w:val="20"/>
          <w:szCs w:val="20"/>
          <w:color w:val="auto"/>
        </w:rPr>
      </w:pPr>
    </w:p>
    <w:p>
      <w:pPr>
        <w:ind w:left="2140"/>
        <w:spacing w:after="0"/>
        <w:rPr>
          <w:sz w:val="20"/>
          <w:szCs w:val="20"/>
          <w:color w:val="auto"/>
        </w:rPr>
      </w:pPr>
      <w:r>
        <w:rPr>
          <w:rFonts w:ascii="Arial" w:cs="Arial" w:eastAsia="Arial" w:hAnsi="Arial"/>
          <w:sz w:val="30"/>
          <w:szCs w:val="30"/>
          <w:color w:val="E14A6A"/>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807085" cy="9086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07085" cy="908685"/>
                    </a:xfrm>
                    <a:prstGeom prst="rect">
                      <a:avLst/>
                    </a:prstGeom>
                    <a:noFill/>
                  </pic:spPr>
                </pic:pic>
              </a:graphicData>
            </a:graphic>
          </wp:anchor>
        </w:drawing>
      </w:r>
    </w:p>
    <w:p>
      <w:pPr>
        <w:spacing w:after="0" w:line="123" w:lineRule="exact"/>
        <w:rPr>
          <w:sz w:val="20"/>
          <w:szCs w:val="20"/>
          <w:color w:val="auto"/>
        </w:rPr>
      </w:pPr>
    </w:p>
    <w:p>
      <w:pPr>
        <w:ind w:left="2140"/>
        <w:spacing w:after="0"/>
        <w:rPr>
          <w:sz w:val="20"/>
          <w:szCs w:val="20"/>
          <w:color w:val="auto"/>
        </w:rPr>
      </w:pPr>
      <w:r>
        <w:rPr>
          <w:rFonts w:ascii="Arial" w:cs="Arial" w:eastAsia="Arial" w:hAnsi="Arial"/>
          <w:sz w:val="15"/>
          <w:szCs w:val="15"/>
          <w:color w:val="092E44"/>
        </w:rPr>
        <w:t>The Audit Committee is responsible for the appointment, compensation, and oversight of our independent auditor. Additionally, the</w:t>
      </w:r>
    </w:p>
    <w:p>
      <w:pPr>
        <w:spacing w:after="0" w:line="2" w:lineRule="exact"/>
        <w:rPr>
          <w:sz w:val="20"/>
          <w:szCs w:val="20"/>
          <w:color w:val="auto"/>
        </w:rPr>
      </w:pPr>
    </w:p>
    <w:p>
      <w:pPr>
        <w:ind w:left="2140"/>
        <w:spacing w:after="0"/>
        <w:rPr>
          <w:sz w:val="20"/>
          <w:szCs w:val="20"/>
          <w:color w:val="auto"/>
        </w:rPr>
      </w:pPr>
      <w:r>
        <w:rPr>
          <w:rFonts w:ascii="Arial" w:cs="Arial" w:eastAsia="Arial" w:hAnsi="Arial"/>
          <w:sz w:val="15"/>
          <w:szCs w:val="15"/>
          <w:color w:val="092E44"/>
        </w:rPr>
        <w:t>Audit Committee monitors:</w:t>
      </w:r>
    </w:p>
    <w:p>
      <w:pPr>
        <w:sectPr>
          <w:pgSz w:w="11900" w:h="16838" w:orient="portrait"/>
          <w:cols w:equalWidth="0" w:num="1">
            <w:col w:w="11060"/>
          </w:cols>
          <w:pgMar w:left="320" w:top="454"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E14A6A"/>
        </w:rPr>
        <w:t>Members: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92E44"/>
        </w:rPr>
        <w:t>Messrs. Walker</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(Chair),</w:t>
      </w:r>
    </w:p>
    <w:p>
      <w:pPr>
        <w:spacing w:after="0" w:line="26" w:lineRule="exact"/>
        <w:rPr>
          <w:sz w:val="20"/>
          <w:szCs w:val="20"/>
          <w:color w:val="auto"/>
        </w:rPr>
      </w:pPr>
    </w:p>
    <w:p>
      <w:pPr>
        <w:ind w:left="160"/>
        <w:spacing w:after="0" w:line="213" w:lineRule="auto"/>
        <w:rPr>
          <w:sz w:val="20"/>
          <w:szCs w:val="20"/>
          <w:color w:val="auto"/>
        </w:rPr>
      </w:pPr>
      <w:r>
        <w:rPr>
          <w:rFonts w:ascii="Arial" w:cs="Arial" w:eastAsia="Arial" w:hAnsi="Arial"/>
          <w:sz w:val="14"/>
          <w:szCs w:val="14"/>
          <w:color w:val="092E44"/>
        </w:rPr>
        <w:t>Moran, and Shenkman Meetings in fiscal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the integrity of our financial statements</w:t>
      </w:r>
    </w:p>
    <w:p>
      <w:pPr>
        <w:spacing w:after="0" w:line="13" w:lineRule="exact"/>
        <w:rPr>
          <w:sz w:val="20"/>
          <w:szCs w:val="20"/>
          <w:color w:val="auto"/>
        </w:rPr>
      </w:pPr>
    </w:p>
    <w:p>
      <w:pPr>
        <w:ind w:left="160" w:right="340" w:hanging="151"/>
        <w:spacing w:after="0" w:line="250" w:lineRule="auto"/>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our independent auditor’s performance qualifications, and</w:t>
      </w:r>
      <w:r>
        <w:rPr>
          <w:rFonts w:ascii="Times New Roman" w:cs="Times New Roman" w:eastAsia="Times New Roman" w:hAnsi="Times New Roman"/>
          <w:sz w:val="15"/>
          <w:szCs w:val="15"/>
          <w:color w:val="E14A6A"/>
        </w:rPr>
        <w:t xml:space="preserve"> </w:t>
      </w:r>
      <w:r>
        <w:rPr>
          <w:rFonts w:ascii="Arial" w:cs="Arial" w:eastAsia="Arial" w:hAnsi="Arial"/>
          <w:sz w:val="15"/>
          <w:szCs w:val="15"/>
          <w:color w:val="092E44"/>
        </w:rPr>
        <w:t>independence</w:t>
      </w:r>
    </w:p>
    <w:p>
      <w:pPr>
        <w:ind w:left="160" w:hanging="151"/>
        <w:spacing w:after="0" w:line="250" w:lineRule="auto"/>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our compliance with legal and regulatory requirements and our</w:t>
      </w:r>
      <w:r>
        <w:rPr>
          <w:rFonts w:ascii="Times New Roman" w:cs="Times New Roman" w:eastAsia="Times New Roman" w:hAnsi="Times New Roman"/>
          <w:sz w:val="15"/>
          <w:szCs w:val="15"/>
          <w:color w:val="E14A6A"/>
        </w:rPr>
        <w:t xml:space="preserve"> </w:t>
      </w:r>
      <w:r>
        <w:rPr>
          <w:rFonts w:ascii="Arial" w:cs="Arial" w:eastAsia="Arial" w:hAnsi="Arial"/>
          <w:sz w:val="15"/>
          <w:szCs w:val="15"/>
          <w:color w:val="092E44"/>
        </w:rPr>
        <w:t>compliance program generally</w:t>
      </w:r>
    </w:p>
    <w:p>
      <w:pPr>
        <w:ind w:left="160" w:hanging="151"/>
        <w:spacing w:after="0" w:line="250" w:lineRule="auto"/>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the performance of our internal audit function and independent</w:t>
      </w:r>
      <w:r>
        <w:rPr>
          <w:rFonts w:ascii="Times New Roman" w:cs="Times New Roman" w:eastAsia="Times New Roman" w:hAnsi="Times New Roman"/>
          <w:sz w:val="15"/>
          <w:szCs w:val="15"/>
          <w:color w:val="E14A6A"/>
        </w:rPr>
        <w:t xml:space="preserve"> </w:t>
      </w:r>
      <w:r>
        <w:rPr>
          <w:rFonts w:ascii="Arial" w:cs="Arial" w:eastAsia="Arial" w:hAnsi="Arial"/>
          <w:sz w:val="15"/>
          <w:szCs w:val="15"/>
          <w:color w:val="092E44"/>
        </w:rPr>
        <w:t>auditor</w:t>
      </w:r>
    </w:p>
    <w:p>
      <w:pPr>
        <w:spacing w:after="0"/>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related person transactions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our cybersecurity and IT compliance programs</w:t>
      </w:r>
    </w:p>
    <w:p>
      <w:pPr>
        <w:spacing w:after="0" w:line="13" w:lineRule="exact"/>
        <w:rPr>
          <w:sz w:val="20"/>
          <w:szCs w:val="20"/>
          <w:color w:val="auto"/>
        </w:rPr>
      </w:pPr>
    </w:p>
    <w:p>
      <w:pPr>
        <w:ind w:left="160" w:right="500" w:hanging="151"/>
        <w:spacing w:after="0" w:line="250" w:lineRule="auto"/>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whistleblower complaints (Integrity Counts) and related</w:t>
      </w:r>
      <w:r>
        <w:rPr>
          <w:rFonts w:ascii="Times New Roman" w:cs="Times New Roman" w:eastAsia="Times New Roman" w:hAnsi="Times New Roman"/>
          <w:sz w:val="15"/>
          <w:szCs w:val="15"/>
          <w:color w:val="E14A6A"/>
        </w:rPr>
        <w:t xml:space="preserve"> </w:t>
      </w:r>
      <w:r>
        <w:rPr>
          <w:rFonts w:ascii="Arial" w:cs="Arial" w:eastAsia="Arial" w:hAnsi="Arial"/>
          <w:sz w:val="15"/>
          <w:szCs w:val="15"/>
          <w:color w:val="092E44"/>
        </w:rPr>
        <w:t>investigations</w:t>
      </w:r>
    </w:p>
    <w:p>
      <w:pPr>
        <w:spacing w:after="0"/>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our audit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our critical accounting policies and practices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the adequacy of our disclosure controls and procedures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management of significant financial risk</w:t>
      </w:r>
    </w:p>
    <w:p>
      <w:pPr>
        <w:spacing w:after="0" w:line="135" w:lineRule="exact"/>
        <w:rPr>
          <w:sz w:val="20"/>
          <w:szCs w:val="20"/>
          <w:color w:val="auto"/>
        </w:rPr>
      </w:pPr>
    </w:p>
    <w:p>
      <w:pPr>
        <w:sectPr>
          <w:pgSz w:w="11900" w:h="16838" w:orient="portrait"/>
          <w:cols w:equalWidth="0" w:num="3">
            <w:col w:w="1600" w:space="540"/>
            <w:col w:w="4360" w:space="220"/>
            <w:col w:w="4340"/>
          </w:cols>
          <w:pgMar w:left="320" w:top="454" w:right="519" w:bottom="1440" w:gutter="0" w:footer="0" w:header="0"/>
          <w:type w:val="continuous"/>
        </w:sectPr>
      </w:pPr>
    </w:p>
    <w:p>
      <w:pPr>
        <w:spacing w:after="0" w:line="74"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 xml:space="preserve">2022: </w:t>
      </w:r>
      <w:r>
        <w:rPr>
          <w:rFonts w:ascii="Arial" w:cs="Arial" w:eastAsia="Arial" w:hAnsi="Arial"/>
          <w:sz w:val="14"/>
          <w:szCs w:val="14"/>
          <w:b w:val="1"/>
          <w:bCs w:val="1"/>
          <w:color w:val="E14A6A"/>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1101090</wp:posOffset>
            </wp:positionV>
            <wp:extent cx="807085" cy="9086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07085" cy="908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20"/>
        <w:spacing w:after="0"/>
        <w:rPr>
          <w:sz w:val="20"/>
          <w:szCs w:val="20"/>
          <w:color w:val="auto"/>
        </w:rPr>
      </w:pPr>
      <w:r>
        <w:rPr>
          <w:rFonts w:ascii="Arial" w:cs="Arial" w:eastAsia="Arial" w:hAnsi="Arial"/>
          <w:sz w:val="15"/>
          <w:szCs w:val="15"/>
          <w:color w:val="092E44"/>
        </w:rPr>
        <w:t>The Audit Committee also is responsible for ensuring Commvault’s Code of Ethics for Senior Financial Officers remains current and for approving any non-auditing services performed by our independent auditor.</w:t>
      </w:r>
    </w:p>
    <w:p>
      <w:pPr>
        <w:spacing w:after="0" w:line="82" w:lineRule="exact"/>
        <w:rPr>
          <w:sz w:val="20"/>
          <w:szCs w:val="20"/>
          <w:color w:val="auto"/>
        </w:rPr>
      </w:pPr>
    </w:p>
    <w:p>
      <w:pPr>
        <w:spacing w:after="0" w:line="260" w:lineRule="auto"/>
        <w:rPr>
          <w:sz w:val="20"/>
          <w:szCs w:val="20"/>
          <w:color w:val="auto"/>
        </w:rPr>
      </w:pPr>
      <w:r>
        <w:rPr>
          <w:rFonts w:ascii="Arial" w:cs="Arial" w:eastAsia="Arial" w:hAnsi="Arial"/>
          <w:sz w:val="15"/>
          <w:szCs w:val="15"/>
          <w:color w:val="092E44"/>
        </w:rPr>
        <w:t>The Audit Committee relies on the knowledge and expertise of our management, the internal auditors, and the independent auditor in carrying out its oversight responsibilities.</w:t>
      </w:r>
    </w:p>
    <w:p>
      <w:pPr>
        <w:spacing w:after="0" w:line="68" w:lineRule="exact"/>
        <w:rPr>
          <w:sz w:val="20"/>
          <w:szCs w:val="20"/>
          <w:color w:val="auto"/>
        </w:rPr>
      </w:pPr>
    </w:p>
    <w:p>
      <w:pPr>
        <w:ind w:right="80"/>
        <w:spacing w:after="0" w:line="236" w:lineRule="auto"/>
        <w:rPr>
          <w:sz w:val="20"/>
          <w:szCs w:val="20"/>
          <w:color w:val="auto"/>
        </w:rPr>
      </w:pPr>
      <w:r>
        <w:rPr>
          <w:rFonts w:ascii="Arial" w:cs="Arial" w:eastAsia="Arial" w:hAnsi="Arial"/>
          <w:sz w:val="15"/>
          <w:szCs w:val="15"/>
          <w:color w:val="092E44"/>
        </w:rPr>
        <w:t>The members of the Audit Committee meet all the heightened independence standards for audit committee membership as set forth in the Nasdaq listing standards and SEC rules. The Board of Directors has determined that each of Messrs. Walker, Shenkman, and Moran qualifies as an “audit committee financial expert” as that term is defined in SEC rules, and that each is able to read and understand fundamental financial statements.</w:t>
      </w:r>
    </w:p>
    <w:p>
      <w:pPr>
        <w:spacing w:after="0" w:line="399" w:lineRule="exact"/>
        <w:rPr>
          <w:sz w:val="20"/>
          <w:szCs w:val="20"/>
          <w:color w:val="auto"/>
        </w:rPr>
      </w:pPr>
    </w:p>
    <w:p>
      <w:pPr>
        <w:spacing w:after="0"/>
        <w:rPr>
          <w:sz w:val="20"/>
          <w:szCs w:val="20"/>
          <w:color w:val="auto"/>
        </w:rPr>
      </w:pPr>
      <w:r>
        <w:rPr>
          <w:rFonts w:ascii="Arial" w:cs="Arial" w:eastAsia="Arial" w:hAnsi="Arial"/>
          <w:sz w:val="30"/>
          <w:szCs w:val="30"/>
          <w:color w:val="E14A6A"/>
        </w:rPr>
        <w:t>Talent Management and Compensation Committee</w:t>
      </w:r>
    </w:p>
    <w:p>
      <w:pPr>
        <w:spacing w:after="0" w:line="143" w:lineRule="exact"/>
        <w:rPr>
          <w:sz w:val="20"/>
          <w:szCs w:val="20"/>
          <w:color w:val="auto"/>
        </w:rPr>
      </w:pPr>
    </w:p>
    <w:p>
      <w:pPr>
        <w:sectPr>
          <w:pgSz w:w="11900" w:h="16838" w:orient="portrait"/>
          <w:cols w:equalWidth="0" w:num="2">
            <w:col w:w="1420" w:space="720"/>
            <w:col w:w="8920"/>
          </w:cols>
          <w:pgMar w:left="320" w:top="454"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E14A6A"/>
        </w:rPr>
        <w:t>Members: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92E44"/>
        </w:rPr>
        <w:t>Mr. Geeslin</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(Chair),</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Mr. Bradley, and Ms. Lee</w:t>
      </w:r>
    </w:p>
    <w:p>
      <w:pPr>
        <w:spacing w:after="0" w:line="40" w:lineRule="exact"/>
        <w:rPr>
          <w:sz w:val="20"/>
          <w:szCs w:val="20"/>
          <w:color w:val="auto"/>
        </w:rPr>
      </w:pPr>
    </w:p>
    <w:p>
      <w:pPr>
        <w:ind w:left="160"/>
        <w:spacing w:after="0" w:line="264" w:lineRule="auto"/>
        <w:rPr>
          <w:sz w:val="20"/>
          <w:szCs w:val="20"/>
          <w:color w:val="auto"/>
        </w:rPr>
      </w:pPr>
      <w:r>
        <w:rPr>
          <w:rFonts w:ascii="Arial" w:cs="Arial" w:eastAsia="Arial" w:hAnsi="Arial"/>
          <w:sz w:val="14"/>
          <w:szCs w:val="14"/>
          <w:color w:val="092E44"/>
        </w:rPr>
        <w:t xml:space="preserve">Meetings in fiscal 2022: met or acted by unanimous written consent </w:t>
      </w:r>
      <w:r>
        <w:rPr>
          <w:rFonts w:ascii="Arial" w:cs="Arial" w:eastAsia="Arial" w:hAnsi="Arial"/>
          <w:sz w:val="14"/>
          <w:szCs w:val="14"/>
          <w:b w:val="1"/>
          <w:bCs w:val="1"/>
          <w:color w:val="E14A6A"/>
        </w:rPr>
        <w:t>13</w:t>
      </w:r>
      <w:r>
        <w:rPr>
          <w:rFonts w:ascii="Arial" w:cs="Arial" w:eastAsia="Arial" w:hAnsi="Arial"/>
          <w:sz w:val="14"/>
          <w:szCs w:val="14"/>
          <w:color w:val="092E44"/>
        </w:rPr>
        <w:t xml:space="preserve">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229235</wp:posOffset>
            </wp:positionV>
            <wp:extent cx="220980" cy="2120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spacing w:after="0" w:line="236" w:lineRule="auto"/>
        <w:rPr>
          <w:sz w:val="20"/>
          <w:szCs w:val="20"/>
          <w:color w:val="auto"/>
        </w:rPr>
      </w:pPr>
      <w:r>
        <w:rPr>
          <w:rFonts w:ascii="Arial" w:cs="Arial" w:eastAsia="Arial" w:hAnsi="Arial"/>
          <w:sz w:val="15"/>
          <w:szCs w:val="15"/>
          <w:color w:val="092E44"/>
        </w:rPr>
        <w:t>The Talent Management and Compensation Committee (the “TMCC”) is responsible for overseeing Commvault’s compensation and benefit plans, including all compensation arrangements for executive officers and directors. In particular, the TMCC sets the compensation of our CEO and reviews and approves our CEO’s recommendations regarding the compensation of our other executive officers. Additionally, the TMCC oversees:</w:t>
      </w:r>
    </w:p>
    <w:p>
      <w:pPr>
        <w:spacing w:after="0" w:line="57" w:lineRule="exact"/>
        <w:rPr>
          <w:sz w:val="20"/>
          <w:szCs w:val="20"/>
          <w:color w:val="auto"/>
        </w:rPr>
      </w:pPr>
    </w:p>
    <w:p>
      <w:pPr>
        <w:spacing w:after="0"/>
        <w:tabs>
          <w:tab w:leader="none" w:pos="4560" w:val="left"/>
        </w:tabs>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Commvault’s diversity and inclusion programs and policies</w:t>
      </w:r>
      <w:r>
        <w:rPr>
          <w:sz w:val="20"/>
          <w:szCs w:val="20"/>
          <w:color w:val="auto"/>
        </w:rPr>
        <w:tab/>
      </w: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executive employment agreements</w:t>
      </w:r>
    </w:p>
    <w:p>
      <w:pPr>
        <w:spacing w:after="0" w:line="27" w:lineRule="exact"/>
        <w:rPr>
          <w:sz w:val="20"/>
          <w:szCs w:val="20"/>
          <w:color w:val="auto"/>
        </w:rPr>
      </w:pPr>
    </w:p>
    <w:p>
      <w:pPr>
        <w:spacing w:after="0"/>
        <w:tabs>
          <w:tab w:leader="none" w:pos="4560" w:val="left"/>
        </w:tabs>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workplace health and safety matters</w:t>
      </w:r>
      <w:r>
        <w:rPr>
          <w:sz w:val="20"/>
          <w:szCs w:val="20"/>
          <w:color w:val="auto"/>
        </w:rPr>
        <w:tab/>
      </w: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talent management</w:t>
      </w:r>
    </w:p>
    <w:p>
      <w:pPr>
        <w:spacing w:after="0" w:line="27" w:lineRule="exact"/>
        <w:rPr>
          <w:sz w:val="20"/>
          <w:szCs w:val="20"/>
          <w:color w:val="auto"/>
        </w:rPr>
      </w:pPr>
    </w:p>
    <w:p>
      <w:pPr>
        <w:spacing w:after="0"/>
        <w:tabs>
          <w:tab w:leader="none" w:pos="4560" w:val="left"/>
        </w:tabs>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our corporate culture</w:t>
      </w:r>
      <w:r>
        <w:rPr>
          <w:sz w:val="20"/>
          <w:szCs w:val="20"/>
          <w:color w:val="auto"/>
        </w:rPr>
        <w:tab/>
      </w: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management of risk arising from compensation practices and</w:t>
      </w:r>
    </w:p>
    <w:p>
      <w:pPr>
        <w:spacing w:after="0" w:line="1" w:lineRule="exact"/>
        <w:rPr>
          <w:sz w:val="20"/>
          <w:szCs w:val="20"/>
          <w:color w:val="auto"/>
        </w:rPr>
      </w:pPr>
    </w:p>
    <w:p>
      <w:pPr>
        <w:ind w:left="4740"/>
        <w:spacing w:after="0"/>
        <w:rPr>
          <w:sz w:val="20"/>
          <w:szCs w:val="20"/>
          <w:color w:val="auto"/>
        </w:rPr>
      </w:pPr>
      <w:r>
        <w:rPr>
          <w:rFonts w:ascii="Arial" w:cs="Arial" w:eastAsia="Arial" w:hAnsi="Arial"/>
          <w:sz w:val="15"/>
          <w:szCs w:val="15"/>
          <w:color w:val="092E44"/>
        </w:rPr>
        <w:t>policies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092E44"/>
        </w:rPr>
        <w:t>The TMCC also is responsible for approving Commvault’s Code of Ethics.</w:t>
      </w:r>
    </w:p>
    <w:p>
      <w:pPr>
        <w:spacing w:after="0" w:line="108" w:lineRule="exact"/>
        <w:rPr>
          <w:sz w:val="20"/>
          <w:szCs w:val="20"/>
          <w:color w:val="auto"/>
        </w:rPr>
      </w:pPr>
    </w:p>
    <w:p>
      <w:pPr>
        <w:ind w:right="420"/>
        <w:spacing w:after="0" w:line="260" w:lineRule="auto"/>
        <w:rPr>
          <w:sz w:val="20"/>
          <w:szCs w:val="20"/>
          <w:color w:val="auto"/>
        </w:rPr>
      </w:pPr>
      <w:r>
        <w:rPr>
          <w:rFonts w:ascii="Arial" w:cs="Arial" w:eastAsia="Arial" w:hAnsi="Arial"/>
          <w:sz w:val="15"/>
          <w:szCs w:val="15"/>
          <w:color w:val="092E44"/>
        </w:rPr>
        <w:t>All members of the TMCC meet the heightened independence standards for compensation committee members set forth in the Nasdaq listing standards.</w:t>
      </w:r>
    </w:p>
    <w:p>
      <w:pPr>
        <w:spacing w:after="0" w:line="258" w:lineRule="exact"/>
        <w:rPr>
          <w:sz w:val="20"/>
          <w:szCs w:val="20"/>
          <w:color w:val="auto"/>
        </w:rPr>
      </w:pPr>
    </w:p>
    <w:p>
      <w:pPr>
        <w:sectPr>
          <w:pgSz w:w="11900" w:h="16838" w:orient="portrait"/>
          <w:cols w:equalWidth="0" w:num="2">
            <w:col w:w="1940" w:space="200"/>
            <w:col w:w="8920"/>
          </w:cols>
          <w:pgMar w:left="320" w:top="454" w:right="519" w:bottom="1440" w:gutter="0" w:footer="0" w:header="0"/>
          <w:type w:val="continuous"/>
        </w:sectPr>
      </w:pPr>
    </w:p>
    <w:p>
      <w:pPr>
        <w:spacing w:after="0" w:line="268"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0"/>
          <w:szCs w:val="10"/>
          <w:color w:val="092E44"/>
        </w:rPr>
        <w:t>22</w:t>
      </w:r>
      <w:r>
        <w:rPr>
          <w:sz w:val="20"/>
          <w:szCs w:val="20"/>
          <w:color w:val="auto"/>
        </w:rPr>
        <w:tab/>
      </w:r>
      <w:r>
        <w:rPr>
          <w:rFonts w:ascii="Arial" w:cs="Arial" w:eastAsia="Arial" w:hAnsi="Arial"/>
          <w:sz w:val="10"/>
          <w:szCs w:val="10"/>
          <w:b w:val="1"/>
          <w:bCs w:val="1"/>
          <w:color w:val="092E44"/>
        </w:rPr>
        <w:t xml:space="preserve">COMMVAULT SYSTEMS, INC. </w:t>
      </w:r>
      <w:r>
        <w:rPr>
          <w:rFonts w:ascii="Arial" w:cs="Arial" w:eastAsia="Arial" w:hAnsi="Arial"/>
          <w:sz w:val="10"/>
          <w:szCs w:val="10"/>
          <w:color w:val="E14A6A"/>
        </w:rPr>
        <w:t>|</w:t>
      </w:r>
      <w:r>
        <w:rPr>
          <w:rFonts w:ascii="Arial" w:cs="Arial" w:eastAsia="Arial" w:hAnsi="Arial"/>
          <w:sz w:val="10"/>
          <w:szCs w:val="10"/>
          <w:b w:val="1"/>
          <w:bCs w:val="1"/>
          <w:color w:val="092E44"/>
        </w:rPr>
        <w:t xml:space="preserve"> </w:t>
      </w:r>
      <w:r>
        <w:rPr>
          <w:rFonts w:ascii="Arial" w:cs="Arial" w:eastAsia="Arial" w:hAnsi="Arial"/>
          <w:sz w:val="10"/>
          <w:szCs w:val="10"/>
          <w:color w:val="092E44"/>
        </w:rPr>
        <w:t>2022 PROXY STATEMENT</w:t>
      </w:r>
    </w:p>
    <w:p>
      <w:pPr>
        <w:sectPr>
          <w:pgSz w:w="11900" w:h="16838" w:orient="portrait"/>
          <w:cols w:equalWidth="0" w:num="1">
            <w:col w:w="11060"/>
          </w:cols>
          <w:pgMar w:left="320" w:top="454" w:right="51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0"/>
          <w:szCs w:val="10"/>
          <w:color w:val="092E44"/>
        </w:rPr>
        <w:t xml:space="preserve">CORPORATE GOVERNANCE </w:t>
      </w:r>
      <w:r>
        <w:rPr>
          <w:rFonts w:ascii="Arial" w:cs="Arial" w:eastAsia="Arial" w:hAnsi="Arial"/>
          <w:sz w:val="10"/>
          <w:szCs w:val="10"/>
          <w:color w:val="E14A6A"/>
        </w:rPr>
        <w:t>|</w:t>
      </w:r>
      <w:r>
        <w:rPr>
          <w:rFonts w:ascii="Arial" w:cs="Arial" w:eastAsia="Arial" w:hAnsi="Arial"/>
          <w:sz w:val="10"/>
          <w:szCs w:val="10"/>
          <w:color w:val="092E44"/>
        </w:rPr>
        <w:t xml:space="preserve"> </w:t>
      </w:r>
      <w:r>
        <w:rPr>
          <w:rFonts w:ascii="Arial" w:cs="Arial" w:eastAsia="Arial" w:hAnsi="Arial"/>
          <w:sz w:val="10"/>
          <w:szCs w:val="10"/>
          <w:b w:val="1"/>
          <w:bCs w:val="1"/>
          <w:color w:val="092E44"/>
        </w:rPr>
        <w:t>BOARD COMMITTEES</w:t>
      </w:r>
    </w:p>
    <w:p>
      <w:pPr>
        <w:sectPr>
          <w:pgSz w:w="11900" w:h="16838" w:orient="portrait"/>
          <w:cols w:equalWidth="0" w:num="1">
            <w:col w:w="11060"/>
          </w:cols>
          <w:pgMar w:left="320" w:top="454"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E14A6A"/>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-1004570</wp:posOffset>
            </wp:positionV>
            <wp:extent cx="807085" cy="9086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07085" cy="908685"/>
                    </a:xfrm>
                    <a:prstGeom prst="rect">
                      <a:avLst/>
                    </a:prstGeom>
                    <a:noFill/>
                  </pic:spPr>
                </pic:pic>
              </a:graphicData>
            </a:graphic>
          </wp:anchor>
        </w:drawing>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92E44"/>
        </w:rPr>
        <w:t>Mses. Bejar</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(Chair),</w:t>
      </w:r>
    </w:p>
    <w:p>
      <w:pPr>
        <w:spacing w:after="0" w:line="26" w:lineRule="exact"/>
        <w:rPr>
          <w:sz w:val="20"/>
          <w:szCs w:val="20"/>
          <w:color w:val="auto"/>
        </w:rPr>
      </w:pPr>
    </w:p>
    <w:p>
      <w:pPr>
        <w:ind w:left="160"/>
        <w:spacing w:after="0" w:line="349" w:lineRule="auto"/>
        <w:rPr>
          <w:sz w:val="20"/>
          <w:szCs w:val="20"/>
          <w:color w:val="auto"/>
        </w:rPr>
      </w:pPr>
      <w:r>
        <w:rPr>
          <w:rFonts w:ascii="Arial" w:cs="Arial" w:eastAsia="Arial" w:hAnsi="Arial"/>
          <w:sz w:val="14"/>
          <w:szCs w:val="14"/>
          <w:color w:val="092E44"/>
        </w:rPr>
        <w:t xml:space="preserve">Lee, and Pickens Meetings in fiscal 2022: </w:t>
      </w:r>
      <w:r>
        <w:rPr>
          <w:rFonts w:ascii="Arial" w:cs="Arial" w:eastAsia="Arial" w:hAnsi="Arial"/>
          <w:sz w:val="14"/>
          <w:szCs w:val="14"/>
          <w:b w:val="1"/>
          <w:bCs w:val="1"/>
          <w:color w:val="E14A6A"/>
        </w:rPr>
        <w:t>4</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30"/>
          <w:szCs w:val="30"/>
          <w:color w:val="E14A6A"/>
        </w:rPr>
        <w:t>Nominations and Governance Committee</w:t>
      </w:r>
    </w:p>
    <w:p>
      <w:pPr>
        <w:spacing w:after="0" w:line="143" w:lineRule="exact"/>
        <w:rPr>
          <w:sz w:val="20"/>
          <w:szCs w:val="20"/>
          <w:color w:val="auto"/>
        </w:rPr>
      </w:pPr>
    </w:p>
    <w:p>
      <w:pPr>
        <w:ind w:right="20"/>
        <w:spacing w:after="0" w:line="236" w:lineRule="auto"/>
        <w:rPr>
          <w:sz w:val="20"/>
          <w:szCs w:val="20"/>
          <w:color w:val="auto"/>
        </w:rPr>
      </w:pPr>
      <w:r>
        <w:rPr>
          <w:rFonts w:ascii="Arial" w:cs="Arial" w:eastAsia="Arial" w:hAnsi="Arial"/>
          <w:sz w:val="15"/>
          <w:szCs w:val="15"/>
          <w:color w:val="092E44"/>
        </w:rPr>
        <w:t>The Nominations and Governance Committee is responsible for identifying and recommending to our Board of Directors appropriate director nominee candidates and providing oversight with respect to corporate governance matters, including reviewing our corporate governance program and approving Corporate Governance Guidelines and other governance policies. The Nominations and Governance Committee also oversees: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Commvault’s sustainability, stewardship, and corporate social responsibility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succession planning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annual review of all Board committee charters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annual performance evaluations of the Board and its committees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E14A6A"/>
        </w:rPr>
        <w:t>•</w:t>
      </w:r>
      <w:r>
        <w:rPr>
          <w:rFonts w:ascii="Arial" w:cs="Arial" w:eastAsia="Arial" w:hAnsi="Arial"/>
          <w:sz w:val="15"/>
          <w:szCs w:val="15"/>
          <w:color w:val="092E44"/>
        </w:rPr>
        <w:t xml:space="preserve">   recommendations for directors to serve on Board committees</w:t>
      </w:r>
    </w:p>
    <w:p>
      <w:pPr>
        <w:spacing w:after="0" w:line="489" w:lineRule="exact"/>
        <w:rPr>
          <w:sz w:val="20"/>
          <w:szCs w:val="20"/>
          <w:color w:val="auto"/>
        </w:rPr>
      </w:pPr>
    </w:p>
    <w:p>
      <w:pPr>
        <w:sectPr>
          <w:pgSz w:w="11900" w:h="16838" w:orient="portrait"/>
          <w:cols w:equalWidth="0" w:num="2">
            <w:col w:w="1780" w:space="360"/>
            <w:col w:w="8920"/>
          </w:cols>
          <w:pgMar w:left="320" w:top="454" w:right="519" w:bottom="1440" w:gutter="0" w:footer="0" w:header="0"/>
          <w:type w:val="continuous"/>
        </w:sectPr>
      </w:pPr>
    </w:p>
    <w:p>
      <w:pPr>
        <w:spacing w:after="0" w:line="120" w:lineRule="exact"/>
        <w:rPr>
          <w:sz w:val="20"/>
          <w:szCs w:val="20"/>
          <w:color w:val="auto"/>
        </w:rPr>
      </w:pPr>
    </w:p>
    <w:p>
      <w:pPr>
        <w:ind w:left="2140"/>
        <w:spacing w:after="0"/>
        <w:rPr>
          <w:sz w:val="20"/>
          <w:szCs w:val="20"/>
          <w:color w:val="auto"/>
        </w:rPr>
      </w:pPr>
      <w:r>
        <w:rPr>
          <w:rFonts w:ascii="Arial" w:cs="Arial" w:eastAsia="Arial" w:hAnsi="Arial"/>
          <w:sz w:val="30"/>
          <w:szCs w:val="30"/>
          <w:color w:val="E14A6A"/>
        </w:rPr>
        <w:t>Operating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807085" cy="9086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07085" cy="908685"/>
                    </a:xfrm>
                    <a:prstGeom prst="rect">
                      <a:avLst/>
                    </a:prstGeom>
                    <a:noFill/>
                  </pic:spPr>
                </pic:pic>
              </a:graphicData>
            </a:graphic>
          </wp:anchor>
        </w:drawing>
      </w:r>
    </w:p>
    <w:p>
      <w:pPr>
        <w:spacing w:after="0" w:line="123" w:lineRule="exact"/>
        <w:rPr>
          <w:sz w:val="20"/>
          <w:szCs w:val="20"/>
          <w:color w:val="auto"/>
        </w:rPr>
      </w:pPr>
    </w:p>
    <w:p>
      <w:pPr>
        <w:ind w:left="2140" w:right="260"/>
        <w:spacing w:after="0" w:line="236" w:lineRule="auto"/>
        <w:rPr>
          <w:sz w:val="20"/>
          <w:szCs w:val="20"/>
          <w:color w:val="auto"/>
        </w:rPr>
      </w:pPr>
      <w:r>
        <w:rPr>
          <w:rFonts w:ascii="Arial" w:cs="Arial" w:eastAsia="Arial" w:hAnsi="Arial"/>
          <w:sz w:val="15"/>
          <w:szCs w:val="15"/>
          <w:color w:val="092E44"/>
        </w:rPr>
        <w:t>The general purpose of the Operating Committee is to provide oversight of various matters as determined by the Board and management. The Operating Committee reviews Commvault’s annual budget and works with management to establish margin targets and a balanced capital allocation policy. The Operating Committee also oversees earnings announcements and guidance. The focus of the Operating Committee is on achieving profitable growth, return on investment, and value creation.</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E14A6A"/>
        </w:rPr>
        <w:t>Members: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92E44"/>
        </w:rPr>
        <w:t>Messrs. Shenkman</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(Chair),</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Bradley, and Moran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4"/>
          <w:szCs w:val="14"/>
          <w:color w:val="092E44"/>
        </w:rPr>
        <w:t xml:space="preserve">Meetings in fiscal 2022: </w:t>
      </w:r>
      <w:r>
        <w:rPr>
          <w:rFonts w:ascii="Arial" w:cs="Arial" w:eastAsia="Arial" w:hAnsi="Arial"/>
          <w:sz w:val="14"/>
          <w:szCs w:val="14"/>
          <w:b w:val="1"/>
          <w:bCs w:val="1"/>
          <w:color w:val="E14A6A"/>
        </w:rPr>
        <w:t>6</w:t>
      </w:r>
    </w:p>
    <w:p>
      <w:pPr>
        <w:spacing w:after="0" w:line="200" w:lineRule="exact"/>
        <w:rPr>
          <w:sz w:val="20"/>
          <w:szCs w:val="20"/>
          <w:color w:val="auto"/>
        </w:rPr>
      </w:pPr>
    </w:p>
    <w:p>
      <w:pPr>
        <w:spacing w:after="0" w:line="22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Meetings of the Board</w:t>
      </w:r>
    </w:p>
    <w:p>
      <w:pPr>
        <w:spacing w:after="0" w:line="71" w:lineRule="exact"/>
        <w:rPr>
          <w:sz w:val="20"/>
          <w:szCs w:val="20"/>
          <w:color w:val="auto"/>
        </w:rPr>
      </w:pPr>
    </w:p>
    <w:p>
      <w:pPr>
        <w:ind w:left="160" w:right="80"/>
        <w:spacing w:after="0" w:line="262" w:lineRule="auto"/>
        <w:rPr>
          <w:sz w:val="20"/>
          <w:szCs w:val="20"/>
          <w:color w:val="auto"/>
        </w:rPr>
      </w:pPr>
      <w:r>
        <w:rPr>
          <w:rFonts w:ascii="Arial" w:cs="Arial" w:eastAsia="Arial" w:hAnsi="Arial"/>
          <w:sz w:val="16"/>
          <w:szCs w:val="16"/>
          <w:color w:val="092E44"/>
        </w:rPr>
        <w:t>During the fiscal year ended March 31, 2022, our Board of Directors held six meetings. Due to the ongoing COVID-19 pandemic, most of these meetings were held virtually. All our directors attended more than 80% of the meetings of the Board of Directors and meetings of the committees of the Board on which they served during the time they served.</w:t>
      </w:r>
    </w:p>
    <w:p>
      <w:pPr>
        <w:spacing w:after="0" w:line="53" w:lineRule="exact"/>
        <w:rPr>
          <w:sz w:val="20"/>
          <w:szCs w:val="20"/>
          <w:color w:val="auto"/>
        </w:rPr>
      </w:pPr>
    </w:p>
    <w:p>
      <w:pPr>
        <w:ind w:left="160"/>
        <w:spacing w:after="0" w:line="262" w:lineRule="auto"/>
        <w:rPr>
          <w:sz w:val="20"/>
          <w:szCs w:val="20"/>
          <w:color w:val="auto"/>
        </w:rPr>
      </w:pPr>
      <w:r>
        <w:rPr>
          <w:rFonts w:ascii="Arial" w:cs="Arial" w:eastAsia="Arial" w:hAnsi="Arial"/>
          <w:sz w:val="16"/>
          <w:szCs w:val="16"/>
          <w:color w:val="092E44"/>
        </w:rPr>
        <w:t>The Board of Directors meets in executive session, without management, at every Board meeting. During fiscal year 2022, Mr. Adamo, as the independent Chair of the Board, led these executive sessions and acted as primary spokesperson in communicating matters arising out of these sessions to management.</w:t>
      </w:r>
    </w:p>
    <w:p>
      <w:pPr>
        <w:spacing w:after="0" w:line="53" w:lineRule="exact"/>
        <w:rPr>
          <w:sz w:val="20"/>
          <w:szCs w:val="20"/>
          <w:color w:val="auto"/>
        </w:rPr>
      </w:pPr>
    </w:p>
    <w:p>
      <w:pPr>
        <w:ind w:left="160" w:right="280"/>
        <w:spacing w:after="0" w:line="279" w:lineRule="auto"/>
        <w:rPr>
          <w:sz w:val="20"/>
          <w:szCs w:val="20"/>
          <w:color w:val="auto"/>
        </w:rPr>
      </w:pPr>
      <w:r>
        <w:rPr>
          <w:rFonts w:ascii="Arial" w:cs="Arial" w:eastAsia="Arial" w:hAnsi="Arial"/>
          <w:sz w:val="16"/>
          <w:szCs w:val="16"/>
          <w:color w:val="092E44"/>
        </w:rPr>
        <w:t>Because we do not regularly schedule a Board of Directors meeting to coincide with our Annual Meeting, director attendance at our Annual Meeting is encouraged but not required. All our directors attended our 2021 Annual Meeting virtually or in person.</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How to Contact Our Board</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Stockholders can contact our Board of Directors to provide comments, to report concerns, or to ask a question, at the following address:</w:t>
      </w:r>
    </w:p>
    <w:p>
      <w:pPr>
        <w:spacing w:after="0" w:line="8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92E44"/>
        </w:rPr>
        <w:t>Corporate Secretary</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Commvault Systems, Inc.</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1 Commvault Way</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Tinton Falls, New Jersey 07724</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Email: CorporateSecretary@commvault.com</w:t>
      </w:r>
    </w:p>
    <w:p>
      <w:pPr>
        <w:spacing w:after="0" w:line="81" w:lineRule="exact"/>
        <w:rPr>
          <w:sz w:val="20"/>
          <w:szCs w:val="20"/>
          <w:color w:val="auto"/>
        </w:rPr>
      </w:pPr>
    </w:p>
    <w:p>
      <w:pPr>
        <w:ind w:left="160" w:right="220"/>
        <w:spacing w:after="0" w:line="279" w:lineRule="auto"/>
        <w:rPr>
          <w:sz w:val="20"/>
          <w:szCs w:val="20"/>
          <w:color w:val="auto"/>
        </w:rPr>
      </w:pPr>
      <w:r>
        <w:rPr>
          <w:rFonts w:ascii="Arial" w:cs="Arial" w:eastAsia="Arial" w:hAnsi="Arial"/>
          <w:sz w:val="16"/>
          <w:szCs w:val="16"/>
          <w:color w:val="092E44"/>
        </w:rPr>
        <w:t>Communications are distributed to our Board of Directors, or to individual directors as appropriate, depending on the nature of the communication. You may also communicate online with our Board of Directors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221615</wp:posOffset>
            </wp:positionV>
            <wp:extent cx="220980" cy="2120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23</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60"/>
          </w:cols>
          <w:pgMar w:left="320" w:top="454" w:right="51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CORPORATE GOVERNANCE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GOVERNANCE DOCUMENTS</w:t>
      </w:r>
    </w:p>
    <w:p>
      <w:pPr>
        <w:spacing w:after="0" w:line="140" w:lineRule="exact"/>
        <w:rPr>
          <w:sz w:val="20"/>
          <w:szCs w:val="20"/>
          <w:color w:val="auto"/>
        </w:rPr>
      </w:pPr>
    </w:p>
    <w:p>
      <w:pPr>
        <w:ind w:left="160" w:right="40"/>
        <w:spacing w:after="0" w:line="262" w:lineRule="auto"/>
        <w:rPr>
          <w:sz w:val="20"/>
          <w:szCs w:val="20"/>
          <w:color w:val="auto"/>
        </w:rPr>
      </w:pPr>
      <w:r>
        <w:rPr>
          <w:rFonts w:ascii="Arial" w:cs="Arial" w:eastAsia="Arial" w:hAnsi="Arial"/>
          <w:sz w:val="16"/>
          <w:szCs w:val="16"/>
          <w:color w:val="092E44"/>
        </w:rPr>
        <w:t xml:space="preserve">through the Investor Relations section of our website at </w:t>
      </w:r>
      <w:r>
        <w:rPr>
          <w:rFonts w:ascii="Arial" w:cs="Arial" w:eastAsia="Arial" w:hAnsi="Arial"/>
          <w:sz w:val="16"/>
          <w:szCs w:val="16"/>
          <w:i w:val="1"/>
          <w:iCs w:val="1"/>
          <w:color w:val="092E44"/>
        </w:rPr>
        <w:t>www.commvault.com</w:t>
      </w:r>
      <w:r>
        <w:rPr>
          <w:rFonts w:ascii="Arial" w:cs="Arial" w:eastAsia="Arial" w:hAnsi="Arial"/>
          <w:sz w:val="16"/>
          <w:szCs w:val="16"/>
          <w:color w:val="092E44"/>
        </w:rPr>
        <w:t>. All relevant communications directed to the full Board will be forwarded to the Chair of the Audit Committee or the Chair of the Nominations and Governance Committee, who will determine when it is appropriate to distribute such communications to other members of the Board or to management.</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Governance Documents</w:t>
      </w:r>
    </w:p>
    <w:p>
      <w:pPr>
        <w:spacing w:after="0" w:line="71" w:lineRule="exact"/>
        <w:rPr>
          <w:sz w:val="20"/>
          <w:szCs w:val="20"/>
          <w:color w:val="auto"/>
        </w:rPr>
      </w:pPr>
    </w:p>
    <w:p>
      <w:pPr>
        <w:ind w:left="160"/>
        <w:spacing w:after="0" w:line="253" w:lineRule="auto"/>
        <w:rPr>
          <w:sz w:val="20"/>
          <w:szCs w:val="20"/>
          <w:color w:val="auto"/>
        </w:rPr>
      </w:pPr>
      <w:r>
        <w:rPr>
          <w:rFonts w:ascii="Arial" w:cs="Arial" w:eastAsia="Arial" w:hAnsi="Arial"/>
          <w:sz w:val="16"/>
          <w:szCs w:val="16"/>
          <w:color w:val="092E44"/>
        </w:rPr>
        <w:t>Our Code of Ethics applies to all our directors and employees, including executives and contractors. The Code establishes our legal and ethical standards of behavior, and supports our commitments to human rights, respectful treatment, and equal opportunity. Employees and interested third parties can report concerns or suspected violations of the Code to Commvault’s Chief Legal and Compliance Officer or Chief People Officer or through Integrity Counts, an anonymous hotline at commvault@integritycounts.ca. The Code and the following additional governance documents are available in the Investor Relations section of our website under “Corporate Governance—Overview”:</w:t>
      </w:r>
    </w:p>
    <w:p>
      <w:pPr>
        <w:spacing w:after="0" w:line="140" w:lineRule="exact"/>
        <w:rPr>
          <w:sz w:val="20"/>
          <w:szCs w:val="20"/>
          <w:color w:val="auto"/>
        </w:rPr>
      </w:pPr>
    </w:p>
    <w:tbl>
      <w:tblPr>
        <w:tblLayout w:type="fixed"/>
        <w:tblInd w:w="160" w:type="dxa"/>
        <w:tblCellMar>
          <w:top w:w="0" w:type="dxa"/>
          <w:left w:w="0" w:type="dxa"/>
          <w:bottom w:w="0" w:type="dxa"/>
          <w:right w:w="0" w:type="dxa"/>
        </w:tblCellMar>
      </w:tblPr>
      <w:tr>
        <w:trPr>
          <w:trHeight w:val="211"/>
        </w:trPr>
        <w:tc>
          <w:tcPr>
            <w:tcW w:w="140" w:type="dxa"/>
            <w:vAlign w:val="bottom"/>
          </w:tcPr>
          <w:p>
            <w:pPr>
              <w:spacing w:after="0"/>
              <w:rPr>
                <w:sz w:val="20"/>
                <w:szCs w:val="20"/>
                <w:color w:val="auto"/>
              </w:rPr>
            </w:pPr>
            <w:r>
              <w:rPr>
                <w:rFonts w:ascii="Times New Roman" w:cs="Times New Roman" w:eastAsia="Times New Roman" w:hAnsi="Times New Roman"/>
                <w:sz w:val="16"/>
                <w:szCs w:val="16"/>
                <w:color w:val="E14A6A"/>
              </w:rPr>
              <w:t>•</w:t>
            </w:r>
          </w:p>
        </w:tc>
        <w:tc>
          <w:tcPr>
            <w:tcW w:w="4280" w:type="dxa"/>
            <w:vAlign w:val="bottom"/>
          </w:tcPr>
          <w:p>
            <w:pPr>
              <w:ind w:left="60"/>
              <w:spacing w:after="0"/>
              <w:rPr>
                <w:sz w:val="20"/>
                <w:szCs w:val="20"/>
                <w:color w:val="auto"/>
              </w:rPr>
            </w:pPr>
            <w:r>
              <w:rPr>
                <w:rFonts w:ascii="Arial" w:cs="Arial" w:eastAsia="Arial" w:hAnsi="Arial"/>
                <w:sz w:val="16"/>
                <w:szCs w:val="16"/>
                <w:color w:val="092E44"/>
              </w:rPr>
              <w:t>Corporate Governance Guidelines</w:t>
            </w:r>
          </w:p>
        </w:tc>
        <w:tc>
          <w:tcPr>
            <w:tcW w:w="1280" w:type="dxa"/>
            <w:vAlign w:val="bottom"/>
          </w:tcPr>
          <w:p>
            <w:pPr>
              <w:ind w:left="1160"/>
              <w:spacing w:after="0"/>
              <w:rPr>
                <w:sz w:val="20"/>
                <w:szCs w:val="20"/>
                <w:color w:val="auto"/>
              </w:rPr>
            </w:pPr>
            <w:r>
              <w:rPr>
                <w:rFonts w:ascii="Times New Roman" w:cs="Times New Roman" w:eastAsia="Times New Roman" w:hAnsi="Times New Roman"/>
                <w:sz w:val="16"/>
                <w:szCs w:val="16"/>
                <w:color w:val="E14A6A"/>
              </w:rPr>
              <w:t>•</w:t>
            </w:r>
          </w:p>
        </w:tc>
        <w:tc>
          <w:tcPr>
            <w:tcW w:w="5040" w:type="dxa"/>
            <w:vAlign w:val="bottom"/>
          </w:tcPr>
          <w:p>
            <w:pPr>
              <w:ind w:left="80"/>
              <w:spacing w:after="0"/>
              <w:rPr>
                <w:sz w:val="20"/>
                <w:szCs w:val="20"/>
                <w:color w:val="auto"/>
              </w:rPr>
            </w:pPr>
            <w:r>
              <w:rPr>
                <w:rFonts w:ascii="Arial" w:cs="Arial" w:eastAsia="Arial" w:hAnsi="Arial"/>
                <w:sz w:val="16"/>
                <w:szCs w:val="16"/>
                <w:color w:val="092E44"/>
              </w:rPr>
              <w:t>Human Rights Policy</w:t>
            </w:r>
          </w:p>
        </w:tc>
      </w:tr>
      <w:tr>
        <w:trPr>
          <w:trHeight w:val="267"/>
        </w:trPr>
        <w:tc>
          <w:tcPr>
            <w:tcW w:w="4420" w:type="dxa"/>
            <w:vAlign w:val="bottom"/>
            <w:gridSpan w:val="2"/>
          </w:tcPr>
          <w:p>
            <w:pPr>
              <w:spacing w:after="0"/>
              <w:rPr>
                <w:sz w:val="20"/>
                <w:szCs w:val="20"/>
                <w:color w:val="auto"/>
              </w:rPr>
            </w:pPr>
            <w:r>
              <w:rPr>
                <w:rFonts w:ascii="Times New Roman" w:cs="Times New Roman" w:eastAsia="Times New Roman" w:hAnsi="Times New Roman"/>
                <w:sz w:val="16"/>
                <w:szCs w:val="16"/>
                <w:color w:val="E14A6A"/>
              </w:rPr>
              <w:t xml:space="preserve">•  </w:t>
            </w:r>
            <w:r>
              <w:rPr>
                <w:rFonts w:ascii="Arial" w:cs="Arial" w:eastAsia="Arial" w:hAnsi="Arial"/>
                <w:sz w:val="16"/>
                <w:szCs w:val="16"/>
                <w:color w:val="092E44"/>
              </w:rPr>
              <w:t>Amended and Restated Bylaws</w:t>
            </w:r>
          </w:p>
        </w:tc>
        <w:tc>
          <w:tcPr>
            <w:tcW w:w="1280" w:type="dxa"/>
            <w:vAlign w:val="bottom"/>
          </w:tcPr>
          <w:p>
            <w:pPr>
              <w:ind w:left="1160"/>
              <w:spacing w:after="0"/>
              <w:rPr>
                <w:sz w:val="20"/>
                <w:szCs w:val="20"/>
                <w:color w:val="auto"/>
              </w:rPr>
            </w:pPr>
            <w:r>
              <w:rPr>
                <w:rFonts w:ascii="Times New Roman" w:cs="Times New Roman" w:eastAsia="Times New Roman" w:hAnsi="Times New Roman"/>
                <w:sz w:val="16"/>
                <w:szCs w:val="16"/>
                <w:color w:val="E14A6A"/>
              </w:rPr>
              <w:t>•</w:t>
            </w:r>
          </w:p>
        </w:tc>
        <w:tc>
          <w:tcPr>
            <w:tcW w:w="5040" w:type="dxa"/>
            <w:vAlign w:val="bottom"/>
          </w:tcPr>
          <w:p>
            <w:pPr>
              <w:ind w:left="80"/>
              <w:spacing w:after="0"/>
              <w:rPr>
                <w:sz w:val="20"/>
                <w:szCs w:val="20"/>
                <w:color w:val="auto"/>
              </w:rPr>
            </w:pPr>
            <w:r>
              <w:rPr>
                <w:rFonts w:ascii="Arial" w:cs="Arial" w:eastAsia="Arial" w:hAnsi="Arial"/>
                <w:sz w:val="16"/>
                <w:szCs w:val="16"/>
                <w:color w:val="092E44"/>
              </w:rPr>
              <w:t>Sanctions Guidelines</w:t>
            </w:r>
          </w:p>
        </w:tc>
      </w:tr>
      <w:tr>
        <w:trPr>
          <w:trHeight w:val="267"/>
        </w:trPr>
        <w:tc>
          <w:tcPr>
            <w:tcW w:w="4420" w:type="dxa"/>
            <w:vAlign w:val="bottom"/>
            <w:gridSpan w:val="2"/>
          </w:tcPr>
          <w:p>
            <w:pPr>
              <w:spacing w:after="0"/>
              <w:rPr>
                <w:sz w:val="20"/>
                <w:szCs w:val="20"/>
                <w:color w:val="auto"/>
              </w:rPr>
            </w:pPr>
            <w:r>
              <w:rPr>
                <w:rFonts w:ascii="Times New Roman" w:cs="Times New Roman" w:eastAsia="Times New Roman" w:hAnsi="Times New Roman"/>
                <w:sz w:val="16"/>
                <w:szCs w:val="16"/>
                <w:color w:val="E14A6A"/>
              </w:rPr>
              <w:t xml:space="preserve">•  </w:t>
            </w:r>
            <w:r>
              <w:rPr>
                <w:rFonts w:ascii="Arial" w:cs="Arial" w:eastAsia="Arial" w:hAnsi="Arial"/>
                <w:sz w:val="16"/>
                <w:szCs w:val="16"/>
                <w:color w:val="092E44"/>
              </w:rPr>
              <w:t>Policy on Fair Disclosure to Investors</w:t>
            </w:r>
          </w:p>
        </w:tc>
        <w:tc>
          <w:tcPr>
            <w:tcW w:w="1280" w:type="dxa"/>
            <w:vAlign w:val="bottom"/>
          </w:tcPr>
          <w:p>
            <w:pPr>
              <w:ind w:left="1160"/>
              <w:spacing w:after="0"/>
              <w:rPr>
                <w:sz w:val="20"/>
                <w:szCs w:val="20"/>
                <w:color w:val="auto"/>
              </w:rPr>
            </w:pPr>
            <w:r>
              <w:rPr>
                <w:rFonts w:ascii="Times New Roman" w:cs="Times New Roman" w:eastAsia="Times New Roman" w:hAnsi="Times New Roman"/>
                <w:sz w:val="16"/>
                <w:szCs w:val="16"/>
                <w:color w:val="E14A6A"/>
              </w:rPr>
              <w:t>•</w:t>
            </w:r>
          </w:p>
        </w:tc>
        <w:tc>
          <w:tcPr>
            <w:tcW w:w="5040" w:type="dxa"/>
            <w:vAlign w:val="bottom"/>
          </w:tcPr>
          <w:p>
            <w:pPr>
              <w:ind w:left="80"/>
              <w:spacing w:after="0"/>
              <w:rPr>
                <w:sz w:val="20"/>
                <w:szCs w:val="20"/>
                <w:color w:val="auto"/>
              </w:rPr>
            </w:pPr>
            <w:r>
              <w:rPr>
                <w:rFonts w:ascii="Arial" w:cs="Arial" w:eastAsia="Arial" w:hAnsi="Arial"/>
                <w:sz w:val="16"/>
                <w:szCs w:val="16"/>
                <w:color w:val="092E44"/>
              </w:rPr>
              <w:t>Insider Trading Policy</w:t>
            </w:r>
          </w:p>
        </w:tc>
      </w:tr>
      <w:tr>
        <w:trPr>
          <w:trHeight w:val="243"/>
        </w:trPr>
        <w:tc>
          <w:tcPr>
            <w:tcW w:w="140" w:type="dxa"/>
            <w:vAlign w:val="bottom"/>
          </w:tcPr>
          <w:p>
            <w:pPr>
              <w:spacing w:after="0"/>
              <w:rPr>
                <w:sz w:val="20"/>
                <w:szCs w:val="20"/>
                <w:color w:val="auto"/>
              </w:rPr>
            </w:pPr>
            <w:r>
              <w:rPr>
                <w:rFonts w:ascii="Times New Roman" w:cs="Times New Roman" w:eastAsia="Times New Roman" w:hAnsi="Times New Roman"/>
                <w:sz w:val="16"/>
                <w:szCs w:val="16"/>
                <w:color w:val="E14A6A"/>
              </w:rPr>
              <w:t>•</w:t>
            </w:r>
          </w:p>
        </w:tc>
        <w:tc>
          <w:tcPr>
            <w:tcW w:w="4280" w:type="dxa"/>
            <w:vAlign w:val="bottom"/>
          </w:tcPr>
          <w:p>
            <w:pPr>
              <w:ind w:left="60"/>
              <w:spacing w:after="0"/>
              <w:rPr>
                <w:sz w:val="20"/>
                <w:szCs w:val="20"/>
                <w:color w:val="auto"/>
              </w:rPr>
            </w:pPr>
            <w:r>
              <w:rPr>
                <w:rFonts w:ascii="Arial" w:cs="Arial" w:eastAsia="Arial" w:hAnsi="Arial"/>
                <w:sz w:val="16"/>
                <w:szCs w:val="16"/>
                <w:color w:val="092E44"/>
              </w:rPr>
              <w:t>Code of Ethics for Senior Financial Officers</w:t>
            </w:r>
          </w:p>
        </w:tc>
        <w:tc>
          <w:tcPr>
            <w:tcW w:w="632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E14A6A"/>
              </w:rPr>
              <w:t xml:space="preserve">•  </w:t>
            </w:r>
            <w:r>
              <w:rPr>
                <w:rFonts w:ascii="Arial" w:cs="Arial" w:eastAsia="Arial" w:hAnsi="Arial"/>
                <w:sz w:val="16"/>
                <w:szCs w:val="16"/>
                <w:color w:val="092E44"/>
              </w:rPr>
              <w:t>Charters for all the Board’s committees and management’s Disclosure</w:t>
            </w:r>
          </w:p>
        </w:tc>
      </w:tr>
      <w:tr>
        <w:trPr>
          <w:trHeight w:val="211"/>
        </w:trPr>
        <w:tc>
          <w:tcPr>
            <w:tcW w:w="1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6"/>
                <w:szCs w:val="16"/>
                <w:color w:val="092E44"/>
              </w:rPr>
              <w:t>Committee</w:t>
            </w:r>
          </w:p>
        </w:tc>
      </w:tr>
    </w:tbl>
    <w:p>
      <w:pPr>
        <w:spacing w:after="0" w:line="200" w:lineRule="exact"/>
        <w:rPr>
          <w:sz w:val="20"/>
          <w:szCs w:val="20"/>
          <w:color w:val="auto"/>
        </w:rPr>
      </w:pPr>
    </w:p>
    <w:p>
      <w:pPr>
        <w:spacing w:after="0" w:line="27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Transactions With Related Persons</w:t>
      </w:r>
    </w:p>
    <w:p>
      <w:pPr>
        <w:spacing w:after="0" w:line="71" w:lineRule="exact"/>
        <w:rPr>
          <w:sz w:val="20"/>
          <w:szCs w:val="20"/>
          <w:color w:val="auto"/>
        </w:rPr>
      </w:pPr>
    </w:p>
    <w:p>
      <w:pPr>
        <w:ind w:left="160" w:right="40"/>
        <w:spacing w:after="0" w:line="253" w:lineRule="auto"/>
        <w:rPr>
          <w:sz w:val="20"/>
          <w:szCs w:val="20"/>
          <w:color w:val="auto"/>
        </w:rPr>
      </w:pPr>
      <w:r>
        <w:rPr>
          <w:rFonts w:ascii="Arial" w:cs="Arial" w:eastAsia="Arial" w:hAnsi="Arial"/>
          <w:sz w:val="16"/>
          <w:szCs w:val="16"/>
          <w:color w:val="092E44"/>
        </w:rPr>
        <w:t>The Board of Directors recognizes that transactions between the Company and certain related persons present a heightened risk of conflicts of interest. It is our policy to have the Audit Committee review and approve, ratify, or disapprove of proposed transactions or courses of dealings with respect to which executive officers or directors or members of their immediate families have an interest. The Audit Committee reviews any such transaction based upon the applicable SEC rules and our ethics and governance guidelines. There were no related person transactions during the fiscal year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233680</wp:posOffset>
            </wp:positionV>
            <wp:extent cx="220980" cy="2120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24</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80"/>
          </w:cols>
          <w:pgMar w:left="320" w:top="454"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CORPORATE GOVERNANCE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DIRECTOR COMPENSATION</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Director Compensation</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Annual Cash and Equity Retainers</w:t>
      </w:r>
    </w:p>
    <w:p>
      <w:pPr>
        <w:spacing w:after="0" w:line="67" w:lineRule="exact"/>
        <w:rPr>
          <w:sz w:val="20"/>
          <w:szCs w:val="20"/>
          <w:color w:val="auto"/>
        </w:rPr>
      </w:pPr>
    </w:p>
    <w:p>
      <w:pPr>
        <w:ind w:left="160" w:right="60"/>
        <w:spacing w:after="0" w:line="222" w:lineRule="auto"/>
        <w:rPr>
          <w:sz w:val="20"/>
          <w:szCs w:val="20"/>
          <w:color w:val="auto"/>
        </w:rPr>
      </w:pPr>
      <w:r>
        <w:rPr>
          <w:rFonts w:ascii="Arial" w:cs="Arial" w:eastAsia="Arial" w:hAnsi="Arial"/>
          <w:sz w:val="16"/>
          <w:szCs w:val="16"/>
          <w:color w:val="092E44"/>
        </w:rPr>
        <w:t>Our TMCC determines the amount and form of any fees and expense reimbursements that non-employee directors receive for or in connection with their service on Commvault’s Board of Directors. During fiscal 2022, the TMCC engaged an external third-party compensation consultant, Compensia, to provide an assessment of our non-employee director compensation practices, including a peer analysis of practices related to cash compensation, equity compensation, and equity vesting. Based on the results of this analysis, we revised our compensation program to align to the 50</w:t>
      </w:r>
      <w:r>
        <w:rPr>
          <w:rFonts w:ascii="Arial" w:cs="Arial" w:eastAsia="Arial" w:hAnsi="Arial"/>
          <w:sz w:val="27"/>
          <w:szCs w:val="27"/>
          <w:color w:val="092E44"/>
          <w:vertAlign w:val="superscript"/>
        </w:rPr>
        <w:t>th</w:t>
      </w:r>
      <w:r>
        <w:rPr>
          <w:rFonts w:ascii="Arial" w:cs="Arial" w:eastAsia="Arial" w:hAnsi="Arial"/>
          <w:sz w:val="16"/>
          <w:szCs w:val="16"/>
          <w:color w:val="092E44"/>
        </w:rPr>
        <w:t xml:space="preserve"> percentile of the peer group. (For information about our peer group, see “Compensation Discussion and Analysis—How Compensation Decisions are Made—Role of the Peer Group.”)</w:t>
      </w:r>
    </w:p>
    <w:p>
      <w:pPr>
        <w:spacing w:after="0" w:line="1" w:lineRule="exact"/>
        <w:rPr>
          <w:sz w:val="20"/>
          <w:szCs w:val="20"/>
          <w:color w:val="auto"/>
        </w:rPr>
      </w:pPr>
    </w:p>
    <w:p>
      <w:pPr>
        <w:ind w:left="160" w:right="520"/>
        <w:spacing w:after="0" w:line="258" w:lineRule="auto"/>
        <w:rPr>
          <w:sz w:val="20"/>
          <w:szCs w:val="20"/>
          <w:color w:val="auto"/>
        </w:rPr>
      </w:pPr>
      <w:r>
        <w:rPr>
          <w:rFonts w:ascii="Arial" w:cs="Arial" w:eastAsia="Arial" w:hAnsi="Arial"/>
          <w:sz w:val="16"/>
          <w:szCs w:val="16"/>
          <w:color w:val="092E44"/>
        </w:rPr>
        <w:t>Compensation earned by our non-employee directors for their service as members of the Board of Directors or any committee of the Board was as follows:</w:t>
      </w:r>
    </w:p>
    <w:p>
      <w:pPr>
        <w:spacing w:after="0" w:line="61" w:lineRule="exact"/>
        <w:rPr>
          <w:sz w:val="20"/>
          <w:szCs w:val="20"/>
          <w:color w:val="auto"/>
        </w:rPr>
      </w:pPr>
    </w:p>
    <w:p>
      <w:pPr>
        <w:ind w:left="240"/>
        <w:spacing w:after="0"/>
        <w:tabs>
          <w:tab w:leader="none" w:pos="4720" w:val="left"/>
          <w:tab w:leader="none" w:pos="6920" w:val="left"/>
        </w:tabs>
        <w:rPr>
          <w:sz w:val="20"/>
          <w:szCs w:val="20"/>
          <w:color w:val="auto"/>
        </w:rPr>
      </w:pPr>
      <w:r>
        <w:rPr>
          <w:rFonts w:ascii="Arial" w:cs="Arial" w:eastAsia="Arial" w:hAnsi="Arial"/>
          <w:sz w:val="14"/>
          <w:szCs w:val="14"/>
          <w:color w:val="092E44"/>
        </w:rPr>
        <w:t>Who receives</w:t>
      </w:r>
      <w:r>
        <w:rPr>
          <w:sz w:val="20"/>
          <w:szCs w:val="20"/>
          <w:color w:val="auto"/>
        </w:rPr>
        <w:tab/>
      </w:r>
      <w:r>
        <w:rPr>
          <w:rFonts w:ascii="Arial" w:cs="Arial" w:eastAsia="Arial" w:hAnsi="Arial"/>
          <w:sz w:val="14"/>
          <w:szCs w:val="14"/>
          <w:color w:val="092E44"/>
        </w:rPr>
        <w:t>Amount</w:t>
      </w:r>
      <w:r>
        <w:rPr>
          <w:sz w:val="20"/>
          <w:szCs w:val="20"/>
          <w:color w:val="auto"/>
        </w:rPr>
        <w:tab/>
      </w:r>
      <w:r>
        <w:rPr>
          <w:rFonts w:ascii="Arial" w:cs="Arial" w:eastAsia="Arial" w:hAnsi="Arial"/>
          <w:sz w:val="13"/>
          <w:szCs w:val="13"/>
          <w:color w:val="092E44"/>
        </w:rPr>
        <w: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5715</wp:posOffset>
            </wp:positionV>
            <wp:extent cx="69297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092E44"/>
        </w:rPr>
        <w:t>Every non-employee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53340</wp:posOffset>
            </wp:positionV>
            <wp:extent cx="2836545" cy="2038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36545" cy="203835"/>
                    </a:xfrm>
                    <a:prstGeom prst="rect">
                      <a:avLst/>
                    </a:prstGeom>
                    <a:noFill/>
                  </pic:spPr>
                </pic:pic>
              </a:graphicData>
            </a:graphic>
          </wp:anchor>
        </w:drawing>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092E44"/>
        </w:rPr>
        <w:t>Independent Board Chair</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6"/>
          <w:szCs w:val="16"/>
          <w:color w:val="092E44"/>
        </w:rPr>
        <w:t>Audit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53340</wp:posOffset>
            </wp:positionV>
            <wp:extent cx="2836545" cy="2038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36545" cy="203835"/>
                    </a:xfrm>
                    <a:prstGeom prst="rect">
                      <a:avLst/>
                    </a:prstGeom>
                    <a:noFill/>
                  </pic:spPr>
                </pic:pic>
              </a:graphicData>
            </a:graphic>
          </wp:anchor>
        </w:drawing>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092E44"/>
        </w:rPr>
        <w:t>TMCC Committee Chair</w:t>
      </w:r>
    </w:p>
    <w:p>
      <w:pPr>
        <w:spacing w:after="0" w:line="137" w:lineRule="exact"/>
        <w:rPr>
          <w:sz w:val="20"/>
          <w:szCs w:val="20"/>
          <w:color w:val="auto"/>
        </w:rPr>
      </w:pPr>
    </w:p>
    <w:p>
      <w:pPr>
        <w:ind w:left="240"/>
        <w:spacing w:after="0" w:line="279" w:lineRule="auto"/>
        <w:rPr>
          <w:sz w:val="20"/>
          <w:szCs w:val="20"/>
          <w:color w:val="auto"/>
        </w:rPr>
      </w:pPr>
      <w:r>
        <w:rPr>
          <w:rFonts w:ascii="Arial" w:cs="Arial" w:eastAsia="Arial" w:hAnsi="Arial"/>
          <w:sz w:val="16"/>
          <w:szCs w:val="16"/>
          <w:color w:val="092E44"/>
        </w:rPr>
        <w:t>Chairs of the Nominations and Governance Committee and the Operating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17780</wp:posOffset>
            </wp:positionV>
            <wp:extent cx="2836545" cy="2038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36545" cy="203835"/>
                    </a:xfrm>
                    <a:prstGeom prst="rect">
                      <a:avLst/>
                    </a:prstGeom>
                    <a:noFill/>
                  </pic:spPr>
                </pic:pic>
              </a:graphicData>
            </a:graphic>
          </wp:anchor>
        </w:drawing>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6"/>
          <w:szCs w:val="16"/>
          <w:color w:val="092E44"/>
        </w:rPr>
        <w:t>Audit Committee members</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6"/>
          <w:szCs w:val="16"/>
          <w:color w:val="092E44"/>
        </w:rPr>
        <w:t>TMCC Committee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53340</wp:posOffset>
            </wp:positionV>
            <wp:extent cx="2836545" cy="3225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36545" cy="322580"/>
                    </a:xfrm>
                    <a:prstGeom prst="rect">
                      <a:avLst/>
                    </a:prstGeom>
                    <a:noFill/>
                  </pic:spPr>
                </pic:pic>
              </a:graphicData>
            </a:graphic>
          </wp:anchor>
        </w:drawing>
      </w:r>
    </w:p>
    <w:p>
      <w:pPr>
        <w:spacing w:after="0" w:line="117" w:lineRule="exact"/>
        <w:rPr>
          <w:sz w:val="20"/>
          <w:szCs w:val="20"/>
          <w:color w:val="auto"/>
        </w:rPr>
      </w:pPr>
    </w:p>
    <w:p>
      <w:pPr>
        <w:ind w:left="240" w:right="100"/>
        <w:spacing w:after="0" w:line="279" w:lineRule="auto"/>
        <w:rPr>
          <w:sz w:val="20"/>
          <w:szCs w:val="20"/>
          <w:color w:val="auto"/>
        </w:rPr>
      </w:pPr>
      <w:r>
        <w:rPr>
          <w:rFonts w:ascii="Arial" w:cs="Arial" w:eastAsia="Arial" w:hAnsi="Arial"/>
          <w:sz w:val="16"/>
          <w:szCs w:val="16"/>
          <w:color w:val="092E44"/>
        </w:rPr>
        <w:t>Members of the Nominations and Governance Committee and the Operating Committee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1540" w:type="dxa"/>
            <w:vAlign w:val="bottom"/>
          </w:tcPr>
          <w:p>
            <w:pPr>
              <w:ind w:left="100"/>
              <w:spacing w:after="0"/>
              <w:rPr>
                <w:sz w:val="20"/>
                <w:szCs w:val="20"/>
                <w:color w:val="auto"/>
              </w:rPr>
            </w:pPr>
            <w:r>
              <w:rPr>
                <w:rFonts w:ascii="Arial" w:cs="Arial" w:eastAsia="Arial" w:hAnsi="Arial"/>
                <w:sz w:val="16"/>
                <w:szCs w:val="16"/>
                <w:color w:val="092E44"/>
              </w:rPr>
              <w:t>$ 42,000</w:t>
            </w:r>
          </w:p>
        </w:tc>
        <w:tc>
          <w:tcPr>
            <w:tcW w:w="4900" w:type="dxa"/>
            <w:vAlign w:val="bottom"/>
          </w:tcPr>
          <w:p>
            <w:pPr>
              <w:ind w:left="760"/>
              <w:spacing w:after="0"/>
              <w:rPr>
                <w:sz w:val="20"/>
                <w:szCs w:val="20"/>
                <w:color w:val="auto"/>
              </w:rPr>
            </w:pPr>
            <w:r>
              <w:rPr>
                <w:rFonts w:ascii="Arial" w:cs="Arial" w:eastAsia="Arial" w:hAnsi="Arial"/>
                <w:sz w:val="16"/>
                <w:szCs w:val="16"/>
                <w:color w:val="092E44"/>
              </w:rPr>
              <w:t>Cash annual retainer</w:t>
            </w:r>
          </w:p>
        </w:tc>
      </w:tr>
      <w:tr>
        <w:trPr>
          <w:trHeight w:val="57"/>
        </w:trPr>
        <w:tc>
          <w:tcPr>
            <w:tcW w:w="1540" w:type="dxa"/>
            <w:vAlign w:val="bottom"/>
          </w:tcPr>
          <w:p>
            <w:pPr>
              <w:spacing w:after="0"/>
              <w:rPr>
                <w:sz w:val="4"/>
                <w:szCs w:val="4"/>
                <w:color w:val="auto"/>
              </w:rPr>
            </w:pPr>
          </w:p>
        </w:tc>
        <w:tc>
          <w:tcPr>
            <w:tcW w:w="4900" w:type="dxa"/>
            <w:vAlign w:val="bottom"/>
          </w:tcPr>
          <w:p>
            <w:pPr>
              <w:spacing w:after="0"/>
              <w:rPr>
                <w:sz w:val="4"/>
                <w:szCs w:val="4"/>
                <w:color w:val="auto"/>
              </w:rPr>
            </w:pPr>
          </w:p>
        </w:tc>
      </w:tr>
      <w:tr>
        <w:trPr>
          <w:trHeight w:val="301"/>
        </w:trPr>
        <w:tc>
          <w:tcPr>
            <w:tcW w:w="1540" w:type="dxa"/>
            <w:vAlign w:val="bottom"/>
            <w:tcBorders>
              <w:bottom w:val="single" w:sz="8" w:color="DDE9F2"/>
            </w:tcBorders>
            <w:shd w:val="clear" w:color="auto" w:fill="DDE9F2"/>
          </w:tcPr>
          <w:p>
            <w:pPr>
              <w:ind w:left="100"/>
              <w:spacing w:after="0"/>
              <w:rPr>
                <w:sz w:val="20"/>
                <w:szCs w:val="20"/>
                <w:color w:val="auto"/>
              </w:rPr>
            </w:pPr>
            <w:r>
              <w:rPr>
                <w:rFonts w:ascii="Arial" w:cs="Arial" w:eastAsia="Arial" w:hAnsi="Arial"/>
                <w:sz w:val="16"/>
                <w:szCs w:val="16"/>
                <w:color w:val="092E44"/>
              </w:rPr>
              <w:t>$125,000</w:t>
            </w:r>
          </w:p>
        </w:tc>
        <w:tc>
          <w:tcPr>
            <w:tcW w:w="4900" w:type="dxa"/>
            <w:vAlign w:val="bottom"/>
            <w:tcBorders>
              <w:bottom w:val="single" w:sz="8" w:color="DDE9F2"/>
            </w:tcBorders>
            <w:shd w:val="clear" w:color="auto" w:fill="DDE9F2"/>
          </w:tcPr>
          <w:p>
            <w:pPr>
              <w:ind w:left="760"/>
              <w:spacing w:after="0"/>
              <w:rPr>
                <w:sz w:val="20"/>
                <w:szCs w:val="20"/>
                <w:color w:val="auto"/>
              </w:rPr>
            </w:pPr>
            <w:r>
              <w:rPr>
                <w:rFonts w:ascii="Arial" w:cs="Arial" w:eastAsia="Arial" w:hAnsi="Arial"/>
                <w:sz w:val="16"/>
                <w:szCs w:val="16"/>
                <w:color w:val="092E44"/>
              </w:rPr>
              <w:t>Additional cash annual retainer</w:t>
            </w:r>
          </w:p>
        </w:tc>
      </w:tr>
      <w:tr>
        <w:trPr>
          <w:trHeight w:val="264"/>
        </w:trPr>
        <w:tc>
          <w:tcPr>
            <w:tcW w:w="1540" w:type="dxa"/>
            <w:vAlign w:val="bottom"/>
          </w:tcPr>
          <w:p>
            <w:pPr>
              <w:ind w:left="100"/>
              <w:spacing w:after="0"/>
              <w:rPr>
                <w:sz w:val="20"/>
                <w:szCs w:val="20"/>
                <w:color w:val="auto"/>
              </w:rPr>
            </w:pPr>
            <w:r>
              <w:rPr>
                <w:rFonts w:ascii="Arial" w:cs="Arial" w:eastAsia="Arial" w:hAnsi="Arial"/>
                <w:sz w:val="16"/>
                <w:szCs w:val="16"/>
                <w:color w:val="092E44"/>
              </w:rPr>
              <w:t>$ 30,000</w:t>
            </w:r>
          </w:p>
        </w:tc>
        <w:tc>
          <w:tcPr>
            <w:tcW w:w="4900" w:type="dxa"/>
            <w:vAlign w:val="bottom"/>
          </w:tcPr>
          <w:p>
            <w:pPr>
              <w:ind w:left="760"/>
              <w:spacing w:after="0"/>
              <w:rPr>
                <w:sz w:val="20"/>
                <w:szCs w:val="20"/>
                <w:color w:val="auto"/>
              </w:rPr>
            </w:pPr>
            <w:r>
              <w:rPr>
                <w:rFonts w:ascii="Arial" w:cs="Arial" w:eastAsia="Arial" w:hAnsi="Arial"/>
                <w:sz w:val="16"/>
                <w:szCs w:val="16"/>
                <w:color w:val="092E44"/>
              </w:rPr>
              <w:t>Additional cash annual retainer</w:t>
            </w:r>
          </w:p>
        </w:tc>
      </w:tr>
      <w:tr>
        <w:trPr>
          <w:trHeight w:val="57"/>
        </w:trPr>
        <w:tc>
          <w:tcPr>
            <w:tcW w:w="1540" w:type="dxa"/>
            <w:vAlign w:val="bottom"/>
          </w:tcPr>
          <w:p>
            <w:pPr>
              <w:spacing w:after="0"/>
              <w:rPr>
                <w:sz w:val="4"/>
                <w:szCs w:val="4"/>
                <w:color w:val="auto"/>
              </w:rPr>
            </w:pPr>
          </w:p>
        </w:tc>
        <w:tc>
          <w:tcPr>
            <w:tcW w:w="4900" w:type="dxa"/>
            <w:vAlign w:val="bottom"/>
          </w:tcPr>
          <w:p>
            <w:pPr>
              <w:spacing w:after="0"/>
              <w:rPr>
                <w:sz w:val="4"/>
                <w:szCs w:val="4"/>
                <w:color w:val="auto"/>
              </w:rPr>
            </w:pPr>
          </w:p>
        </w:tc>
      </w:tr>
      <w:tr>
        <w:trPr>
          <w:trHeight w:val="301"/>
        </w:trPr>
        <w:tc>
          <w:tcPr>
            <w:tcW w:w="1540" w:type="dxa"/>
            <w:vAlign w:val="bottom"/>
            <w:tcBorders>
              <w:bottom w:val="single" w:sz="8" w:color="DDE9F2"/>
            </w:tcBorders>
            <w:shd w:val="clear" w:color="auto" w:fill="DDE9F2"/>
          </w:tcPr>
          <w:p>
            <w:pPr>
              <w:ind w:left="100"/>
              <w:spacing w:after="0"/>
              <w:rPr>
                <w:sz w:val="20"/>
                <w:szCs w:val="20"/>
                <w:color w:val="auto"/>
              </w:rPr>
            </w:pPr>
            <w:r>
              <w:rPr>
                <w:rFonts w:ascii="Arial" w:cs="Arial" w:eastAsia="Arial" w:hAnsi="Arial"/>
                <w:sz w:val="16"/>
                <w:szCs w:val="16"/>
                <w:color w:val="092E44"/>
              </w:rPr>
              <w:t>$ 20,000</w:t>
            </w:r>
          </w:p>
        </w:tc>
        <w:tc>
          <w:tcPr>
            <w:tcW w:w="4900" w:type="dxa"/>
            <w:vAlign w:val="bottom"/>
            <w:tcBorders>
              <w:bottom w:val="single" w:sz="8" w:color="DDE9F2"/>
            </w:tcBorders>
            <w:shd w:val="clear" w:color="auto" w:fill="DDE9F2"/>
          </w:tcPr>
          <w:p>
            <w:pPr>
              <w:ind w:left="760"/>
              <w:spacing w:after="0"/>
              <w:rPr>
                <w:sz w:val="20"/>
                <w:szCs w:val="20"/>
                <w:color w:val="auto"/>
              </w:rPr>
            </w:pPr>
            <w:r>
              <w:rPr>
                <w:rFonts w:ascii="Arial" w:cs="Arial" w:eastAsia="Arial" w:hAnsi="Arial"/>
                <w:sz w:val="16"/>
                <w:szCs w:val="16"/>
                <w:color w:val="092E44"/>
              </w:rPr>
              <w:t>Additional cash annual retainer</w:t>
            </w:r>
          </w:p>
        </w:tc>
      </w:tr>
      <w:tr>
        <w:trPr>
          <w:trHeight w:val="451"/>
        </w:trPr>
        <w:tc>
          <w:tcPr>
            <w:tcW w:w="1540" w:type="dxa"/>
            <w:vAlign w:val="bottom"/>
          </w:tcPr>
          <w:p>
            <w:pPr>
              <w:ind w:left="100"/>
              <w:spacing w:after="0"/>
              <w:rPr>
                <w:sz w:val="20"/>
                <w:szCs w:val="20"/>
                <w:color w:val="auto"/>
              </w:rPr>
            </w:pPr>
            <w:r>
              <w:rPr>
                <w:rFonts w:ascii="Arial" w:cs="Arial" w:eastAsia="Arial" w:hAnsi="Arial"/>
                <w:sz w:val="16"/>
                <w:szCs w:val="16"/>
                <w:color w:val="092E44"/>
              </w:rPr>
              <w:t>$ 12,000</w:t>
            </w:r>
          </w:p>
        </w:tc>
        <w:tc>
          <w:tcPr>
            <w:tcW w:w="4900" w:type="dxa"/>
            <w:vAlign w:val="bottom"/>
          </w:tcPr>
          <w:p>
            <w:pPr>
              <w:ind w:left="760"/>
              <w:spacing w:after="0"/>
              <w:rPr>
                <w:sz w:val="20"/>
                <w:szCs w:val="20"/>
                <w:color w:val="auto"/>
              </w:rPr>
            </w:pPr>
            <w:r>
              <w:rPr>
                <w:rFonts w:ascii="Arial" w:cs="Arial" w:eastAsia="Arial" w:hAnsi="Arial"/>
                <w:sz w:val="16"/>
                <w:szCs w:val="16"/>
                <w:color w:val="092E44"/>
              </w:rPr>
              <w:t>Additional cash annual retainer</w:t>
            </w:r>
          </w:p>
        </w:tc>
      </w:tr>
      <w:tr>
        <w:trPr>
          <w:trHeight w:val="57"/>
        </w:trPr>
        <w:tc>
          <w:tcPr>
            <w:tcW w:w="1540" w:type="dxa"/>
            <w:vAlign w:val="bottom"/>
          </w:tcPr>
          <w:p>
            <w:pPr>
              <w:spacing w:after="0"/>
              <w:rPr>
                <w:sz w:val="4"/>
                <w:szCs w:val="4"/>
                <w:color w:val="auto"/>
              </w:rPr>
            </w:pPr>
          </w:p>
        </w:tc>
        <w:tc>
          <w:tcPr>
            <w:tcW w:w="4900" w:type="dxa"/>
            <w:vAlign w:val="bottom"/>
          </w:tcPr>
          <w:p>
            <w:pPr>
              <w:spacing w:after="0"/>
              <w:rPr>
                <w:sz w:val="4"/>
                <w:szCs w:val="4"/>
                <w:color w:val="auto"/>
              </w:rPr>
            </w:pPr>
          </w:p>
        </w:tc>
      </w:tr>
      <w:tr>
        <w:trPr>
          <w:trHeight w:val="301"/>
        </w:trPr>
        <w:tc>
          <w:tcPr>
            <w:tcW w:w="1540" w:type="dxa"/>
            <w:vAlign w:val="bottom"/>
            <w:tcBorders>
              <w:bottom w:val="single" w:sz="8" w:color="DDE9F2"/>
            </w:tcBorders>
            <w:shd w:val="clear" w:color="auto" w:fill="DDE9F2"/>
          </w:tcPr>
          <w:p>
            <w:pPr>
              <w:ind w:left="100"/>
              <w:spacing w:after="0"/>
              <w:rPr>
                <w:sz w:val="20"/>
                <w:szCs w:val="20"/>
                <w:color w:val="auto"/>
              </w:rPr>
            </w:pPr>
            <w:r>
              <w:rPr>
                <w:rFonts w:ascii="Arial" w:cs="Arial" w:eastAsia="Arial" w:hAnsi="Arial"/>
                <w:sz w:val="16"/>
                <w:szCs w:val="16"/>
                <w:color w:val="092E44"/>
              </w:rPr>
              <w:t>$ 15,000</w:t>
            </w:r>
          </w:p>
        </w:tc>
        <w:tc>
          <w:tcPr>
            <w:tcW w:w="4900" w:type="dxa"/>
            <w:vAlign w:val="bottom"/>
            <w:tcBorders>
              <w:bottom w:val="single" w:sz="8" w:color="DDE9F2"/>
            </w:tcBorders>
            <w:shd w:val="clear" w:color="auto" w:fill="DDE9F2"/>
          </w:tcPr>
          <w:p>
            <w:pPr>
              <w:ind w:left="760"/>
              <w:spacing w:after="0"/>
              <w:rPr>
                <w:sz w:val="20"/>
                <w:szCs w:val="20"/>
                <w:color w:val="auto"/>
              </w:rPr>
            </w:pPr>
            <w:r>
              <w:rPr>
                <w:rFonts w:ascii="Arial" w:cs="Arial" w:eastAsia="Arial" w:hAnsi="Arial"/>
                <w:sz w:val="16"/>
                <w:szCs w:val="16"/>
                <w:color w:val="092E44"/>
              </w:rPr>
              <w:t>Additional cash annual retainer</w:t>
            </w:r>
          </w:p>
        </w:tc>
      </w:tr>
      <w:tr>
        <w:trPr>
          <w:trHeight w:val="264"/>
        </w:trPr>
        <w:tc>
          <w:tcPr>
            <w:tcW w:w="1540" w:type="dxa"/>
            <w:vAlign w:val="bottom"/>
          </w:tcPr>
          <w:p>
            <w:pPr>
              <w:ind w:left="100"/>
              <w:spacing w:after="0"/>
              <w:rPr>
                <w:sz w:val="20"/>
                <w:szCs w:val="20"/>
                <w:color w:val="auto"/>
              </w:rPr>
            </w:pPr>
            <w:r>
              <w:rPr>
                <w:rFonts w:ascii="Arial" w:cs="Arial" w:eastAsia="Arial" w:hAnsi="Arial"/>
                <w:sz w:val="16"/>
                <w:szCs w:val="16"/>
                <w:color w:val="092E44"/>
              </w:rPr>
              <w:t>$ 10,000</w:t>
            </w:r>
          </w:p>
        </w:tc>
        <w:tc>
          <w:tcPr>
            <w:tcW w:w="4900" w:type="dxa"/>
            <w:vAlign w:val="bottom"/>
          </w:tcPr>
          <w:p>
            <w:pPr>
              <w:ind w:left="760"/>
              <w:spacing w:after="0"/>
              <w:rPr>
                <w:sz w:val="20"/>
                <w:szCs w:val="20"/>
                <w:color w:val="auto"/>
              </w:rPr>
            </w:pPr>
            <w:r>
              <w:rPr>
                <w:rFonts w:ascii="Arial" w:cs="Arial" w:eastAsia="Arial" w:hAnsi="Arial"/>
                <w:sz w:val="16"/>
                <w:szCs w:val="16"/>
                <w:color w:val="092E44"/>
              </w:rPr>
              <w:t>Additional cash annual retainer</w:t>
            </w:r>
          </w:p>
        </w:tc>
      </w:tr>
      <w:tr>
        <w:trPr>
          <w:trHeight w:val="57"/>
        </w:trPr>
        <w:tc>
          <w:tcPr>
            <w:tcW w:w="1540" w:type="dxa"/>
            <w:vAlign w:val="bottom"/>
          </w:tcPr>
          <w:p>
            <w:pPr>
              <w:spacing w:after="0"/>
              <w:rPr>
                <w:sz w:val="4"/>
                <w:szCs w:val="4"/>
                <w:color w:val="auto"/>
              </w:rPr>
            </w:pPr>
          </w:p>
        </w:tc>
        <w:tc>
          <w:tcPr>
            <w:tcW w:w="4900" w:type="dxa"/>
            <w:vAlign w:val="bottom"/>
          </w:tcPr>
          <w:p>
            <w:pPr>
              <w:spacing w:after="0"/>
              <w:rPr>
                <w:sz w:val="4"/>
                <w:szCs w:val="4"/>
                <w:color w:val="auto"/>
              </w:rPr>
            </w:pPr>
          </w:p>
        </w:tc>
      </w:tr>
      <w:tr>
        <w:trPr>
          <w:trHeight w:val="264"/>
        </w:trPr>
        <w:tc>
          <w:tcPr>
            <w:tcW w:w="1540" w:type="dxa"/>
            <w:vAlign w:val="bottom"/>
            <w:shd w:val="clear" w:color="auto" w:fill="DDE9F2"/>
          </w:tcPr>
          <w:p>
            <w:pPr>
              <w:ind w:left="100"/>
              <w:spacing w:after="0"/>
              <w:rPr>
                <w:sz w:val="20"/>
                <w:szCs w:val="20"/>
                <w:color w:val="auto"/>
              </w:rPr>
            </w:pPr>
            <w:r>
              <w:rPr>
                <w:rFonts w:ascii="Arial" w:cs="Arial" w:eastAsia="Arial" w:hAnsi="Arial"/>
                <w:sz w:val="16"/>
                <w:szCs w:val="16"/>
                <w:color w:val="092E44"/>
              </w:rPr>
              <w:t>$5,000</w:t>
            </w:r>
          </w:p>
        </w:tc>
        <w:tc>
          <w:tcPr>
            <w:tcW w:w="4900" w:type="dxa"/>
            <w:vAlign w:val="bottom"/>
            <w:shd w:val="clear" w:color="auto" w:fill="DDE9F2"/>
          </w:tcPr>
          <w:p>
            <w:pPr>
              <w:ind w:left="760"/>
              <w:spacing w:after="0"/>
              <w:rPr>
                <w:sz w:val="20"/>
                <w:szCs w:val="20"/>
                <w:color w:val="auto"/>
              </w:rPr>
            </w:pPr>
            <w:r>
              <w:rPr>
                <w:rFonts w:ascii="Arial" w:cs="Arial" w:eastAsia="Arial" w:hAnsi="Arial"/>
                <w:sz w:val="16"/>
                <w:szCs w:val="16"/>
                <w:color w:val="092E44"/>
              </w:rPr>
              <w:t>Additional cash annual retainer</w:t>
            </w:r>
          </w:p>
        </w:tc>
      </w:tr>
      <w:tr>
        <w:trPr>
          <w:trHeight w:val="244"/>
        </w:trPr>
        <w:tc>
          <w:tcPr>
            <w:tcW w:w="1540" w:type="dxa"/>
            <w:vAlign w:val="bottom"/>
            <w:shd w:val="clear" w:color="auto" w:fill="DDE9F2"/>
          </w:tcPr>
          <w:p>
            <w:pPr>
              <w:spacing w:after="0"/>
              <w:rPr>
                <w:sz w:val="21"/>
                <w:szCs w:val="21"/>
                <w:color w:val="auto"/>
              </w:rPr>
            </w:pPr>
          </w:p>
        </w:tc>
        <w:tc>
          <w:tcPr>
            <w:tcW w:w="4900" w:type="dxa"/>
            <w:vAlign w:val="bottom"/>
            <w:shd w:val="clear" w:color="auto" w:fill="DDE9F2"/>
          </w:tcPr>
          <w:p>
            <w:pPr>
              <w:spacing w:after="0"/>
              <w:rPr>
                <w:sz w:val="21"/>
                <w:szCs w:val="21"/>
                <w:color w:val="auto"/>
              </w:rPr>
            </w:pPr>
          </w:p>
        </w:tc>
      </w:tr>
    </w:tbl>
    <w:p>
      <w:pPr>
        <w:spacing w:after="0" w:line="53" w:lineRule="exact"/>
        <w:rPr>
          <w:sz w:val="20"/>
          <w:szCs w:val="20"/>
          <w:color w:val="auto"/>
        </w:rPr>
      </w:pPr>
    </w:p>
    <w:p>
      <w:pPr>
        <w:sectPr>
          <w:pgSz w:w="11900" w:h="16838" w:orient="portrait"/>
          <w:cols w:equalWidth="0" w:num="2">
            <w:col w:w="4440" w:space="200"/>
            <w:col w:w="6440"/>
          </w:cols>
          <w:pgMar w:left="320" w:top="454" w:right="499" w:bottom="1440" w:gutter="0" w:footer="0" w:header="0"/>
          <w:type w:val="continuous"/>
        </w:sectPr>
      </w:pPr>
    </w:p>
    <w:tbl>
      <w:tblPr>
        <w:tblLayout w:type="fixed"/>
        <w:tblInd w:w="160" w:type="dxa"/>
        <w:tblCellMar>
          <w:top w:w="0" w:type="dxa"/>
          <w:left w:w="0" w:type="dxa"/>
          <w:bottom w:w="0" w:type="dxa"/>
          <w:right w:w="0" w:type="dxa"/>
        </w:tblCellMar>
      </w:tblPr>
      <w:tr>
        <w:trPr>
          <w:trHeight w:val="187"/>
        </w:trPr>
        <w:tc>
          <w:tcPr>
            <w:tcW w:w="3360" w:type="dxa"/>
            <w:vAlign w:val="bottom"/>
          </w:tcPr>
          <w:p>
            <w:pPr>
              <w:ind w:left="80"/>
              <w:spacing w:after="0"/>
              <w:rPr>
                <w:sz w:val="20"/>
                <w:szCs w:val="20"/>
                <w:color w:val="auto"/>
              </w:rPr>
            </w:pPr>
            <w:r>
              <w:rPr>
                <w:rFonts w:ascii="Arial" w:cs="Arial" w:eastAsia="Arial" w:hAnsi="Arial"/>
                <w:sz w:val="16"/>
                <w:szCs w:val="16"/>
                <w:color w:val="092E44"/>
              </w:rPr>
              <w:t>Every non-employee director</w:t>
            </w:r>
          </w:p>
        </w:tc>
        <w:tc>
          <w:tcPr>
            <w:tcW w:w="3100" w:type="dxa"/>
            <w:vAlign w:val="bottom"/>
          </w:tcPr>
          <w:p>
            <w:pPr>
              <w:ind w:left="1220"/>
              <w:spacing w:after="0"/>
              <w:rPr>
                <w:sz w:val="20"/>
                <w:szCs w:val="20"/>
                <w:color w:val="auto"/>
              </w:rPr>
            </w:pPr>
            <w:r>
              <w:rPr>
                <w:rFonts w:ascii="Arial" w:cs="Arial" w:eastAsia="Arial" w:hAnsi="Arial"/>
                <w:sz w:val="16"/>
                <w:szCs w:val="16"/>
                <w:color w:val="092E44"/>
              </w:rPr>
              <w:t>$200,000 target value</w:t>
            </w:r>
          </w:p>
        </w:tc>
        <w:tc>
          <w:tcPr>
            <w:tcW w:w="4460" w:type="dxa"/>
            <w:vAlign w:val="bottom"/>
          </w:tcPr>
          <w:p>
            <w:pPr>
              <w:ind w:left="320"/>
              <w:spacing w:after="0"/>
              <w:rPr>
                <w:sz w:val="20"/>
                <w:szCs w:val="20"/>
                <w:color w:val="auto"/>
              </w:rPr>
            </w:pPr>
            <w:r>
              <w:rPr>
                <w:rFonts w:ascii="Arial" w:cs="Arial" w:eastAsia="Arial" w:hAnsi="Arial"/>
                <w:sz w:val="16"/>
                <w:szCs w:val="16"/>
                <w:color w:val="092E44"/>
              </w:rPr>
              <w:t>Equity in the form of 2,640 restricted stock units awarded</w:t>
            </w:r>
          </w:p>
        </w:tc>
      </w:tr>
      <w:tr>
        <w:trPr>
          <w:trHeight w:val="187"/>
        </w:trPr>
        <w:tc>
          <w:tcPr>
            <w:tcW w:w="3360" w:type="dxa"/>
            <w:vAlign w:val="bottom"/>
          </w:tcPr>
          <w:p>
            <w:pPr>
              <w:spacing w:after="0"/>
              <w:rPr>
                <w:sz w:val="16"/>
                <w:szCs w:val="16"/>
                <w:color w:val="auto"/>
              </w:rPr>
            </w:pPr>
          </w:p>
        </w:tc>
        <w:tc>
          <w:tcPr>
            <w:tcW w:w="3100" w:type="dxa"/>
            <w:vAlign w:val="bottom"/>
          </w:tcPr>
          <w:p>
            <w:pPr>
              <w:ind w:left="1220"/>
              <w:spacing w:after="0"/>
              <w:rPr>
                <w:sz w:val="20"/>
                <w:szCs w:val="20"/>
                <w:color w:val="auto"/>
              </w:rPr>
            </w:pPr>
            <w:r>
              <w:rPr>
                <w:rFonts w:ascii="Arial" w:cs="Arial" w:eastAsia="Arial" w:hAnsi="Arial"/>
                <w:sz w:val="16"/>
                <w:szCs w:val="16"/>
                <w:color w:val="092E44"/>
              </w:rPr>
              <w:t>on the grant date</w:t>
            </w:r>
          </w:p>
        </w:tc>
        <w:tc>
          <w:tcPr>
            <w:tcW w:w="4460" w:type="dxa"/>
            <w:vAlign w:val="bottom"/>
          </w:tcPr>
          <w:p>
            <w:pPr>
              <w:ind w:left="320"/>
              <w:spacing w:after="0"/>
              <w:rPr>
                <w:sz w:val="20"/>
                <w:szCs w:val="20"/>
                <w:color w:val="auto"/>
              </w:rPr>
            </w:pPr>
            <w:r>
              <w:rPr>
                <w:rFonts w:ascii="Arial" w:cs="Arial" w:eastAsia="Arial" w:hAnsi="Arial"/>
                <w:sz w:val="16"/>
                <w:szCs w:val="16"/>
                <w:color w:val="092E44"/>
              </w:rPr>
              <w:t>on August 19, 2021, that will vest on August 19, 2022, if</w:t>
            </w:r>
          </w:p>
        </w:tc>
      </w:tr>
      <w:tr>
        <w:trPr>
          <w:trHeight w:val="211"/>
        </w:trPr>
        <w:tc>
          <w:tcPr>
            <w:tcW w:w="33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460" w:type="dxa"/>
            <w:vAlign w:val="bottom"/>
          </w:tcPr>
          <w:p>
            <w:pPr>
              <w:ind w:left="320"/>
              <w:spacing w:after="0"/>
              <w:rPr>
                <w:sz w:val="20"/>
                <w:szCs w:val="20"/>
                <w:color w:val="auto"/>
              </w:rPr>
            </w:pPr>
            <w:r>
              <w:rPr>
                <w:rFonts w:ascii="Arial" w:cs="Arial" w:eastAsia="Arial" w:hAnsi="Arial"/>
                <w:sz w:val="16"/>
                <w:szCs w:val="16"/>
                <w:color w:val="092E44"/>
              </w:rPr>
              <w:t>the director is still serving on our Board at the time.</w:t>
            </w:r>
          </w:p>
        </w:tc>
      </w:tr>
      <w:tr>
        <w:trPr>
          <w:trHeight w:val="57"/>
        </w:trPr>
        <w:tc>
          <w:tcPr>
            <w:tcW w:w="3360" w:type="dxa"/>
            <w:vAlign w:val="bottom"/>
            <w:tcBorders>
              <w:bottom w:val="single" w:sz="8" w:color="092E44"/>
            </w:tcBorders>
          </w:tcPr>
          <w:p>
            <w:pPr>
              <w:spacing w:after="0"/>
              <w:rPr>
                <w:sz w:val="4"/>
                <w:szCs w:val="4"/>
                <w:color w:val="auto"/>
              </w:rPr>
            </w:pPr>
          </w:p>
        </w:tc>
        <w:tc>
          <w:tcPr>
            <w:tcW w:w="3100" w:type="dxa"/>
            <w:vAlign w:val="bottom"/>
            <w:tcBorders>
              <w:bottom w:val="single" w:sz="8" w:color="092E44"/>
            </w:tcBorders>
          </w:tcPr>
          <w:p>
            <w:pPr>
              <w:spacing w:after="0"/>
              <w:rPr>
                <w:sz w:val="4"/>
                <w:szCs w:val="4"/>
                <w:color w:val="auto"/>
              </w:rPr>
            </w:pPr>
          </w:p>
        </w:tc>
        <w:tc>
          <w:tcPr>
            <w:tcW w:w="4460" w:type="dxa"/>
            <w:vAlign w:val="bottom"/>
            <w:tcBorders>
              <w:bottom w:val="single" w:sz="8" w:color="092E44"/>
            </w:tcBorders>
          </w:tcPr>
          <w:p>
            <w:pPr>
              <w:spacing w:after="0"/>
              <w:rPr>
                <w:sz w:val="4"/>
                <w:szCs w:val="4"/>
                <w:color w:val="auto"/>
              </w:rPr>
            </w:pPr>
          </w:p>
        </w:tc>
      </w:tr>
    </w:tbl>
    <w:p>
      <w:pPr>
        <w:spacing w:after="0" w:line="79" w:lineRule="exact"/>
        <w:rPr>
          <w:sz w:val="20"/>
          <w:szCs w:val="20"/>
          <w:color w:val="auto"/>
        </w:rPr>
      </w:pPr>
    </w:p>
    <w:p>
      <w:pPr>
        <w:ind w:left="160" w:right="20"/>
        <w:spacing w:after="0" w:line="262" w:lineRule="auto"/>
        <w:rPr>
          <w:sz w:val="20"/>
          <w:szCs w:val="20"/>
          <w:color w:val="auto"/>
        </w:rPr>
      </w:pPr>
      <w:r>
        <w:rPr>
          <w:rFonts w:ascii="Arial" w:cs="Arial" w:eastAsia="Arial" w:hAnsi="Arial"/>
          <w:sz w:val="16"/>
          <w:szCs w:val="16"/>
          <w:color w:val="092E44"/>
        </w:rPr>
        <w:t>RSUs granted to the non-employee directors are issued under our 2016 Incentive Plan. See “Long-Term Equity Incentive Awards” in the Compensation Discussion and Analysis section below for more information about this plan. We also reimburse our non-employee directors for their reasonable expenses incurred in attending meetings of our Board or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229235</wp:posOffset>
            </wp:positionV>
            <wp:extent cx="220980" cy="2120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25</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80"/>
          </w:cols>
          <w:pgMar w:left="320" w:top="454" w:right="4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CORPORATE GOVERNANCE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DIRECTOR COMPENSATION</w:t>
      </w:r>
    </w:p>
    <w:p>
      <w:pPr>
        <w:spacing w:after="0" w:line="140" w:lineRule="exact"/>
        <w:rPr>
          <w:sz w:val="20"/>
          <w:szCs w:val="20"/>
          <w:color w:val="auto"/>
        </w:rPr>
      </w:pPr>
    </w:p>
    <w:p>
      <w:pPr>
        <w:ind w:left="160" w:right="160"/>
        <w:spacing w:after="0" w:line="279" w:lineRule="auto"/>
        <w:rPr>
          <w:sz w:val="20"/>
          <w:szCs w:val="20"/>
          <w:color w:val="auto"/>
        </w:rPr>
      </w:pPr>
      <w:r>
        <w:rPr>
          <w:rFonts w:ascii="Arial" w:cs="Arial" w:eastAsia="Arial" w:hAnsi="Arial"/>
          <w:sz w:val="16"/>
          <w:szCs w:val="16"/>
          <w:color w:val="092E44"/>
        </w:rPr>
        <w:t>The following table shows the specific compensation received for services rendered to us by our non-employee directors in fiscal 2022. Mr. Mirchandani does not receive any additional compensation for his service on the Board.</w:t>
      </w:r>
    </w:p>
    <w:p>
      <w:pPr>
        <w:spacing w:after="0" w:line="19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4"/>
                <w:szCs w:val="14"/>
                <w:color w:val="092E44"/>
              </w:rPr>
              <w:t>Fees Earned or</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3"/>
        </w:trPr>
        <w:tc>
          <w:tcPr>
            <w:tcW w:w="6840" w:type="dxa"/>
            <w:vAlign w:val="bottom"/>
            <w:tcBorders>
              <w:bottom w:val="single" w:sz="8" w:color="E14A6A"/>
            </w:tcBorders>
          </w:tcPr>
          <w:p>
            <w:pPr>
              <w:ind w:left="80"/>
              <w:spacing w:after="0"/>
              <w:rPr>
                <w:sz w:val="20"/>
                <w:szCs w:val="20"/>
                <w:color w:val="auto"/>
              </w:rPr>
            </w:pPr>
            <w:r>
              <w:rPr>
                <w:rFonts w:ascii="Arial" w:cs="Arial" w:eastAsia="Arial" w:hAnsi="Arial"/>
                <w:sz w:val="14"/>
                <w:szCs w:val="14"/>
                <w:color w:val="092E44"/>
              </w:rPr>
              <w:t>Name</w:t>
            </w:r>
          </w:p>
        </w:tc>
        <w:tc>
          <w:tcPr>
            <w:tcW w:w="1640" w:type="dxa"/>
            <w:vAlign w:val="bottom"/>
            <w:tcBorders>
              <w:bottom w:val="single" w:sz="8" w:color="E14A6A"/>
            </w:tcBorders>
            <w:gridSpan w:val="2"/>
          </w:tcPr>
          <w:p>
            <w:pPr>
              <w:jc w:val="right"/>
              <w:ind w:right="160"/>
              <w:spacing w:after="0"/>
              <w:rPr>
                <w:sz w:val="20"/>
                <w:szCs w:val="20"/>
                <w:color w:val="auto"/>
              </w:rPr>
            </w:pPr>
            <w:r>
              <w:rPr>
                <w:rFonts w:ascii="Arial" w:cs="Arial" w:eastAsia="Arial" w:hAnsi="Arial"/>
                <w:sz w:val="14"/>
                <w:szCs w:val="14"/>
                <w:color w:val="092E44"/>
              </w:rPr>
              <w:t>Paid in Cash</w:t>
            </w:r>
          </w:p>
        </w:tc>
        <w:tc>
          <w:tcPr>
            <w:tcW w:w="1420" w:type="dxa"/>
            <w:vAlign w:val="bottom"/>
            <w:tcBorders>
              <w:bottom w:val="single" w:sz="8" w:color="E14A6A"/>
            </w:tcBorders>
            <w:gridSpan w:val="2"/>
          </w:tcPr>
          <w:p>
            <w:pPr>
              <w:jc w:val="right"/>
              <w:ind w:right="60"/>
              <w:spacing w:after="0"/>
              <w:rPr>
                <w:sz w:val="20"/>
                <w:szCs w:val="20"/>
                <w:color w:val="auto"/>
              </w:rPr>
            </w:pPr>
            <w:r>
              <w:rPr>
                <w:rFonts w:ascii="Arial" w:cs="Arial" w:eastAsia="Arial" w:hAnsi="Arial"/>
                <w:sz w:val="14"/>
                <w:szCs w:val="14"/>
                <w:color w:val="092E44"/>
              </w:rPr>
              <w:t>Stock Awards(1)</w:t>
            </w:r>
          </w:p>
        </w:tc>
        <w:tc>
          <w:tcPr>
            <w:tcW w:w="220" w:type="dxa"/>
            <w:vAlign w:val="bottom"/>
            <w:tcBorders>
              <w:bottom w:val="single" w:sz="8" w:color="E14A6A"/>
            </w:tcBorders>
          </w:tcPr>
          <w:p>
            <w:pPr>
              <w:spacing w:after="0"/>
              <w:rPr>
                <w:sz w:val="15"/>
                <w:szCs w:val="15"/>
                <w:color w:val="auto"/>
              </w:rPr>
            </w:pPr>
          </w:p>
        </w:tc>
        <w:tc>
          <w:tcPr>
            <w:tcW w:w="800" w:type="dxa"/>
            <w:vAlign w:val="bottom"/>
            <w:tcBorders>
              <w:bottom w:val="single" w:sz="8" w:color="E14A6A"/>
            </w:tcBorders>
          </w:tcPr>
          <w:p>
            <w:pPr>
              <w:jc w:val="right"/>
              <w:ind w:right="141"/>
              <w:spacing w:after="0"/>
              <w:rPr>
                <w:sz w:val="20"/>
                <w:szCs w:val="20"/>
                <w:color w:val="auto"/>
              </w:rPr>
            </w:pPr>
            <w:r>
              <w:rPr>
                <w:rFonts w:ascii="Arial" w:cs="Arial" w:eastAsia="Arial" w:hAnsi="Arial"/>
                <w:sz w:val="14"/>
                <w:szCs w:val="14"/>
                <w:color w:val="092E44"/>
              </w:rPr>
              <w:t>Total</w:t>
            </w:r>
          </w:p>
        </w:tc>
      </w:tr>
      <w:tr>
        <w:trPr>
          <w:trHeight w:val="244"/>
        </w:trPr>
        <w:tc>
          <w:tcPr>
            <w:tcW w:w="6840" w:type="dxa"/>
            <w:vAlign w:val="bottom"/>
          </w:tcPr>
          <w:p>
            <w:pPr>
              <w:ind w:left="80"/>
              <w:spacing w:after="0"/>
              <w:rPr>
                <w:sz w:val="20"/>
                <w:szCs w:val="20"/>
                <w:color w:val="auto"/>
              </w:rPr>
            </w:pPr>
            <w:r>
              <w:rPr>
                <w:rFonts w:ascii="Arial" w:cs="Arial" w:eastAsia="Arial" w:hAnsi="Arial"/>
                <w:sz w:val="16"/>
                <w:szCs w:val="16"/>
                <w:color w:val="092E44"/>
              </w:rPr>
              <w:t>Nicholas Adamo(2)</w:t>
            </w:r>
          </w:p>
        </w:tc>
        <w:tc>
          <w:tcPr>
            <w:tcW w:w="820" w:type="dxa"/>
            <w:vAlign w:val="bottom"/>
          </w:tcPr>
          <w:p>
            <w:pPr>
              <w:jc w:val="right"/>
              <w:spacing w:after="0"/>
              <w:rPr>
                <w:sz w:val="20"/>
                <w:szCs w:val="20"/>
                <w:color w:val="auto"/>
              </w:rPr>
            </w:pPr>
            <w:r>
              <w:rPr>
                <w:rFonts w:ascii="Arial" w:cs="Arial" w:eastAsia="Arial" w:hAnsi="Arial"/>
                <w:sz w:val="16"/>
                <w:szCs w:val="16"/>
                <w:color w:val="092E44"/>
              </w:rPr>
              <w:t>$</w:t>
            </w:r>
          </w:p>
        </w:tc>
        <w:tc>
          <w:tcPr>
            <w:tcW w:w="820" w:type="dxa"/>
            <w:vAlign w:val="bottom"/>
          </w:tcPr>
          <w:p>
            <w:pPr>
              <w:jc w:val="right"/>
              <w:ind w:right="160"/>
              <w:spacing w:after="0"/>
              <w:rPr>
                <w:sz w:val="20"/>
                <w:szCs w:val="20"/>
                <w:color w:val="auto"/>
              </w:rPr>
            </w:pPr>
            <w:r>
              <w:rPr>
                <w:rFonts w:ascii="Arial" w:cs="Arial" w:eastAsia="Arial" w:hAnsi="Arial"/>
                <w:sz w:val="16"/>
                <w:szCs w:val="16"/>
                <w:color w:val="092E44"/>
                <w:w w:val="96"/>
              </w:rPr>
              <w:t>167,000</w:t>
            </w:r>
          </w:p>
        </w:tc>
        <w:tc>
          <w:tcPr>
            <w:tcW w:w="700" w:type="dxa"/>
            <w:vAlign w:val="bottom"/>
          </w:tcPr>
          <w:p>
            <w:pPr>
              <w:jc w:val="right"/>
              <w:spacing w:after="0"/>
              <w:rPr>
                <w:sz w:val="20"/>
                <w:szCs w:val="20"/>
                <w:color w:val="auto"/>
              </w:rPr>
            </w:pPr>
            <w:r>
              <w:rPr>
                <w:rFonts w:ascii="Arial" w:cs="Arial" w:eastAsia="Arial" w:hAnsi="Arial"/>
                <w:sz w:val="16"/>
                <w:szCs w:val="16"/>
                <w:color w:val="092E44"/>
              </w:rPr>
              <w:t>$</w:t>
            </w:r>
          </w:p>
        </w:tc>
        <w:tc>
          <w:tcPr>
            <w:tcW w:w="720" w:type="dxa"/>
            <w:vAlign w:val="bottom"/>
          </w:tcPr>
          <w:p>
            <w:pPr>
              <w:jc w:val="right"/>
              <w:ind w:right="60"/>
              <w:spacing w:after="0"/>
              <w:rPr>
                <w:sz w:val="20"/>
                <w:szCs w:val="20"/>
                <w:color w:val="auto"/>
              </w:rPr>
            </w:pPr>
            <w:r>
              <w:rPr>
                <w:rFonts w:ascii="Arial" w:cs="Arial" w:eastAsia="Arial" w:hAnsi="Arial"/>
                <w:sz w:val="16"/>
                <w:szCs w:val="16"/>
                <w:color w:val="092E44"/>
                <w:w w:val="96"/>
              </w:rPr>
              <w:t>199,980</w:t>
            </w:r>
          </w:p>
        </w:tc>
        <w:tc>
          <w:tcPr>
            <w:tcW w:w="220" w:type="dxa"/>
            <w:vAlign w:val="bottom"/>
          </w:tcPr>
          <w:p>
            <w:pPr>
              <w:jc w:val="right"/>
              <w:spacing w:after="0"/>
              <w:rPr>
                <w:sz w:val="20"/>
                <w:szCs w:val="20"/>
                <w:color w:val="auto"/>
              </w:rPr>
            </w:pPr>
            <w:r>
              <w:rPr>
                <w:rFonts w:ascii="Arial" w:cs="Arial" w:eastAsia="Arial" w:hAnsi="Arial"/>
                <w:sz w:val="16"/>
                <w:szCs w:val="16"/>
                <w:color w:val="092E44"/>
              </w:rPr>
              <w:t>$</w:t>
            </w:r>
          </w:p>
        </w:tc>
        <w:tc>
          <w:tcPr>
            <w:tcW w:w="800" w:type="dxa"/>
            <w:vAlign w:val="bottom"/>
          </w:tcPr>
          <w:p>
            <w:pPr>
              <w:jc w:val="right"/>
              <w:ind w:right="141"/>
              <w:spacing w:after="0"/>
              <w:rPr>
                <w:sz w:val="20"/>
                <w:szCs w:val="20"/>
                <w:color w:val="auto"/>
              </w:rPr>
            </w:pPr>
            <w:r>
              <w:rPr>
                <w:rFonts w:ascii="Arial" w:cs="Arial" w:eastAsia="Arial" w:hAnsi="Arial"/>
                <w:sz w:val="16"/>
                <w:szCs w:val="16"/>
                <w:color w:val="092E44"/>
                <w:w w:val="96"/>
              </w:rPr>
              <w:t>366,980</w:t>
            </w:r>
          </w:p>
        </w:tc>
      </w:tr>
      <w:tr>
        <w:trPr>
          <w:trHeight w:val="57"/>
        </w:trPr>
        <w:tc>
          <w:tcPr>
            <w:tcW w:w="6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301"/>
        </w:trPr>
        <w:tc>
          <w:tcPr>
            <w:tcW w:w="6840" w:type="dxa"/>
            <w:vAlign w:val="bottom"/>
            <w:tcBorders>
              <w:bottom w:val="single" w:sz="8" w:color="DDE9F2"/>
            </w:tcBorders>
            <w:shd w:val="clear" w:color="auto" w:fill="DDE9F2"/>
          </w:tcPr>
          <w:p>
            <w:pPr>
              <w:ind w:left="80"/>
              <w:spacing w:after="0"/>
              <w:rPr>
                <w:sz w:val="20"/>
                <w:szCs w:val="20"/>
                <w:color w:val="auto"/>
              </w:rPr>
            </w:pPr>
            <w:r>
              <w:rPr>
                <w:rFonts w:ascii="Arial" w:cs="Arial" w:eastAsia="Arial" w:hAnsi="Arial"/>
                <w:sz w:val="16"/>
                <w:szCs w:val="16"/>
                <w:color w:val="092E44"/>
              </w:rPr>
              <w:t>Martha H. Bejar(3)</w:t>
            </w:r>
          </w:p>
        </w:tc>
        <w:tc>
          <w:tcPr>
            <w:tcW w:w="820" w:type="dxa"/>
            <w:vAlign w:val="bottom"/>
            <w:tcBorders>
              <w:bottom w:val="single" w:sz="8" w:color="DDE9F2"/>
            </w:tcBorders>
            <w:shd w:val="clear" w:color="auto" w:fill="DDE9F2"/>
          </w:tcPr>
          <w:p>
            <w:pPr>
              <w:jc w:val="right"/>
              <w:spacing w:after="0"/>
              <w:rPr>
                <w:sz w:val="20"/>
                <w:szCs w:val="20"/>
                <w:color w:val="auto"/>
              </w:rPr>
            </w:pPr>
            <w:r>
              <w:rPr>
                <w:rFonts w:ascii="Arial" w:cs="Arial" w:eastAsia="Arial" w:hAnsi="Arial"/>
                <w:sz w:val="16"/>
                <w:szCs w:val="16"/>
                <w:color w:val="092E44"/>
              </w:rPr>
              <w:t>$</w:t>
            </w:r>
          </w:p>
        </w:tc>
        <w:tc>
          <w:tcPr>
            <w:tcW w:w="820" w:type="dxa"/>
            <w:vAlign w:val="bottom"/>
            <w:tcBorders>
              <w:bottom w:val="single" w:sz="8" w:color="DDE9F2"/>
            </w:tcBorders>
            <w:shd w:val="clear" w:color="auto" w:fill="DDE9F2"/>
          </w:tcPr>
          <w:p>
            <w:pPr>
              <w:jc w:val="right"/>
              <w:ind w:right="160"/>
              <w:spacing w:after="0"/>
              <w:rPr>
                <w:sz w:val="20"/>
                <w:szCs w:val="20"/>
                <w:color w:val="auto"/>
              </w:rPr>
            </w:pPr>
            <w:r>
              <w:rPr>
                <w:rFonts w:ascii="Arial" w:cs="Arial" w:eastAsia="Arial" w:hAnsi="Arial"/>
                <w:sz w:val="16"/>
                <w:szCs w:val="16"/>
                <w:color w:val="092E44"/>
              </w:rPr>
              <w:t>52,250</w:t>
            </w:r>
          </w:p>
        </w:tc>
        <w:tc>
          <w:tcPr>
            <w:tcW w:w="700" w:type="dxa"/>
            <w:vAlign w:val="bottom"/>
            <w:tcBorders>
              <w:bottom w:val="single" w:sz="8" w:color="DDE9F2"/>
            </w:tcBorders>
            <w:shd w:val="clear" w:color="auto" w:fill="DDE9F2"/>
          </w:tcPr>
          <w:p>
            <w:pPr>
              <w:jc w:val="right"/>
              <w:spacing w:after="0"/>
              <w:rPr>
                <w:sz w:val="20"/>
                <w:szCs w:val="20"/>
                <w:color w:val="auto"/>
              </w:rPr>
            </w:pPr>
            <w:r>
              <w:rPr>
                <w:rFonts w:ascii="Arial" w:cs="Arial" w:eastAsia="Arial" w:hAnsi="Arial"/>
                <w:sz w:val="16"/>
                <w:szCs w:val="16"/>
                <w:color w:val="092E44"/>
              </w:rPr>
              <w:t>$</w:t>
            </w:r>
          </w:p>
        </w:tc>
        <w:tc>
          <w:tcPr>
            <w:tcW w:w="720" w:type="dxa"/>
            <w:vAlign w:val="bottom"/>
            <w:tcBorders>
              <w:bottom w:val="single" w:sz="8" w:color="DDE9F2"/>
            </w:tcBorders>
            <w:shd w:val="clear" w:color="auto" w:fill="DDE9F2"/>
          </w:tcPr>
          <w:p>
            <w:pPr>
              <w:jc w:val="right"/>
              <w:ind w:right="60"/>
              <w:spacing w:after="0"/>
              <w:rPr>
                <w:sz w:val="20"/>
                <w:szCs w:val="20"/>
                <w:color w:val="auto"/>
              </w:rPr>
            </w:pPr>
            <w:r>
              <w:rPr>
                <w:rFonts w:ascii="Arial" w:cs="Arial" w:eastAsia="Arial" w:hAnsi="Arial"/>
                <w:sz w:val="16"/>
                <w:szCs w:val="16"/>
                <w:color w:val="092E44"/>
                <w:w w:val="96"/>
              </w:rPr>
              <w:t>199,980</w:t>
            </w:r>
          </w:p>
        </w:tc>
        <w:tc>
          <w:tcPr>
            <w:tcW w:w="220" w:type="dxa"/>
            <w:vAlign w:val="bottom"/>
            <w:tcBorders>
              <w:bottom w:val="single" w:sz="8" w:color="DDE9F2"/>
            </w:tcBorders>
            <w:shd w:val="clear" w:color="auto" w:fill="DDE9F2"/>
          </w:tcPr>
          <w:p>
            <w:pPr>
              <w:jc w:val="right"/>
              <w:spacing w:after="0"/>
              <w:rPr>
                <w:sz w:val="20"/>
                <w:szCs w:val="20"/>
                <w:color w:val="auto"/>
              </w:rPr>
            </w:pPr>
            <w:r>
              <w:rPr>
                <w:rFonts w:ascii="Arial" w:cs="Arial" w:eastAsia="Arial" w:hAnsi="Arial"/>
                <w:sz w:val="16"/>
                <w:szCs w:val="16"/>
                <w:color w:val="092E44"/>
              </w:rPr>
              <w:t>$</w:t>
            </w:r>
          </w:p>
        </w:tc>
        <w:tc>
          <w:tcPr>
            <w:tcW w:w="800" w:type="dxa"/>
            <w:vAlign w:val="bottom"/>
            <w:tcBorders>
              <w:bottom w:val="single" w:sz="8" w:color="DDE9F2"/>
            </w:tcBorders>
            <w:shd w:val="clear" w:color="auto" w:fill="DDE9F2"/>
          </w:tcPr>
          <w:p>
            <w:pPr>
              <w:jc w:val="right"/>
              <w:ind w:right="141"/>
              <w:spacing w:after="0"/>
              <w:rPr>
                <w:sz w:val="20"/>
                <w:szCs w:val="20"/>
                <w:color w:val="auto"/>
              </w:rPr>
            </w:pPr>
            <w:r>
              <w:rPr>
                <w:rFonts w:ascii="Arial" w:cs="Arial" w:eastAsia="Arial" w:hAnsi="Arial"/>
                <w:sz w:val="16"/>
                <w:szCs w:val="16"/>
                <w:color w:val="092E44"/>
                <w:w w:val="96"/>
              </w:rPr>
              <w:t>252,230</w:t>
            </w:r>
          </w:p>
        </w:tc>
      </w:tr>
      <w:tr>
        <w:trPr>
          <w:trHeight w:val="264"/>
        </w:trPr>
        <w:tc>
          <w:tcPr>
            <w:tcW w:w="6840" w:type="dxa"/>
            <w:vAlign w:val="bottom"/>
          </w:tcPr>
          <w:p>
            <w:pPr>
              <w:ind w:left="80"/>
              <w:spacing w:after="0"/>
              <w:rPr>
                <w:sz w:val="20"/>
                <w:szCs w:val="20"/>
                <w:color w:val="auto"/>
              </w:rPr>
            </w:pPr>
            <w:r>
              <w:rPr>
                <w:rFonts w:ascii="Arial" w:cs="Arial" w:eastAsia="Arial" w:hAnsi="Arial"/>
                <w:sz w:val="16"/>
                <w:szCs w:val="16"/>
                <w:color w:val="092E44"/>
              </w:rPr>
              <w:t>R. Todd Bradley(4)</w:t>
            </w:r>
          </w:p>
        </w:tc>
        <w:tc>
          <w:tcPr>
            <w:tcW w:w="820" w:type="dxa"/>
            <w:vAlign w:val="bottom"/>
          </w:tcPr>
          <w:p>
            <w:pPr>
              <w:jc w:val="right"/>
              <w:spacing w:after="0"/>
              <w:rPr>
                <w:sz w:val="20"/>
                <w:szCs w:val="20"/>
                <w:color w:val="auto"/>
              </w:rPr>
            </w:pPr>
            <w:r>
              <w:rPr>
                <w:rFonts w:ascii="Arial" w:cs="Arial" w:eastAsia="Arial" w:hAnsi="Arial"/>
                <w:sz w:val="16"/>
                <w:szCs w:val="16"/>
                <w:color w:val="092E44"/>
              </w:rPr>
              <w:t>$</w:t>
            </w:r>
          </w:p>
        </w:tc>
        <w:tc>
          <w:tcPr>
            <w:tcW w:w="820" w:type="dxa"/>
            <w:vAlign w:val="bottom"/>
          </w:tcPr>
          <w:p>
            <w:pPr>
              <w:jc w:val="right"/>
              <w:ind w:right="160"/>
              <w:spacing w:after="0"/>
              <w:rPr>
                <w:sz w:val="20"/>
                <w:szCs w:val="20"/>
                <w:color w:val="auto"/>
              </w:rPr>
            </w:pPr>
            <w:r>
              <w:rPr>
                <w:rFonts w:ascii="Arial" w:cs="Arial" w:eastAsia="Arial" w:hAnsi="Arial"/>
                <w:sz w:val="16"/>
                <w:szCs w:val="16"/>
                <w:color w:val="092E44"/>
              </w:rPr>
              <w:t>57,000</w:t>
            </w:r>
          </w:p>
        </w:tc>
        <w:tc>
          <w:tcPr>
            <w:tcW w:w="700" w:type="dxa"/>
            <w:vAlign w:val="bottom"/>
          </w:tcPr>
          <w:p>
            <w:pPr>
              <w:jc w:val="right"/>
              <w:spacing w:after="0"/>
              <w:rPr>
                <w:sz w:val="20"/>
                <w:szCs w:val="20"/>
                <w:color w:val="auto"/>
              </w:rPr>
            </w:pPr>
            <w:r>
              <w:rPr>
                <w:rFonts w:ascii="Arial" w:cs="Arial" w:eastAsia="Arial" w:hAnsi="Arial"/>
                <w:sz w:val="16"/>
                <w:szCs w:val="16"/>
                <w:color w:val="092E44"/>
              </w:rPr>
              <w:t>$</w:t>
            </w:r>
          </w:p>
        </w:tc>
        <w:tc>
          <w:tcPr>
            <w:tcW w:w="720" w:type="dxa"/>
            <w:vAlign w:val="bottom"/>
          </w:tcPr>
          <w:p>
            <w:pPr>
              <w:jc w:val="right"/>
              <w:ind w:right="60"/>
              <w:spacing w:after="0"/>
              <w:rPr>
                <w:sz w:val="20"/>
                <w:szCs w:val="20"/>
                <w:color w:val="auto"/>
              </w:rPr>
            </w:pPr>
            <w:r>
              <w:rPr>
                <w:rFonts w:ascii="Arial" w:cs="Arial" w:eastAsia="Arial" w:hAnsi="Arial"/>
                <w:sz w:val="16"/>
                <w:szCs w:val="16"/>
                <w:color w:val="092E44"/>
                <w:w w:val="96"/>
              </w:rPr>
              <w:t>199,980</w:t>
            </w:r>
          </w:p>
        </w:tc>
        <w:tc>
          <w:tcPr>
            <w:tcW w:w="220" w:type="dxa"/>
            <w:vAlign w:val="bottom"/>
          </w:tcPr>
          <w:p>
            <w:pPr>
              <w:jc w:val="right"/>
              <w:spacing w:after="0"/>
              <w:rPr>
                <w:sz w:val="20"/>
                <w:szCs w:val="20"/>
                <w:color w:val="auto"/>
              </w:rPr>
            </w:pPr>
            <w:r>
              <w:rPr>
                <w:rFonts w:ascii="Arial" w:cs="Arial" w:eastAsia="Arial" w:hAnsi="Arial"/>
                <w:sz w:val="16"/>
                <w:szCs w:val="16"/>
                <w:color w:val="092E44"/>
              </w:rPr>
              <w:t>$</w:t>
            </w:r>
          </w:p>
        </w:tc>
        <w:tc>
          <w:tcPr>
            <w:tcW w:w="800" w:type="dxa"/>
            <w:vAlign w:val="bottom"/>
          </w:tcPr>
          <w:p>
            <w:pPr>
              <w:jc w:val="right"/>
              <w:ind w:right="141"/>
              <w:spacing w:after="0"/>
              <w:rPr>
                <w:sz w:val="20"/>
                <w:szCs w:val="20"/>
                <w:color w:val="auto"/>
              </w:rPr>
            </w:pPr>
            <w:r>
              <w:rPr>
                <w:rFonts w:ascii="Arial" w:cs="Arial" w:eastAsia="Arial" w:hAnsi="Arial"/>
                <w:sz w:val="16"/>
                <w:szCs w:val="16"/>
                <w:color w:val="092E44"/>
                <w:w w:val="96"/>
              </w:rPr>
              <w:t>256,980</w:t>
            </w:r>
          </w:p>
        </w:tc>
      </w:tr>
      <w:tr>
        <w:trPr>
          <w:trHeight w:val="57"/>
        </w:trPr>
        <w:tc>
          <w:tcPr>
            <w:tcW w:w="6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301"/>
        </w:trPr>
        <w:tc>
          <w:tcPr>
            <w:tcW w:w="6840" w:type="dxa"/>
            <w:vAlign w:val="bottom"/>
            <w:tcBorders>
              <w:bottom w:val="single" w:sz="8" w:color="DDE9F2"/>
            </w:tcBorders>
            <w:shd w:val="clear" w:color="auto" w:fill="DDE9F2"/>
          </w:tcPr>
          <w:p>
            <w:pPr>
              <w:ind w:left="80"/>
              <w:spacing w:after="0"/>
              <w:rPr>
                <w:sz w:val="20"/>
                <w:szCs w:val="20"/>
                <w:color w:val="auto"/>
              </w:rPr>
            </w:pPr>
            <w:r>
              <w:rPr>
                <w:rFonts w:ascii="Arial" w:cs="Arial" w:eastAsia="Arial" w:hAnsi="Arial"/>
                <w:sz w:val="16"/>
                <w:szCs w:val="16"/>
                <w:color w:val="092E44"/>
              </w:rPr>
              <w:t>Keith Geeslin(5)</w:t>
            </w:r>
          </w:p>
        </w:tc>
        <w:tc>
          <w:tcPr>
            <w:tcW w:w="820" w:type="dxa"/>
            <w:vAlign w:val="bottom"/>
            <w:tcBorders>
              <w:bottom w:val="single" w:sz="8" w:color="DDE9F2"/>
            </w:tcBorders>
            <w:shd w:val="clear" w:color="auto" w:fill="DDE9F2"/>
          </w:tcPr>
          <w:p>
            <w:pPr>
              <w:jc w:val="right"/>
              <w:spacing w:after="0"/>
              <w:rPr>
                <w:sz w:val="20"/>
                <w:szCs w:val="20"/>
                <w:color w:val="auto"/>
              </w:rPr>
            </w:pPr>
            <w:r>
              <w:rPr>
                <w:rFonts w:ascii="Arial" w:cs="Arial" w:eastAsia="Arial" w:hAnsi="Arial"/>
                <w:sz w:val="16"/>
                <w:szCs w:val="16"/>
                <w:color w:val="092E44"/>
              </w:rPr>
              <w:t>$</w:t>
            </w:r>
          </w:p>
        </w:tc>
        <w:tc>
          <w:tcPr>
            <w:tcW w:w="820" w:type="dxa"/>
            <w:vAlign w:val="bottom"/>
            <w:tcBorders>
              <w:bottom w:val="single" w:sz="8" w:color="DDE9F2"/>
            </w:tcBorders>
            <w:shd w:val="clear" w:color="auto" w:fill="DDE9F2"/>
          </w:tcPr>
          <w:p>
            <w:pPr>
              <w:jc w:val="right"/>
              <w:ind w:right="160"/>
              <w:spacing w:after="0"/>
              <w:rPr>
                <w:sz w:val="20"/>
                <w:szCs w:val="20"/>
                <w:color w:val="auto"/>
              </w:rPr>
            </w:pPr>
            <w:r>
              <w:rPr>
                <w:rFonts w:ascii="Arial" w:cs="Arial" w:eastAsia="Arial" w:hAnsi="Arial"/>
                <w:sz w:val="16"/>
                <w:szCs w:val="16"/>
                <w:color w:val="092E44"/>
              </w:rPr>
              <w:t>62,000</w:t>
            </w:r>
          </w:p>
        </w:tc>
        <w:tc>
          <w:tcPr>
            <w:tcW w:w="700" w:type="dxa"/>
            <w:vAlign w:val="bottom"/>
            <w:tcBorders>
              <w:bottom w:val="single" w:sz="8" w:color="DDE9F2"/>
            </w:tcBorders>
            <w:shd w:val="clear" w:color="auto" w:fill="DDE9F2"/>
          </w:tcPr>
          <w:p>
            <w:pPr>
              <w:jc w:val="right"/>
              <w:spacing w:after="0"/>
              <w:rPr>
                <w:sz w:val="20"/>
                <w:szCs w:val="20"/>
                <w:color w:val="auto"/>
              </w:rPr>
            </w:pPr>
            <w:r>
              <w:rPr>
                <w:rFonts w:ascii="Arial" w:cs="Arial" w:eastAsia="Arial" w:hAnsi="Arial"/>
                <w:sz w:val="16"/>
                <w:szCs w:val="16"/>
                <w:color w:val="092E44"/>
              </w:rPr>
              <w:t>$</w:t>
            </w:r>
          </w:p>
        </w:tc>
        <w:tc>
          <w:tcPr>
            <w:tcW w:w="720" w:type="dxa"/>
            <w:vAlign w:val="bottom"/>
            <w:tcBorders>
              <w:bottom w:val="single" w:sz="8" w:color="DDE9F2"/>
            </w:tcBorders>
            <w:shd w:val="clear" w:color="auto" w:fill="DDE9F2"/>
          </w:tcPr>
          <w:p>
            <w:pPr>
              <w:jc w:val="right"/>
              <w:ind w:right="60"/>
              <w:spacing w:after="0"/>
              <w:rPr>
                <w:sz w:val="20"/>
                <w:szCs w:val="20"/>
                <w:color w:val="auto"/>
              </w:rPr>
            </w:pPr>
            <w:r>
              <w:rPr>
                <w:rFonts w:ascii="Arial" w:cs="Arial" w:eastAsia="Arial" w:hAnsi="Arial"/>
                <w:sz w:val="16"/>
                <w:szCs w:val="16"/>
                <w:color w:val="092E44"/>
                <w:w w:val="96"/>
              </w:rPr>
              <w:t>199,980</w:t>
            </w:r>
          </w:p>
        </w:tc>
        <w:tc>
          <w:tcPr>
            <w:tcW w:w="220" w:type="dxa"/>
            <w:vAlign w:val="bottom"/>
            <w:tcBorders>
              <w:bottom w:val="single" w:sz="8" w:color="DDE9F2"/>
            </w:tcBorders>
            <w:shd w:val="clear" w:color="auto" w:fill="DDE9F2"/>
          </w:tcPr>
          <w:p>
            <w:pPr>
              <w:jc w:val="right"/>
              <w:spacing w:after="0"/>
              <w:rPr>
                <w:sz w:val="20"/>
                <w:szCs w:val="20"/>
                <w:color w:val="auto"/>
              </w:rPr>
            </w:pPr>
            <w:r>
              <w:rPr>
                <w:rFonts w:ascii="Arial" w:cs="Arial" w:eastAsia="Arial" w:hAnsi="Arial"/>
                <w:sz w:val="16"/>
                <w:szCs w:val="16"/>
                <w:color w:val="092E44"/>
              </w:rPr>
              <w:t>$</w:t>
            </w:r>
          </w:p>
        </w:tc>
        <w:tc>
          <w:tcPr>
            <w:tcW w:w="800" w:type="dxa"/>
            <w:vAlign w:val="bottom"/>
            <w:tcBorders>
              <w:bottom w:val="single" w:sz="8" w:color="DDE9F2"/>
            </w:tcBorders>
            <w:shd w:val="clear" w:color="auto" w:fill="DDE9F2"/>
          </w:tcPr>
          <w:p>
            <w:pPr>
              <w:jc w:val="right"/>
              <w:ind w:right="141"/>
              <w:spacing w:after="0"/>
              <w:rPr>
                <w:sz w:val="20"/>
                <w:szCs w:val="20"/>
                <w:color w:val="auto"/>
              </w:rPr>
            </w:pPr>
            <w:r>
              <w:rPr>
                <w:rFonts w:ascii="Arial" w:cs="Arial" w:eastAsia="Arial" w:hAnsi="Arial"/>
                <w:sz w:val="16"/>
                <w:szCs w:val="16"/>
                <w:color w:val="092E44"/>
                <w:w w:val="96"/>
              </w:rPr>
              <w:t>261,980</w:t>
            </w:r>
          </w:p>
        </w:tc>
      </w:tr>
      <w:tr>
        <w:trPr>
          <w:trHeight w:val="264"/>
        </w:trPr>
        <w:tc>
          <w:tcPr>
            <w:tcW w:w="6840" w:type="dxa"/>
            <w:vAlign w:val="bottom"/>
          </w:tcPr>
          <w:p>
            <w:pPr>
              <w:ind w:left="80"/>
              <w:spacing w:after="0"/>
              <w:rPr>
                <w:sz w:val="20"/>
                <w:szCs w:val="20"/>
                <w:color w:val="auto"/>
              </w:rPr>
            </w:pPr>
            <w:r>
              <w:rPr>
                <w:rFonts w:ascii="Arial" w:cs="Arial" w:eastAsia="Arial" w:hAnsi="Arial"/>
                <w:sz w:val="16"/>
                <w:szCs w:val="16"/>
                <w:color w:val="092E44"/>
              </w:rPr>
              <w:t>Vivie “YY” Lee(6)</w:t>
            </w:r>
          </w:p>
        </w:tc>
        <w:tc>
          <w:tcPr>
            <w:tcW w:w="820" w:type="dxa"/>
            <w:vAlign w:val="bottom"/>
          </w:tcPr>
          <w:p>
            <w:pPr>
              <w:jc w:val="right"/>
              <w:spacing w:after="0"/>
              <w:rPr>
                <w:sz w:val="20"/>
                <w:szCs w:val="20"/>
                <w:color w:val="auto"/>
              </w:rPr>
            </w:pPr>
            <w:r>
              <w:rPr>
                <w:rFonts w:ascii="Arial" w:cs="Arial" w:eastAsia="Arial" w:hAnsi="Arial"/>
                <w:sz w:val="16"/>
                <w:szCs w:val="16"/>
                <w:color w:val="092E44"/>
              </w:rPr>
              <w:t>$</w:t>
            </w:r>
          </w:p>
        </w:tc>
        <w:tc>
          <w:tcPr>
            <w:tcW w:w="820" w:type="dxa"/>
            <w:vAlign w:val="bottom"/>
          </w:tcPr>
          <w:p>
            <w:pPr>
              <w:jc w:val="right"/>
              <w:ind w:right="160"/>
              <w:spacing w:after="0"/>
              <w:rPr>
                <w:sz w:val="20"/>
                <w:szCs w:val="20"/>
                <w:color w:val="auto"/>
              </w:rPr>
            </w:pPr>
            <w:r>
              <w:rPr>
                <w:rFonts w:ascii="Arial" w:cs="Arial" w:eastAsia="Arial" w:hAnsi="Arial"/>
                <w:sz w:val="16"/>
                <w:szCs w:val="16"/>
                <w:color w:val="092E44"/>
              </w:rPr>
              <w:t>55,750</w:t>
            </w:r>
          </w:p>
        </w:tc>
        <w:tc>
          <w:tcPr>
            <w:tcW w:w="700" w:type="dxa"/>
            <w:vAlign w:val="bottom"/>
          </w:tcPr>
          <w:p>
            <w:pPr>
              <w:jc w:val="right"/>
              <w:spacing w:after="0"/>
              <w:rPr>
                <w:sz w:val="20"/>
                <w:szCs w:val="20"/>
                <w:color w:val="auto"/>
              </w:rPr>
            </w:pPr>
            <w:r>
              <w:rPr>
                <w:rFonts w:ascii="Arial" w:cs="Arial" w:eastAsia="Arial" w:hAnsi="Arial"/>
                <w:sz w:val="16"/>
                <w:szCs w:val="16"/>
                <w:color w:val="092E44"/>
              </w:rPr>
              <w:t>$</w:t>
            </w:r>
          </w:p>
        </w:tc>
        <w:tc>
          <w:tcPr>
            <w:tcW w:w="720" w:type="dxa"/>
            <w:vAlign w:val="bottom"/>
          </w:tcPr>
          <w:p>
            <w:pPr>
              <w:jc w:val="right"/>
              <w:ind w:right="60"/>
              <w:spacing w:after="0"/>
              <w:rPr>
                <w:sz w:val="20"/>
                <w:szCs w:val="20"/>
                <w:color w:val="auto"/>
              </w:rPr>
            </w:pPr>
            <w:r>
              <w:rPr>
                <w:rFonts w:ascii="Arial" w:cs="Arial" w:eastAsia="Arial" w:hAnsi="Arial"/>
                <w:sz w:val="16"/>
                <w:szCs w:val="16"/>
                <w:color w:val="092E44"/>
                <w:w w:val="96"/>
              </w:rPr>
              <w:t>199,980</w:t>
            </w:r>
          </w:p>
        </w:tc>
        <w:tc>
          <w:tcPr>
            <w:tcW w:w="220" w:type="dxa"/>
            <w:vAlign w:val="bottom"/>
          </w:tcPr>
          <w:p>
            <w:pPr>
              <w:jc w:val="right"/>
              <w:spacing w:after="0"/>
              <w:rPr>
                <w:sz w:val="20"/>
                <w:szCs w:val="20"/>
                <w:color w:val="auto"/>
              </w:rPr>
            </w:pPr>
            <w:r>
              <w:rPr>
                <w:rFonts w:ascii="Arial" w:cs="Arial" w:eastAsia="Arial" w:hAnsi="Arial"/>
                <w:sz w:val="16"/>
                <w:szCs w:val="16"/>
                <w:color w:val="092E44"/>
              </w:rPr>
              <w:t>$</w:t>
            </w:r>
          </w:p>
        </w:tc>
        <w:tc>
          <w:tcPr>
            <w:tcW w:w="800" w:type="dxa"/>
            <w:vAlign w:val="bottom"/>
          </w:tcPr>
          <w:p>
            <w:pPr>
              <w:jc w:val="right"/>
              <w:ind w:right="141"/>
              <w:spacing w:after="0"/>
              <w:rPr>
                <w:sz w:val="20"/>
                <w:szCs w:val="20"/>
                <w:color w:val="auto"/>
              </w:rPr>
            </w:pPr>
            <w:r>
              <w:rPr>
                <w:rFonts w:ascii="Arial" w:cs="Arial" w:eastAsia="Arial" w:hAnsi="Arial"/>
                <w:sz w:val="16"/>
                <w:szCs w:val="16"/>
                <w:color w:val="092E44"/>
                <w:w w:val="96"/>
              </w:rPr>
              <w:t>255,730</w:t>
            </w:r>
          </w:p>
        </w:tc>
      </w:tr>
      <w:tr>
        <w:trPr>
          <w:trHeight w:val="57"/>
        </w:trPr>
        <w:tc>
          <w:tcPr>
            <w:tcW w:w="6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301"/>
        </w:trPr>
        <w:tc>
          <w:tcPr>
            <w:tcW w:w="6840" w:type="dxa"/>
            <w:vAlign w:val="bottom"/>
            <w:tcBorders>
              <w:bottom w:val="single" w:sz="8" w:color="DDE9F2"/>
            </w:tcBorders>
            <w:shd w:val="clear" w:color="auto" w:fill="DDE9F2"/>
          </w:tcPr>
          <w:p>
            <w:pPr>
              <w:ind w:left="80"/>
              <w:spacing w:after="0"/>
              <w:rPr>
                <w:sz w:val="20"/>
                <w:szCs w:val="20"/>
                <w:color w:val="auto"/>
              </w:rPr>
            </w:pPr>
            <w:r>
              <w:rPr>
                <w:rFonts w:ascii="Arial" w:cs="Arial" w:eastAsia="Arial" w:hAnsi="Arial"/>
                <w:sz w:val="16"/>
                <w:szCs w:val="16"/>
                <w:color w:val="092E44"/>
              </w:rPr>
              <w:t>Charles E. Moran(7)</w:t>
            </w:r>
          </w:p>
        </w:tc>
        <w:tc>
          <w:tcPr>
            <w:tcW w:w="820" w:type="dxa"/>
            <w:vAlign w:val="bottom"/>
            <w:tcBorders>
              <w:bottom w:val="single" w:sz="8" w:color="DDE9F2"/>
            </w:tcBorders>
            <w:shd w:val="clear" w:color="auto" w:fill="DDE9F2"/>
          </w:tcPr>
          <w:p>
            <w:pPr>
              <w:jc w:val="right"/>
              <w:spacing w:after="0"/>
              <w:rPr>
                <w:sz w:val="20"/>
                <w:szCs w:val="20"/>
                <w:color w:val="auto"/>
              </w:rPr>
            </w:pPr>
            <w:r>
              <w:rPr>
                <w:rFonts w:ascii="Arial" w:cs="Arial" w:eastAsia="Arial" w:hAnsi="Arial"/>
                <w:sz w:val="16"/>
                <w:szCs w:val="16"/>
                <w:color w:val="092E44"/>
              </w:rPr>
              <w:t>$</w:t>
            </w:r>
          </w:p>
        </w:tc>
        <w:tc>
          <w:tcPr>
            <w:tcW w:w="820" w:type="dxa"/>
            <w:vAlign w:val="bottom"/>
            <w:tcBorders>
              <w:bottom w:val="single" w:sz="8" w:color="DDE9F2"/>
            </w:tcBorders>
            <w:shd w:val="clear" w:color="auto" w:fill="DDE9F2"/>
          </w:tcPr>
          <w:p>
            <w:pPr>
              <w:jc w:val="right"/>
              <w:ind w:right="160"/>
              <w:spacing w:after="0"/>
              <w:rPr>
                <w:sz w:val="20"/>
                <w:szCs w:val="20"/>
                <w:color w:val="auto"/>
              </w:rPr>
            </w:pPr>
            <w:r>
              <w:rPr>
                <w:rFonts w:ascii="Arial" w:cs="Arial" w:eastAsia="Arial" w:hAnsi="Arial"/>
                <w:sz w:val="16"/>
                <w:szCs w:val="16"/>
                <w:color w:val="092E44"/>
              </w:rPr>
              <w:t>62,000</w:t>
            </w:r>
          </w:p>
        </w:tc>
        <w:tc>
          <w:tcPr>
            <w:tcW w:w="700" w:type="dxa"/>
            <w:vAlign w:val="bottom"/>
            <w:tcBorders>
              <w:bottom w:val="single" w:sz="8" w:color="DDE9F2"/>
            </w:tcBorders>
            <w:shd w:val="clear" w:color="auto" w:fill="DDE9F2"/>
          </w:tcPr>
          <w:p>
            <w:pPr>
              <w:jc w:val="right"/>
              <w:spacing w:after="0"/>
              <w:rPr>
                <w:sz w:val="20"/>
                <w:szCs w:val="20"/>
                <w:color w:val="auto"/>
              </w:rPr>
            </w:pPr>
            <w:r>
              <w:rPr>
                <w:rFonts w:ascii="Arial" w:cs="Arial" w:eastAsia="Arial" w:hAnsi="Arial"/>
                <w:sz w:val="16"/>
                <w:szCs w:val="16"/>
                <w:color w:val="092E44"/>
              </w:rPr>
              <w:t>$</w:t>
            </w:r>
          </w:p>
        </w:tc>
        <w:tc>
          <w:tcPr>
            <w:tcW w:w="720" w:type="dxa"/>
            <w:vAlign w:val="bottom"/>
            <w:tcBorders>
              <w:bottom w:val="single" w:sz="8" w:color="DDE9F2"/>
            </w:tcBorders>
            <w:shd w:val="clear" w:color="auto" w:fill="DDE9F2"/>
          </w:tcPr>
          <w:p>
            <w:pPr>
              <w:jc w:val="right"/>
              <w:ind w:right="60"/>
              <w:spacing w:after="0"/>
              <w:rPr>
                <w:sz w:val="20"/>
                <w:szCs w:val="20"/>
                <w:color w:val="auto"/>
              </w:rPr>
            </w:pPr>
            <w:r>
              <w:rPr>
                <w:rFonts w:ascii="Arial" w:cs="Arial" w:eastAsia="Arial" w:hAnsi="Arial"/>
                <w:sz w:val="16"/>
                <w:szCs w:val="16"/>
                <w:color w:val="092E44"/>
                <w:w w:val="96"/>
              </w:rPr>
              <w:t>199,980</w:t>
            </w:r>
          </w:p>
        </w:tc>
        <w:tc>
          <w:tcPr>
            <w:tcW w:w="220" w:type="dxa"/>
            <w:vAlign w:val="bottom"/>
            <w:tcBorders>
              <w:bottom w:val="single" w:sz="8" w:color="DDE9F2"/>
            </w:tcBorders>
            <w:shd w:val="clear" w:color="auto" w:fill="DDE9F2"/>
          </w:tcPr>
          <w:p>
            <w:pPr>
              <w:jc w:val="right"/>
              <w:spacing w:after="0"/>
              <w:rPr>
                <w:sz w:val="20"/>
                <w:szCs w:val="20"/>
                <w:color w:val="auto"/>
              </w:rPr>
            </w:pPr>
            <w:r>
              <w:rPr>
                <w:rFonts w:ascii="Arial" w:cs="Arial" w:eastAsia="Arial" w:hAnsi="Arial"/>
                <w:sz w:val="16"/>
                <w:szCs w:val="16"/>
                <w:color w:val="092E44"/>
              </w:rPr>
              <w:t>$</w:t>
            </w:r>
          </w:p>
        </w:tc>
        <w:tc>
          <w:tcPr>
            <w:tcW w:w="800" w:type="dxa"/>
            <w:vAlign w:val="bottom"/>
            <w:tcBorders>
              <w:bottom w:val="single" w:sz="8" w:color="DDE9F2"/>
            </w:tcBorders>
            <w:shd w:val="clear" w:color="auto" w:fill="DDE9F2"/>
          </w:tcPr>
          <w:p>
            <w:pPr>
              <w:jc w:val="right"/>
              <w:ind w:right="141"/>
              <w:spacing w:after="0"/>
              <w:rPr>
                <w:sz w:val="20"/>
                <w:szCs w:val="20"/>
                <w:color w:val="auto"/>
              </w:rPr>
            </w:pPr>
            <w:r>
              <w:rPr>
                <w:rFonts w:ascii="Arial" w:cs="Arial" w:eastAsia="Arial" w:hAnsi="Arial"/>
                <w:sz w:val="16"/>
                <w:szCs w:val="16"/>
                <w:color w:val="092E44"/>
                <w:w w:val="96"/>
              </w:rPr>
              <w:t>261,980</w:t>
            </w:r>
          </w:p>
        </w:tc>
      </w:tr>
      <w:tr>
        <w:trPr>
          <w:trHeight w:val="264"/>
        </w:trPr>
        <w:tc>
          <w:tcPr>
            <w:tcW w:w="6840" w:type="dxa"/>
            <w:vAlign w:val="bottom"/>
          </w:tcPr>
          <w:p>
            <w:pPr>
              <w:ind w:left="80"/>
              <w:spacing w:after="0"/>
              <w:rPr>
                <w:sz w:val="20"/>
                <w:szCs w:val="20"/>
                <w:color w:val="auto"/>
              </w:rPr>
            </w:pPr>
            <w:r>
              <w:rPr>
                <w:rFonts w:ascii="Arial" w:cs="Arial" w:eastAsia="Arial" w:hAnsi="Arial"/>
                <w:sz w:val="16"/>
                <w:szCs w:val="16"/>
                <w:color w:val="092E44"/>
              </w:rPr>
              <w:t>Allison Pickens(8)</w:t>
            </w:r>
          </w:p>
        </w:tc>
        <w:tc>
          <w:tcPr>
            <w:tcW w:w="820" w:type="dxa"/>
            <w:vAlign w:val="bottom"/>
          </w:tcPr>
          <w:p>
            <w:pPr>
              <w:jc w:val="right"/>
              <w:spacing w:after="0"/>
              <w:rPr>
                <w:sz w:val="20"/>
                <w:szCs w:val="20"/>
                <w:color w:val="auto"/>
              </w:rPr>
            </w:pPr>
            <w:r>
              <w:rPr>
                <w:rFonts w:ascii="Arial" w:cs="Arial" w:eastAsia="Arial" w:hAnsi="Arial"/>
                <w:sz w:val="16"/>
                <w:szCs w:val="16"/>
                <w:color w:val="092E44"/>
              </w:rPr>
              <w:t>$</w:t>
            </w:r>
          </w:p>
        </w:tc>
        <w:tc>
          <w:tcPr>
            <w:tcW w:w="820" w:type="dxa"/>
            <w:vAlign w:val="bottom"/>
          </w:tcPr>
          <w:p>
            <w:pPr>
              <w:jc w:val="right"/>
              <w:ind w:right="160"/>
              <w:spacing w:after="0"/>
              <w:rPr>
                <w:sz w:val="20"/>
                <w:szCs w:val="20"/>
                <w:color w:val="auto"/>
              </w:rPr>
            </w:pPr>
            <w:r>
              <w:rPr>
                <w:rFonts w:ascii="Arial" w:cs="Arial" w:eastAsia="Arial" w:hAnsi="Arial"/>
                <w:sz w:val="16"/>
                <w:szCs w:val="16"/>
                <w:color w:val="092E44"/>
              </w:rPr>
              <w:t>47,000</w:t>
            </w:r>
          </w:p>
        </w:tc>
        <w:tc>
          <w:tcPr>
            <w:tcW w:w="700" w:type="dxa"/>
            <w:vAlign w:val="bottom"/>
          </w:tcPr>
          <w:p>
            <w:pPr>
              <w:jc w:val="right"/>
              <w:spacing w:after="0"/>
              <w:rPr>
                <w:sz w:val="20"/>
                <w:szCs w:val="20"/>
                <w:color w:val="auto"/>
              </w:rPr>
            </w:pPr>
            <w:r>
              <w:rPr>
                <w:rFonts w:ascii="Arial" w:cs="Arial" w:eastAsia="Arial" w:hAnsi="Arial"/>
                <w:sz w:val="16"/>
                <w:szCs w:val="16"/>
                <w:color w:val="092E44"/>
              </w:rPr>
              <w:t>$</w:t>
            </w:r>
          </w:p>
        </w:tc>
        <w:tc>
          <w:tcPr>
            <w:tcW w:w="720" w:type="dxa"/>
            <w:vAlign w:val="bottom"/>
          </w:tcPr>
          <w:p>
            <w:pPr>
              <w:jc w:val="right"/>
              <w:ind w:right="60"/>
              <w:spacing w:after="0"/>
              <w:rPr>
                <w:sz w:val="20"/>
                <w:szCs w:val="20"/>
                <w:color w:val="auto"/>
              </w:rPr>
            </w:pPr>
            <w:r>
              <w:rPr>
                <w:rFonts w:ascii="Arial" w:cs="Arial" w:eastAsia="Arial" w:hAnsi="Arial"/>
                <w:sz w:val="16"/>
                <w:szCs w:val="16"/>
                <w:color w:val="092E44"/>
                <w:w w:val="96"/>
              </w:rPr>
              <w:t>199,980</w:t>
            </w:r>
          </w:p>
        </w:tc>
        <w:tc>
          <w:tcPr>
            <w:tcW w:w="220" w:type="dxa"/>
            <w:vAlign w:val="bottom"/>
          </w:tcPr>
          <w:p>
            <w:pPr>
              <w:jc w:val="right"/>
              <w:spacing w:after="0"/>
              <w:rPr>
                <w:sz w:val="20"/>
                <w:szCs w:val="20"/>
                <w:color w:val="auto"/>
              </w:rPr>
            </w:pPr>
            <w:r>
              <w:rPr>
                <w:rFonts w:ascii="Arial" w:cs="Arial" w:eastAsia="Arial" w:hAnsi="Arial"/>
                <w:sz w:val="16"/>
                <w:szCs w:val="16"/>
                <w:color w:val="092E44"/>
              </w:rPr>
              <w:t>$</w:t>
            </w:r>
          </w:p>
        </w:tc>
        <w:tc>
          <w:tcPr>
            <w:tcW w:w="800" w:type="dxa"/>
            <w:vAlign w:val="bottom"/>
          </w:tcPr>
          <w:p>
            <w:pPr>
              <w:jc w:val="right"/>
              <w:ind w:right="141"/>
              <w:spacing w:after="0"/>
              <w:rPr>
                <w:sz w:val="20"/>
                <w:szCs w:val="20"/>
                <w:color w:val="auto"/>
              </w:rPr>
            </w:pPr>
            <w:r>
              <w:rPr>
                <w:rFonts w:ascii="Arial" w:cs="Arial" w:eastAsia="Arial" w:hAnsi="Arial"/>
                <w:sz w:val="16"/>
                <w:szCs w:val="16"/>
                <w:color w:val="092E44"/>
                <w:w w:val="96"/>
              </w:rPr>
              <w:t>246,980</w:t>
            </w:r>
          </w:p>
        </w:tc>
      </w:tr>
      <w:tr>
        <w:trPr>
          <w:trHeight w:val="57"/>
        </w:trPr>
        <w:tc>
          <w:tcPr>
            <w:tcW w:w="6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301"/>
        </w:trPr>
        <w:tc>
          <w:tcPr>
            <w:tcW w:w="6840" w:type="dxa"/>
            <w:vAlign w:val="bottom"/>
            <w:tcBorders>
              <w:bottom w:val="single" w:sz="8" w:color="DDE9F2"/>
            </w:tcBorders>
            <w:shd w:val="clear" w:color="auto" w:fill="DDE9F2"/>
          </w:tcPr>
          <w:p>
            <w:pPr>
              <w:ind w:left="80"/>
              <w:spacing w:after="0"/>
              <w:rPr>
                <w:sz w:val="20"/>
                <w:szCs w:val="20"/>
                <w:color w:val="auto"/>
              </w:rPr>
            </w:pPr>
            <w:r>
              <w:rPr>
                <w:rFonts w:ascii="Arial" w:cs="Arial" w:eastAsia="Arial" w:hAnsi="Arial"/>
                <w:sz w:val="16"/>
                <w:szCs w:val="16"/>
                <w:color w:val="092E44"/>
              </w:rPr>
              <w:t>Arlen Shenkman(9)</w:t>
            </w:r>
          </w:p>
        </w:tc>
        <w:tc>
          <w:tcPr>
            <w:tcW w:w="820" w:type="dxa"/>
            <w:vAlign w:val="bottom"/>
            <w:tcBorders>
              <w:bottom w:val="single" w:sz="8" w:color="DDE9F2"/>
            </w:tcBorders>
            <w:shd w:val="clear" w:color="auto" w:fill="DDE9F2"/>
          </w:tcPr>
          <w:p>
            <w:pPr>
              <w:jc w:val="right"/>
              <w:spacing w:after="0"/>
              <w:rPr>
                <w:sz w:val="20"/>
                <w:szCs w:val="20"/>
                <w:color w:val="auto"/>
              </w:rPr>
            </w:pPr>
            <w:r>
              <w:rPr>
                <w:rFonts w:ascii="Arial" w:cs="Arial" w:eastAsia="Arial" w:hAnsi="Arial"/>
                <w:sz w:val="16"/>
                <w:szCs w:val="16"/>
                <w:color w:val="092E44"/>
              </w:rPr>
              <w:t>$</w:t>
            </w:r>
          </w:p>
        </w:tc>
        <w:tc>
          <w:tcPr>
            <w:tcW w:w="820" w:type="dxa"/>
            <w:vAlign w:val="bottom"/>
            <w:tcBorders>
              <w:bottom w:val="single" w:sz="8" w:color="DDE9F2"/>
            </w:tcBorders>
            <w:shd w:val="clear" w:color="auto" w:fill="DDE9F2"/>
          </w:tcPr>
          <w:p>
            <w:pPr>
              <w:jc w:val="right"/>
              <w:ind w:right="160"/>
              <w:spacing w:after="0"/>
              <w:rPr>
                <w:sz w:val="20"/>
                <w:szCs w:val="20"/>
                <w:color w:val="auto"/>
              </w:rPr>
            </w:pPr>
            <w:r>
              <w:rPr>
                <w:rFonts w:ascii="Arial" w:cs="Arial" w:eastAsia="Arial" w:hAnsi="Arial"/>
                <w:sz w:val="16"/>
                <w:szCs w:val="16"/>
                <w:color w:val="092E44"/>
              </w:rPr>
              <w:t>69,000</w:t>
            </w:r>
          </w:p>
        </w:tc>
        <w:tc>
          <w:tcPr>
            <w:tcW w:w="700" w:type="dxa"/>
            <w:vAlign w:val="bottom"/>
            <w:tcBorders>
              <w:bottom w:val="single" w:sz="8" w:color="DDE9F2"/>
            </w:tcBorders>
            <w:shd w:val="clear" w:color="auto" w:fill="DDE9F2"/>
          </w:tcPr>
          <w:p>
            <w:pPr>
              <w:jc w:val="right"/>
              <w:spacing w:after="0"/>
              <w:rPr>
                <w:sz w:val="20"/>
                <w:szCs w:val="20"/>
                <w:color w:val="auto"/>
              </w:rPr>
            </w:pPr>
            <w:r>
              <w:rPr>
                <w:rFonts w:ascii="Arial" w:cs="Arial" w:eastAsia="Arial" w:hAnsi="Arial"/>
                <w:sz w:val="16"/>
                <w:szCs w:val="16"/>
                <w:color w:val="092E44"/>
              </w:rPr>
              <w:t>$</w:t>
            </w:r>
          </w:p>
        </w:tc>
        <w:tc>
          <w:tcPr>
            <w:tcW w:w="720" w:type="dxa"/>
            <w:vAlign w:val="bottom"/>
            <w:tcBorders>
              <w:bottom w:val="single" w:sz="8" w:color="DDE9F2"/>
            </w:tcBorders>
            <w:shd w:val="clear" w:color="auto" w:fill="DDE9F2"/>
          </w:tcPr>
          <w:p>
            <w:pPr>
              <w:jc w:val="right"/>
              <w:ind w:right="60"/>
              <w:spacing w:after="0"/>
              <w:rPr>
                <w:sz w:val="20"/>
                <w:szCs w:val="20"/>
                <w:color w:val="auto"/>
              </w:rPr>
            </w:pPr>
            <w:r>
              <w:rPr>
                <w:rFonts w:ascii="Arial" w:cs="Arial" w:eastAsia="Arial" w:hAnsi="Arial"/>
                <w:sz w:val="16"/>
                <w:szCs w:val="16"/>
                <w:color w:val="092E44"/>
                <w:w w:val="96"/>
              </w:rPr>
              <w:t>199,980</w:t>
            </w:r>
          </w:p>
        </w:tc>
        <w:tc>
          <w:tcPr>
            <w:tcW w:w="220" w:type="dxa"/>
            <w:vAlign w:val="bottom"/>
            <w:tcBorders>
              <w:bottom w:val="single" w:sz="8" w:color="DDE9F2"/>
            </w:tcBorders>
            <w:shd w:val="clear" w:color="auto" w:fill="DDE9F2"/>
          </w:tcPr>
          <w:p>
            <w:pPr>
              <w:jc w:val="right"/>
              <w:spacing w:after="0"/>
              <w:rPr>
                <w:sz w:val="20"/>
                <w:szCs w:val="20"/>
                <w:color w:val="auto"/>
              </w:rPr>
            </w:pPr>
            <w:r>
              <w:rPr>
                <w:rFonts w:ascii="Arial" w:cs="Arial" w:eastAsia="Arial" w:hAnsi="Arial"/>
                <w:sz w:val="16"/>
                <w:szCs w:val="16"/>
                <w:color w:val="092E44"/>
              </w:rPr>
              <w:t>$</w:t>
            </w:r>
          </w:p>
        </w:tc>
        <w:tc>
          <w:tcPr>
            <w:tcW w:w="800" w:type="dxa"/>
            <w:vAlign w:val="bottom"/>
            <w:tcBorders>
              <w:bottom w:val="single" w:sz="8" w:color="DDE9F2"/>
            </w:tcBorders>
            <w:shd w:val="clear" w:color="auto" w:fill="DDE9F2"/>
          </w:tcPr>
          <w:p>
            <w:pPr>
              <w:jc w:val="right"/>
              <w:ind w:right="141"/>
              <w:spacing w:after="0"/>
              <w:rPr>
                <w:sz w:val="20"/>
                <w:szCs w:val="20"/>
                <w:color w:val="auto"/>
              </w:rPr>
            </w:pPr>
            <w:r>
              <w:rPr>
                <w:rFonts w:ascii="Arial" w:cs="Arial" w:eastAsia="Arial" w:hAnsi="Arial"/>
                <w:sz w:val="16"/>
                <w:szCs w:val="16"/>
                <w:color w:val="092E44"/>
                <w:w w:val="96"/>
              </w:rPr>
              <w:t>268,980</w:t>
            </w:r>
          </w:p>
        </w:tc>
      </w:tr>
      <w:tr>
        <w:trPr>
          <w:trHeight w:val="264"/>
        </w:trPr>
        <w:tc>
          <w:tcPr>
            <w:tcW w:w="6840" w:type="dxa"/>
            <w:vAlign w:val="bottom"/>
          </w:tcPr>
          <w:p>
            <w:pPr>
              <w:ind w:left="80"/>
              <w:spacing w:after="0"/>
              <w:rPr>
                <w:sz w:val="20"/>
                <w:szCs w:val="20"/>
                <w:color w:val="auto"/>
              </w:rPr>
            </w:pPr>
            <w:r>
              <w:rPr>
                <w:rFonts w:ascii="Arial" w:cs="Arial" w:eastAsia="Arial" w:hAnsi="Arial"/>
                <w:sz w:val="16"/>
                <w:szCs w:val="16"/>
                <w:color w:val="092E44"/>
              </w:rPr>
              <w:t>David F. Walker(10)</w:t>
            </w:r>
          </w:p>
        </w:tc>
        <w:tc>
          <w:tcPr>
            <w:tcW w:w="820" w:type="dxa"/>
            <w:vAlign w:val="bottom"/>
          </w:tcPr>
          <w:p>
            <w:pPr>
              <w:jc w:val="right"/>
              <w:spacing w:after="0"/>
              <w:rPr>
                <w:sz w:val="20"/>
                <w:szCs w:val="20"/>
                <w:color w:val="auto"/>
              </w:rPr>
            </w:pPr>
            <w:r>
              <w:rPr>
                <w:rFonts w:ascii="Arial" w:cs="Arial" w:eastAsia="Arial" w:hAnsi="Arial"/>
                <w:sz w:val="16"/>
                <w:szCs w:val="16"/>
                <w:color w:val="092E44"/>
              </w:rPr>
              <w:t>$</w:t>
            </w:r>
          </w:p>
        </w:tc>
        <w:tc>
          <w:tcPr>
            <w:tcW w:w="820" w:type="dxa"/>
            <w:vAlign w:val="bottom"/>
          </w:tcPr>
          <w:p>
            <w:pPr>
              <w:jc w:val="right"/>
              <w:ind w:right="160"/>
              <w:spacing w:after="0"/>
              <w:rPr>
                <w:sz w:val="20"/>
                <w:szCs w:val="20"/>
                <w:color w:val="auto"/>
              </w:rPr>
            </w:pPr>
            <w:r>
              <w:rPr>
                <w:rFonts w:ascii="Arial" w:cs="Arial" w:eastAsia="Arial" w:hAnsi="Arial"/>
                <w:sz w:val="16"/>
                <w:szCs w:val="16"/>
                <w:color w:val="092E44"/>
              </w:rPr>
              <w:t>72,000</w:t>
            </w:r>
          </w:p>
        </w:tc>
        <w:tc>
          <w:tcPr>
            <w:tcW w:w="700" w:type="dxa"/>
            <w:vAlign w:val="bottom"/>
          </w:tcPr>
          <w:p>
            <w:pPr>
              <w:jc w:val="right"/>
              <w:spacing w:after="0"/>
              <w:rPr>
                <w:sz w:val="20"/>
                <w:szCs w:val="20"/>
                <w:color w:val="auto"/>
              </w:rPr>
            </w:pPr>
            <w:r>
              <w:rPr>
                <w:rFonts w:ascii="Arial" w:cs="Arial" w:eastAsia="Arial" w:hAnsi="Arial"/>
                <w:sz w:val="16"/>
                <w:szCs w:val="16"/>
                <w:color w:val="092E44"/>
              </w:rPr>
              <w:t>$</w:t>
            </w:r>
          </w:p>
        </w:tc>
        <w:tc>
          <w:tcPr>
            <w:tcW w:w="720" w:type="dxa"/>
            <w:vAlign w:val="bottom"/>
          </w:tcPr>
          <w:p>
            <w:pPr>
              <w:jc w:val="right"/>
              <w:ind w:right="60"/>
              <w:spacing w:after="0"/>
              <w:rPr>
                <w:sz w:val="20"/>
                <w:szCs w:val="20"/>
                <w:color w:val="auto"/>
              </w:rPr>
            </w:pPr>
            <w:r>
              <w:rPr>
                <w:rFonts w:ascii="Arial" w:cs="Arial" w:eastAsia="Arial" w:hAnsi="Arial"/>
                <w:sz w:val="16"/>
                <w:szCs w:val="16"/>
                <w:color w:val="092E44"/>
                <w:w w:val="96"/>
              </w:rPr>
              <w:t>199,980</w:t>
            </w:r>
          </w:p>
        </w:tc>
        <w:tc>
          <w:tcPr>
            <w:tcW w:w="220" w:type="dxa"/>
            <w:vAlign w:val="bottom"/>
          </w:tcPr>
          <w:p>
            <w:pPr>
              <w:jc w:val="right"/>
              <w:spacing w:after="0"/>
              <w:rPr>
                <w:sz w:val="20"/>
                <w:szCs w:val="20"/>
                <w:color w:val="auto"/>
              </w:rPr>
            </w:pPr>
            <w:r>
              <w:rPr>
                <w:rFonts w:ascii="Arial" w:cs="Arial" w:eastAsia="Arial" w:hAnsi="Arial"/>
                <w:sz w:val="16"/>
                <w:szCs w:val="16"/>
                <w:color w:val="092E44"/>
              </w:rPr>
              <w:t>$</w:t>
            </w:r>
          </w:p>
        </w:tc>
        <w:tc>
          <w:tcPr>
            <w:tcW w:w="800" w:type="dxa"/>
            <w:vAlign w:val="bottom"/>
          </w:tcPr>
          <w:p>
            <w:pPr>
              <w:jc w:val="right"/>
              <w:ind w:right="141"/>
              <w:spacing w:after="0"/>
              <w:rPr>
                <w:sz w:val="20"/>
                <w:szCs w:val="20"/>
                <w:color w:val="auto"/>
              </w:rPr>
            </w:pPr>
            <w:r>
              <w:rPr>
                <w:rFonts w:ascii="Arial" w:cs="Arial" w:eastAsia="Arial" w:hAnsi="Arial"/>
                <w:sz w:val="16"/>
                <w:szCs w:val="16"/>
                <w:color w:val="092E44"/>
                <w:w w:val="96"/>
              </w:rPr>
              <w:t>271,980</w:t>
            </w:r>
          </w:p>
        </w:tc>
      </w:tr>
      <w:tr>
        <w:trPr>
          <w:trHeight w:val="57"/>
        </w:trPr>
        <w:tc>
          <w:tcPr>
            <w:tcW w:w="6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301"/>
        </w:trPr>
        <w:tc>
          <w:tcPr>
            <w:tcW w:w="6840" w:type="dxa"/>
            <w:vAlign w:val="bottom"/>
            <w:tcBorders>
              <w:bottom w:val="single" w:sz="8" w:color="DDE9F2"/>
            </w:tcBorders>
            <w:shd w:val="clear" w:color="auto" w:fill="DDE9F2"/>
          </w:tcPr>
          <w:p>
            <w:pPr>
              <w:ind w:left="80"/>
              <w:spacing w:after="0"/>
              <w:rPr>
                <w:sz w:val="20"/>
                <w:szCs w:val="20"/>
                <w:color w:val="auto"/>
              </w:rPr>
            </w:pPr>
            <w:r>
              <w:rPr>
                <w:rFonts w:ascii="Arial" w:cs="Arial" w:eastAsia="Arial" w:hAnsi="Arial"/>
                <w:sz w:val="16"/>
                <w:szCs w:val="16"/>
                <w:color w:val="092E44"/>
              </w:rPr>
              <w:t>Gary Smith(11)</w:t>
            </w:r>
          </w:p>
        </w:tc>
        <w:tc>
          <w:tcPr>
            <w:tcW w:w="820" w:type="dxa"/>
            <w:vAlign w:val="bottom"/>
            <w:tcBorders>
              <w:bottom w:val="single" w:sz="8" w:color="DDE9F2"/>
            </w:tcBorders>
            <w:shd w:val="clear" w:color="auto" w:fill="DDE9F2"/>
          </w:tcPr>
          <w:p>
            <w:pPr>
              <w:jc w:val="right"/>
              <w:spacing w:after="0"/>
              <w:rPr>
                <w:sz w:val="20"/>
                <w:szCs w:val="20"/>
                <w:color w:val="auto"/>
              </w:rPr>
            </w:pPr>
            <w:r>
              <w:rPr>
                <w:rFonts w:ascii="Arial" w:cs="Arial" w:eastAsia="Arial" w:hAnsi="Arial"/>
                <w:sz w:val="16"/>
                <w:szCs w:val="16"/>
                <w:color w:val="092E44"/>
              </w:rPr>
              <w:t>$</w:t>
            </w:r>
          </w:p>
        </w:tc>
        <w:tc>
          <w:tcPr>
            <w:tcW w:w="820" w:type="dxa"/>
            <w:vAlign w:val="bottom"/>
            <w:tcBorders>
              <w:bottom w:val="single" w:sz="8" w:color="DDE9F2"/>
            </w:tcBorders>
            <w:shd w:val="clear" w:color="auto" w:fill="DDE9F2"/>
          </w:tcPr>
          <w:p>
            <w:pPr>
              <w:jc w:val="right"/>
              <w:ind w:right="160"/>
              <w:spacing w:after="0"/>
              <w:rPr>
                <w:sz w:val="20"/>
                <w:szCs w:val="20"/>
                <w:color w:val="auto"/>
              </w:rPr>
            </w:pPr>
            <w:r>
              <w:rPr>
                <w:rFonts w:ascii="Arial" w:cs="Arial" w:eastAsia="Arial" w:hAnsi="Arial"/>
                <w:sz w:val="16"/>
                <w:szCs w:val="16"/>
                <w:color w:val="092E44"/>
              </w:rPr>
              <w:t>13,500</w:t>
            </w:r>
          </w:p>
        </w:tc>
        <w:tc>
          <w:tcPr>
            <w:tcW w:w="700" w:type="dxa"/>
            <w:vAlign w:val="bottom"/>
            <w:tcBorders>
              <w:bottom w:val="single" w:sz="8" w:color="DDE9F2"/>
            </w:tcBorders>
            <w:shd w:val="clear" w:color="auto" w:fill="DDE9F2"/>
          </w:tcPr>
          <w:p>
            <w:pPr>
              <w:jc w:val="right"/>
              <w:spacing w:after="0"/>
              <w:rPr>
                <w:sz w:val="20"/>
                <w:szCs w:val="20"/>
                <w:color w:val="auto"/>
              </w:rPr>
            </w:pPr>
            <w:r>
              <w:rPr>
                <w:rFonts w:ascii="Arial" w:cs="Arial" w:eastAsia="Arial" w:hAnsi="Arial"/>
                <w:sz w:val="16"/>
                <w:szCs w:val="16"/>
                <w:color w:val="092E44"/>
              </w:rPr>
              <w:t>$</w:t>
            </w:r>
          </w:p>
        </w:tc>
        <w:tc>
          <w:tcPr>
            <w:tcW w:w="720" w:type="dxa"/>
            <w:vAlign w:val="bottom"/>
            <w:tcBorders>
              <w:bottom w:val="single" w:sz="8" w:color="DDE9F2"/>
            </w:tcBorders>
            <w:shd w:val="clear" w:color="auto" w:fill="DDE9F2"/>
          </w:tcPr>
          <w:p>
            <w:pPr>
              <w:jc w:val="right"/>
              <w:ind w:right="60"/>
              <w:spacing w:after="0"/>
              <w:rPr>
                <w:sz w:val="20"/>
                <w:szCs w:val="20"/>
                <w:color w:val="auto"/>
              </w:rPr>
            </w:pPr>
            <w:r>
              <w:rPr>
                <w:rFonts w:ascii="Arial" w:cs="Arial" w:eastAsia="Arial" w:hAnsi="Arial"/>
                <w:sz w:val="16"/>
                <w:szCs w:val="16"/>
                <w:color w:val="092E44"/>
              </w:rPr>
              <w:t>0</w:t>
            </w:r>
          </w:p>
        </w:tc>
        <w:tc>
          <w:tcPr>
            <w:tcW w:w="220" w:type="dxa"/>
            <w:vAlign w:val="bottom"/>
            <w:tcBorders>
              <w:bottom w:val="single" w:sz="8" w:color="DDE9F2"/>
            </w:tcBorders>
            <w:shd w:val="clear" w:color="auto" w:fill="DDE9F2"/>
          </w:tcPr>
          <w:p>
            <w:pPr>
              <w:jc w:val="right"/>
              <w:spacing w:after="0"/>
              <w:rPr>
                <w:sz w:val="20"/>
                <w:szCs w:val="20"/>
                <w:color w:val="auto"/>
              </w:rPr>
            </w:pPr>
            <w:r>
              <w:rPr>
                <w:rFonts w:ascii="Arial" w:cs="Arial" w:eastAsia="Arial" w:hAnsi="Arial"/>
                <w:sz w:val="16"/>
                <w:szCs w:val="16"/>
                <w:color w:val="092E44"/>
              </w:rPr>
              <w:t>$</w:t>
            </w:r>
          </w:p>
        </w:tc>
        <w:tc>
          <w:tcPr>
            <w:tcW w:w="800" w:type="dxa"/>
            <w:vAlign w:val="bottom"/>
            <w:tcBorders>
              <w:bottom w:val="single" w:sz="8" w:color="DDE9F2"/>
            </w:tcBorders>
            <w:shd w:val="clear" w:color="auto" w:fill="DDE9F2"/>
          </w:tcPr>
          <w:p>
            <w:pPr>
              <w:jc w:val="right"/>
              <w:ind w:right="141"/>
              <w:spacing w:after="0"/>
              <w:rPr>
                <w:sz w:val="20"/>
                <w:szCs w:val="20"/>
                <w:color w:val="auto"/>
              </w:rPr>
            </w:pPr>
            <w:r>
              <w:rPr>
                <w:rFonts w:ascii="Arial" w:cs="Arial" w:eastAsia="Arial" w:hAnsi="Arial"/>
                <w:sz w:val="16"/>
                <w:szCs w:val="16"/>
                <w:color w:val="092E44"/>
              </w:rPr>
              <w:t>13,500</w:t>
            </w:r>
          </w:p>
        </w:tc>
      </w:tr>
      <w:tr>
        <w:trPr>
          <w:trHeight w:val="20"/>
        </w:trPr>
        <w:tc>
          <w:tcPr>
            <w:tcW w:w="6840" w:type="dxa"/>
            <w:vAlign w:val="bottom"/>
            <w:shd w:val="clear" w:color="auto" w:fill="092E44"/>
          </w:tcPr>
          <w:p>
            <w:pPr>
              <w:spacing w:after="0" w:line="20" w:lineRule="exact"/>
              <w:rPr>
                <w:sz w:val="1"/>
                <w:szCs w:val="1"/>
                <w:color w:val="auto"/>
              </w:rPr>
            </w:pPr>
          </w:p>
        </w:tc>
        <w:tc>
          <w:tcPr>
            <w:tcW w:w="820" w:type="dxa"/>
            <w:vAlign w:val="bottom"/>
            <w:shd w:val="clear" w:color="auto" w:fill="092E44"/>
          </w:tcPr>
          <w:p>
            <w:pPr>
              <w:spacing w:after="0" w:line="20" w:lineRule="exact"/>
              <w:rPr>
                <w:sz w:val="1"/>
                <w:szCs w:val="1"/>
                <w:color w:val="auto"/>
              </w:rPr>
            </w:pPr>
          </w:p>
        </w:tc>
        <w:tc>
          <w:tcPr>
            <w:tcW w:w="820" w:type="dxa"/>
            <w:vAlign w:val="bottom"/>
            <w:shd w:val="clear" w:color="auto" w:fill="092E44"/>
          </w:tcPr>
          <w:p>
            <w:pPr>
              <w:spacing w:after="0" w:line="20" w:lineRule="exact"/>
              <w:rPr>
                <w:sz w:val="1"/>
                <w:szCs w:val="1"/>
                <w:color w:val="auto"/>
              </w:rPr>
            </w:pPr>
          </w:p>
        </w:tc>
        <w:tc>
          <w:tcPr>
            <w:tcW w:w="700" w:type="dxa"/>
            <w:vAlign w:val="bottom"/>
            <w:shd w:val="clear" w:color="auto" w:fill="092E44"/>
          </w:tcPr>
          <w:p>
            <w:pPr>
              <w:spacing w:after="0" w:line="20" w:lineRule="exact"/>
              <w:rPr>
                <w:sz w:val="1"/>
                <w:szCs w:val="1"/>
                <w:color w:val="auto"/>
              </w:rPr>
            </w:pPr>
          </w:p>
        </w:tc>
        <w:tc>
          <w:tcPr>
            <w:tcW w:w="720" w:type="dxa"/>
            <w:vAlign w:val="bottom"/>
            <w:shd w:val="clear" w:color="auto" w:fill="092E44"/>
          </w:tcPr>
          <w:p>
            <w:pPr>
              <w:spacing w:after="0" w:line="20" w:lineRule="exact"/>
              <w:rPr>
                <w:sz w:val="1"/>
                <w:szCs w:val="1"/>
                <w:color w:val="auto"/>
              </w:rPr>
            </w:pPr>
          </w:p>
        </w:tc>
        <w:tc>
          <w:tcPr>
            <w:tcW w:w="220" w:type="dxa"/>
            <w:vAlign w:val="bottom"/>
            <w:shd w:val="clear" w:color="auto" w:fill="092E44"/>
          </w:tcPr>
          <w:p>
            <w:pPr>
              <w:spacing w:after="0" w:line="20" w:lineRule="exact"/>
              <w:rPr>
                <w:sz w:val="1"/>
                <w:szCs w:val="1"/>
                <w:color w:val="auto"/>
              </w:rPr>
            </w:pPr>
          </w:p>
        </w:tc>
        <w:tc>
          <w:tcPr>
            <w:tcW w:w="800" w:type="dxa"/>
            <w:vAlign w:val="bottom"/>
            <w:shd w:val="clear" w:color="auto" w:fill="092E44"/>
          </w:tcPr>
          <w:p>
            <w:pPr>
              <w:spacing w:after="0" w:line="20" w:lineRule="exact"/>
              <w:rPr>
                <w:sz w:val="1"/>
                <w:szCs w:val="1"/>
                <w:color w:val="auto"/>
              </w:rPr>
            </w:pPr>
          </w:p>
        </w:tc>
      </w:tr>
    </w:tbl>
    <w:p>
      <w:pPr>
        <w:spacing w:after="0" w:line="49" w:lineRule="exact"/>
        <w:rPr>
          <w:sz w:val="20"/>
          <w:szCs w:val="20"/>
          <w:color w:val="auto"/>
        </w:rPr>
      </w:pPr>
    </w:p>
    <w:p>
      <w:pPr>
        <w:ind w:left="480" w:right="60" w:hanging="313"/>
        <w:spacing w:after="0" w:line="239" w:lineRule="auto"/>
        <w:tabs>
          <w:tab w:leader="none" w:pos="480" w:val="left"/>
        </w:tabs>
        <w:numPr>
          <w:ilvl w:val="0"/>
          <w:numId w:val="9"/>
        </w:numPr>
        <w:rPr>
          <w:rFonts w:ascii="Arial" w:cs="Arial" w:eastAsia="Arial" w:hAnsi="Arial"/>
          <w:sz w:val="12"/>
          <w:szCs w:val="12"/>
          <w:color w:val="092E44"/>
        </w:rPr>
      </w:pPr>
      <w:r>
        <w:rPr>
          <w:rFonts w:ascii="Arial" w:cs="Arial" w:eastAsia="Arial" w:hAnsi="Arial"/>
          <w:sz w:val="12"/>
          <w:szCs w:val="12"/>
          <w:color w:val="092E44"/>
        </w:rPr>
        <w:t>The amounts in these columns represent the grant date fair value of restricted stock unit awards granted during the fiscal year indicated as computed in accordance with FASB ASC Topic 718. The amounts reported disregard estimated forfeitures related to service-based vesting conditions. See the notes to our consolidated financial statements contained in our Annual Report on Form 10-K for the fiscal year ended March 31, 2022, for a discussion of all assumptions made by us in determining the grant date fair value of such awards.</w:t>
      </w:r>
    </w:p>
    <w:p>
      <w:pPr>
        <w:ind w:left="480" w:hanging="313"/>
        <w:spacing w:after="0" w:line="232" w:lineRule="auto"/>
        <w:tabs>
          <w:tab w:leader="none" w:pos="480" w:val="left"/>
        </w:tabs>
        <w:numPr>
          <w:ilvl w:val="0"/>
          <w:numId w:val="9"/>
        </w:numPr>
        <w:rPr>
          <w:rFonts w:ascii="Arial" w:cs="Arial" w:eastAsia="Arial" w:hAnsi="Arial"/>
          <w:sz w:val="12"/>
          <w:szCs w:val="12"/>
          <w:color w:val="092E44"/>
        </w:rPr>
      </w:pPr>
      <w:r>
        <w:rPr>
          <w:rFonts w:ascii="Arial" w:cs="Arial" w:eastAsia="Arial" w:hAnsi="Arial"/>
          <w:sz w:val="12"/>
          <w:szCs w:val="12"/>
          <w:color w:val="092E44"/>
        </w:rPr>
        <w:t>Mr. Adamo has 2,640 restricted stock units outstanding as of March 31, 2022.</w:t>
      </w:r>
    </w:p>
    <w:p>
      <w:pPr>
        <w:ind w:left="480" w:hanging="313"/>
        <w:spacing w:after="0" w:line="232" w:lineRule="auto"/>
        <w:tabs>
          <w:tab w:leader="none" w:pos="480" w:val="left"/>
        </w:tabs>
        <w:numPr>
          <w:ilvl w:val="0"/>
          <w:numId w:val="9"/>
        </w:numPr>
        <w:rPr>
          <w:rFonts w:ascii="Arial" w:cs="Arial" w:eastAsia="Arial" w:hAnsi="Arial"/>
          <w:sz w:val="12"/>
          <w:szCs w:val="12"/>
          <w:color w:val="092E44"/>
        </w:rPr>
      </w:pPr>
      <w:r>
        <w:rPr>
          <w:rFonts w:ascii="Arial" w:cs="Arial" w:eastAsia="Arial" w:hAnsi="Arial"/>
          <w:sz w:val="12"/>
          <w:szCs w:val="12"/>
          <w:color w:val="092E44"/>
        </w:rPr>
        <w:t>Ms. Bejar has 2,640 restricted stock units outstanding as of March 31, 2022.</w:t>
      </w:r>
    </w:p>
    <w:p>
      <w:pPr>
        <w:ind w:left="480" w:hanging="313"/>
        <w:spacing w:after="0" w:line="232" w:lineRule="auto"/>
        <w:tabs>
          <w:tab w:leader="none" w:pos="480" w:val="left"/>
        </w:tabs>
        <w:numPr>
          <w:ilvl w:val="0"/>
          <w:numId w:val="9"/>
        </w:numPr>
        <w:rPr>
          <w:rFonts w:ascii="Arial" w:cs="Arial" w:eastAsia="Arial" w:hAnsi="Arial"/>
          <w:sz w:val="12"/>
          <w:szCs w:val="12"/>
          <w:color w:val="092E44"/>
        </w:rPr>
      </w:pPr>
      <w:r>
        <w:rPr>
          <w:rFonts w:ascii="Arial" w:cs="Arial" w:eastAsia="Arial" w:hAnsi="Arial"/>
          <w:sz w:val="12"/>
          <w:szCs w:val="12"/>
          <w:color w:val="092E44"/>
        </w:rPr>
        <w:t>Mr. Bradley has 2,640 restricted stock units outstanding as of March 31, 2022.</w:t>
      </w:r>
    </w:p>
    <w:p>
      <w:pPr>
        <w:ind w:left="480" w:hanging="313"/>
        <w:spacing w:after="0" w:line="232" w:lineRule="auto"/>
        <w:tabs>
          <w:tab w:leader="none" w:pos="480" w:val="left"/>
        </w:tabs>
        <w:numPr>
          <w:ilvl w:val="0"/>
          <w:numId w:val="9"/>
        </w:numPr>
        <w:rPr>
          <w:rFonts w:ascii="Arial" w:cs="Arial" w:eastAsia="Arial" w:hAnsi="Arial"/>
          <w:sz w:val="12"/>
          <w:szCs w:val="12"/>
          <w:color w:val="092E44"/>
        </w:rPr>
      </w:pPr>
      <w:r>
        <w:rPr>
          <w:rFonts w:ascii="Arial" w:cs="Arial" w:eastAsia="Arial" w:hAnsi="Arial"/>
          <w:sz w:val="12"/>
          <w:szCs w:val="12"/>
          <w:color w:val="092E44"/>
        </w:rPr>
        <w:t>Mr. Geeslin has 17,000 stock options, each of which is vested and exercisable, and 2,640 restricted stock units, in either case, outstanding as of March 31, 2022.</w:t>
      </w:r>
    </w:p>
    <w:p>
      <w:pPr>
        <w:ind w:left="480" w:hanging="313"/>
        <w:spacing w:after="0" w:line="232" w:lineRule="auto"/>
        <w:tabs>
          <w:tab w:leader="none" w:pos="480" w:val="left"/>
        </w:tabs>
        <w:numPr>
          <w:ilvl w:val="0"/>
          <w:numId w:val="9"/>
        </w:numPr>
        <w:rPr>
          <w:rFonts w:ascii="Arial" w:cs="Arial" w:eastAsia="Arial" w:hAnsi="Arial"/>
          <w:sz w:val="12"/>
          <w:szCs w:val="12"/>
          <w:color w:val="092E44"/>
        </w:rPr>
      </w:pPr>
      <w:r>
        <w:rPr>
          <w:rFonts w:ascii="Arial" w:cs="Arial" w:eastAsia="Arial" w:hAnsi="Arial"/>
          <w:sz w:val="12"/>
          <w:szCs w:val="12"/>
          <w:color w:val="092E44"/>
        </w:rPr>
        <w:t>Ms. Lee has 2,640 restricted stock units outstanding as of March 31, 2022.</w:t>
      </w:r>
    </w:p>
    <w:p>
      <w:pPr>
        <w:ind w:left="480" w:hanging="313"/>
        <w:spacing w:after="0" w:line="232" w:lineRule="auto"/>
        <w:tabs>
          <w:tab w:leader="none" w:pos="480" w:val="left"/>
        </w:tabs>
        <w:numPr>
          <w:ilvl w:val="0"/>
          <w:numId w:val="9"/>
        </w:numPr>
        <w:rPr>
          <w:rFonts w:ascii="Arial" w:cs="Arial" w:eastAsia="Arial" w:hAnsi="Arial"/>
          <w:sz w:val="12"/>
          <w:szCs w:val="12"/>
          <w:color w:val="092E44"/>
        </w:rPr>
      </w:pPr>
      <w:r>
        <w:rPr>
          <w:rFonts w:ascii="Arial" w:cs="Arial" w:eastAsia="Arial" w:hAnsi="Arial"/>
          <w:sz w:val="12"/>
          <w:szCs w:val="12"/>
          <w:color w:val="092E44"/>
        </w:rPr>
        <w:t>Mr. Moran has 2,640 restricted stock units outstanding as of March 31, 2022.</w:t>
      </w:r>
    </w:p>
    <w:p>
      <w:pPr>
        <w:ind w:left="480" w:hanging="313"/>
        <w:spacing w:after="0" w:line="232" w:lineRule="auto"/>
        <w:tabs>
          <w:tab w:leader="none" w:pos="480" w:val="left"/>
        </w:tabs>
        <w:numPr>
          <w:ilvl w:val="0"/>
          <w:numId w:val="9"/>
        </w:numPr>
        <w:rPr>
          <w:rFonts w:ascii="Arial" w:cs="Arial" w:eastAsia="Arial" w:hAnsi="Arial"/>
          <w:sz w:val="12"/>
          <w:szCs w:val="12"/>
          <w:color w:val="092E44"/>
        </w:rPr>
      </w:pPr>
      <w:r>
        <w:rPr>
          <w:rFonts w:ascii="Arial" w:cs="Arial" w:eastAsia="Arial" w:hAnsi="Arial"/>
          <w:sz w:val="12"/>
          <w:szCs w:val="12"/>
          <w:color w:val="092E44"/>
        </w:rPr>
        <w:t>Ms. Pickens has 2,640 restricted stock units outstanding as of March 31, 2022.</w:t>
      </w:r>
    </w:p>
    <w:p>
      <w:pPr>
        <w:ind w:left="480" w:hanging="313"/>
        <w:spacing w:after="0" w:line="232" w:lineRule="auto"/>
        <w:tabs>
          <w:tab w:leader="none" w:pos="480" w:val="left"/>
        </w:tabs>
        <w:numPr>
          <w:ilvl w:val="0"/>
          <w:numId w:val="9"/>
        </w:numPr>
        <w:rPr>
          <w:rFonts w:ascii="Arial" w:cs="Arial" w:eastAsia="Arial" w:hAnsi="Arial"/>
          <w:sz w:val="12"/>
          <w:szCs w:val="12"/>
          <w:color w:val="092E44"/>
        </w:rPr>
      </w:pPr>
      <w:r>
        <w:rPr>
          <w:rFonts w:ascii="Arial" w:cs="Arial" w:eastAsia="Arial" w:hAnsi="Arial"/>
          <w:sz w:val="12"/>
          <w:szCs w:val="12"/>
          <w:color w:val="092E44"/>
        </w:rPr>
        <w:t>Mr. Shenkman has 2,640 restricted stock units outstanding as of March 31, 2022.</w:t>
      </w:r>
    </w:p>
    <w:p>
      <w:pPr>
        <w:ind w:left="480" w:hanging="313"/>
        <w:spacing w:after="0" w:line="232" w:lineRule="auto"/>
        <w:tabs>
          <w:tab w:leader="none" w:pos="480" w:val="left"/>
        </w:tabs>
        <w:numPr>
          <w:ilvl w:val="0"/>
          <w:numId w:val="9"/>
        </w:numPr>
        <w:rPr>
          <w:rFonts w:ascii="Arial" w:cs="Arial" w:eastAsia="Arial" w:hAnsi="Arial"/>
          <w:sz w:val="12"/>
          <w:szCs w:val="12"/>
          <w:color w:val="092E44"/>
        </w:rPr>
      </w:pPr>
      <w:r>
        <w:rPr>
          <w:rFonts w:ascii="Arial" w:cs="Arial" w:eastAsia="Arial" w:hAnsi="Arial"/>
          <w:sz w:val="12"/>
          <w:szCs w:val="12"/>
          <w:color w:val="092E44"/>
        </w:rPr>
        <w:t>Mr. Walker has 17,000 stock options, each of which is vested and exercisable, and 2,640 restricted stock units, in either case, outstanding as of March 31, 2022.</w:t>
      </w:r>
    </w:p>
    <w:p>
      <w:pPr>
        <w:ind w:left="480" w:hanging="313"/>
        <w:spacing w:after="0"/>
        <w:tabs>
          <w:tab w:leader="none" w:pos="480" w:val="left"/>
        </w:tabs>
        <w:numPr>
          <w:ilvl w:val="0"/>
          <w:numId w:val="9"/>
        </w:numPr>
        <w:rPr>
          <w:rFonts w:ascii="Arial" w:cs="Arial" w:eastAsia="Arial" w:hAnsi="Arial"/>
          <w:sz w:val="12"/>
          <w:szCs w:val="12"/>
          <w:color w:val="092E44"/>
        </w:rPr>
      </w:pPr>
      <w:r>
        <w:rPr>
          <w:rFonts w:ascii="Arial" w:cs="Arial" w:eastAsia="Arial" w:hAnsi="Arial"/>
          <w:sz w:val="12"/>
          <w:szCs w:val="12"/>
          <w:color w:val="092E44"/>
        </w:rPr>
        <w:t>Mr. Smith received fees for the first quarter of fiscal year 2022.</w:t>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Stock Ownership Guidelines for Independent Directors</w:t>
      </w:r>
    </w:p>
    <w:p>
      <w:pPr>
        <w:spacing w:after="0" w:line="71" w:lineRule="exact"/>
        <w:rPr>
          <w:sz w:val="20"/>
          <w:szCs w:val="20"/>
          <w:color w:val="auto"/>
        </w:rPr>
      </w:pPr>
    </w:p>
    <w:p>
      <w:pPr>
        <w:jc w:val="both"/>
        <w:ind w:left="160" w:right="60"/>
        <w:spacing w:after="0" w:line="256" w:lineRule="auto"/>
        <w:rPr>
          <w:sz w:val="20"/>
          <w:szCs w:val="20"/>
          <w:color w:val="auto"/>
        </w:rPr>
      </w:pPr>
      <w:r>
        <w:rPr>
          <w:rFonts w:ascii="Arial" w:cs="Arial" w:eastAsia="Arial" w:hAnsi="Arial"/>
          <w:sz w:val="16"/>
          <w:szCs w:val="16"/>
          <w:color w:val="092E44"/>
        </w:rPr>
        <w:t>We currently require our independent directors to acquire an equity ownership interest in Commvault common stock that is equal to five times their base annual cash retainer by the fifth anniversary of the date they first became a director. The TMCC is satisfied that this level of equity ownership among our independent directors is sufficient to provide motivation and to align the directors’ interests with those of our stockholders. Each independent director who is required to be in compliance with these guidelines owns the requisite amount of stock.</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Security Ownership of Certain Beneficial Owners and Management</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Management</w:t>
      </w:r>
    </w:p>
    <w:p>
      <w:pPr>
        <w:spacing w:after="0" w:line="67" w:lineRule="exact"/>
        <w:rPr>
          <w:sz w:val="20"/>
          <w:szCs w:val="20"/>
          <w:color w:val="auto"/>
        </w:rPr>
      </w:pPr>
    </w:p>
    <w:p>
      <w:pPr>
        <w:ind w:left="160" w:right="20"/>
        <w:spacing w:after="0" w:line="251" w:lineRule="auto"/>
        <w:rPr>
          <w:sz w:val="20"/>
          <w:szCs w:val="20"/>
          <w:color w:val="auto"/>
        </w:rPr>
      </w:pPr>
      <w:r>
        <w:rPr>
          <w:rFonts w:ascii="Arial" w:cs="Arial" w:eastAsia="Arial" w:hAnsi="Arial"/>
          <w:sz w:val="16"/>
          <w:szCs w:val="16"/>
          <w:color w:val="092E44"/>
        </w:rPr>
        <w:t>The following table shows, as of May 31, 2022, the number of shares of our common stock (the only class of voting securities outstanding) beneficially owned by: (1) each current director and nominee for director; (2) each named executive officer (defined below); and (3) all directors and current executive officers as a group. The number of shares of our common stock beneficially owned by a person includes shares of common stock issuable with respect to options, restricted stock units (including performance-based stock units), and convertible securities held by the person that are exercisable, convertible, or will vest within 60 days. The percentage of our common stock beneficially owned by a person assumes the person has exercised all options, vested in all restricted stock units, and converted all convertible securities, that are exercisable, convertible, or will vest within 60 days,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235585</wp:posOffset>
            </wp:positionV>
            <wp:extent cx="220980" cy="2120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26</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80"/>
          </w:cols>
          <w:pgMar w:left="320" w:top="454"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CORPORATE GOVERNANCE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E14A6A"/>
        </w:rPr>
        <w:t>SECURITY OWNERSHIP OF CERTAIN BENEFICIAL OWNERS AND MANAGEMENT</w:t>
      </w:r>
    </w:p>
    <w:p>
      <w:pPr>
        <w:spacing w:after="0" w:line="140" w:lineRule="exact"/>
        <w:rPr>
          <w:sz w:val="20"/>
          <w:szCs w:val="20"/>
          <w:color w:val="auto"/>
        </w:rPr>
      </w:pPr>
    </w:p>
    <w:p>
      <w:pPr>
        <w:ind w:left="160" w:right="120"/>
        <w:spacing w:after="0" w:line="279" w:lineRule="auto"/>
        <w:rPr>
          <w:sz w:val="20"/>
          <w:szCs w:val="20"/>
          <w:color w:val="auto"/>
        </w:rPr>
      </w:pPr>
      <w:r>
        <w:rPr>
          <w:rFonts w:ascii="Arial" w:cs="Arial" w:eastAsia="Arial" w:hAnsi="Arial"/>
          <w:sz w:val="16"/>
          <w:szCs w:val="16"/>
          <w:color w:val="092E44"/>
        </w:rPr>
        <w:t>that no other person exercised any of their options, vested in any of their restricted stock units, or converted any of their convertible securities. Except as otherwise noted, each individual exercises sole voting power and investment power over the shares of voting securities shown.</w:t>
      </w:r>
    </w:p>
    <w:p>
      <w:pPr>
        <w:spacing w:after="0" w:line="19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780" w:type="dxa"/>
            <w:vAlign w:val="bottom"/>
          </w:tcPr>
          <w:p>
            <w:pPr>
              <w:jc w:val="right"/>
              <w:ind w:right="421"/>
              <w:spacing w:after="0"/>
              <w:rPr>
                <w:sz w:val="20"/>
                <w:szCs w:val="20"/>
                <w:color w:val="auto"/>
              </w:rPr>
            </w:pPr>
            <w:r>
              <w:rPr>
                <w:rFonts w:ascii="Arial" w:cs="Arial" w:eastAsia="Arial" w:hAnsi="Arial"/>
                <w:sz w:val="14"/>
                <w:szCs w:val="14"/>
                <w:color w:val="092E44"/>
              </w:rPr>
              <w:t>Percent of</w:t>
            </w:r>
          </w:p>
        </w:tc>
      </w:tr>
      <w:tr>
        <w:trPr>
          <w:trHeight w:val="160"/>
        </w:trPr>
        <w:tc>
          <w:tcPr>
            <w:tcW w:w="6580" w:type="dxa"/>
            <w:vAlign w:val="bottom"/>
          </w:tcPr>
          <w:p>
            <w:pPr>
              <w:spacing w:after="0"/>
              <w:rPr>
                <w:sz w:val="13"/>
                <w:szCs w:val="13"/>
                <w:color w:val="auto"/>
              </w:rPr>
            </w:pPr>
          </w:p>
        </w:tc>
        <w:tc>
          <w:tcPr>
            <w:tcW w:w="2560" w:type="dxa"/>
            <w:vAlign w:val="bottom"/>
          </w:tcPr>
          <w:p>
            <w:pPr>
              <w:jc w:val="right"/>
              <w:ind w:right="221"/>
              <w:spacing w:after="0"/>
              <w:rPr>
                <w:sz w:val="20"/>
                <w:szCs w:val="20"/>
                <w:color w:val="auto"/>
              </w:rPr>
            </w:pPr>
            <w:r>
              <w:rPr>
                <w:rFonts w:ascii="Arial" w:cs="Arial" w:eastAsia="Arial" w:hAnsi="Arial"/>
                <w:sz w:val="14"/>
                <w:szCs w:val="14"/>
                <w:color w:val="092E44"/>
              </w:rPr>
              <w:t>Shares of Common</w:t>
            </w:r>
          </w:p>
        </w:tc>
        <w:tc>
          <w:tcPr>
            <w:tcW w:w="1780" w:type="dxa"/>
            <w:vAlign w:val="bottom"/>
          </w:tcPr>
          <w:p>
            <w:pPr>
              <w:jc w:val="right"/>
              <w:ind w:right="421"/>
              <w:spacing w:after="0"/>
              <w:rPr>
                <w:sz w:val="20"/>
                <w:szCs w:val="20"/>
                <w:color w:val="auto"/>
              </w:rPr>
            </w:pPr>
            <w:r>
              <w:rPr>
                <w:rFonts w:ascii="Arial" w:cs="Arial" w:eastAsia="Arial" w:hAnsi="Arial"/>
                <w:sz w:val="14"/>
                <w:szCs w:val="14"/>
                <w:color w:val="092E44"/>
              </w:rPr>
              <w:t>Common Stock</w:t>
            </w:r>
          </w:p>
        </w:tc>
      </w:tr>
      <w:tr>
        <w:trPr>
          <w:trHeight w:val="170"/>
        </w:trPr>
        <w:tc>
          <w:tcPr>
            <w:tcW w:w="6580" w:type="dxa"/>
            <w:vAlign w:val="bottom"/>
            <w:tcBorders>
              <w:bottom w:val="single" w:sz="8" w:color="E14A6A"/>
            </w:tcBorders>
          </w:tcPr>
          <w:p>
            <w:pPr>
              <w:spacing w:after="0"/>
              <w:rPr>
                <w:sz w:val="14"/>
                <w:szCs w:val="14"/>
                <w:color w:val="auto"/>
              </w:rPr>
            </w:pPr>
          </w:p>
        </w:tc>
        <w:tc>
          <w:tcPr>
            <w:tcW w:w="2560" w:type="dxa"/>
            <w:vAlign w:val="bottom"/>
            <w:tcBorders>
              <w:bottom w:val="single" w:sz="8" w:color="E14A6A"/>
            </w:tcBorders>
          </w:tcPr>
          <w:p>
            <w:pPr>
              <w:jc w:val="right"/>
              <w:ind w:right="221"/>
              <w:spacing w:after="0"/>
              <w:rPr>
                <w:sz w:val="20"/>
                <w:szCs w:val="20"/>
                <w:color w:val="auto"/>
              </w:rPr>
            </w:pPr>
            <w:r>
              <w:rPr>
                <w:rFonts w:ascii="Arial" w:cs="Arial" w:eastAsia="Arial" w:hAnsi="Arial"/>
                <w:sz w:val="14"/>
                <w:szCs w:val="14"/>
                <w:color w:val="092E44"/>
              </w:rPr>
              <w:t>Stock Owned</w:t>
            </w:r>
          </w:p>
        </w:tc>
        <w:tc>
          <w:tcPr>
            <w:tcW w:w="1780" w:type="dxa"/>
            <w:vAlign w:val="bottom"/>
            <w:tcBorders>
              <w:bottom w:val="single" w:sz="8" w:color="E14A6A"/>
            </w:tcBorders>
          </w:tcPr>
          <w:p>
            <w:pPr>
              <w:jc w:val="right"/>
              <w:ind w:right="421"/>
              <w:spacing w:after="0"/>
              <w:rPr>
                <w:sz w:val="20"/>
                <w:szCs w:val="20"/>
                <w:color w:val="auto"/>
              </w:rPr>
            </w:pPr>
            <w:r>
              <w:rPr>
                <w:rFonts w:ascii="Arial" w:cs="Arial" w:eastAsia="Arial" w:hAnsi="Arial"/>
                <w:sz w:val="14"/>
                <w:szCs w:val="14"/>
                <w:color w:val="092E44"/>
              </w:rPr>
              <w:t>Outstanding</w:t>
            </w:r>
          </w:p>
        </w:tc>
      </w:tr>
      <w:tr>
        <w:trPr>
          <w:trHeight w:val="254"/>
        </w:trPr>
        <w:tc>
          <w:tcPr>
            <w:tcW w:w="6580" w:type="dxa"/>
            <w:vAlign w:val="bottom"/>
          </w:tcPr>
          <w:p>
            <w:pPr>
              <w:ind w:left="80"/>
              <w:spacing w:after="0"/>
              <w:rPr>
                <w:sz w:val="20"/>
                <w:szCs w:val="20"/>
                <w:color w:val="auto"/>
              </w:rPr>
            </w:pPr>
            <w:r>
              <w:rPr>
                <w:rFonts w:ascii="Arial" w:cs="Arial" w:eastAsia="Arial" w:hAnsi="Arial"/>
                <w:sz w:val="16"/>
                <w:szCs w:val="16"/>
                <w:b w:val="1"/>
                <w:bCs w:val="1"/>
                <w:color w:val="092E44"/>
              </w:rPr>
              <w:t>Directors</w:t>
            </w:r>
          </w:p>
        </w:tc>
        <w:tc>
          <w:tcPr>
            <w:tcW w:w="256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47"/>
        </w:trPr>
        <w:tc>
          <w:tcPr>
            <w:tcW w:w="658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780" w:type="dxa"/>
            <w:vAlign w:val="bottom"/>
          </w:tcPr>
          <w:p>
            <w:pPr>
              <w:spacing w:after="0"/>
              <w:rPr>
                <w:sz w:val="4"/>
                <w:szCs w:val="4"/>
                <w:color w:val="auto"/>
              </w:rPr>
            </w:pPr>
          </w:p>
        </w:tc>
      </w:tr>
      <w:tr>
        <w:trPr>
          <w:trHeight w:val="301"/>
        </w:trPr>
        <w:tc>
          <w:tcPr>
            <w:tcW w:w="6580" w:type="dxa"/>
            <w:vAlign w:val="bottom"/>
            <w:tcBorders>
              <w:bottom w:val="single" w:sz="8" w:color="DDE9F2"/>
            </w:tcBorders>
            <w:shd w:val="clear" w:color="auto" w:fill="DDE9F2"/>
          </w:tcPr>
          <w:p>
            <w:pPr>
              <w:ind w:left="80"/>
              <w:spacing w:after="0"/>
              <w:rPr>
                <w:sz w:val="20"/>
                <w:szCs w:val="20"/>
                <w:color w:val="auto"/>
              </w:rPr>
            </w:pPr>
            <w:r>
              <w:rPr>
                <w:rFonts w:ascii="Arial" w:cs="Arial" w:eastAsia="Arial" w:hAnsi="Arial"/>
                <w:sz w:val="16"/>
                <w:szCs w:val="16"/>
                <w:color w:val="092E44"/>
              </w:rPr>
              <w:t>Nicholas Adamo</w:t>
            </w:r>
          </w:p>
        </w:tc>
        <w:tc>
          <w:tcPr>
            <w:tcW w:w="2560" w:type="dxa"/>
            <w:vAlign w:val="bottom"/>
            <w:tcBorders>
              <w:bottom w:val="single" w:sz="8" w:color="DDE9F2"/>
            </w:tcBorders>
            <w:shd w:val="clear" w:color="auto" w:fill="DDE9F2"/>
          </w:tcPr>
          <w:p>
            <w:pPr>
              <w:jc w:val="right"/>
              <w:ind w:right="221"/>
              <w:spacing w:after="0"/>
              <w:rPr>
                <w:sz w:val="20"/>
                <w:szCs w:val="20"/>
                <w:color w:val="auto"/>
              </w:rPr>
            </w:pPr>
            <w:r>
              <w:rPr>
                <w:rFonts w:ascii="Arial" w:cs="Arial" w:eastAsia="Arial" w:hAnsi="Arial"/>
                <w:sz w:val="16"/>
                <w:szCs w:val="16"/>
                <w:color w:val="092E44"/>
              </w:rPr>
              <w:t>12,495</w:t>
            </w:r>
          </w:p>
        </w:tc>
        <w:tc>
          <w:tcPr>
            <w:tcW w:w="1780" w:type="dxa"/>
            <w:vAlign w:val="bottom"/>
            <w:tcBorders>
              <w:bottom w:val="single" w:sz="8" w:color="DDE9F2"/>
            </w:tcBorders>
            <w:shd w:val="clear" w:color="auto" w:fill="DDE9F2"/>
          </w:tcPr>
          <w:p>
            <w:pPr>
              <w:jc w:val="right"/>
              <w:ind w:right="421"/>
              <w:spacing w:after="0"/>
              <w:rPr>
                <w:sz w:val="20"/>
                <w:szCs w:val="20"/>
                <w:color w:val="auto"/>
              </w:rPr>
            </w:pPr>
            <w:r>
              <w:rPr>
                <w:rFonts w:ascii="Arial" w:cs="Arial" w:eastAsia="Arial" w:hAnsi="Arial"/>
                <w:sz w:val="16"/>
                <w:szCs w:val="16"/>
                <w:color w:val="092E44"/>
              </w:rPr>
              <w:t>*</w:t>
            </w:r>
          </w:p>
        </w:tc>
      </w:tr>
      <w:tr>
        <w:trPr>
          <w:trHeight w:val="264"/>
        </w:trPr>
        <w:tc>
          <w:tcPr>
            <w:tcW w:w="6580" w:type="dxa"/>
            <w:vAlign w:val="bottom"/>
          </w:tcPr>
          <w:p>
            <w:pPr>
              <w:ind w:left="80"/>
              <w:spacing w:after="0"/>
              <w:rPr>
                <w:sz w:val="20"/>
                <w:szCs w:val="20"/>
                <w:color w:val="auto"/>
              </w:rPr>
            </w:pPr>
            <w:r>
              <w:rPr>
                <w:rFonts w:ascii="Arial" w:cs="Arial" w:eastAsia="Arial" w:hAnsi="Arial"/>
                <w:sz w:val="16"/>
                <w:szCs w:val="16"/>
                <w:color w:val="092E44"/>
              </w:rPr>
              <w:t>Martha H. Bejar</w:t>
            </w:r>
          </w:p>
        </w:tc>
        <w:tc>
          <w:tcPr>
            <w:tcW w:w="2560" w:type="dxa"/>
            <w:vAlign w:val="bottom"/>
          </w:tcPr>
          <w:p>
            <w:pPr>
              <w:jc w:val="right"/>
              <w:ind w:right="221"/>
              <w:spacing w:after="0"/>
              <w:rPr>
                <w:sz w:val="20"/>
                <w:szCs w:val="20"/>
                <w:color w:val="auto"/>
              </w:rPr>
            </w:pPr>
            <w:r>
              <w:rPr>
                <w:rFonts w:ascii="Arial" w:cs="Arial" w:eastAsia="Arial" w:hAnsi="Arial"/>
                <w:sz w:val="16"/>
                <w:szCs w:val="16"/>
                <w:color w:val="092E44"/>
              </w:rPr>
              <w:t>3,495</w:t>
            </w:r>
          </w:p>
        </w:tc>
        <w:tc>
          <w:tcPr>
            <w:tcW w:w="1780" w:type="dxa"/>
            <w:vAlign w:val="bottom"/>
          </w:tcPr>
          <w:p>
            <w:pPr>
              <w:jc w:val="right"/>
              <w:ind w:right="421"/>
              <w:spacing w:after="0"/>
              <w:rPr>
                <w:sz w:val="20"/>
                <w:szCs w:val="20"/>
                <w:color w:val="auto"/>
              </w:rPr>
            </w:pPr>
            <w:r>
              <w:rPr>
                <w:rFonts w:ascii="Arial" w:cs="Arial" w:eastAsia="Arial" w:hAnsi="Arial"/>
                <w:sz w:val="16"/>
                <w:szCs w:val="16"/>
                <w:color w:val="092E44"/>
              </w:rPr>
              <w:t>*</w:t>
            </w:r>
          </w:p>
        </w:tc>
      </w:tr>
      <w:tr>
        <w:trPr>
          <w:trHeight w:val="57"/>
        </w:trPr>
        <w:tc>
          <w:tcPr>
            <w:tcW w:w="658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780" w:type="dxa"/>
            <w:vAlign w:val="bottom"/>
          </w:tcPr>
          <w:p>
            <w:pPr>
              <w:spacing w:after="0"/>
              <w:rPr>
                <w:sz w:val="4"/>
                <w:szCs w:val="4"/>
                <w:color w:val="auto"/>
              </w:rPr>
            </w:pPr>
          </w:p>
        </w:tc>
      </w:tr>
      <w:tr>
        <w:trPr>
          <w:trHeight w:val="301"/>
        </w:trPr>
        <w:tc>
          <w:tcPr>
            <w:tcW w:w="6580" w:type="dxa"/>
            <w:vAlign w:val="bottom"/>
            <w:tcBorders>
              <w:bottom w:val="single" w:sz="8" w:color="DDE9F2"/>
            </w:tcBorders>
            <w:shd w:val="clear" w:color="auto" w:fill="DDE9F2"/>
          </w:tcPr>
          <w:p>
            <w:pPr>
              <w:ind w:left="80"/>
              <w:spacing w:after="0"/>
              <w:rPr>
                <w:sz w:val="20"/>
                <w:szCs w:val="20"/>
                <w:color w:val="auto"/>
              </w:rPr>
            </w:pPr>
            <w:r>
              <w:rPr>
                <w:rFonts w:ascii="Arial" w:cs="Arial" w:eastAsia="Arial" w:hAnsi="Arial"/>
                <w:sz w:val="16"/>
                <w:szCs w:val="16"/>
                <w:color w:val="092E44"/>
              </w:rPr>
              <w:t>R. Todd Bradley</w:t>
            </w:r>
          </w:p>
        </w:tc>
        <w:tc>
          <w:tcPr>
            <w:tcW w:w="2560" w:type="dxa"/>
            <w:vAlign w:val="bottom"/>
            <w:tcBorders>
              <w:bottom w:val="single" w:sz="8" w:color="DDE9F2"/>
            </w:tcBorders>
            <w:shd w:val="clear" w:color="auto" w:fill="DDE9F2"/>
          </w:tcPr>
          <w:p>
            <w:pPr>
              <w:jc w:val="right"/>
              <w:ind w:right="221"/>
              <w:spacing w:after="0"/>
              <w:rPr>
                <w:sz w:val="20"/>
                <w:szCs w:val="20"/>
                <w:color w:val="auto"/>
              </w:rPr>
            </w:pPr>
            <w:r>
              <w:rPr>
                <w:rFonts w:ascii="Arial" w:cs="Arial" w:eastAsia="Arial" w:hAnsi="Arial"/>
                <w:sz w:val="16"/>
                <w:szCs w:val="16"/>
                <w:color w:val="092E44"/>
              </w:rPr>
              <w:t>4,618</w:t>
            </w:r>
          </w:p>
        </w:tc>
        <w:tc>
          <w:tcPr>
            <w:tcW w:w="1780" w:type="dxa"/>
            <w:vAlign w:val="bottom"/>
            <w:tcBorders>
              <w:bottom w:val="single" w:sz="8" w:color="DDE9F2"/>
            </w:tcBorders>
            <w:shd w:val="clear" w:color="auto" w:fill="DDE9F2"/>
          </w:tcPr>
          <w:p>
            <w:pPr>
              <w:jc w:val="right"/>
              <w:ind w:right="421"/>
              <w:spacing w:after="0"/>
              <w:rPr>
                <w:sz w:val="20"/>
                <w:szCs w:val="20"/>
                <w:color w:val="auto"/>
              </w:rPr>
            </w:pPr>
            <w:r>
              <w:rPr>
                <w:rFonts w:ascii="Arial" w:cs="Arial" w:eastAsia="Arial" w:hAnsi="Arial"/>
                <w:sz w:val="16"/>
                <w:szCs w:val="16"/>
                <w:color w:val="092E44"/>
              </w:rPr>
              <w:t>*</w:t>
            </w:r>
          </w:p>
        </w:tc>
      </w:tr>
      <w:tr>
        <w:trPr>
          <w:trHeight w:val="264"/>
        </w:trPr>
        <w:tc>
          <w:tcPr>
            <w:tcW w:w="6580" w:type="dxa"/>
            <w:vAlign w:val="bottom"/>
          </w:tcPr>
          <w:p>
            <w:pPr>
              <w:ind w:left="80"/>
              <w:spacing w:after="0"/>
              <w:rPr>
                <w:sz w:val="20"/>
                <w:szCs w:val="20"/>
                <w:color w:val="auto"/>
              </w:rPr>
            </w:pPr>
            <w:r>
              <w:rPr>
                <w:rFonts w:ascii="Arial" w:cs="Arial" w:eastAsia="Arial" w:hAnsi="Arial"/>
                <w:sz w:val="16"/>
                <w:szCs w:val="16"/>
                <w:color w:val="092E44"/>
              </w:rPr>
              <w:t>Keith Geeslin(1)</w:t>
            </w:r>
          </w:p>
        </w:tc>
        <w:tc>
          <w:tcPr>
            <w:tcW w:w="2560" w:type="dxa"/>
            <w:vAlign w:val="bottom"/>
          </w:tcPr>
          <w:p>
            <w:pPr>
              <w:jc w:val="right"/>
              <w:ind w:right="221"/>
              <w:spacing w:after="0"/>
              <w:rPr>
                <w:sz w:val="20"/>
                <w:szCs w:val="20"/>
                <w:color w:val="auto"/>
              </w:rPr>
            </w:pPr>
            <w:r>
              <w:rPr>
                <w:rFonts w:ascii="Arial" w:cs="Arial" w:eastAsia="Arial" w:hAnsi="Arial"/>
                <w:sz w:val="16"/>
                <w:szCs w:val="16"/>
                <w:color w:val="092E44"/>
              </w:rPr>
              <w:t>57,309</w:t>
            </w:r>
          </w:p>
        </w:tc>
        <w:tc>
          <w:tcPr>
            <w:tcW w:w="1780" w:type="dxa"/>
            <w:vAlign w:val="bottom"/>
          </w:tcPr>
          <w:p>
            <w:pPr>
              <w:jc w:val="right"/>
              <w:ind w:right="421"/>
              <w:spacing w:after="0"/>
              <w:rPr>
                <w:sz w:val="20"/>
                <w:szCs w:val="20"/>
                <w:color w:val="auto"/>
              </w:rPr>
            </w:pPr>
            <w:r>
              <w:rPr>
                <w:rFonts w:ascii="Arial" w:cs="Arial" w:eastAsia="Arial" w:hAnsi="Arial"/>
                <w:sz w:val="16"/>
                <w:szCs w:val="16"/>
                <w:color w:val="092E44"/>
              </w:rPr>
              <w:t>*</w:t>
            </w:r>
          </w:p>
        </w:tc>
      </w:tr>
      <w:tr>
        <w:trPr>
          <w:trHeight w:val="57"/>
        </w:trPr>
        <w:tc>
          <w:tcPr>
            <w:tcW w:w="658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780" w:type="dxa"/>
            <w:vAlign w:val="bottom"/>
          </w:tcPr>
          <w:p>
            <w:pPr>
              <w:spacing w:after="0"/>
              <w:rPr>
                <w:sz w:val="4"/>
                <w:szCs w:val="4"/>
                <w:color w:val="auto"/>
              </w:rPr>
            </w:pPr>
          </w:p>
        </w:tc>
      </w:tr>
      <w:tr>
        <w:trPr>
          <w:trHeight w:val="301"/>
        </w:trPr>
        <w:tc>
          <w:tcPr>
            <w:tcW w:w="6580" w:type="dxa"/>
            <w:vAlign w:val="bottom"/>
            <w:tcBorders>
              <w:bottom w:val="single" w:sz="8" w:color="DDE9F2"/>
            </w:tcBorders>
            <w:shd w:val="clear" w:color="auto" w:fill="DDE9F2"/>
          </w:tcPr>
          <w:p>
            <w:pPr>
              <w:ind w:left="80"/>
              <w:spacing w:after="0"/>
              <w:rPr>
                <w:sz w:val="20"/>
                <w:szCs w:val="20"/>
                <w:color w:val="auto"/>
              </w:rPr>
            </w:pPr>
            <w:r>
              <w:rPr>
                <w:rFonts w:ascii="Arial" w:cs="Arial" w:eastAsia="Arial" w:hAnsi="Arial"/>
                <w:sz w:val="16"/>
                <w:szCs w:val="16"/>
                <w:color w:val="092E44"/>
              </w:rPr>
              <w:t>Vivie “YY” Lee</w:t>
            </w:r>
          </w:p>
        </w:tc>
        <w:tc>
          <w:tcPr>
            <w:tcW w:w="2560" w:type="dxa"/>
            <w:vAlign w:val="bottom"/>
            <w:tcBorders>
              <w:bottom w:val="single" w:sz="8" w:color="DDE9F2"/>
            </w:tcBorders>
            <w:shd w:val="clear" w:color="auto" w:fill="DDE9F2"/>
          </w:tcPr>
          <w:p>
            <w:pPr>
              <w:jc w:val="right"/>
              <w:ind w:right="221"/>
              <w:spacing w:after="0"/>
              <w:rPr>
                <w:sz w:val="20"/>
                <w:szCs w:val="20"/>
                <w:color w:val="auto"/>
              </w:rPr>
            </w:pPr>
            <w:r>
              <w:rPr>
                <w:rFonts w:ascii="Arial" w:cs="Arial" w:eastAsia="Arial" w:hAnsi="Arial"/>
                <w:sz w:val="16"/>
                <w:szCs w:val="16"/>
                <w:color w:val="092E44"/>
              </w:rPr>
              <w:t>13,785</w:t>
            </w:r>
          </w:p>
        </w:tc>
        <w:tc>
          <w:tcPr>
            <w:tcW w:w="1780" w:type="dxa"/>
            <w:vAlign w:val="bottom"/>
            <w:tcBorders>
              <w:bottom w:val="single" w:sz="8" w:color="DDE9F2"/>
            </w:tcBorders>
            <w:shd w:val="clear" w:color="auto" w:fill="DDE9F2"/>
          </w:tcPr>
          <w:p>
            <w:pPr>
              <w:jc w:val="right"/>
              <w:ind w:right="421"/>
              <w:spacing w:after="0"/>
              <w:rPr>
                <w:sz w:val="20"/>
                <w:szCs w:val="20"/>
                <w:color w:val="auto"/>
              </w:rPr>
            </w:pPr>
            <w:r>
              <w:rPr>
                <w:rFonts w:ascii="Arial" w:cs="Arial" w:eastAsia="Arial" w:hAnsi="Arial"/>
                <w:sz w:val="16"/>
                <w:szCs w:val="16"/>
                <w:color w:val="092E44"/>
              </w:rPr>
              <w:t>*</w:t>
            </w:r>
          </w:p>
        </w:tc>
      </w:tr>
      <w:tr>
        <w:trPr>
          <w:trHeight w:val="264"/>
        </w:trPr>
        <w:tc>
          <w:tcPr>
            <w:tcW w:w="6580" w:type="dxa"/>
            <w:vAlign w:val="bottom"/>
          </w:tcPr>
          <w:p>
            <w:pPr>
              <w:ind w:left="80"/>
              <w:spacing w:after="0"/>
              <w:rPr>
                <w:sz w:val="20"/>
                <w:szCs w:val="20"/>
                <w:color w:val="auto"/>
              </w:rPr>
            </w:pPr>
            <w:r>
              <w:rPr>
                <w:rFonts w:ascii="Arial" w:cs="Arial" w:eastAsia="Arial" w:hAnsi="Arial"/>
                <w:sz w:val="16"/>
                <w:szCs w:val="16"/>
                <w:color w:val="092E44"/>
              </w:rPr>
              <w:t>Sanjay Mirchandani</w:t>
            </w:r>
          </w:p>
        </w:tc>
        <w:tc>
          <w:tcPr>
            <w:tcW w:w="2560" w:type="dxa"/>
            <w:vAlign w:val="bottom"/>
          </w:tcPr>
          <w:p>
            <w:pPr>
              <w:jc w:val="right"/>
              <w:ind w:right="221"/>
              <w:spacing w:after="0"/>
              <w:rPr>
                <w:sz w:val="20"/>
                <w:szCs w:val="20"/>
                <w:color w:val="auto"/>
              </w:rPr>
            </w:pPr>
            <w:r>
              <w:rPr>
                <w:rFonts w:ascii="Arial" w:cs="Arial" w:eastAsia="Arial" w:hAnsi="Arial"/>
                <w:sz w:val="16"/>
                <w:szCs w:val="16"/>
                <w:color w:val="092E44"/>
              </w:rPr>
              <w:t>175,197</w:t>
            </w:r>
          </w:p>
        </w:tc>
        <w:tc>
          <w:tcPr>
            <w:tcW w:w="1780" w:type="dxa"/>
            <w:vAlign w:val="bottom"/>
          </w:tcPr>
          <w:p>
            <w:pPr>
              <w:jc w:val="right"/>
              <w:ind w:right="421"/>
              <w:spacing w:after="0"/>
              <w:rPr>
                <w:sz w:val="20"/>
                <w:szCs w:val="20"/>
                <w:color w:val="auto"/>
              </w:rPr>
            </w:pPr>
            <w:r>
              <w:rPr>
                <w:rFonts w:ascii="Arial" w:cs="Arial" w:eastAsia="Arial" w:hAnsi="Arial"/>
                <w:sz w:val="16"/>
                <w:szCs w:val="16"/>
                <w:color w:val="092E44"/>
              </w:rPr>
              <w:t>*</w:t>
            </w:r>
          </w:p>
        </w:tc>
      </w:tr>
      <w:tr>
        <w:trPr>
          <w:trHeight w:val="57"/>
        </w:trPr>
        <w:tc>
          <w:tcPr>
            <w:tcW w:w="658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780" w:type="dxa"/>
            <w:vAlign w:val="bottom"/>
          </w:tcPr>
          <w:p>
            <w:pPr>
              <w:spacing w:after="0"/>
              <w:rPr>
                <w:sz w:val="4"/>
                <w:szCs w:val="4"/>
                <w:color w:val="auto"/>
              </w:rPr>
            </w:pPr>
          </w:p>
        </w:tc>
      </w:tr>
      <w:tr>
        <w:trPr>
          <w:trHeight w:val="301"/>
        </w:trPr>
        <w:tc>
          <w:tcPr>
            <w:tcW w:w="6580" w:type="dxa"/>
            <w:vAlign w:val="bottom"/>
            <w:tcBorders>
              <w:bottom w:val="single" w:sz="8" w:color="DDE9F2"/>
            </w:tcBorders>
            <w:shd w:val="clear" w:color="auto" w:fill="DDE9F2"/>
          </w:tcPr>
          <w:p>
            <w:pPr>
              <w:ind w:left="80"/>
              <w:spacing w:after="0"/>
              <w:rPr>
                <w:sz w:val="20"/>
                <w:szCs w:val="20"/>
                <w:color w:val="auto"/>
              </w:rPr>
            </w:pPr>
            <w:r>
              <w:rPr>
                <w:rFonts w:ascii="Arial" w:cs="Arial" w:eastAsia="Arial" w:hAnsi="Arial"/>
                <w:sz w:val="16"/>
                <w:szCs w:val="16"/>
                <w:color w:val="092E44"/>
              </w:rPr>
              <w:t>Charles E. Moran</w:t>
            </w:r>
          </w:p>
        </w:tc>
        <w:tc>
          <w:tcPr>
            <w:tcW w:w="2560" w:type="dxa"/>
            <w:vAlign w:val="bottom"/>
            <w:tcBorders>
              <w:bottom w:val="single" w:sz="8" w:color="DDE9F2"/>
            </w:tcBorders>
            <w:shd w:val="clear" w:color="auto" w:fill="DDE9F2"/>
          </w:tcPr>
          <w:p>
            <w:pPr>
              <w:jc w:val="right"/>
              <w:ind w:right="221"/>
              <w:spacing w:after="0"/>
              <w:rPr>
                <w:sz w:val="20"/>
                <w:szCs w:val="20"/>
                <w:color w:val="auto"/>
              </w:rPr>
            </w:pPr>
            <w:r>
              <w:rPr>
                <w:rFonts w:ascii="Arial" w:cs="Arial" w:eastAsia="Arial" w:hAnsi="Arial"/>
                <w:sz w:val="16"/>
                <w:szCs w:val="16"/>
                <w:color w:val="092E44"/>
              </w:rPr>
              <w:t>12,495</w:t>
            </w:r>
          </w:p>
        </w:tc>
        <w:tc>
          <w:tcPr>
            <w:tcW w:w="1780" w:type="dxa"/>
            <w:vAlign w:val="bottom"/>
            <w:tcBorders>
              <w:bottom w:val="single" w:sz="8" w:color="DDE9F2"/>
            </w:tcBorders>
            <w:shd w:val="clear" w:color="auto" w:fill="DDE9F2"/>
          </w:tcPr>
          <w:p>
            <w:pPr>
              <w:jc w:val="right"/>
              <w:ind w:right="421"/>
              <w:spacing w:after="0"/>
              <w:rPr>
                <w:sz w:val="20"/>
                <w:szCs w:val="20"/>
                <w:color w:val="auto"/>
              </w:rPr>
            </w:pPr>
            <w:r>
              <w:rPr>
                <w:rFonts w:ascii="Arial" w:cs="Arial" w:eastAsia="Arial" w:hAnsi="Arial"/>
                <w:sz w:val="16"/>
                <w:szCs w:val="16"/>
                <w:color w:val="092E44"/>
              </w:rPr>
              <w:t>*</w:t>
            </w:r>
          </w:p>
        </w:tc>
      </w:tr>
      <w:tr>
        <w:trPr>
          <w:trHeight w:val="264"/>
        </w:trPr>
        <w:tc>
          <w:tcPr>
            <w:tcW w:w="6580" w:type="dxa"/>
            <w:vAlign w:val="bottom"/>
          </w:tcPr>
          <w:p>
            <w:pPr>
              <w:ind w:left="80"/>
              <w:spacing w:after="0"/>
              <w:rPr>
                <w:sz w:val="20"/>
                <w:szCs w:val="20"/>
                <w:color w:val="auto"/>
              </w:rPr>
            </w:pPr>
            <w:r>
              <w:rPr>
                <w:rFonts w:ascii="Arial" w:cs="Arial" w:eastAsia="Arial" w:hAnsi="Arial"/>
                <w:sz w:val="16"/>
                <w:szCs w:val="16"/>
                <w:color w:val="092E44"/>
              </w:rPr>
              <w:t>Allison Pickens</w:t>
            </w:r>
          </w:p>
        </w:tc>
        <w:tc>
          <w:tcPr>
            <w:tcW w:w="2560" w:type="dxa"/>
            <w:vAlign w:val="bottom"/>
          </w:tcPr>
          <w:p>
            <w:pPr>
              <w:jc w:val="right"/>
              <w:ind w:right="221"/>
              <w:spacing w:after="0"/>
              <w:rPr>
                <w:sz w:val="20"/>
                <w:szCs w:val="20"/>
                <w:color w:val="auto"/>
              </w:rPr>
            </w:pPr>
            <w:r>
              <w:rPr>
                <w:rFonts w:ascii="Arial" w:cs="Arial" w:eastAsia="Arial" w:hAnsi="Arial"/>
                <w:sz w:val="16"/>
                <w:szCs w:val="16"/>
                <w:color w:val="092E44"/>
              </w:rPr>
              <w:t>4,118</w:t>
            </w:r>
          </w:p>
        </w:tc>
        <w:tc>
          <w:tcPr>
            <w:tcW w:w="1780" w:type="dxa"/>
            <w:vAlign w:val="bottom"/>
          </w:tcPr>
          <w:p>
            <w:pPr>
              <w:jc w:val="right"/>
              <w:ind w:right="421"/>
              <w:spacing w:after="0"/>
              <w:rPr>
                <w:sz w:val="20"/>
                <w:szCs w:val="20"/>
                <w:color w:val="auto"/>
              </w:rPr>
            </w:pPr>
            <w:r>
              <w:rPr>
                <w:rFonts w:ascii="Arial" w:cs="Arial" w:eastAsia="Arial" w:hAnsi="Arial"/>
                <w:sz w:val="16"/>
                <w:szCs w:val="16"/>
                <w:color w:val="092E44"/>
              </w:rPr>
              <w:t>*</w:t>
            </w:r>
          </w:p>
        </w:tc>
      </w:tr>
      <w:tr>
        <w:trPr>
          <w:trHeight w:val="57"/>
        </w:trPr>
        <w:tc>
          <w:tcPr>
            <w:tcW w:w="658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780" w:type="dxa"/>
            <w:vAlign w:val="bottom"/>
          </w:tcPr>
          <w:p>
            <w:pPr>
              <w:spacing w:after="0"/>
              <w:rPr>
                <w:sz w:val="4"/>
                <w:szCs w:val="4"/>
                <w:color w:val="auto"/>
              </w:rPr>
            </w:pPr>
          </w:p>
        </w:tc>
      </w:tr>
      <w:tr>
        <w:trPr>
          <w:trHeight w:val="301"/>
        </w:trPr>
        <w:tc>
          <w:tcPr>
            <w:tcW w:w="6580" w:type="dxa"/>
            <w:vAlign w:val="bottom"/>
            <w:tcBorders>
              <w:bottom w:val="single" w:sz="8" w:color="DDE9F2"/>
            </w:tcBorders>
            <w:shd w:val="clear" w:color="auto" w:fill="DDE9F2"/>
          </w:tcPr>
          <w:p>
            <w:pPr>
              <w:ind w:left="80"/>
              <w:spacing w:after="0"/>
              <w:rPr>
                <w:sz w:val="20"/>
                <w:szCs w:val="20"/>
                <w:color w:val="auto"/>
              </w:rPr>
            </w:pPr>
            <w:r>
              <w:rPr>
                <w:rFonts w:ascii="Arial" w:cs="Arial" w:eastAsia="Arial" w:hAnsi="Arial"/>
                <w:sz w:val="16"/>
                <w:szCs w:val="16"/>
                <w:color w:val="092E44"/>
              </w:rPr>
              <w:t>Arlen Shenkman</w:t>
            </w:r>
          </w:p>
        </w:tc>
        <w:tc>
          <w:tcPr>
            <w:tcW w:w="2560" w:type="dxa"/>
            <w:vAlign w:val="bottom"/>
            <w:tcBorders>
              <w:bottom w:val="single" w:sz="8" w:color="DDE9F2"/>
            </w:tcBorders>
            <w:shd w:val="clear" w:color="auto" w:fill="DDE9F2"/>
          </w:tcPr>
          <w:p>
            <w:pPr>
              <w:jc w:val="right"/>
              <w:ind w:right="221"/>
              <w:spacing w:after="0"/>
              <w:rPr>
                <w:sz w:val="20"/>
                <w:szCs w:val="20"/>
                <w:color w:val="auto"/>
              </w:rPr>
            </w:pPr>
            <w:r>
              <w:rPr>
                <w:rFonts w:ascii="Arial" w:cs="Arial" w:eastAsia="Arial" w:hAnsi="Arial"/>
                <w:sz w:val="16"/>
                <w:szCs w:val="16"/>
                <w:color w:val="092E44"/>
              </w:rPr>
              <w:t>4,618</w:t>
            </w:r>
          </w:p>
        </w:tc>
        <w:tc>
          <w:tcPr>
            <w:tcW w:w="1780" w:type="dxa"/>
            <w:vAlign w:val="bottom"/>
            <w:tcBorders>
              <w:bottom w:val="single" w:sz="8" w:color="DDE9F2"/>
            </w:tcBorders>
            <w:shd w:val="clear" w:color="auto" w:fill="DDE9F2"/>
          </w:tcPr>
          <w:p>
            <w:pPr>
              <w:jc w:val="right"/>
              <w:ind w:right="421"/>
              <w:spacing w:after="0"/>
              <w:rPr>
                <w:sz w:val="20"/>
                <w:szCs w:val="20"/>
                <w:color w:val="auto"/>
              </w:rPr>
            </w:pPr>
            <w:r>
              <w:rPr>
                <w:rFonts w:ascii="Arial" w:cs="Arial" w:eastAsia="Arial" w:hAnsi="Arial"/>
                <w:sz w:val="16"/>
                <w:szCs w:val="16"/>
                <w:color w:val="092E44"/>
              </w:rPr>
              <w:t>*</w:t>
            </w:r>
          </w:p>
        </w:tc>
      </w:tr>
      <w:tr>
        <w:trPr>
          <w:trHeight w:val="264"/>
        </w:trPr>
        <w:tc>
          <w:tcPr>
            <w:tcW w:w="6580" w:type="dxa"/>
            <w:vAlign w:val="bottom"/>
          </w:tcPr>
          <w:p>
            <w:pPr>
              <w:ind w:left="80"/>
              <w:spacing w:after="0"/>
              <w:rPr>
                <w:sz w:val="20"/>
                <w:szCs w:val="20"/>
                <w:color w:val="auto"/>
              </w:rPr>
            </w:pPr>
            <w:r>
              <w:rPr>
                <w:rFonts w:ascii="Arial" w:cs="Arial" w:eastAsia="Arial" w:hAnsi="Arial"/>
                <w:sz w:val="16"/>
                <w:szCs w:val="16"/>
                <w:color w:val="092E44"/>
              </w:rPr>
              <w:t>David F. Walker(1)</w:t>
            </w:r>
          </w:p>
        </w:tc>
        <w:tc>
          <w:tcPr>
            <w:tcW w:w="2560" w:type="dxa"/>
            <w:vAlign w:val="bottom"/>
          </w:tcPr>
          <w:p>
            <w:pPr>
              <w:jc w:val="right"/>
              <w:ind w:right="221"/>
              <w:spacing w:after="0"/>
              <w:rPr>
                <w:sz w:val="20"/>
                <w:szCs w:val="20"/>
                <w:color w:val="auto"/>
              </w:rPr>
            </w:pPr>
            <w:r>
              <w:rPr>
                <w:rFonts w:ascii="Arial" w:cs="Arial" w:eastAsia="Arial" w:hAnsi="Arial"/>
                <w:sz w:val="16"/>
                <w:szCs w:val="16"/>
                <w:color w:val="092E44"/>
              </w:rPr>
              <w:t>70,457</w:t>
            </w:r>
          </w:p>
        </w:tc>
        <w:tc>
          <w:tcPr>
            <w:tcW w:w="1780" w:type="dxa"/>
            <w:vAlign w:val="bottom"/>
          </w:tcPr>
          <w:p>
            <w:pPr>
              <w:jc w:val="right"/>
              <w:ind w:right="421"/>
              <w:spacing w:after="0"/>
              <w:rPr>
                <w:sz w:val="20"/>
                <w:szCs w:val="20"/>
                <w:color w:val="auto"/>
              </w:rPr>
            </w:pPr>
            <w:r>
              <w:rPr>
                <w:rFonts w:ascii="Arial" w:cs="Arial" w:eastAsia="Arial" w:hAnsi="Arial"/>
                <w:sz w:val="16"/>
                <w:szCs w:val="16"/>
                <w:color w:val="092E44"/>
              </w:rPr>
              <w:t>*</w:t>
            </w:r>
          </w:p>
        </w:tc>
      </w:tr>
      <w:tr>
        <w:trPr>
          <w:trHeight w:val="57"/>
        </w:trPr>
        <w:tc>
          <w:tcPr>
            <w:tcW w:w="658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780" w:type="dxa"/>
            <w:vAlign w:val="bottom"/>
          </w:tcPr>
          <w:p>
            <w:pPr>
              <w:spacing w:after="0"/>
              <w:rPr>
                <w:sz w:val="4"/>
                <w:szCs w:val="4"/>
                <w:color w:val="auto"/>
              </w:rPr>
            </w:pPr>
          </w:p>
        </w:tc>
      </w:tr>
      <w:tr>
        <w:trPr>
          <w:trHeight w:val="301"/>
        </w:trPr>
        <w:tc>
          <w:tcPr>
            <w:tcW w:w="6580" w:type="dxa"/>
            <w:vAlign w:val="bottom"/>
            <w:tcBorders>
              <w:bottom w:val="single" w:sz="8" w:color="DDE9F2"/>
            </w:tcBorders>
            <w:shd w:val="clear" w:color="auto" w:fill="DDE9F2"/>
          </w:tcPr>
          <w:p>
            <w:pPr>
              <w:ind w:left="80"/>
              <w:spacing w:after="0"/>
              <w:rPr>
                <w:sz w:val="20"/>
                <w:szCs w:val="20"/>
                <w:color w:val="auto"/>
              </w:rPr>
            </w:pPr>
            <w:r>
              <w:rPr>
                <w:rFonts w:ascii="Arial" w:cs="Arial" w:eastAsia="Arial" w:hAnsi="Arial"/>
                <w:sz w:val="16"/>
                <w:szCs w:val="16"/>
                <w:b w:val="1"/>
                <w:bCs w:val="1"/>
                <w:color w:val="092E44"/>
              </w:rPr>
              <w:t>Named Executive Officers that are not Directors</w:t>
            </w:r>
          </w:p>
        </w:tc>
        <w:tc>
          <w:tcPr>
            <w:tcW w:w="2560" w:type="dxa"/>
            <w:vAlign w:val="bottom"/>
            <w:tcBorders>
              <w:bottom w:val="single" w:sz="8" w:color="DDE9F2"/>
            </w:tcBorders>
            <w:shd w:val="clear" w:color="auto" w:fill="DDE9F2"/>
          </w:tcPr>
          <w:p>
            <w:pPr>
              <w:spacing w:after="0"/>
              <w:rPr>
                <w:sz w:val="24"/>
                <w:szCs w:val="24"/>
                <w:color w:val="auto"/>
              </w:rPr>
            </w:pPr>
          </w:p>
        </w:tc>
        <w:tc>
          <w:tcPr>
            <w:tcW w:w="1780" w:type="dxa"/>
            <w:vAlign w:val="bottom"/>
            <w:tcBorders>
              <w:bottom w:val="single" w:sz="8" w:color="DDE9F2"/>
            </w:tcBorders>
            <w:shd w:val="clear" w:color="auto" w:fill="DDE9F2"/>
          </w:tcPr>
          <w:p>
            <w:pPr>
              <w:spacing w:after="0"/>
              <w:rPr>
                <w:sz w:val="24"/>
                <w:szCs w:val="24"/>
                <w:color w:val="auto"/>
              </w:rPr>
            </w:pPr>
          </w:p>
        </w:tc>
      </w:tr>
      <w:tr>
        <w:trPr>
          <w:trHeight w:val="264"/>
        </w:trPr>
        <w:tc>
          <w:tcPr>
            <w:tcW w:w="6580" w:type="dxa"/>
            <w:vAlign w:val="bottom"/>
          </w:tcPr>
          <w:p>
            <w:pPr>
              <w:ind w:left="80"/>
              <w:spacing w:after="0"/>
              <w:rPr>
                <w:sz w:val="20"/>
                <w:szCs w:val="20"/>
                <w:color w:val="auto"/>
              </w:rPr>
            </w:pPr>
            <w:r>
              <w:rPr>
                <w:rFonts w:ascii="Arial" w:cs="Arial" w:eastAsia="Arial" w:hAnsi="Arial"/>
                <w:sz w:val="16"/>
                <w:szCs w:val="16"/>
                <w:color w:val="092E44"/>
              </w:rPr>
              <w:t>Brian Carolan(2)</w:t>
            </w:r>
          </w:p>
        </w:tc>
        <w:tc>
          <w:tcPr>
            <w:tcW w:w="2560" w:type="dxa"/>
            <w:vAlign w:val="bottom"/>
          </w:tcPr>
          <w:p>
            <w:pPr>
              <w:jc w:val="right"/>
              <w:ind w:right="221"/>
              <w:spacing w:after="0"/>
              <w:rPr>
                <w:sz w:val="20"/>
                <w:szCs w:val="20"/>
                <w:color w:val="auto"/>
              </w:rPr>
            </w:pPr>
            <w:r>
              <w:rPr>
                <w:rFonts w:ascii="Arial" w:cs="Arial" w:eastAsia="Arial" w:hAnsi="Arial"/>
                <w:sz w:val="16"/>
                <w:szCs w:val="16"/>
                <w:color w:val="092E44"/>
              </w:rPr>
              <w:t>136,704</w:t>
            </w:r>
          </w:p>
        </w:tc>
        <w:tc>
          <w:tcPr>
            <w:tcW w:w="1780" w:type="dxa"/>
            <w:vAlign w:val="bottom"/>
          </w:tcPr>
          <w:p>
            <w:pPr>
              <w:jc w:val="right"/>
              <w:ind w:right="421"/>
              <w:spacing w:after="0"/>
              <w:rPr>
                <w:sz w:val="20"/>
                <w:szCs w:val="20"/>
                <w:color w:val="auto"/>
              </w:rPr>
            </w:pPr>
            <w:r>
              <w:rPr>
                <w:rFonts w:ascii="Arial" w:cs="Arial" w:eastAsia="Arial" w:hAnsi="Arial"/>
                <w:sz w:val="16"/>
                <w:szCs w:val="16"/>
                <w:color w:val="092E44"/>
              </w:rPr>
              <w:t>*</w:t>
            </w:r>
          </w:p>
        </w:tc>
      </w:tr>
      <w:tr>
        <w:trPr>
          <w:trHeight w:val="57"/>
        </w:trPr>
        <w:tc>
          <w:tcPr>
            <w:tcW w:w="658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780" w:type="dxa"/>
            <w:vAlign w:val="bottom"/>
          </w:tcPr>
          <w:p>
            <w:pPr>
              <w:spacing w:after="0"/>
              <w:rPr>
                <w:sz w:val="4"/>
                <w:szCs w:val="4"/>
                <w:color w:val="auto"/>
              </w:rPr>
            </w:pPr>
          </w:p>
        </w:tc>
      </w:tr>
      <w:tr>
        <w:trPr>
          <w:trHeight w:val="326"/>
        </w:trPr>
        <w:tc>
          <w:tcPr>
            <w:tcW w:w="6580" w:type="dxa"/>
            <w:vAlign w:val="bottom"/>
            <w:tcBorders>
              <w:bottom w:val="single" w:sz="8" w:color="DDE9F2"/>
            </w:tcBorders>
            <w:shd w:val="clear" w:color="auto" w:fill="DDE9F2"/>
          </w:tcPr>
          <w:p>
            <w:pPr>
              <w:ind w:left="80"/>
              <w:spacing w:after="0"/>
              <w:rPr>
                <w:sz w:val="20"/>
                <w:szCs w:val="20"/>
                <w:color w:val="auto"/>
              </w:rPr>
            </w:pPr>
            <w:r>
              <w:rPr>
                <w:rFonts w:ascii="Arial" w:cs="Arial" w:eastAsia="Arial" w:hAnsi="Arial"/>
                <w:sz w:val="16"/>
                <w:szCs w:val="16"/>
                <w:color w:val="092E44"/>
              </w:rPr>
              <w:t>Riccardo Di Blasio</w:t>
            </w:r>
          </w:p>
        </w:tc>
        <w:tc>
          <w:tcPr>
            <w:tcW w:w="2560" w:type="dxa"/>
            <w:vAlign w:val="bottom"/>
            <w:tcBorders>
              <w:bottom w:val="single" w:sz="8" w:color="DDE9F2"/>
            </w:tcBorders>
            <w:shd w:val="clear" w:color="auto" w:fill="DDE9F2"/>
          </w:tcPr>
          <w:p>
            <w:pPr>
              <w:jc w:val="right"/>
              <w:ind w:right="221"/>
              <w:spacing w:after="0"/>
              <w:rPr>
                <w:sz w:val="20"/>
                <w:szCs w:val="20"/>
                <w:color w:val="auto"/>
              </w:rPr>
            </w:pPr>
            <w:r>
              <w:rPr>
                <w:rFonts w:ascii="Arial" w:cs="Arial" w:eastAsia="Arial" w:hAnsi="Arial"/>
                <w:sz w:val="16"/>
                <w:szCs w:val="16"/>
                <w:color w:val="092E44"/>
              </w:rPr>
              <w:t>17,182</w:t>
            </w:r>
          </w:p>
        </w:tc>
        <w:tc>
          <w:tcPr>
            <w:tcW w:w="1780" w:type="dxa"/>
            <w:vAlign w:val="bottom"/>
            <w:tcBorders>
              <w:bottom w:val="single" w:sz="8" w:color="DDE9F2"/>
            </w:tcBorders>
            <w:shd w:val="clear" w:color="auto" w:fill="DDE9F2"/>
          </w:tcPr>
          <w:p>
            <w:pPr>
              <w:jc w:val="right"/>
              <w:ind w:right="421"/>
              <w:spacing w:after="0"/>
              <w:rPr>
                <w:sz w:val="20"/>
                <w:szCs w:val="20"/>
                <w:color w:val="auto"/>
              </w:rPr>
            </w:pPr>
            <w:r>
              <w:rPr>
                <w:rFonts w:ascii="Arial" w:cs="Arial" w:eastAsia="Arial" w:hAnsi="Arial"/>
                <w:sz w:val="16"/>
                <w:szCs w:val="16"/>
                <w:color w:val="092E44"/>
              </w:rPr>
              <w:t>*</w:t>
            </w:r>
          </w:p>
        </w:tc>
      </w:tr>
      <w:tr>
        <w:trPr>
          <w:trHeight w:val="244"/>
        </w:trPr>
        <w:tc>
          <w:tcPr>
            <w:tcW w:w="6580" w:type="dxa"/>
            <w:vAlign w:val="bottom"/>
            <w:tcBorders>
              <w:top w:val="single" w:sz="8" w:color="092E44"/>
            </w:tcBorders>
          </w:tcPr>
          <w:p>
            <w:pPr>
              <w:ind w:left="80"/>
              <w:spacing w:after="0"/>
              <w:rPr>
                <w:sz w:val="20"/>
                <w:szCs w:val="20"/>
                <w:color w:val="auto"/>
              </w:rPr>
            </w:pPr>
            <w:r>
              <w:rPr>
                <w:rFonts w:ascii="Arial" w:cs="Arial" w:eastAsia="Arial" w:hAnsi="Arial"/>
                <w:sz w:val="16"/>
                <w:szCs w:val="16"/>
                <w:color w:val="092E44"/>
              </w:rPr>
              <w:t>All directors and executive officers as a group (12 individuals)</w:t>
            </w:r>
          </w:p>
        </w:tc>
        <w:tc>
          <w:tcPr>
            <w:tcW w:w="2560" w:type="dxa"/>
            <w:vAlign w:val="bottom"/>
            <w:tcBorders>
              <w:top w:val="single" w:sz="8" w:color="092E44"/>
            </w:tcBorders>
          </w:tcPr>
          <w:p>
            <w:pPr>
              <w:jc w:val="right"/>
              <w:ind w:right="221"/>
              <w:spacing w:after="0"/>
              <w:rPr>
                <w:sz w:val="20"/>
                <w:szCs w:val="20"/>
                <w:color w:val="auto"/>
              </w:rPr>
            </w:pPr>
            <w:r>
              <w:rPr>
                <w:rFonts w:ascii="Arial" w:cs="Arial" w:eastAsia="Arial" w:hAnsi="Arial"/>
                <w:sz w:val="16"/>
                <w:szCs w:val="16"/>
                <w:color w:val="092E44"/>
              </w:rPr>
              <w:t>512,473</w:t>
            </w:r>
          </w:p>
        </w:tc>
        <w:tc>
          <w:tcPr>
            <w:tcW w:w="1780" w:type="dxa"/>
            <w:vAlign w:val="bottom"/>
            <w:tcBorders>
              <w:top w:val="single" w:sz="8" w:color="092E44"/>
            </w:tcBorders>
          </w:tcPr>
          <w:p>
            <w:pPr>
              <w:jc w:val="right"/>
              <w:ind w:right="281"/>
              <w:spacing w:after="0"/>
              <w:rPr>
                <w:sz w:val="20"/>
                <w:szCs w:val="20"/>
                <w:color w:val="auto"/>
              </w:rPr>
            </w:pPr>
            <w:r>
              <w:rPr>
                <w:rFonts w:ascii="Arial" w:cs="Arial" w:eastAsia="Arial" w:hAnsi="Arial"/>
                <w:sz w:val="16"/>
                <w:szCs w:val="16"/>
                <w:color w:val="092E44"/>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36195</wp:posOffset>
            </wp:positionV>
            <wp:extent cx="69297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480" w:hanging="313"/>
        <w:spacing w:after="0"/>
        <w:tabs>
          <w:tab w:leader="none" w:pos="480" w:val="left"/>
        </w:tabs>
        <w:numPr>
          <w:ilvl w:val="0"/>
          <w:numId w:val="10"/>
        </w:numPr>
        <w:rPr>
          <w:rFonts w:ascii="Arial" w:cs="Arial" w:eastAsia="Arial" w:hAnsi="Arial"/>
          <w:sz w:val="12"/>
          <w:szCs w:val="12"/>
          <w:color w:val="092E44"/>
        </w:rPr>
      </w:pPr>
      <w:r>
        <w:rPr>
          <w:rFonts w:ascii="Arial" w:cs="Arial" w:eastAsia="Arial" w:hAnsi="Arial"/>
          <w:sz w:val="12"/>
          <w:szCs w:val="12"/>
          <w:color w:val="092E44"/>
        </w:rPr>
        <w:t>Less than 1%</w:t>
      </w:r>
    </w:p>
    <w:p>
      <w:pPr>
        <w:spacing w:after="0" w:line="3" w:lineRule="exact"/>
        <w:rPr>
          <w:sz w:val="20"/>
          <w:szCs w:val="20"/>
          <w:color w:val="auto"/>
        </w:rPr>
      </w:pPr>
    </w:p>
    <w:p>
      <w:pPr>
        <w:ind w:left="480" w:hanging="313"/>
        <w:spacing w:after="0"/>
        <w:tabs>
          <w:tab w:leader="none" w:pos="480" w:val="left"/>
        </w:tabs>
        <w:numPr>
          <w:ilvl w:val="0"/>
          <w:numId w:val="11"/>
        </w:numPr>
        <w:rPr>
          <w:rFonts w:ascii="Arial" w:cs="Arial" w:eastAsia="Arial" w:hAnsi="Arial"/>
          <w:sz w:val="12"/>
          <w:szCs w:val="12"/>
          <w:color w:val="092E44"/>
        </w:rPr>
      </w:pPr>
      <w:r>
        <w:rPr>
          <w:rFonts w:ascii="Arial" w:cs="Arial" w:eastAsia="Arial" w:hAnsi="Arial"/>
          <w:sz w:val="12"/>
          <w:szCs w:val="12"/>
          <w:color w:val="092E44"/>
        </w:rPr>
        <w:t>Includes options to acquire 17,000 shares of common stock that are exercisable within 60 days of May 31, 2022.</w:t>
      </w:r>
    </w:p>
    <w:p>
      <w:pPr>
        <w:ind w:left="480" w:hanging="313"/>
        <w:spacing w:after="0"/>
        <w:tabs>
          <w:tab w:leader="none" w:pos="480" w:val="left"/>
        </w:tabs>
        <w:numPr>
          <w:ilvl w:val="0"/>
          <w:numId w:val="11"/>
        </w:numPr>
        <w:rPr>
          <w:rFonts w:ascii="Arial" w:cs="Arial" w:eastAsia="Arial" w:hAnsi="Arial"/>
          <w:sz w:val="12"/>
          <w:szCs w:val="12"/>
          <w:color w:val="092E44"/>
        </w:rPr>
      </w:pPr>
      <w:r>
        <w:rPr>
          <w:rFonts w:ascii="Arial" w:cs="Arial" w:eastAsia="Arial" w:hAnsi="Arial"/>
          <w:sz w:val="12"/>
          <w:szCs w:val="12"/>
          <w:color w:val="092E44"/>
        </w:rPr>
        <w:t>Includes options to acquire 79,781 shares of common stock that are exercisable within 60 days of May 31, 2022.</w:t>
      </w:r>
    </w:p>
    <w:p>
      <w:pPr>
        <w:spacing w:after="0" w:line="81"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On April 28, 2022, Mr. Carolan tendered his resignation as Chief Financial Officer effective July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257175</wp:posOffset>
            </wp:positionV>
            <wp:extent cx="220980" cy="2120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27</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80"/>
          </w:cols>
          <w:pgMar w:left="320" w:top="454"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CORPORATE GOVERNANCE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SECURITY OWNERSHIP OF CERTAIN BENEFICIAL OWNERS AND MANAGEMENT</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Certain Other Stockholders</w:t>
      </w:r>
    </w:p>
    <w:p>
      <w:pPr>
        <w:spacing w:after="0" w:line="67" w:lineRule="exact"/>
        <w:rPr>
          <w:sz w:val="20"/>
          <w:szCs w:val="20"/>
          <w:color w:val="auto"/>
        </w:rPr>
      </w:pPr>
    </w:p>
    <w:p>
      <w:pPr>
        <w:ind w:left="160" w:right="100"/>
        <w:spacing w:after="0" w:line="262" w:lineRule="auto"/>
        <w:rPr>
          <w:sz w:val="20"/>
          <w:szCs w:val="20"/>
          <w:color w:val="auto"/>
        </w:rPr>
      </w:pPr>
      <w:r>
        <w:rPr>
          <w:rFonts w:ascii="Arial" w:cs="Arial" w:eastAsia="Arial" w:hAnsi="Arial"/>
          <w:sz w:val="16"/>
          <w:szCs w:val="16"/>
          <w:color w:val="092E44"/>
        </w:rPr>
        <w:t>The following table sets forth, as of May 31, 2022 (except to the extent otherwise indicated), certain information regarding the persons known by us to be the beneficial owner of more than 5% of our outstanding common stock. Except as otherwise noted, each entity exercises sole voting power and investment power over the shares of voting securities shown.</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2540" w:type="dxa"/>
            <w:vAlign w:val="bottom"/>
          </w:tcPr>
          <w:p>
            <w:pPr>
              <w:jc w:val="right"/>
              <w:ind w:right="222"/>
              <w:spacing w:after="0"/>
              <w:rPr>
                <w:sz w:val="20"/>
                <w:szCs w:val="20"/>
                <w:color w:val="auto"/>
              </w:rPr>
            </w:pPr>
            <w:r>
              <w:rPr>
                <w:rFonts w:ascii="Arial" w:cs="Arial" w:eastAsia="Arial" w:hAnsi="Arial"/>
                <w:sz w:val="14"/>
                <w:szCs w:val="14"/>
                <w:color w:val="092E44"/>
              </w:rPr>
              <w:t>Shares of Common</w:t>
            </w:r>
          </w:p>
        </w:tc>
        <w:tc>
          <w:tcPr>
            <w:tcW w:w="2040" w:type="dxa"/>
            <w:vAlign w:val="bottom"/>
          </w:tcPr>
          <w:p>
            <w:pPr>
              <w:jc w:val="right"/>
              <w:ind w:right="402"/>
              <w:spacing w:after="0"/>
              <w:rPr>
                <w:sz w:val="20"/>
                <w:szCs w:val="20"/>
                <w:color w:val="auto"/>
              </w:rPr>
            </w:pPr>
            <w:r>
              <w:rPr>
                <w:rFonts w:ascii="Arial" w:cs="Arial" w:eastAsia="Arial" w:hAnsi="Arial"/>
                <w:sz w:val="14"/>
                <w:szCs w:val="14"/>
                <w:color w:val="092E44"/>
              </w:rPr>
              <w:t>Percent of Common</w:t>
            </w:r>
          </w:p>
        </w:tc>
      </w:tr>
      <w:tr>
        <w:trPr>
          <w:trHeight w:val="183"/>
        </w:trPr>
        <w:tc>
          <w:tcPr>
            <w:tcW w:w="6340" w:type="dxa"/>
            <w:vAlign w:val="bottom"/>
            <w:tcBorders>
              <w:bottom w:val="single" w:sz="8" w:color="E14A6A"/>
            </w:tcBorders>
          </w:tcPr>
          <w:p>
            <w:pPr>
              <w:ind w:left="80"/>
              <w:spacing w:after="0"/>
              <w:rPr>
                <w:sz w:val="20"/>
                <w:szCs w:val="20"/>
                <w:color w:val="auto"/>
              </w:rPr>
            </w:pPr>
            <w:r>
              <w:rPr>
                <w:rFonts w:ascii="Arial" w:cs="Arial" w:eastAsia="Arial" w:hAnsi="Arial"/>
                <w:sz w:val="14"/>
                <w:szCs w:val="14"/>
                <w:color w:val="092E44"/>
              </w:rPr>
              <w:t>Name and Address of Beneficial Owner</w:t>
            </w:r>
          </w:p>
        </w:tc>
        <w:tc>
          <w:tcPr>
            <w:tcW w:w="2540" w:type="dxa"/>
            <w:vAlign w:val="bottom"/>
            <w:tcBorders>
              <w:bottom w:val="single" w:sz="8" w:color="E14A6A"/>
            </w:tcBorders>
          </w:tcPr>
          <w:p>
            <w:pPr>
              <w:jc w:val="right"/>
              <w:ind w:right="222"/>
              <w:spacing w:after="0"/>
              <w:rPr>
                <w:sz w:val="20"/>
                <w:szCs w:val="20"/>
                <w:color w:val="auto"/>
              </w:rPr>
            </w:pPr>
            <w:r>
              <w:rPr>
                <w:rFonts w:ascii="Arial" w:cs="Arial" w:eastAsia="Arial" w:hAnsi="Arial"/>
                <w:sz w:val="14"/>
                <w:szCs w:val="14"/>
                <w:color w:val="092E44"/>
              </w:rPr>
              <w:t>Stock Owned</w:t>
            </w:r>
          </w:p>
        </w:tc>
        <w:tc>
          <w:tcPr>
            <w:tcW w:w="2040" w:type="dxa"/>
            <w:vAlign w:val="bottom"/>
            <w:tcBorders>
              <w:bottom w:val="single" w:sz="8" w:color="E14A6A"/>
            </w:tcBorders>
          </w:tcPr>
          <w:p>
            <w:pPr>
              <w:jc w:val="right"/>
              <w:ind w:right="402"/>
              <w:spacing w:after="0"/>
              <w:rPr>
                <w:sz w:val="20"/>
                <w:szCs w:val="20"/>
                <w:color w:val="auto"/>
              </w:rPr>
            </w:pPr>
            <w:r>
              <w:rPr>
                <w:rFonts w:ascii="Arial" w:cs="Arial" w:eastAsia="Arial" w:hAnsi="Arial"/>
                <w:sz w:val="14"/>
                <w:szCs w:val="14"/>
                <w:color w:val="092E44"/>
              </w:rPr>
              <w:t>Stock Outstanding</w:t>
            </w:r>
          </w:p>
        </w:tc>
      </w:tr>
      <w:tr>
        <w:trPr>
          <w:trHeight w:val="220"/>
        </w:trPr>
        <w:tc>
          <w:tcPr>
            <w:tcW w:w="6340" w:type="dxa"/>
            <w:vAlign w:val="bottom"/>
          </w:tcPr>
          <w:p>
            <w:pPr>
              <w:ind w:left="80"/>
              <w:spacing w:after="0"/>
              <w:rPr>
                <w:sz w:val="20"/>
                <w:szCs w:val="20"/>
                <w:color w:val="auto"/>
              </w:rPr>
            </w:pPr>
            <w:r>
              <w:rPr>
                <w:rFonts w:ascii="Arial" w:cs="Arial" w:eastAsia="Arial" w:hAnsi="Arial"/>
                <w:sz w:val="16"/>
                <w:szCs w:val="16"/>
                <w:color w:val="092E44"/>
              </w:rPr>
              <w:t>BlackRock, Inc.(1)</w:t>
            </w:r>
          </w:p>
        </w:tc>
        <w:tc>
          <w:tcPr>
            <w:tcW w:w="2540" w:type="dxa"/>
            <w:vAlign w:val="bottom"/>
          </w:tcPr>
          <w:p>
            <w:pPr>
              <w:jc w:val="right"/>
              <w:ind w:right="222"/>
              <w:spacing w:after="0"/>
              <w:rPr>
                <w:sz w:val="20"/>
                <w:szCs w:val="20"/>
                <w:color w:val="auto"/>
              </w:rPr>
            </w:pPr>
            <w:r>
              <w:rPr>
                <w:rFonts w:ascii="Arial" w:cs="Arial" w:eastAsia="Arial" w:hAnsi="Arial"/>
                <w:sz w:val="16"/>
                <w:szCs w:val="16"/>
                <w:color w:val="092E44"/>
              </w:rPr>
              <w:t>5,043,826</w:t>
            </w:r>
          </w:p>
        </w:tc>
        <w:tc>
          <w:tcPr>
            <w:tcW w:w="2040" w:type="dxa"/>
            <w:vAlign w:val="bottom"/>
          </w:tcPr>
          <w:p>
            <w:pPr>
              <w:jc w:val="right"/>
              <w:ind w:right="262"/>
              <w:spacing w:after="0"/>
              <w:rPr>
                <w:sz w:val="20"/>
                <w:szCs w:val="20"/>
                <w:color w:val="auto"/>
              </w:rPr>
            </w:pPr>
            <w:r>
              <w:rPr>
                <w:rFonts w:ascii="Arial" w:cs="Arial" w:eastAsia="Arial" w:hAnsi="Arial"/>
                <w:sz w:val="16"/>
                <w:szCs w:val="16"/>
                <w:color w:val="092E44"/>
              </w:rPr>
              <w:t>11.2%</w:t>
            </w:r>
          </w:p>
        </w:tc>
      </w:tr>
      <w:tr>
        <w:trPr>
          <w:trHeight w:val="187"/>
        </w:trPr>
        <w:tc>
          <w:tcPr>
            <w:tcW w:w="6340" w:type="dxa"/>
            <w:vAlign w:val="bottom"/>
          </w:tcPr>
          <w:p>
            <w:pPr>
              <w:ind w:left="80"/>
              <w:spacing w:after="0"/>
              <w:rPr>
                <w:sz w:val="20"/>
                <w:szCs w:val="20"/>
                <w:color w:val="auto"/>
              </w:rPr>
            </w:pPr>
            <w:r>
              <w:rPr>
                <w:rFonts w:ascii="Arial" w:cs="Arial" w:eastAsia="Arial" w:hAnsi="Arial"/>
                <w:sz w:val="16"/>
                <w:szCs w:val="16"/>
                <w:color w:val="092E44"/>
              </w:rPr>
              <w:t>55 East 52nd Street</w:t>
            </w:r>
          </w:p>
        </w:tc>
        <w:tc>
          <w:tcPr>
            <w:tcW w:w="254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211"/>
        </w:trPr>
        <w:tc>
          <w:tcPr>
            <w:tcW w:w="6340" w:type="dxa"/>
            <w:vAlign w:val="bottom"/>
          </w:tcPr>
          <w:p>
            <w:pPr>
              <w:ind w:left="80"/>
              <w:spacing w:after="0"/>
              <w:rPr>
                <w:sz w:val="20"/>
                <w:szCs w:val="20"/>
                <w:color w:val="auto"/>
              </w:rPr>
            </w:pPr>
            <w:r>
              <w:rPr>
                <w:rFonts w:ascii="Arial" w:cs="Arial" w:eastAsia="Arial" w:hAnsi="Arial"/>
                <w:sz w:val="16"/>
                <w:szCs w:val="16"/>
                <w:color w:val="092E44"/>
              </w:rPr>
              <w:t>New York, NY 10055</w:t>
            </w:r>
          </w:p>
        </w:tc>
        <w:tc>
          <w:tcPr>
            <w:tcW w:w="254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70"/>
        </w:trPr>
        <w:tc>
          <w:tcPr>
            <w:tcW w:w="6340" w:type="dxa"/>
            <w:vAlign w:val="bottom"/>
          </w:tcPr>
          <w:p>
            <w:pPr>
              <w:spacing w:after="0"/>
              <w:rPr>
                <w:sz w:val="6"/>
                <w:szCs w:val="6"/>
                <w:color w:val="auto"/>
              </w:rPr>
            </w:pPr>
          </w:p>
        </w:tc>
        <w:tc>
          <w:tcPr>
            <w:tcW w:w="2540" w:type="dxa"/>
            <w:vAlign w:val="bottom"/>
          </w:tcPr>
          <w:p>
            <w:pPr>
              <w:spacing w:after="0"/>
              <w:rPr>
                <w:sz w:val="6"/>
                <w:szCs w:val="6"/>
                <w:color w:val="auto"/>
              </w:rPr>
            </w:pPr>
          </w:p>
        </w:tc>
        <w:tc>
          <w:tcPr>
            <w:tcW w:w="2040" w:type="dxa"/>
            <w:vAlign w:val="bottom"/>
          </w:tcPr>
          <w:p>
            <w:pPr>
              <w:spacing w:after="0"/>
              <w:rPr>
                <w:sz w:val="6"/>
                <w:szCs w:val="6"/>
                <w:color w:val="auto"/>
              </w:rPr>
            </w:pPr>
          </w:p>
        </w:tc>
      </w:tr>
      <w:tr>
        <w:trPr>
          <w:trHeight w:val="240"/>
        </w:trPr>
        <w:tc>
          <w:tcPr>
            <w:tcW w:w="6340" w:type="dxa"/>
            <w:vAlign w:val="bottom"/>
            <w:shd w:val="clear" w:color="auto" w:fill="DDE9F2"/>
          </w:tcPr>
          <w:p>
            <w:pPr>
              <w:ind w:left="80"/>
              <w:spacing w:after="0"/>
              <w:rPr>
                <w:sz w:val="20"/>
                <w:szCs w:val="20"/>
                <w:color w:val="auto"/>
              </w:rPr>
            </w:pPr>
            <w:r>
              <w:rPr>
                <w:rFonts w:ascii="Arial" w:cs="Arial" w:eastAsia="Arial" w:hAnsi="Arial"/>
                <w:sz w:val="16"/>
                <w:szCs w:val="16"/>
                <w:color w:val="092E44"/>
              </w:rPr>
              <w:t>Vanguard Group, Inc.(2)</w:t>
            </w:r>
          </w:p>
        </w:tc>
        <w:tc>
          <w:tcPr>
            <w:tcW w:w="2540" w:type="dxa"/>
            <w:vAlign w:val="bottom"/>
            <w:shd w:val="clear" w:color="auto" w:fill="DDE9F2"/>
          </w:tcPr>
          <w:p>
            <w:pPr>
              <w:jc w:val="right"/>
              <w:ind w:right="222"/>
              <w:spacing w:after="0"/>
              <w:rPr>
                <w:sz w:val="20"/>
                <w:szCs w:val="20"/>
                <w:color w:val="auto"/>
              </w:rPr>
            </w:pPr>
            <w:r>
              <w:rPr>
                <w:rFonts w:ascii="Arial" w:cs="Arial" w:eastAsia="Arial" w:hAnsi="Arial"/>
                <w:sz w:val="16"/>
                <w:szCs w:val="16"/>
                <w:color w:val="092E44"/>
              </w:rPr>
              <w:t>4,746,564</w:t>
            </w:r>
          </w:p>
        </w:tc>
        <w:tc>
          <w:tcPr>
            <w:tcW w:w="2040" w:type="dxa"/>
            <w:vAlign w:val="bottom"/>
            <w:shd w:val="clear" w:color="auto" w:fill="DDE9F2"/>
          </w:tcPr>
          <w:p>
            <w:pPr>
              <w:jc w:val="right"/>
              <w:ind w:right="262"/>
              <w:spacing w:after="0"/>
              <w:rPr>
                <w:sz w:val="20"/>
                <w:szCs w:val="20"/>
                <w:color w:val="auto"/>
              </w:rPr>
            </w:pPr>
            <w:r>
              <w:rPr>
                <w:rFonts w:ascii="Arial" w:cs="Arial" w:eastAsia="Arial" w:hAnsi="Arial"/>
                <w:sz w:val="16"/>
                <w:szCs w:val="16"/>
                <w:color w:val="092E44"/>
              </w:rPr>
              <w:t>10.6%</w:t>
            </w:r>
          </w:p>
        </w:tc>
      </w:tr>
      <w:tr>
        <w:trPr>
          <w:trHeight w:val="187"/>
        </w:trPr>
        <w:tc>
          <w:tcPr>
            <w:tcW w:w="6340" w:type="dxa"/>
            <w:vAlign w:val="bottom"/>
            <w:shd w:val="clear" w:color="auto" w:fill="DDE9F2"/>
          </w:tcPr>
          <w:p>
            <w:pPr>
              <w:ind w:left="80"/>
              <w:spacing w:after="0"/>
              <w:rPr>
                <w:sz w:val="20"/>
                <w:szCs w:val="20"/>
                <w:color w:val="auto"/>
              </w:rPr>
            </w:pPr>
            <w:r>
              <w:rPr>
                <w:rFonts w:ascii="Arial" w:cs="Arial" w:eastAsia="Arial" w:hAnsi="Arial"/>
                <w:sz w:val="16"/>
                <w:szCs w:val="16"/>
                <w:color w:val="092E44"/>
              </w:rPr>
              <w:t>PO Box 2600, V26</w:t>
            </w:r>
          </w:p>
        </w:tc>
        <w:tc>
          <w:tcPr>
            <w:tcW w:w="2540" w:type="dxa"/>
            <w:vAlign w:val="bottom"/>
            <w:shd w:val="clear" w:color="auto" w:fill="DDE9F2"/>
          </w:tcPr>
          <w:p>
            <w:pPr>
              <w:spacing w:after="0"/>
              <w:rPr>
                <w:sz w:val="16"/>
                <w:szCs w:val="16"/>
                <w:color w:val="auto"/>
              </w:rPr>
            </w:pPr>
          </w:p>
        </w:tc>
        <w:tc>
          <w:tcPr>
            <w:tcW w:w="2040" w:type="dxa"/>
            <w:vAlign w:val="bottom"/>
            <w:shd w:val="clear" w:color="auto" w:fill="DDE9F2"/>
          </w:tcPr>
          <w:p>
            <w:pPr>
              <w:spacing w:after="0"/>
              <w:rPr>
                <w:sz w:val="16"/>
                <w:szCs w:val="16"/>
                <w:color w:val="auto"/>
              </w:rPr>
            </w:pPr>
          </w:p>
        </w:tc>
      </w:tr>
      <w:tr>
        <w:trPr>
          <w:trHeight w:val="211"/>
        </w:trPr>
        <w:tc>
          <w:tcPr>
            <w:tcW w:w="6340" w:type="dxa"/>
            <w:vAlign w:val="bottom"/>
            <w:shd w:val="clear" w:color="auto" w:fill="DDE9F2"/>
          </w:tcPr>
          <w:p>
            <w:pPr>
              <w:ind w:left="80"/>
              <w:spacing w:after="0"/>
              <w:rPr>
                <w:sz w:val="20"/>
                <w:szCs w:val="20"/>
                <w:color w:val="auto"/>
              </w:rPr>
            </w:pPr>
            <w:r>
              <w:rPr>
                <w:rFonts w:ascii="Arial" w:cs="Arial" w:eastAsia="Arial" w:hAnsi="Arial"/>
                <w:sz w:val="16"/>
                <w:szCs w:val="16"/>
                <w:color w:val="092E44"/>
              </w:rPr>
              <w:t>Valley Forge, PA 19482</w:t>
            </w:r>
          </w:p>
        </w:tc>
        <w:tc>
          <w:tcPr>
            <w:tcW w:w="2540" w:type="dxa"/>
            <w:vAlign w:val="bottom"/>
            <w:shd w:val="clear" w:color="auto" w:fill="DDE9F2"/>
          </w:tcPr>
          <w:p>
            <w:pPr>
              <w:spacing w:after="0"/>
              <w:rPr>
                <w:sz w:val="18"/>
                <w:szCs w:val="18"/>
                <w:color w:val="auto"/>
              </w:rPr>
            </w:pPr>
          </w:p>
        </w:tc>
        <w:tc>
          <w:tcPr>
            <w:tcW w:w="2040" w:type="dxa"/>
            <w:vAlign w:val="bottom"/>
            <w:shd w:val="clear" w:color="auto" w:fill="DDE9F2"/>
          </w:tcPr>
          <w:p>
            <w:pPr>
              <w:spacing w:after="0"/>
              <w:rPr>
                <w:sz w:val="18"/>
                <w:szCs w:val="18"/>
                <w:color w:val="auto"/>
              </w:rPr>
            </w:pPr>
          </w:p>
        </w:tc>
      </w:tr>
      <w:tr>
        <w:trPr>
          <w:trHeight w:val="70"/>
        </w:trPr>
        <w:tc>
          <w:tcPr>
            <w:tcW w:w="6340" w:type="dxa"/>
            <w:vAlign w:val="bottom"/>
            <w:shd w:val="clear" w:color="auto" w:fill="DDE9F2"/>
          </w:tcPr>
          <w:p>
            <w:pPr>
              <w:spacing w:after="0"/>
              <w:rPr>
                <w:sz w:val="6"/>
                <w:szCs w:val="6"/>
                <w:color w:val="auto"/>
              </w:rPr>
            </w:pPr>
          </w:p>
        </w:tc>
        <w:tc>
          <w:tcPr>
            <w:tcW w:w="2540" w:type="dxa"/>
            <w:vAlign w:val="bottom"/>
            <w:shd w:val="clear" w:color="auto" w:fill="DDE9F2"/>
          </w:tcPr>
          <w:p>
            <w:pPr>
              <w:spacing w:after="0"/>
              <w:rPr>
                <w:sz w:val="6"/>
                <w:szCs w:val="6"/>
                <w:color w:val="auto"/>
              </w:rPr>
            </w:pPr>
          </w:p>
        </w:tc>
        <w:tc>
          <w:tcPr>
            <w:tcW w:w="2040" w:type="dxa"/>
            <w:vAlign w:val="bottom"/>
            <w:shd w:val="clear" w:color="auto" w:fill="DDE9F2"/>
          </w:tcPr>
          <w:p>
            <w:pPr>
              <w:spacing w:after="0"/>
              <w:rPr>
                <w:sz w:val="6"/>
                <w:szCs w:val="6"/>
                <w:color w:val="auto"/>
              </w:rPr>
            </w:pPr>
          </w:p>
        </w:tc>
      </w:tr>
      <w:tr>
        <w:trPr>
          <w:trHeight w:val="240"/>
        </w:trPr>
        <w:tc>
          <w:tcPr>
            <w:tcW w:w="6340" w:type="dxa"/>
            <w:vAlign w:val="bottom"/>
          </w:tcPr>
          <w:p>
            <w:pPr>
              <w:ind w:left="80"/>
              <w:spacing w:after="0"/>
              <w:rPr>
                <w:sz w:val="20"/>
                <w:szCs w:val="20"/>
                <w:color w:val="auto"/>
              </w:rPr>
            </w:pPr>
            <w:r>
              <w:rPr>
                <w:rFonts w:ascii="Arial" w:cs="Arial" w:eastAsia="Arial" w:hAnsi="Arial"/>
                <w:sz w:val="16"/>
                <w:szCs w:val="16"/>
                <w:color w:val="092E44"/>
              </w:rPr>
              <w:t>Starboard Value LP(3)</w:t>
            </w:r>
          </w:p>
        </w:tc>
        <w:tc>
          <w:tcPr>
            <w:tcW w:w="2540" w:type="dxa"/>
            <w:vAlign w:val="bottom"/>
          </w:tcPr>
          <w:p>
            <w:pPr>
              <w:jc w:val="right"/>
              <w:ind w:right="222"/>
              <w:spacing w:after="0"/>
              <w:rPr>
                <w:sz w:val="20"/>
                <w:szCs w:val="20"/>
                <w:color w:val="auto"/>
              </w:rPr>
            </w:pPr>
            <w:r>
              <w:rPr>
                <w:rFonts w:ascii="Arial" w:cs="Arial" w:eastAsia="Arial" w:hAnsi="Arial"/>
                <w:sz w:val="16"/>
                <w:szCs w:val="16"/>
                <w:color w:val="092E44"/>
              </w:rPr>
              <w:t>4,469,256</w:t>
            </w:r>
          </w:p>
        </w:tc>
        <w:tc>
          <w:tcPr>
            <w:tcW w:w="2040" w:type="dxa"/>
            <w:vAlign w:val="bottom"/>
          </w:tcPr>
          <w:p>
            <w:pPr>
              <w:jc w:val="right"/>
              <w:ind w:right="262"/>
              <w:spacing w:after="0"/>
              <w:rPr>
                <w:sz w:val="20"/>
                <w:szCs w:val="20"/>
                <w:color w:val="auto"/>
              </w:rPr>
            </w:pPr>
            <w:r>
              <w:rPr>
                <w:rFonts w:ascii="Arial" w:cs="Arial" w:eastAsia="Arial" w:hAnsi="Arial"/>
                <w:sz w:val="16"/>
                <w:szCs w:val="16"/>
                <w:color w:val="092E44"/>
              </w:rPr>
              <w:t>9.9%</w:t>
            </w:r>
          </w:p>
        </w:tc>
      </w:tr>
      <w:tr>
        <w:trPr>
          <w:trHeight w:val="187"/>
        </w:trPr>
        <w:tc>
          <w:tcPr>
            <w:tcW w:w="6340" w:type="dxa"/>
            <w:vAlign w:val="bottom"/>
          </w:tcPr>
          <w:p>
            <w:pPr>
              <w:ind w:left="80"/>
              <w:spacing w:after="0"/>
              <w:rPr>
                <w:sz w:val="20"/>
                <w:szCs w:val="20"/>
                <w:color w:val="auto"/>
              </w:rPr>
            </w:pPr>
            <w:r>
              <w:rPr>
                <w:rFonts w:ascii="Arial" w:cs="Arial" w:eastAsia="Arial" w:hAnsi="Arial"/>
                <w:sz w:val="16"/>
                <w:szCs w:val="16"/>
                <w:color w:val="092E44"/>
              </w:rPr>
              <w:t>777 Third Avenue, 18th Floor</w:t>
            </w:r>
          </w:p>
        </w:tc>
        <w:tc>
          <w:tcPr>
            <w:tcW w:w="254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211"/>
        </w:trPr>
        <w:tc>
          <w:tcPr>
            <w:tcW w:w="6340" w:type="dxa"/>
            <w:vAlign w:val="bottom"/>
          </w:tcPr>
          <w:p>
            <w:pPr>
              <w:ind w:left="80"/>
              <w:spacing w:after="0"/>
              <w:rPr>
                <w:sz w:val="20"/>
                <w:szCs w:val="20"/>
                <w:color w:val="auto"/>
              </w:rPr>
            </w:pPr>
            <w:r>
              <w:rPr>
                <w:rFonts w:ascii="Arial" w:cs="Arial" w:eastAsia="Arial" w:hAnsi="Arial"/>
                <w:sz w:val="16"/>
                <w:szCs w:val="16"/>
                <w:color w:val="092E44"/>
              </w:rPr>
              <w:t>New York, NY 10017</w:t>
            </w:r>
          </w:p>
        </w:tc>
        <w:tc>
          <w:tcPr>
            <w:tcW w:w="254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70"/>
        </w:trPr>
        <w:tc>
          <w:tcPr>
            <w:tcW w:w="6340" w:type="dxa"/>
            <w:vAlign w:val="bottom"/>
          </w:tcPr>
          <w:p>
            <w:pPr>
              <w:spacing w:after="0"/>
              <w:rPr>
                <w:sz w:val="6"/>
                <w:szCs w:val="6"/>
                <w:color w:val="auto"/>
              </w:rPr>
            </w:pPr>
          </w:p>
        </w:tc>
        <w:tc>
          <w:tcPr>
            <w:tcW w:w="2540" w:type="dxa"/>
            <w:vAlign w:val="bottom"/>
          </w:tcPr>
          <w:p>
            <w:pPr>
              <w:spacing w:after="0"/>
              <w:rPr>
                <w:sz w:val="6"/>
                <w:szCs w:val="6"/>
                <w:color w:val="auto"/>
              </w:rPr>
            </w:pPr>
          </w:p>
        </w:tc>
        <w:tc>
          <w:tcPr>
            <w:tcW w:w="2040" w:type="dxa"/>
            <w:vAlign w:val="bottom"/>
          </w:tcPr>
          <w:p>
            <w:pPr>
              <w:spacing w:after="0"/>
              <w:rPr>
                <w:sz w:val="6"/>
                <w:szCs w:val="6"/>
                <w:color w:val="auto"/>
              </w:rPr>
            </w:pPr>
          </w:p>
        </w:tc>
      </w:tr>
      <w:tr>
        <w:trPr>
          <w:trHeight w:val="240"/>
        </w:trPr>
        <w:tc>
          <w:tcPr>
            <w:tcW w:w="6340" w:type="dxa"/>
            <w:vAlign w:val="bottom"/>
            <w:shd w:val="clear" w:color="auto" w:fill="DDE9F2"/>
          </w:tcPr>
          <w:p>
            <w:pPr>
              <w:ind w:left="80"/>
              <w:spacing w:after="0"/>
              <w:rPr>
                <w:sz w:val="20"/>
                <w:szCs w:val="20"/>
                <w:color w:val="auto"/>
              </w:rPr>
            </w:pPr>
            <w:r>
              <w:rPr>
                <w:rFonts w:ascii="Arial" w:cs="Arial" w:eastAsia="Arial" w:hAnsi="Arial"/>
                <w:sz w:val="16"/>
                <w:szCs w:val="16"/>
                <w:color w:val="092E44"/>
              </w:rPr>
              <w:t>AllianceBernstein L.P.(4)</w:t>
            </w:r>
          </w:p>
        </w:tc>
        <w:tc>
          <w:tcPr>
            <w:tcW w:w="2540" w:type="dxa"/>
            <w:vAlign w:val="bottom"/>
            <w:shd w:val="clear" w:color="auto" w:fill="DDE9F2"/>
          </w:tcPr>
          <w:p>
            <w:pPr>
              <w:jc w:val="right"/>
              <w:ind w:right="222"/>
              <w:spacing w:after="0"/>
              <w:rPr>
                <w:sz w:val="20"/>
                <w:szCs w:val="20"/>
                <w:color w:val="auto"/>
              </w:rPr>
            </w:pPr>
            <w:r>
              <w:rPr>
                <w:rFonts w:ascii="Arial" w:cs="Arial" w:eastAsia="Arial" w:hAnsi="Arial"/>
                <w:sz w:val="16"/>
                <w:szCs w:val="16"/>
                <w:color w:val="092E44"/>
              </w:rPr>
              <w:t>2,851,465</w:t>
            </w:r>
          </w:p>
        </w:tc>
        <w:tc>
          <w:tcPr>
            <w:tcW w:w="2040" w:type="dxa"/>
            <w:vAlign w:val="bottom"/>
            <w:shd w:val="clear" w:color="auto" w:fill="DDE9F2"/>
          </w:tcPr>
          <w:p>
            <w:pPr>
              <w:jc w:val="right"/>
              <w:ind w:right="262"/>
              <w:spacing w:after="0"/>
              <w:rPr>
                <w:sz w:val="20"/>
                <w:szCs w:val="20"/>
                <w:color w:val="auto"/>
              </w:rPr>
            </w:pPr>
            <w:r>
              <w:rPr>
                <w:rFonts w:ascii="Arial" w:cs="Arial" w:eastAsia="Arial" w:hAnsi="Arial"/>
                <w:sz w:val="16"/>
                <w:szCs w:val="16"/>
                <w:color w:val="092E44"/>
              </w:rPr>
              <w:t>6.3%</w:t>
            </w:r>
          </w:p>
        </w:tc>
      </w:tr>
      <w:tr>
        <w:trPr>
          <w:trHeight w:val="187"/>
        </w:trPr>
        <w:tc>
          <w:tcPr>
            <w:tcW w:w="6340" w:type="dxa"/>
            <w:vAlign w:val="bottom"/>
            <w:shd w:val="clear" w:color="auto" w:fill="DDE9F2"/>
          </w:tcPr>
          <w:p>
            <w:pPr>
              <w:ind w:left="80"/>
              <w:spacing w:after="0"/>
              <w:rPr>
                <w:sz w:val="20"/>
                <w:szCs w:val="20"/>
                <w:color w:val="auto"/>
              </w:rPr>
            </w:pPr>
            <w:r>
              <w:rPr>
                <w:rFonts w:ascii="Arial" w:cs="Arial" w:eastAsia="Arial" w:hAnsi="Arial"/>
                <w:sz w:val="16"/>
                <w:szCs w:val="16"/>
                <w:color w:val="092E44"/>
              </w:rPr>
              <w:t>1345 Avenue of the Americas</w:t>
            </w:r>
          </w:p>
        </w:tc>
        <w:tc>
          <w:tcPr>
            <w:tcW w:w="2540" w:type="dxa"/>
            <w:vAlign w:val="bottom"/>
            <w:shd w:val="clear" w:color="auto" w:fill="DDE9F2"/>
          </w:tcPr>
          <w:p>
            <w:pPr>
              <w:spacing w:after="0"/>
              <w:rPr>
                <w:sz w:val="16"/>
                <w:szCs w:val="16"/>
                <w:color w:val="auto"/>
              </w:rPr>
            </w:pPr>
          </w:p>
        </w:tc>
        <w:tc>
          <w:tcPr>
            <w:tcW w:w="2040" w:type="dxa"/>
            <w:vAlign w:val="bottom"/>
            <w:shd w:val="clear" w:color="auto" w:fill="DDE9F2"/>
          </w:tcPr>
          <w:p>
            <w:pPr>
              <w:spacing w:after="0"/>
              <w:rPr>
                <w:sz w:val="16"/>
                <w:szCs w:val="16"/>
                <w:color w:val="auto"/>
              </w:rPr>
            </w:pPr>
          </w:p>
        </w:tc>
      </w:tr>
      <w:tr>
        <w:trPr>
          <w:trHeight w:val="211"/>
        </w:trPr>
        <w:tc>
          <w:tcPr>
            <w:tcW w:w="6340" w:type="dxa"/>
            <w:vAlign w:val="bottom"/>
            <w:shd w:val="clear" w:color="auto" w:fill="DDE9F2"/>
          </w:tcPr>
          <w:p>
            <w:pPr>
              <w:ind w:left="80"/>
              <w:spacing w:after="0"/>
              <w:rPr>
                <w:sz w:val="20"/>
                <w:szCs w:val="20"/>
                <w:color w:val="auto"/>
              </w:rPr>
            </w:pPr>
            <w:r>
              <w:rPr>
                <w:rFonts w:ascii="Arial" w:cs="Arial" w:eastAsia="Arial" w:hAnsi="Arial"/>
                <w:sz w:val="16"/>
                <w:szCs w:val="16"/>
                <w:color w:val="092E44"/>
              </w:rPr>
              <w:t>New York, NY 10105</w:t>
            </w:r>
          </w:p>
        </w:tc>
        <w:tc>
          <w:tcPr>
            <w:tcW w:w="2540" w:type="dxa"/>
            <w:vAlign w:val="bottom"/>
            <w:shd w:val="clear" w:color="auto" w:fill="DDE9F2"/>
          </w:tcPr>
          <w:p>
            <w:pPr>
              <w:spacing w:after="0"/>
              <w:rPr>
                <w:sz w:val="18"/>
                <w:szCs w:val="18"/>
                <w:color w:val="auto"/>
              </w:rPr>
            </w:pPr>
          </w:p>
        </w:tc>
        <w:tc>
          <w:tcPr>
            <w:tcW w:w="2040" w:type="dxa"/>
            <w:vAlign w:val="bottom"/>
            <w:shd w:val="clear" w:color="auto" w:fill="DDE9F2"/>
          </w:tcPr>
          <w:p>
            <w:pPr>
              <w:spacing w:after="0"/>
              <w:rPr>
                <w:sz w:val="18"/>
                <w:szCs w:val="18"/>
                <w:color w:val="auto"/>
              </w:rPr>
            </w:pPr>
          </w:p>
        </w:tc>
      </w:tr>
      <w:tr>
        <w:trPr>
          <w:trHeight w:val="70"/>
        </w:trPr>
        <w:tc>
          <w:tcPr>
            <w:tcW w:w="6340" w:type="dxa"/>
            <w:vAlign w:val="bottom"/>
            <w:shd w:val="clear" w:color="auto" w:fill="DDE9F2"/>
          </w:tcPr>
          <w:p>
            <w:pPr>
              <w:spacing w:after="0"/>
              <w:rPr>
                <w:sz w:val="6"/>
                <w:szCs w:val="6"/>
                <w:color w:val="auto"/>
              </w:rPr>
            </w:pPr>
          </w:p>
        </w:tc>
        <w:tc>
          <w:tcPr>
            <w:tcW w:w="2540" w:type="dxa"/>
            <w:vAlign w:val="bottom"/>
            <w:shd w:val="clear" w:color="auto" w:fill="DDE9F2"/>
          </w:tcPr>
          <w:p>
            <w:pPr>
              <w:spacing w:after="0"/>
              <w:rPr>
                <w:sz w:val="6"/>
                <w:szCs w:val="6"/>
                <w:color w:val="auto"/>
              </w:rPr>
            </w:pPr>
          </w:p>
        </w:tc>
        <w:tc>
          <w:tcPr>
            <w:tcW w:w="2040" w:type="dxa"/>
            <w:vAlign w:val="bottom"/>
            <w:shd w:val="clear" w:color="auto" w:fill="DDE9F2"/>
          </w:tcPr>
          <w:p>
            <w:pPr>
              <w:spacing w:after="0"/>
              <w:rPr>
                <w:sz w:val="6"/>
                <w:szCs w:val="6"/>
                <w:color w:val="auto"/>
              </w:rPr>
            </w:pPr>
          </w:p>
        </w:tc>
      </w:tr>
      <w:tr>
        <w:trPr>
          <w:trHeight w:val="240"/>
        </w:trPr>
        <w:tc>
          <w:tcPr>
            <w:tcW w:w="6340" w:type="dxa"/>
            <w:vAlign w:val="bottom"/>
          </w:tcPr>
          <w:p>
            <w:pPr>
              <w:ind w:left="80"/>
              <w:spacing w:after="0"/>
              <w:rPr>
                <w:sz w:val="20"/>
                <w:szCs w:val="20"/>
                <w:color w:val="auto"/>
              </w:rPr>
            </w:pPr>
            <w:r>
              <w:rPr>
                <w:rFonts w:ascii="Arial" w:cs="Arial" w:eastAsia="Arial" w:hAnsi="Arial"/>
                <w:sz w:val="16"/>
                <w:szCs w:val="16"/>
                <w:color w:val="092E44"/>
              </w:rPr>
              <w:t>Mackenzie Financial Corporation(5)</w:t>
            </w:r>
          </w:p>
        </w:tc>
        <w:tc>
          <w:tcPr>
            <w:tcW w:w="2540" w:type="dxa"/>
            <w:vAlign w:val="bottom"/>
          </w:tcPr>
          <w:p>
            <w:pPr>
              <w:jc w:val="right"/>
              <w:ind w:right="222"/>
              <w:spacing w:after="0"/>
              <w:rPr>
                <w:sz w:val="20"/>
                <w:szCs w:val="20"/>
                <w:color w:val="auto"/>
              </w:rPr>
            </w:pPr>
            <w:r>
              <w:rPr>
                <w:rFonts w:ascii="Arial" w:cs="Arial" w:eastAsia="Arial" w:hAnsi="Arial"/>
                <w:sz w:val="16"/>
                <w:szCs w:val="16"/>
                <w:color w:val="092E44"/>
              </w:rPr>
              <w:t>2,471,153</w:t>
            </w:r>
          </w:p>
        </w:tc>
        <w:tc>
          <w:tcPr>
            <w:tcW w:w="2040" w:type="dxa"/>
            <w:vAlign w:val="bottom"/>
          </w:tcPr>
          <w:p>
            <w:pPr>
              <w:jc w:val="right"/>
              <w:ind w:right="262"/>
              <w:spacing w:after="0"/>
              <w:rPr>
                <w:sz w:val="20"/>
                <w:szCs w:val="20"/>
                <w:color w:val="auto"/>
              </w:rPr>
            </w:pPr>
            <w:r>
              <w:rPr>
                <w:rFonts w:ascii="Arial" w:cs="Arial" w:eastAsia="Arial" w:hAnsi="Arial"/>
                <w:sz w:val="16"/>
                <w:szCs w:val="16"/>
                <w:color w:val="092E44"/>
              </w:rPr>
              <w:t>5.5%</w:t>
            </w:r>
          </w:p>
        </w:tc>
      </w:tr>
      <w:tr>
        <w:trPr>
          <w:trHeight w:val="187"/>
        </w:trPr>
        <w:tc>
          <w:tcPr>
            <w:tcW w:w="6340" w:type="dxa"/>
            <w:vAlign w:val="bottom"/>
          </w:tcPr>
          <w:p>
            <w:pPr>
              <w:ind w:left="80"/>
              <w:spacing w:after="0"/>
              <w:rPr>
                <w:sz w:val="20"/>
                <w:szCs w:val="20"/>
                <w:color w:val="auto"/>
              </w:rPr>
            </w:pPr>
            <w:r>
              <w:rPr>
                <w:rFonts w:ascii="Arial" w:cs="Arial" w:eastAsia="Arial" w:hAnsi="Arial"/>
                <w:sz w:val="16"/>
                <w:szCs w:val="16"/>
                <w:color w:val="092E44"/>
              </w:rPr>
              <w:t>180 Queen Street West</w:t>
            </w:r>
          </w:p>
        </w:tc>
        <w:tc>
          <w:tcPr>
            <w:tcW w:w="254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211"/>
        </w:trPr>
        <w:tc>
          <w:tcPr>
            <w:tcW w:w="6340" w:type="dxa"/>
            <w:vAlign w:val="bottom"/>
          </w:tcPr>
          <w:p>
            <w:pPr>
              <w:ind w:left="80"/>
              <w:spacing w:after="0"/>
              <w:rPr>
                <w:sz w:val="20"/>
                <w:szCs w:val="20"/>
                <w:color w:val="auto"/>
              </w:rPr>
            </w:pPr>
            <w:r>
              <w:rPr>
                <w:rFonts w:ascii="Arial" w:cs="Arial" w:eastAsia="Arial" w:hAnsi="Arial"/>
                <w:sz w:val="16"/>
                <w:szCs w:val="16"/>
                <w:color w:val="092E44"/>
              </w:rPr>
              <w:t>Toronto, Ontario M5V 3K1</w:t>
            </w:r>
          </w:p>
        </w:tc>
        <w:tc>
          <w:tcPr>
            <w:tcW w:w="2540" w:type="dxa"/>
            <w:vAlign w:val="bottom"/>
          </w:tcPr>
          <w:p>
            <w:pPr>
              <w:spacing w:after="0"/>
              <w:rPr>
                <w:sz w:val="18"/>
                <w:szCs w:val="18"/>
                <w:color w:val="auto"/>
              </w:rPr>
            </w:pPr>
          </w:p>
        </w:tc>
        <w:tc>
          <w:tcPr>
            <w:tcW w:w="20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44450</wp:posOffset>
            </wp:positionV>
            <wp:extent cx="69297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3" w:lineRule="exact"/>
        <w:rPr>
          <w:sz w:val="20"/>
          <w:szCs w:val="20"/>
          <w:color w:val="auto"/>
        </w:rPr>
      </w:pPr>
    </w:p>
    <w:p>
      <w:pPr>
        <w:ind w:left="480" w:hanging="313"/>
        <w:spacing w:after="0"/>
        <w:tabs>
          <w:tab w:leader="none" w:pos="480" w:val="left"/>
        </w:tabs>
        <w:numPr>
          <w:ilvl w:val="0"/>
          <w:numId w:val="12"/>
        </w:numPr>
        <w:rPr>
          <w:rFonts w:ascii="Arial" w:cs="Arial" w:eastAsia="Arial" w:hAnsi="Arial"/>
          <w:sz w:val="12"/>
          <w:szCs w:val="12"/>
          <w:color w:val="092E44"/>
        </w:rPr>
      </w:pPr>
      <w:r>
        <w:rPr>
          <w:rFonts w:ascii="Arial" w:cs="Arial" w:eastAsia="Arial" w:hAnsi="Arial"/>
          <w:sz w:val="12"/>
          <w:szCs w:val="12"/>
          <w:color w:val="092E44"/>
        </w:rPr>
        <w:t>Based solely on a Schedule 13G/A filed on January 28, 2022, by BlackRock, Inc., except for Percent of Common Stock Outstanding.</w:t>
      </w:r>
    </w:p>
    <w:p>
      <w:pPr>
        <w:spacing w:after="0" w:line="7" w:lineRule="exact"/>
        <w:rPr>
          <w:rFonts w:ascii="Arial" w:cs="Arial" w:eastAsia="Arial" w:hAnsi="Arial"/>
          <w:sz w:val="12"/>
          <w:szCs w:val="12"/>
          <w:color w:val="092E44"/>
        </w:rPr>
      </w:pPr>
    </w:p>
    <w:p>
      <w:pPr>
        <w:ind w:left="480" w:right="120" w:hanging="313"/>
        <w:spacing w:after="0" w:line="232" w:lineRule="auto"/>
        <w:tabs>
          <w:tab w:leader="none" w:pos="480" w:val="left"/>
        </w:tabs>
        <w:numPr>
          <w:ilvl w:val="0"/>
          <w:numId w:val="12"/>
        </w:numPr>
        <w:rPr>
          <w:rFonts w:ascii="Arial" w:cs="Arial" w:eastAsia="Arial" w:hAnsi="Arial"/>
          <w:sz w:val="12"/>
          <w:szCs w:val="12"/>
          <w:color w:val="092E44"/>
        </w:rPr>
      </w:pPr>
      <w:r>
        <w:rPr>
          <w:rFonts w:ascii="Arial" w:cs="Arial" w:eastAsia="Arial" w:hAnsi="Arial"/>
          <w:sz w:val="12"/>
          <w:szCs w:val="12"/>
          <w:color w:val="092E44"/>
        </w:rPr>
        <w:t>Based solely on a Schedule 13G/A filed on February 9, 2022, by Vanguard Group, Inc., except for Percent of Common Stock Outstanding. The Vanguard Group, Inc. reported it held 0 shares with sole voting power, 86,293 shares with shared voting power, 4,621,545 shares with sole dispositive power and 125,019 shares with shared dispositive power.</w:t>
      </w:r>
    </w:p>
    <w:p>
      <w:pPr>
        <w:ind w:left="480" w:hanging="313"/>
        <w:spacing w:after="0" w:line="232" w:lineRule="auto"/>
        <w:tabs>
          <w:tab w:leader="none" w:pos="480" w:val="left"/>
        </w:tabs>
        <w:numPr>
          <w:ilvl w:val="0"/>
          <w:numId w:val="12"/>
        </w:numPr>
        <w:rPr>
          <w:rFonts w:ascii="Arial" w:cs="Arial" w:eastAsia="Arial" w:hAnsi="Arial"/>
          <w:sz w:val="12"/>
          <w:szCs w:val="12"/>
          <w:color w:val="092E44"/>
        </w:rPr>
      </w:pPr>
      <w:r>
        <w:rPr>
          <w:rFonts w:ascii="Arial" w:cs="Arial" w:eastAsia="Arial" w:hAnsi="Arial"/>
          <w:sz w:val="12"/>
          <w:szCs w:val="12"/>
          <w:color w:val="092E44"/>
        </w:rPr>
        <w:t>Based solely on a Schedule 13D/A filed on November 16, 2020, by Starboard Value LP, except for Percent of Common Stock Outstanding.</w:t>
      </w:r>
    </w:p>
    <w:p>
      <w:pPr>
        <w:ind w:left="480" w:right="180" w:hanging="313"/>
        <w:spacing w:after="0" w:line="232" w:lineRule="auto"/>
        <w:tabs>
          <w:tab w:leader="none" w:pos="480" w:val="left"/>
        </w:tabs>
        <w:numPr>
          <w:ilvl w:val="0"/>
          <w:numId w:val="12"/>
        </w:numPr>
        <w:rPr>
          <w:rFonts w:ascii="Arial" w:cs="Arial" w:eastAsia="Arial" w:hAnsi="Arial"/>
          <w:sz w:val="12"/>
          <w:szCs w:val="12"/>
          <w:color w:val="092E44"/>
        </w:rPr>
      </w:pPr>
      <w:r>
        <w:rPr>
          <w:rFonts w:ascii="Arial" w:cs="Arial" w:eastAsia="Arial" w:hAnsi="Arial"/>
          <w:sz w:val="12"/>
          <w:szCs w:val="12"/>
          <w:color w:val="092E44"/>
        </w:rPr>
        <w:t>Based solely on a Schedule 13G/A filed on February 14, 2022, by AllianceBernstein L.P., except for Percent of Common Stock Outstanding. AllianceBernstein L.P. reported it held 2,459,879 shares with sole voting power, 0 shares with shared voting power, 2,803,265 shares with sole dispositive power and 48,200 shares with shared dispositive power.</w:t>
      </w:r>
    </w:p>
    <w:p>
      <w:pPr>
        <w:ind w:left="480" w:hanging="313"/>
        <w:spacing w:after="0"/>
        <w:tabs>
          <w:tab w:leader="none" w:pos="480" w:val="left"/>
        </w:tabs>
        <w:numPr>
          <w:ilvl w:val="0"/>
          <w:numId w:val="12"/>
        </w:numPr>
        <w:rPr>
          <w:rFonts w:ascii="Arial" w:cs="Arial" w:eastAsia="Arial" w:hAnsi="Arial"/>
          <w:sz w:val="12"/>
          <w:szCs w:val="12"/>
          <w:color w:val="092E44"/>
        </w:rPr>
      </w:pPr>
      <w:r>
        <w:rPr>
          <w:rFonts w:ascii="Arial" w:cs="Arial" w:eastAsia="Arial" w:hAnsi="Arial"/>
          <w:sz w:val="12"/>
          <w:szCs w:val="12"/>
          <w:color w:val="092E44"/>
        </w:rPr>
        <w:t>Based solely on a Schedule 13G/A filed on February 4, 2022, by Mackenzie Financial Corporation, except for Percent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247650</wp:posOffset>
            </wp:positionV>
            <wp:extent cx="220980" cy="2120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28</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80"/>
          </w:cols>
          <w:pgMar w:left="320" w:top="454"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6929755" cy="19615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29755" cy="196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60"/>
        <w:spacing w:after="0"/>
        <w:rPr>
          <w:sz w:val="20"/>
          <w:szCs w:val="20"/>
          <w:color w:val="auto"/>
        </w:rPr>
      </w:pPr>
      <w:r>
        <w:rPr>
          <w:rFonts w:ascii="Arial" w:cs="Arial" w:eastAsia="Arial" w:hAnsi="Arial"/>
          <w:sz w:val="64"/>
          <w:szCs w:val="64"/>
          <w:b w:val="1"/>
          <w:bCs w:val="1"/>
          <w:color w:val="E14A6A"/>
        </w:rPr>
        <w:t>Proposal No. 2:</w:t>
      </w:r>
    </w:p>
    <w:p>
      <w:pPr>
        <w:spacing w:after="0" w:line="66" w:lineRule="exact"/>
        <w:rPr>
          <w:sz w:val="20"/>
          <w:szCs w:val="20"/>
          <w:color w:val="auto"/>
        </w:rPr>
      </w:pPr>
    </w:p>
    <w:p>
      <w:pPr>
        <w:ind w:left="160" w:right="3260"/>
        <w:spacing w:after="0" w:line="267" w:lineRule="auto"/>
        <w:rPr>
          <w:sz w:val="20"/>
          <w:szCs w:val="20"/>
          <w:color w:val="auto"/>
        </w:rPr>
      </w:pPr>
      <w:r>
        <w:rPr>
          <w:rFonts w:ascii="Arial" w:cs="Arial" w:eastAsia="Arial" w:hAnsi="Arial"/>
          <w:sz w:val="64"/>
          <w:szCs w:val="64"/>
          <w:b w:val="1"/>
          <w:bCs w:val="1"/>
          <w:color w:val="092E44"/>
        </w:rPr>
        <w:t>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297180</wp:posOffset>
            </wp:positionV>
            <wp:extent cx="5655945" cy="15798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5945" cy="1579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0" w:right="200"/>
        <w:spacing w:after="0" w:line="279" w:lineRule="auto"/>
        <w:rPr>
          <w:sz w:val="20"/>
          <w:szCs w:val="20"/>
          <w:color w:val="auto"/>
        </w:rPr>
      </w:pPr>
      <w:r>
        <w:rPr>
          <w:rFonts w:ascii="Arial" w:cs="Arial" w:eastAsia="Arial" w:hAnsi="Arial"/>
          <w:sz w:val="16"/>
          <w:szCs w:val="16"/>
          <w:color w:val="092E44"/>
        </w:rPr>
        <w:t>Every year we give stockholders the opportunity to approve, on a non-binding, advisory basis, the compensation of our executive officers as set forth in the following “Compensation Discussion and Analysis.”</w:t>
      </w:r>
    </w:p>
    <w:p>
      <w:pPr>
        <w:spacing w:after="0" w:line="54" w:lineRule="exact"/>
        <w:rPr>
          <w:sz w:val="20"/>
          <w:szCs w:val="20"/>
          <w:color w:val="auto"/>
        </w:rPr>
      </w:pPr>
    </w:p>
    <w:p>
      <w:pPr>
        <w:ind w:left="160"/>
        <w:spacing w:after="0" w:line="251" w:lineRule="auto"/>
        <w:rPr>
          <w:sz w:val="20"/>
          <w:szCs w:val="20"/>
          <w:color w:val="auto"/>
        </w:rPr>
      </w:pPr>
      <w:r>
        <w:rPr>
          <w:rFonts w:ascii="Arial" w:cs="Arial" w:eastAsia="Arial" w:hAnsi="Arial"/>
          <w:sz w:val="16"/>
          <w:szCs w:val="16"/>
          <w:color w:val="092E44"/>
        </w:rPr>
        <w:t>Our executive compensation program is designed to attract, motivate, and reward talented executives who possess the skills required to formulate and drive our Company’s strategic direction and operational execution to achieve the results necessary to create stockholder value. Our compensation practices, which balance long-term and short-term awards, are structured to competitively pay for performance, to encourage decision-making aligned with the Company’s long-term interests, and to promote and support our business. We encourage you to read the Compensation Discussion and Analysis for complete details about our executive compensation program, including information about the fiscal year 2022 compensation of our named executive officers.</w:t>
      </w:r>
    </w:p>
    <w:p>
      <w:pPr>
        <w:spacing w:after="0" w:line="76" w:lineRule="exact"/>
        <w:rPr>
          <w:sz w:val="20"/>
          <w:szCs w:val="20"/>
          <w:color w:val="auto"/>
        </w:rPr>
      </w:pPr>
    </w:p>
    <w:p>
      <w:pPr>
        <w:jc w:val="both"/>
        <w:ind w:left="160" w:right="160"/>
        <w:spacing w:after="0" w:line="262" w:lineRule="auto"/>
        <w:rPr>
          <w:sz w:val="20"/>
          <w:szCs w:val="20"/>
          <w:color w:val="auto"/>
        </w:rPr>
      </w:pPr>
      <w:r>
        <w:rPr>
          <w:rFonts w:ascii="Arial" w:cs="Arial" w:eastAsia="Arial" w:hAnsi="Arial"/>
          <w:sz w:val="16"/>
          <w:szCs w:val="16"/>
          <w:color w:val="092E44"/>
        </w:rPr>
        <w:t>We are asking stockholders to indicate their support for our named executive officer compensation as described in this proxy statement. This proposal, commonly known as “say-on-pay,” is not intended to address any specific item of compensation, but rather the overall executive compensation program and the related philosophy, policies, and practices. We encourage you to vote FOR the following resolution:</w:t>
      </w:r>
    </w:p>
    <w:p>
      <w:pPr>
        <w:spacing w:after="0" w:line="66" w:lineRule="exact"/>
        <w:rPr>
          <w:sz w:val="20"/>
          <w:szCs w:val="20"/>
          <w:color w:val="auto"/>
        </w:rPr>
      </w:pPr>
    </w:p>
    <w:p>
      <w:pPr>
        <w:ind w:left="600" w:right="100"/>
        <w:spacing w:after="0" w:line="262" w:lineRule="auto"/>
        <w:rPr>
          <w:sz w:val="20"/>
          <w:szCs w:val="20"/>
          <w:color w:val="auto"/>
        </w:rPr>
      </w:pPr>
      <w:r>
        <w:rPr>
          <w:rFonts w:ascii="Arial" w:cs="Arial" w:eastAsia="Arial" w:hAnsi="Arial"/>
          <w:sz w:val="16"/>
          <w:szCs w:val="16"/>
          <w:color w:val="092E44"/>
        </w:rPr>
        <w:t>“RESOLVED, that the compensation paid to Commvault’s named executive officers, as disclosed pursuant to the compensation disclosure rules of the Securities and Exchange Commission, including the Compensation Discussion and Analysis, compensation tables, and any related material disclosed in Commvault’s proxy statement, is hereby APPROVED.”</w:t>
      </w:r>
    </w:p>
    <w:p>
      <w:pPr>
        <w:spacing w:after="0" w:line="66" w:lineRule="exact"/>
        <w:rPr>
          <w:sz w:val="20"/>
          <w:szCs w:val="20"/>
          <w:color w:val="auto"/>
        </w:rPr>
      </w:pPr>
    </w:p>
    <w:p>
      <w:pPr>
        <w:jc w:val="both"/>
        <w:ind w:left="160" w:right="180"/>
        <w:spacing w:after="0" w:line="262" w:lineRule="auto"/>
        <w:rPr>
          <w:sz w:val="20"/>
          <w:szCs w:val="20"/>
          <w:color w:val="auto"/>
        </w:rPr>
      </w:pPr>
      <w:r>
        <w:rPr>
          <w:rFonts w:ascii="Arial" w:cs="Arial" w:eastAsia="Arial" w:hAnsi="Arial"/>
          <w:sz w:val="16"/>
          <w:szCs w:val="16"/>
          <w:color w:val="092E44"/>
        </w:rPr>
        <w:t>The say-on-pay vote is advisory, and therefore not binding on our Company, the TMCC, or the Board of Directors. However, the Board of Directors and the TMCC value the opinions of our stockholders. If the voting results indicate there is any significant concern about our executive officer compensation program, we will consider those concerns and evaluate whether any actions are necessary to address them.</w:t>
      </w:r>
    </w:p>
    <w:p>
      <w:pPr>
        <w:spacing w:after="0" w:line="66" w:lineRule="exact"/>
        <w:rPr>
          <w:sz w:val="20"/>
          <w:szCs w:val="20"/>
          <w:color w:val="auto"/>
        </w:rPr>
      </w:pPr>
    </w:p>
    <w:p>
      <w:pPr>
        <w:ind w:left="160" w:right="140"/>
        <w:spacing w:after="0" w:line="262" w:lineRule="auto"/>
        <w:rPr>
          <w:sz w:val="20"/>
          <w:szCs w:val="20"/>
          <w:color w:val="auto"/>
        </w:rPr>
      </w:pPr>
      <w:r>
        <w:rPr>
          <w:rFonts w:ascii="Arial" w:cs="Arial" w:eastAsia="Arial" w:hAnsi="Arial"/>
          <w:sz w:val="16"/>
          <w:szCs w:val="16"/>
          <w:color w:val="092E44"/>
        </w:rPr>
        <w:t>Because this is a non-binding, advisory vote, there is no specific approval requirement. However, the Board of Directors will consider that the stockholders have approved executive compensation on an advisory basis if this proposal receives the affirmative vote of a majority of the votes cast (in person or by proxy).</w:t>
      </w:r>
    </w:p>
    <w:p>
      <w:pPr>
        <w:spacing w:after="0" w:line="270" w:lineRule="exact"/>
        <w:rPr>
          <w:sz w:val="20"/>
          <w:szCs w:val="20"/>
          <w:color w:val="auto"/>
        </w:rPr>
      </w:pPr>
    </w:p>
    <w:p>
      <w:pPr>
        <w:ind w:left="160" w:right="860"/>
        <w:spacing w:after="0" w:line="292" w:lineRule="auto"/>
        <w:rPr>
          <w:sz w:val="20"/>
          <w:szCs w:val="20"/>
          <w:color w:val="auto"/>
        </w:rPr>
      </w:pPr>
      <w:r>
        <w:rPr>
          <w:rFonts w:ascii="Arial" w:cs="Arial" w:eastAsia="Arial" w:hAnsi="Arial"/>
          <w:sz w:val="25"/>
          <w:szCs w:val="25"/>
          <w:b w:val="1"/>
          <w:bCs w:val="1"/>
          <w:color w:val="E14A6A"/>
        </w:rPr>
        <w:t>The Board of Directors recommends that you vote FOR the approval of Commvault’s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191135</wp:posOffset>
            </wp:positionV>
            <wp:extent cx="220980" cy="2120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388"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29</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60"/>
          </w:cols>
          <w:pgMar w:left="320" w:top="454" w:right="5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6929755" cy="1961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29755" cy="196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60" w:right="4660"/>
        <w:spacing w:after="0" w:line="287" w:lineRule="auto"/>
        <w:rPr>
          <w:sz w:val="20"/>
          <w:szCs w:val="20"/>
          <w:color w:val="auto"/>
        </w:rPr>
      </w:pPr>
      <w:r>
        <w:rPr>
          <w:rFonts w:ascii="Arial" w:cs="Arial" w:eastAsia="Arial" w:hAnsi="Arial"/>
          <w:sz w:val="89"/>
          <w:szCs w:val="89"/>
          <w:b w:val="1"/>
          <w:bCs w:val="1"/>
          <w:color w:val="FCFCFC"/>
        </w:rPr>
        <w:t>Executive Compensation</w:t>
      </w:r>
    </w:p>
    <w:p>
      <w:pPr>
        <w:spacing w:after="0" w:line="200" w:lineRule="exact"/>
        <w:rPr>
          <w:sz w:val="20"/>
          <w:szCs w:val="20"/>
          <w:color w:val="auto"/>
        </w:rPr>
      </w:pPr>
    </w:p>
    <w:p>
      <w:pPr>
        <w:spacing w:after="0" w:line="206" w:lineRule="exact"/>
        <w:rPr>
          <w:sz w:val="20"/>
          <w:szCs w:val="20"/>
          <w:color w:val="auto"/>
        </w:rPr>
      </w:pPr>
    </w:p>
    <w:p>
      <w:pPr>
        <w:ind w:left="160"/>
        <w:spacing w:after="0"/>
        <w:rPr>
          <w:sz w:val="20"/>
          <w:szCs w:val="20"/>
          <w:color w:val="auto"/>
        </w:rPr>
      </w:pPr>
      <w:r>
        <w:rPr>
          <w:rFonts w:ascii="Arial" w:cs="Arial" w:eastAsia="Arial" w:hAnsi="Arial"/>
          <w:sz w:val="46"/>
          <w:szCs w:val="46"/>
          <w:color w:val="092E44"/>
        </w:rPr>
        <w:t>Compensation Discussion and Analysis</w:t>
      </w:r>
    </w:p>
    <w:p>
      <w:pPr>
        <w:spacing w:after="0" w:line="243" w:lineRule="exact"/>
        <w:rPr>
          <w:sz w:val="20"/>
          <w:szCs w:val="20"/>
          <w:color w:val="auto"/>
        </w:rPr>
      </w:pPr>
    </w:p>
    <w:p>
      <w:pPr>
        <w:ind w:left="160" w:right="220"/>
        <w:spacing w:after="0" w:line="279" w:lineRule="auto"/>
        <w:rPr>
          <w:sz w:val="20"/>
          <w:szCs w:val="20"/>
          <w:color w:val="auto"/>
        </w:rPr>
      </w:pPr>
      <w:r>
        <w:rPr>
          <w:rFonts w:ascii="Arial" w:cs="Arial" w:eastAsia="Arial" w:hAnsi="Arial"/>
          <w:sz w:val="16"/>
          <w:szCs w:val="16"/>
          <w:color w:val="092E44"/>
        </w:rPr>
        <w:t>This section discusses the compensation of the following individuals, who served as executive officers during the fiscal year ended on March 31, 2022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128270</wp:posOffset>
            </wp:positionV>
            <wp:extent cx="4254500" cy="17919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254500" cy="179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60"/>
        <w:spacing w:after="0"/>
        <w:rPr>
          <w:sz w:val="20"/>
          <w:szCs w:val="20"/>
          <w:color w:val="auto"/>
        </w:rPr>
      </w:pPr>
      <w:r>
        <w:rPr>
          <w:rFonts w:ascii="Arial" w:cs="Arial" w:eastAsia="Arial" w:hAnsi="Arial"/>
          <w:sz w:val="18"/>
          <w:szCs w:val="18"/>
          <w:color w:val="E14A6A"/>
        </w:rPr>
        <w:t>Table of Contents</w:t>
      </w:r>
    </w:p>
    <w:p>
      <w:pPr>
        <w:spacing w:after="0" w:line="123"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2820" w:type="dxa"/>
            <w:vAlign w:val="bottom"/>
            <w:tcBorders>
              <w:bottom w:val="single" w:sz="8" w:color="0000EE"/>
            </w:tcBorders>
            <w:gridSpan w:val="9"/>
          </w:tcPr>
          <w:p>
            <w:pPr>
              <w:spacing w:after="0"/>
              <w:rPr>
                <w:sz w:val="20"/>
                <w:szCs w:val="20"/>
                <w:color w:val="auto"/>
              </w:rPr>
            </w:pPr>
            <w:r>
              <w:rPr>
                <w:rFonts w:ascii="Arial" w:cs="Arial" w:eastAsia="Arial" w:hAnsi="Arial"/>
                <w:sz w:val="16"/>
                <w:szCs w:val="16"/>
                <w:color w:val="0000EE"/>
                <w:w w:val="99"/>
              </w:rPr>
              <w:t>Compensation Discussion and Analysis</w:t>
            </w:r>
          </w:p>
        </w:tc>
        <w:tc>
          <w:tcPr>
            <w:tcW w:w="2400" w:type="dxa"/>
            <w:vAlign w:val="bottom"/>
            <w:gridSpan w:val="5"/>
          </w:tcPr>
          <w:p>
            <w:pPr>
              <w:spacing w:after="0"/>
              <w:rPr>
                <w:sz w:val="16"/>
                <w:szCs w:val="16"/>
                <w:color w:val="auto"/>
              </w:rPr>
            </w:pPr>
          </w:p>
        </w:tc>
        <w:tc>
          <w:tcPr>
            <w:tcW w:w="5640" w:type="dxa"/>
            <w:vAlign w:val="bottom"/>
          </w:tcPr>
          <w:p>
            <w:pPr>
              <w:jc w:val="right"/>
              <w:spacing w:after="0"/>
              <w:rPr>
                <w:sz w:val="20"/>
                <w:szCs w:val="20"/>
                <w:color w:val="auto"/>
              </w:rPr>
            </w:pPr>
            <w:r>
              <w:rPr>
                <w:rFonts w:ascii="Arial" w:cs="Arial" w:eastAsia="Arial" w:hAnsi="Arial"/>
                <w:sz w:val="16"/>
                <w:szCs w:val="16"/>
                <w:color w:val="092E44"/>
              </w:rPr>
              <w:t>30</w:t>
            </w:r>
          </w:p>
        </w:tc>
      </w:tr>
      <w:tr>
        <w:trPr>
          <w:trHeight w:val="301"/>
        </w:trPr>
        <w:tc>
          <w:tcPr>
            <w:tcW w:w="144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9"/>
              </w:rPr>
              <w:t>Executive Summary</w:t>
            </w:r>
          </w:p>
        </w:tc>
        <w:tc>
          <w:tcPr>
            <w:tcW w:w="3780" w:type="dxa"/>
            <w:vAlign w:val="bottom"/>
            <w:gridSpan w:val="10"/>
          </w:tcPr>
          <w:p>
            <w:pPr>
              <w:spacing w:after="0"/>
              <w:rPr>
                <w:sz w:val="24"/>
                <w:szCs w:val="24"/>
                <w:color w:val="auto"/>
              </w:rPr>
            </w:pPr>
          </w:p>
        </w:tc>
        <w:tc>
          <w:tcPr>
            <w:tcW w:w="5640" w:type="dxa"/>
            <w:vAlign w:val="bottom"/>
          </w:tcPr>
          <w:p>
            <w:pPr>
              <w:jc w:val="right"/>
              <w:spacing w:after="0"/>
              <w:rPr>
                <w:sz w:val="20"/>
                <w:szCs w:val="20"/>
                <w:color w:val="auto"/>
              </w:rPr>
            </w:pPr>
            <w:r>
              <w:rPr>
                <w:rFonts w:ascii="Arial" w:cs="Arial" w:eastAsia="Arial" w:hAnsi="Arial"/>
                <w:sz w:val="16"/>
                <w:szCs w:val="16"/>
                <w:color w:val="092E44"/>
              </w:rPr>
              <w:t>31</w:t>
            </w:r>
          </w:p>
        </w:tc>
      </w:tr>
      <w:tr>
        <w:trPr>
          <w:trHeight w:val="301"/>
        </w:trPr>
        <w:tc>
          <w:tcPr>
            <w:tcW w:w="156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w w:val="98"/>
              </w:rPr>
              <w:t>Compensation Tables</w:t>
            </w:r>
          </w:p>
        </w:tc>
        <w:tc>
          <w:tcPr>
            <w:tcW w:w="3660" w:type="dxa"/>
            <w:vAlign w:val="bottom"/>
            <w:gridSpan w:val="9"/>
          </w:tcPr>
          <w:p>
            <w:pPr>
              <w:spacing w:after="0"/>
              <w:rPr>
                <w:sz w:val="24"/>
                <w:szCs w:val="24"/>
                <w:color w:val="auto"/>
              </w:rPr>
            </w:pPr>
          </w:p>
        </w:tc>
        <w:tc>
          <w:tcPr>
            <w:tcW w:w="5640" w:type="dxa"/>
            <w:vAlign w:val="bottom"/>
          </w:tcPr>
          <w:p>
            <w:pPr>
              <w:jc w:val="right"/>
              <w:spacing w:after="0"/>
              <w:rPr>
                <w:sz w:val="20"/>
                <w:szCs w:val="20"/>
                <w:color w:val="auto"/>
              </w:rPr>
            </w:pPr>
            <w:r>
              <w:rPr>
                <w:rFonts w:ascii="Arial" w:cs="Arial" w:eastAsia="Arial" w:hAnsi="Arial"/>
                <w:sz w:val="16"/>
                <w:szCs w:val="16"/>
                <w:color w:val="092E44"/>
              </w:rPr>
              <w:t>41</w:t>
            </w:r>
          </w:p>
        </w:tc>
      </w:tr>
      <w:tr>
        <w:trPr>
          <w:trHeight w:val="301"/>
        </w:trPr>
        <w:tc>
          <w:tcPr>
            <w:tcW w:w="220" w:type="dxa"/>
            <w:vAlign w:val="bottom"/>
          </w:tcPr>
          <w:p>
            <w:pPr>
              <w:spacing w:after="0"/>
              <w:rPr>
                <w:sz w:val="24"/>
                <w:szCs w:val="24"/>
                <w:color w:val="auto"/>
              </w:rPr>
            </w:pPr>
          </w:p>
        </w:tc>
        <w:tc>
          <w:tcPr>
            <w:tcW w:w="84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rPr>
              <w:t>Fiscal 2022</w:t>
            </w:r>
          </w:p>
        </w:tc>
        <w:tc>
          <w:tcPr>
            <w:tcW w:w="2240" w:type="dxa"/>
            <w:vAlign w:val="bottom"/>
            <w:tcBorders>
              <w:bottom w:val="single" w:sz="8" w:color="0000EE"/>
            </w:tcBorders>
            <w:gridSpan w:val="9"/>
          </w:tcPr>
          <w:p>
            <w:pPr>
              <w:ind w:left="20"/>
              <w:spacing w:after="0"/>
              <w:rPr>
                <w:sz w:val="20"/>
                <w:szCs w:val="20"/>
                <w:color w:val="auto"/>
              </w:rPr>
            </w:pPr>
            <w:r>
              <w:rPr>
                <w:rFonts w:ascii="Arial" w:cs="Arial" w:eastAsia="Arial" w:hAnsi="Arial"/>
                <w:sz w:val="16"/>
                <w:szCs w:val="16"/>
                <w:color w:val="0000EE"/>
                <w:w w:val="99"/>
              </w:rPr>
              <w:t>Summary Compensation Table</w:t>
            </w:r>
          </w:p>
        </w:tc>
        <w:tc>
          <w:tcPr>
            <w:tcW w:w="1920" w:type="dxa"/>
            <w:vAlign w:val="bottom"/>
            <w:gridSpan w:val="3"/>
          </w:tcPr>
          <w:p>
            <w:pPr>
              <w:spacing w:after="0"/>
              <w:rPr>
                <w:sz w:val="24"/>
                <w:szCs w:val="24"/>
                <w:color w:val="auto"/>
              </w:rPr>
            </w:pPr>
          </w:p>
        </w:tc>
        <w:tc>
          <w:tcPr>
            <w:tcW w:w="5640" w:type="dxa"/>
            <w:vAlign w:val="bottom"/>
          </w:tcPr>
          <w:p>
            <w:pPr>
              <w:jc w:val="right"/>
              <w:spacing w:after="0"/>
              <w:rPr>
                <w:sz w:val="20"/>
                <w:szCs w:val="20"/>
                <w:color w:val="auto"/>
              </w:rPr>
            </w:pPr>
            <w:r>
              <w:rPr>
                <w:rFonts w:ascii="Arial" w:cs="Arial" w:eastAsia="Arial" w:hAnsi="Arial"/>
                <w:sz w:val="16"/>
                <w:szCs w:val="16"/>
                <w:color w:val="092E44"/>
              </w:rPr>
              <w:t>41</w:t>
            </w:r>
          </w:p>
        </w:tc>
      </w:tr>
      <w:tr>
        <w:trPr>
          <w:trHeight w:val="301"/>
        </w:trPr>
        <w:tc>
          <w:tcPr>
            <w:tcW w:w="220" w:type="dxa"/>
            <w:vAlign w:val="bottom"/>
          </w:tcPr>
          <w:p>
            <w:pPr>
              <w:spacing w:after="0"/>
              <w:rPr>
                <w:sz w:val="24"/>
                <w:szCs w:val="24"/>
                <w:color w:val="auto"/>
              </w:rPr>
            </w:pPr>
          </w:p>
        </w:tc>
        <w:tc>
          <w:tcPr>
            <w:tcW w:w="84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rPr>
              <w:t>Fiscal 2022</w:t>
            </w:r>
          </w:p>
        </w:tc>
        <w:tc>
          <w:tcPr>
            <w:tcW w:w="2560" w:type="dxa"/>
            <w:vAlign w:val="bottom"/>
            <w:tcBorders>
              <w:bottom w:val="single" w:sz="8" w:color="0000EE"/>
            </w:tcBorders>
            <w:gridSpan w:val="10"/>
          </w:tcPr>
          <w:p>
            <w:pPr>
              <w:ind w:left="20"/>
              <w:spacing w:after="0"/>
              <w:rPr>
                <w:sz w:val="20"/>
                <w:szCs w:val="20"/>
                <w:color w:val="auto"/>
              </w:rPr>
            </w:pPr>
            <w:r>
              <w:rPr>
                <w:rFonts w:ascii="Arial" w:cs="Arial" w:eastAsia="Arial" w:hAnsi="Arial"/>
                <w:sz w:val="16"/>
                <w:szCs w:val="16"/>
                <w:color w:val="0000EE"/>
                <w:w w:val="99"/>
              </w:rPr>
              <w:t>Grants of Plan Based Awards Table</w:t>
            </w:r>
          </w:p>
        </w:tc>
        <w:tc>
          <w:tcPr>
            <w:tcW w:w="1600" w:type="dxa"/>
            <w:vAlign w:val="bottom"/>
            <w:gridSpan w:val="2"/>
          </w:tcPr>
          <w:p>
            <w:pPr>
              <w:spacing w:after="0"/>
              <w:rPr>
                <w:sz w:val="24"/>
                <w:szCs w:val="24"/>
                <w:color w:val="auto"/>
              </w:rPr>
            </w:pPr>
          </w:p>
        </w:tc>
        <w:tc>
          <w:tcPr>
            <w:tcW w:w="5640" w:type="dxa"/>
            <w:vAlign w:val="bottom"/>
          </w:tcPr>
          <w:p>
            <w:pPr>
              <w:jc w:val="right"/>
              <w:spacing w:after="0"/>
              <w:rPr>
                <w:sz w:val="20"/>
                <w:szCs w:val="20"/>
                <w:color w:val="auto"/>
              </w:rPr>
            </w:pPr>
            <w:r>
              <w:rPr>
                <w:rFonts w:ascii="Arial" w:cs="Arial" w:eastAsia="Arial" w:hAnsi="Arial"/>
                <w:sz w:val="16"/>
                <w:szCs w:val="16"/>
                <w:color w:val="092E44"/>
              </w:rPr>
              <w:t>42</w:t>
            </w:r>
          </w:p>
        </w:tc>
      </w:tr>
      <w:tr>
        <w:trPr>
          <w:trHeight w:val="301"/>
        </w:trPr>
        <w:tc>
          <w:tcPr>
            <w:tcW w:w="22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6"/>
                <w:szCs w:val="16"/>
                <w:color w:val="0000EE"/>
              </w:rPr>
              <w:t>Fiscal 2022</w:t>
            </w:r>
          </w:p>
        </w:tc>
        <w:tc>
          <w:tcPr>
            <w:tcW w:w="4160" w:type="dxa"/>
            <w:vAlign w:val="bottom"/>
            <w:gridSpan w:val="12"/>
          </w:tcPr>
          <w:p>
            <w:pPr>
              <w:ind w:left="20"/>
              <w:spacing w:after="0"/>
              <w:rPr>
                <w:sz w:val="20"/>
                <w:szCs w:val="20"/>
                <w:color w:val="auto"/>
              </w:rPr>
            </w:pPr>
            <w:r>
              <w:rPr>
                <w:rFonts w:ascii="Arial" w:cs="Arial" w:eastAsia="Arial" w:hAnsi="Arial"/>
                <w:sz w:val="16"/>
                <w:szCs w:val="16"/>
                <w:color w:val="0000EE"/>
              </w:rPr>
              <w:t>Outstanding Equity Awards at Fiscal Year End Table</w:t>
            </w:r>
          </w:p>
        </w:tc>
        <w:tc>
          <w:tcPr>
            <w:tcW w:w="5640" w:type="dxa"/>
            <w:vAlign w:val="bottom"/>
          </w:tcPr>
          <w:p>
            <w:pPr>
              <w:jc w:val="right"/>
              <w:spacing w:after="0"/>
              <w:rPr>
                <w:sz w:val="20"/>
                <w:szCs w:val="20"/>
                <w:color w:val="auto"/>
              </w:rPr>
            </w:pPr>
            <w:r>
              <w:rPr>
                <w:rFonts w:ascii="Arial" w:cs="Arial" w:eastAsia="Arial" w:hAnsi="Arial"/>
                <w:sz w:val="16"/>
                <w:szCs w:val="16"/>
                <w:color w:val="092E44"/>
              </w:rPr>
              <w:t>43</w:t>
            </w:r>
          </w:p>
        </w:tc>
      </w:tr>
      <w:tr>
        <w:trPr>
          <w:trHeight w:val="301"/>
        </w:trPr>
        <w:tc>
          <w:tcPr>
            <w:tcW w:w="220" w:type="dxa"/>
            <w:vAlign w:val="bottom"/>
          </w:tcPr>
          <w:p>
            <w:pPr>
              <w:spacing w:after="0"/>
              <w:rPr>
                <w:sz w:val="24"/>
                <w:szCs w:val="24"/>
                <w:color w:val="auto"/>
              </w:rPr>
            </w:pPr>
          </w:p>
        </w:tc>
        <w:tc>
          <w:tcPr>
            <w:tcW w:w="84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6"/>
                <w:szCs w:val="16"/>
                <w:color w:val="0000EE"/>
              </w:rPr>
              <w:t>Fiscal 2022</w:t>
            </w:r>
          </w:p>
        </w:tc>
        <w:tc>
          <w:tcPr>
            <w:tcW w:w="1400" w:type="dxa"/>
            <w:vAlign w:val="bottom"/>
            <w:tcBorders>
              <w:top w:val="single" w:sz="8" w:color="0000EE"/>
              <w:bottom w:val="single" w:sz="8" w:color="0000EE"/>
            </w:tcBorders>
            <w:gridSpan w:val="6"/>
          </w:tcPr>
          <w:p>
            <w:pPr>
              <w:ind w:left="20"/>
              <w:spacing w:after="0"/>
              <w:rPr>
                <w:sz w:val="20"/>
                <w:szCs w:val="20"/>
                <w:color w:val="auto"/>
              </w:rPr>
            </w:pPr>
            <w:r>
              <w:rPr>
                <w:rFonts w:ascii="Arial" w:cs="Arial" w:eastAsia="Arial" w:hAnsi="Arial"/>
                <w:sz w:val="16"/>
                <w:szCs w:val="16"/>
                <w:color w:val="0000EE"/>
                <w:w w:val="97"/>
              </w:rPr>
              <w:t>Stock Vested Table</w:t>
            </w:r>
          </w:p>
        </w:tc>
        <w:tc>
          <w:tcPr>
            <w:tcW w:w="2320" w:type="dxa"/>
            <w:vAlign w:val="bottom"/>
            <w:tcBorders>
              <w:top w:val="single" w:sz="8" w:color="0000EE"/>
            </w:tcBorders>
            <w:gridSpan w:val="5"/>
          </w:tcPr>
          <w:p>
            <w:pPr>
              <w:spacing w:after="0"/>
              <w:rPr>
                <w:sz w:val="24"/>
                <w:szCs w:val="24"/>
                <w:color w:val="auto"/>
              </w:rPr>
            </w:pPr>
          </w:p>
        </w:tc>
        <w:tc>
          <w:tcPr>
            <w:tcW w:w="440" w:type="dxa"/>
            <w:vAlign w:val="bottom"/>
          </w:tcPr>
          <w:p>
            <w:pPr>
              <w:spacing w:after="0"/>
              <w:rPr>
                <w:sz w:val="24"/>
                <w:szCs w:val="24"/>
                <w:color w:val="auto"/>
              </w:rPr>
            </w:pPr>
          </w:p>
        </w:tc>
        <w:tc>
          <w:tcPr>
            <w:tcW w:w="5640" w:type="dxa"/>
            <w:vAlign w:val="bottom"/>
          </w:tcPr>
          <w:p>
            <w:pPr>
              <w:jc w:val="right"/>
              <w:spacing w:after="0"/>
              <w:rPr>
                <w:sz w:val="20"/>
                <w:szCs w:val="20"/>
                <w:color w:val="auto"/>
              </w:rPr>
            </w:pPr>
            <w:r>
              <w:rPr>
                <w:rFonts w:ascii="Arial" w:cs="Arial" w:eastAsia="Arial" w:hAnsi="Arial"/>
                <w:sz w:val="16"/>
                <w:szCs w:val="16"/>
                <w:color w:val="092E44"/>
              </w:rPr>
              <w:t>44</w:t>
            </w:r>
          </w:p>
        </w:tc>
      </w:tr>
      <w:tr>
        <w:trPr>
          <w:trHeight w:val="301"/>
        </w:trPr>
        <w:tc>
          <w:tcPr>
            <w:tcW w:w="328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color w:val="0000EE"/>
              </w:rPr>
              <w:t>Pension Benefits and Deferred Compensation</w:t>
            </w:r>
          </w:p>
        </w:tc>
        <w:tc>
          <w:tcPr>
            <w:tcW w:w="1940" w:type="dxa"/>
            <w:vAlign w:val="bottom"/>
            <w:gridSpan w:val="4"/>
          </w:tcPr>
          <w:p>
            <w:pPr>
              <w:spacing w:after="0"/>
              <w:rPr>
                <w:sz w:val="24"/>
                <w:szCs w:val="24"/>
                <w:color w:val="auto"/>
              </w:rPr>
            </w:pPr>
          </w:p>
        </w:tc>
        <w:tc>
          <w:tcPr>
            <w:tcW w:w="5640" w:type="dxa"/>
            <w:vAlign w:val="bottom"/>
          </w:tcPr>
          <w:p>
            <w:pPr>
              <w:jc w:val="right"/>
              <w:spacing w:after="0"/>
              <w:rPr>
                <w:sz w:val="20"/>
                <w:szCs w:val="20"/>
                <w:color w:val="auto"/>
              </w:rPr>
            </w:pPr>
            <w:r>
              <w:rPr>
                <w:rFonts w:ascii="Arial" w:cs="Arial" w:eastAsia="Arial" w:hAnsi="Arial"/>
                <w:sz w:val="16"/>
                <w:szCs w:val="16"/>
                <w:color w:val="092E44"/>
              </w:rPr>
              <w:t>44</w:t>
            </w:r>
          </w:p>
        </w:tc>
      </w:tr>
      <w:tr>
        <w:trPr>
          <w:trHeight w:val="301"/>
        </w:trPr>
        <w:tc>
          <w:tcPr>
            <w:tcW w:w="5220" w:type="dxa"/>
            <w:vAlign w:val="bottom"/>
            <w:gridSpan w:val="14"/>
          </w:tcPr>
          <w:p>
            <w:pPr>
              <w:spacing w:after="0"/>
              <w:rPr>
                <w:sz w:val="20"/>
                <w:szCs w:val="20"/>
                <w:color w:val="auto"/>
              </w:rPr>
            </w:pPr>
            <w:r>
              <w:rPr>
                <w:rFonts w:ascii="Arial" w:cs="Arial" w:eastAsia="Arial" w:hAnsi="Arial"/>
                <w:sz w:val="16"/>
                <w:szCs w:val="16"/>
                <w:color w:val="0000EE"/>
              </w:rPr>
              <w:t>Employment Agreements</w:t>
            </w:r>
          </w:p>
        </w:tc>
        <w:tc>
          <w:tcPr>
            <w:tcW w:w="5640" w:type="dxa"/>
            <w:vAlign w:val="bottom"/>
          </w:tcPr>
          <w:p>
            <w:pPr>
              <w:jc w:val="right"/>
              <w:spacing w:after="0"/>
              <w:rPr>
                <w:sz w:val="20"/>
                <w:szCs w:val="20"/>
                <w:color w:val="auto"/>
              </w:rPr>
            </w:pPr>
            <w:r>
              <w:rPr>
                <w:rFonts w:ascii="Arial" w:cs="Arial" w:eastAsia="Arial" w:hAnsi="Arial"/>
                <w:sz w:val="16"/>
                <w:szCs w:val="16"/>
                <w:color w:val="092E44"/>
              </w:rPr>
              <w:t>44</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301"/>
        </w:trPr>
        <w:tc>
          <w:tcPr>
            <w:tcW w:w="222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rPr>
              <w:t>Change in Control Agreements</w:t>
            </w:r>
          </w:p>
        </w:tc>
        <w:tc>
          <w:tcPr>
            <w:tcW w:w="3000" w:type="dxa"/>
            <w:vAlign w:val="bottom"/>
            <w:gridSpan w:val="7"/>
          </w:tcPr>
          <w:p>
            <w:pPr>
              <w:spacing w:after="0"/>
              <w:rPr>
                <w:sz w:val="24"/>
                <w:szCs w:val="24"/>
                <w:color w:val="auto"/>
              </w:rPr>
            </w:pPr>
          </w:p>
        </w:tc>
        <w:tc>
          <w:tcPr>
            <w:tcW w:w="5640" w:type="dxa"/>
            <w:vAlign w:val="bottom"/>
          </w:tcPr>
          <w:p>
            <w:pPr>
              <w:jc w:val="right"/>
              <w:spacing w:after="0"/>
              <w:rPr>
                <w:sz w:val="20"/>
                <w:szCs w:val="20"/>
                <w:color w:val="auto"/>
              </w:rPr>
            </w:pPr>
            <w:r>
              <w:rPr>
                <w:rFonts w:ascii="Arial" w:cs="Arial" w:eastAsia="Arial" w:hAnsi="Arial"/>
                <w:sz w:val="16"/>
                <w:szCs w:val="16"/>
                <w:color w:val="092E44"/>
              </w:rPr>
              <w:t>45</w:t>
            </w:r>
          </w:p>
        </w:tc>
      </w:tr>
      <w:tr>
        <w:trPr>
          <w:trHeight w:val="301"/>
        </w:trPr>
        <w:tc>
          <w:tcPr>
            <w:tcW w:w="5220" w:type="dxa"/>
            <w:vAlign w:val="bottom"/>
            <w:tcBorders>
              <w:bottom w:val="single" w:sz="8" w:color="0000EE"/>
            </w:tcBorders>
            <w:gridSpan w:val="14"/>
          </w:tcPr>
          <w:p>
            <w:pPr>
              <w:spacing w:after="0"/>
              <w:rPr>
                <w:sz w:val="20"/>
                <w:szCs w:val="20"/>
                <w:color w:val="auto"/>
              </w:rPr>
            </w:pPr>
            <w:r>
              <w:rPr>
                <w:rFonts w:ascii="Arial" w:cs="Arial" w:eastAsia="Arial" w:hAnsi="Arial"/>
                <w:sz w:val="16"/>
                <w:szCs w:val="16"/>
                <w:color w:val="0000EE"/>
                <w:w w:val="99"/>
              </w:rPr>
              <w:t>Estimated Payments and Benefits upon Termination or Change in Control</w:t>
            </w:r>
          </w:p>
        </w:tc>
        <w:tc>
          <w:tcPr>
            <w:tcW w:w="5640" w:type="dxa"/>
            <w:vAlign w:val="bottom"/>
          </w:tcPr>
          <w:p>
            <w:pPr>
              <w:jc w:val="right"/>
              <w:spacing w:after="0"/>
              <w:rPr>
                <w:sz w:val="20"/>
                <w:szCs w:val="20"/>
                <w:color w:val="auto"/>
              </w:rPr>
            </w:pPr>
            <w:r>
              <w:rPr>
                <w:rFonts w:ascii="Arial" w:cs="Arial" w:eastAsia="Arial" w:hAnsi="Arial"/>
                <w:sz w:val="16"/>
                <w:szCs w:val="16"/>
                <w:color w:val="092E44"/>
              </w:rPr>
              <w:t>46</w:t>
            </w:r>
          </w:p>
        </w:tc>
      </w:tr>
      <w:tr>
        <w:trPr>
          <w:trHeight w:val="301"/>
        </w:trPr>
        <w:tc>
          <w:tcPr>
            <w:tcW w:w="110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99"/>
              </w:rPr>
              <w:t>CEO Pay Ratio</w:t>
            </w:r>
          </w:p>
        </w:tc>
        <w:tc>
          <w:tcPr>
            <w:tcW w:w="4120" w:type="dxa"/>
            <w:vAlign w:val="bottom"/>
            <w:gridSpan w:val="11"/>
          </w:tcPr>
          <w:p>
            <w:pPr>
              <w:spacing w:after="0"/>
              <w:rPr>
                <w:sz w:val="24"/>
                <w:szCs w:val="24"/>
                <w:color w:val="auto"/>
              </w:rPr>
            </w:pPr>
          </w:p>
        </w:tc>
        <w:tc>
          <w:tcPr>
            <w:tcW w:w="5640" w:type="dxa"/>
            <w:vAlign w:val="bottom"/>
          </w:tcPr>
          <w:p>
            <w:pPr>
              <w:jc w:val="right"/>
              <w:spacing w:after="0"/>
              <w:rPr>
                <w:sz w:val="20"/>
                <w:szCs w:val="20"/>
                <w:color w:val="auto"/>
              </w:rPr>
            </w:pPr>
            <w:r>
              <w:rPr>
                <w:rFonts w:ascii="Arial" w:cs="Arial" w:eastAsia="Arial" w:hAnsi="Arial"/>
                <w:sz w:val="16"/>
                <w:szCs w:val="16"/>
                <w:color w:val="092E44"/>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297180</wp:posOffset>
            </wp:positionV>
            <wp:extent cx="220980" cy="2120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ectPr>
          <w:pgSz w:w="11900" w:h="16838" w:orient="portrait"/>
          <w:cols w:equalWidth="0" w:num="1">
            <w:col w:w="11020"/>
          </w:cols>
          <w:pgMar w:left="320" w:top="454" w:right="55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0"/>
          <w:szCs w:val="10"/>
          <w:color w:val="092E44"/>
        </w:rPr>
        <w:t>30</w:t>
      </w:r>
      <w:r>
        <w:rPr>
          <w:sz w:val="20"/>
          <w:szCs w:val="20"/>
          <w:color w:val="auto"/>
        </w:rPr>
        <w:tab/>
      </w:r>
      <w:r>
        <w:rPr>
          <w:rFonts w:ascii="Arial" w:cs="Arial" w:eastAsia="Arial" w:hAnsi="Arial"/>
          <w:sz w:val="10"/>
          <w:szCs w:val="10"/>
          <w:b w:val="1"/>
          <w:bCs w:val="1"/>
          <w:color w:val="092E44"/>
        </w:rPr>
        <w:t xml:space="preserve">COMMVAULT SYSTEMS, INC. </w:t>
      </w:r>
      <w:r>
        <w:rPr>
          <w:rFonts w:ascii="Arial" w:cs="Arial" w:eastAsia="Arial" w:hAnsi="Arial"/>
          <w:sz w:val="10"/>
          <w:szCs w:val="10"/>
          <w:color w:val="E14A6A"/>
        </w:rPr>
        <w:t>|</w:t>
      </w:r>
      <w:r>
        <w:rPr>
          <w:rFonts w:ascii="Arial" w:cs="Arial" w:eastAsia="Arial" w:hAnsi="Arial"/>
          <w:sz w:val="10"/>
          <w:szCs w:val="10"/>
          <w:b w:val="1"/>
          <w:bCs w:val="1"/>
          <w:color w:val="092E44"/>
        </w:rPr>
        <w:t xml:space="preserve"> </w:t>
      </w:r>
      <w:r>
        <w:rPr>
          <w:rFonts w:ascii="Arial" w:cs="Arial" w:eastAsia="Arial" w:hAnsi="Arial"/>
          <w:sz w:val="10"/>
          <w:szCs w:val="10"/>
          <w:color w:val="092E44"/>
        </w:rPr>
        <w:t>2022 PROXY STATEMENT</w:t>
      </w:r>
    </w:p>
    <w:p>
      <w:pPr>
        <w:sectPr>
          <w:pgSz w:w="11900" w:h="16838" w:orient="portrait"/>
          <w:cols w:equalWidth="0" w:num="1">
            <w:col w:w="11020"/>
          </w:cols>
          <w:pgMar w:left="320" w:top="454" w:right="5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297180</wp:posOffset>
            </wp:positionV>
            <wp:extent cx="6929755" cy="169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29755" cy="1695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240"/>
        <w:spacing w:after="0"/>
        <w:rPr>
          <w:sz w:val="20"/>
          <w:szCs w:val="20"/>
          <w:color w:val="auto"/>
        </w:rPr>
      </w:pPr>
      <w:r>
        <w:rPr>
          <w:rFonts w:ascii="Arial" w:cs="Arial" w:eastAsia="Arial" w:hAnsi="Arial"/>
          <w:sz w:val="11"/>
          <w:szCs w:val="11"/>
          <w:color w:val="092E44"/>
        </w:rPr>
        <w:t xml:space="preserve">CD&amp;A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EXECUTIVE SUMMARY</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46"/>
          <w:szCs w:val="46"/>
          <w:color w:val="E14A6A"/>
        </w:rPr>
        <w:t>Executive Summary</w:t>
      </w:r>
    </w:p>
    <w:p>
      <w:pPr>
        <w:spacing w:after="0" w:line="243" w:lineRule="exact"/>
        <w:rPr>
          <w:sz w:val="20"/>
          <w:szCs w:val="20"/>
          <w:color w:val="auto"/>
        </w:rPr>
      </w:pPr>
    </w:p>
    <w:p>
      <w:pPr>
        <w:ind w:left="160" w:right="220"/>
        <w:spacing w:after="0" w:line="253" w:lineRule="auto"/>
        <w:rPr>
          <w:sz w:val="20"/>
          <w:szCs w:val="20"/>
          <w:color w:val="auto"/>
        </w:rPr>
      </w:pPr>
      <w:r>
        <w:rPr>
          <w:rFonts w:ascii="Arial" w:cs="Arial" w:eastAsia="Arial" w:hAnsi="Arial"/>
          <w:sz w:val="16"/>
          <w:szCs w:val="16"/>
          <w:color w:val="092E44"/>
        </w:rPr>
        <w:t>We believe the skill, talent, judgment, and dedication of our executive officers are critical to Commvault’s long-term value. Therefore, our objective in setting compensation policies for our named executive officers is to align pay with performance, while at the same time providing fair, reasonable, and competitive compensation that will allow us to attract, retain, and reward superior executive talent. The TMCC strongly believes that executive compensation should align our executive officers’ interests with those of our stockholders by rewarding achievement of specific annual, long-term, and strategic company goals, with the ultimate objective of enhancing long-term stockholder value.</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Leadership Change</w:t>
      </w:r>
    </w:p>
    <w:p>
      <w:pPr>
        <w:spacing w:after="0" w:line="67" w:lineRule="exact"/>
        <w:rPr>
          <w:sz w:val="20"/>
          <w:szCs w:val="20"/>
          <w:color w:val="auto"/>
        </w:rPr>
      </w:pPr>
    </w:p>
    <w:p>
      <w:pPr>
        <w:ind w:left="160"/>
        <w:spacing w:after="0" w:line="262" w:lineRule="auto"/>
        <w:rPr>
          <w:sz w:val="20"/>
          <w:szCs w:val="20"/>
          <w:color w:val="auto"/>
        </w:rPr>
      </w:pPr>
      <w:r>
        <w:rPr>
          <w:rFonts w:ascii="Arial" w:cs="Arial" w:eastAsia="Arial" w:hAnsi="Arial"/>
          <w:sz w:val="16"/>
          <w:szCs w:val="16"/>
          <w:color w:val="092E44"/>
        </w:rPr>
        <w:t>Mr. Carolan, who has served as Commvault’s Chief Financial Officer since 2012, announced in April that he would step down from this position effective July 1. The Board named Gary Merrill, Commvault’s Chief of Business Operations, as the new CFO, and he has been working with Mr. Carolan to ensure a smooth transition.</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Pay for Performance</w:t>
      </w:r>
    </w:p>
    <w:p>
      <w:pPr>
        <w:spacing w:after="0" w:line="67"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092E44"/>
        </w:rPr>
        <w:t>We believe our executive compensation program has been designed to effectively pay for performance and is aligned with increasing the long-term value of the Company. As shown in the charts below, there is a correlation between our performance and the compensation paid over the past five fiscal years to our CEOs.</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8"/>
          <w:szCs w:val="18"/>
          <w:color w:val="E14A6A"/>
        </w:rPr>
        <w:t>CEO Pay-for-Performance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92710</wp:posOffset>
            </wp:positionV>
            <wp:extent cx="6929755" cy="18427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29755"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80" w:hanging="313"/>
        <w:spacing w:after="0"/>
        <w:tabs>
          <w:tab w:leader="none" w:pos="480" w:val="left"/>
        </w:tabs>
        <w:numPr>
          <w:ilvl w:val="0"/>
          <w:numId w:val="13"/>
        </w:numPr>
        <w:rPr>
          <w:rFonts w:ascii="Arial" w:cs="Arial" w:eastAsia="Arial" w:hAnsi="Arial"/>
          <w:sz w:val="12"/>
          <w:szCs w:val="12"/>
          <w:color w:val="092E44"/>
        </w:rPr>
      </w:pPr>
      <w:r>
        <w:rPr>
          <w:rFonts w:ascii="Arial" w:cs="Arial" w:eastAsia="Arial" w:hAnsi="Arial"/>
          <w:sz w:val="12"/>
          <w:szCs w:val="12"/>
          <w:color w:val="092E44"/>
        </w:rPr>
        <w:t>Fiscal 2019 equity awards represent $12 million of modification expense for our former CEO’s stock options and awards.</w:t>
      </w:r>
    </w:p>
    <w:p>
      <w:pPr>
        <w:spacing w:after="0" w:line="7" w:lineRule="exact"/>
        <w:rPr>
          <w:rFonts w:ascii="Arial" w:cs="Arial" w:eastAsia="Arial" w:hAnsi="Arial"/>
          <w:sz w:val="12"/>
          <w:szCs w:val="12"/>
          <w:color w:val="092E44"/>
        </w:rPr>
      </w:pPr>
    </w:p>
    <w:p>
      <w:pPr>
        <w:ind w:left="480" w:hanging="313"/>
        <w:spacing w:after="0" w:line="232" w:lineRule="auto"/>
        <w:tabs>
          <w:tab w:leader="none" w:pos="480" w:val="left"/>
        </w:tabs>
        <w:numPr>
          <w:ilvl w:val="0"/>
          <w:numId w:val="13"/>
        </w:numPr>
        <w:rPr>
          <w:rFonts w:ascii="Arial" w:cs="Arial" w:eastAsia="Arial" w:hAnsi="Arial"/>
          <w:sz w:val="12"/>
          <w:szCs w:val="12"/>
          <w:color w:val="092E44"/>
        </w:rPr>
      </w:pPr>
      <w:r>
        <w:rPr>
          <w:rFonts w:ascii="Arial" w:cs="Arial" w:eastAsia="Arial" w:hAnsi="Arial"/>
          <w:sz w:val="12"/>
          <w:szCs w:val="12"/>
          <w:color w:val="092E44"/>
        </w:rPr>
        <w:t>Reflects annual cash bonus compensation. See heading below labeled “Annual Bonus Plan” for more details.</w:t>
      </w:r>
    </w:p>
    <w:p>
      <w:pPr>
        <w:ind w:left="480" w:hanging="313"/>
        <w:spacing w:after="0" w:line="232" w:lineRule="auto"/>
        <w:tabs>
          <w:tab w:leader="none" w:pos="480" w:val="left"/>
        </w:tabs>
        <w:numPr>
          <w:ilvl w:val="0"/>
          <w:numId w:val="13"/>
        </w:numPr>
        <w:rPr>
          <w:rFonts w:ascii="Arial" w:cs="Arial" w:eastAsia="Arial" w:hAnsi="Arial"/>
          <w:sz w:val="12"/>
          <w:szCs w:val="12"/>
          <w:color w:val="092E44"/>
        </w:rPr>
      </w:pPr>
      <w:r>
        <w:rPr>
          <w:rFonts w:ascii="Arial" w:cs="Arial" w:eastAsia="Arial" w:hAnsi="Arial"/>
          <w:sz w:val="12"/>
          <w:szCs w:val="12"/>
          <w:color w:val="092E44"/>
        </w:rPr>
        <w:t>Reflects the aggregate grant date fair value of stock option and restricted stock unit awards computed in accordance with FASB ASC Topic 718.</w:t>
      </w:r>
    </w:p>
    <w:p>
      <w:pPr>
        <w:ind w:left="480" w:hanging="313"/>
        <w:spacing w:after="0" w:line="232" w:lineRule="auto"/>
        <w:tabs>
          <w:tab w:leader="none" w:pos="480" w:val="left"/>
        </w:tabs>
        <w:numPr>
          <w:ilvl w:val="0"/>
          <w:numId w:val="13"/>
        </w:numPr>
        <w:rPr>
          <w:rFonts w:ascii="Arial" w:cs="Arial" w:eastAsia="Arial" w:hAnsi="Arial"/>
          <w:sz w:val="12"/>
          <w:szCs w:val="12"/>
          <w:color w:val="092E44"/>
        </w:rPr>
      </w:pPr>
      <w:r>
        <w:rPr>
          <w:rFonts w:ascii="Arial" w:cs="Arial" w:eastAsia="Arial" w:hAnsi="Arial"/>
          <w:sz w:val="12"/>
          <w:szCs w:val="12"/>
          <w:color w:val="092E44"/>
        </w:rPr>
        <w:t>Please see the “Reconciliation of GAAP to Non-GAAP Financial Measures” in Annex A for additional information about our non-GAAP financial measures.</w:t>
      </w:r>
    </w:p>
    <w:p>
      <w:pPr>
        <w:ind w:left="480" w:hanging="313"/>
        <w:spacing w:after="0"/>
        <w:tabs>
          <w:tab w:leader="none" w:pos="480" w:val="left"/>
        </w:tabs>
        <w:numPr>
          <w:ilvl w:val="0"/>
          <w:numId w:val="13"/>
        </w:numPr>
        <w:rPr>
          <w:rFonts w:ascii="Arial" w:cs="Arial" w:eastAsia="Arial" w:hAnsi="Arial"/>
          <w:sz w:val="12"/>
          <w:szCs w:val="12"/>
          <w:color w:val="092E44"/>
        </w:rPr>
      </w:pPr>
      <w:r>
        <w:rPr>
          <w:rFonts w:ascii="Arial" w:cs="Arial" w:eastAsia="Arial" w:hAnsi="Arial"/>
          <w:sz w:val="12"/>
          <w:szCs w:val="12"/>
          <w:color w:val="092E44"/>
        </w:rPr>
        <w:t>Reflects the market price of our common stock per share on the last business day of the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247650</wp:posOffset>
            </wp:positionV>
            <wp:extent cx="220980" cy="2120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31</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20"/>
          </w:cols>
          <w:pgMar w:left="320" w:top="454" w:right="5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297180</wp:posOffset>
            </wp:positionV>
            <wp:extent cx="6929755" cy="169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29755" cy="1695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240"/>
        <w:spacing w:after="0"/>
        <w:rPr>
          <w:sz w:val="20"/>
          <w:szCs w:val="20"/>
          <w:color w:val="auto"/>
        </w:rPr>
      </w:pPr>
      <w:r>
        <w:rPr>
          <w:rFonts w:ascii="Arial" w:cs="Arial" w:eastAsia="Arial" w:hAnsi="Arial"/>
          <w:sz w:val="11"/>
          <w:szCs w:val="11"/>
          <w:color w:val="092E44"/>
        </w:rPr>
        <w:t xml:space="preserve">CD&amp;A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EXECUTIVE SUMMARY</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Mix of Compensation Elements</w:t>
      </w:r>
    </w:p>
    <w:p>
      <w:pPr>
        <w:spacing w:after="0" w:line="67"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092E44"/>
        </w:rPr>
        <w:t>Our fiscal 2022 executive compensation program consists of three principal elements: base salary, annual cash incentive bonuses, and long-term equity incentive awards. Consistent with our pay for performance philosophy, the majority of target total direct compensation for the named executive officers in fiscal 2022 consisted of incentive awards, particularly long-term equity incentive awards. The TMCC believes that emphasizing equity-based compensation creates a strong incentive for our executives to build sustainable long-term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-310515</wp:posOffset>
            </wp:positionV>
            <wp:extent cx="2857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139065</wp:posOffset>
            </wp:positionV>
            <wp:extent cx="5375910" cy="27857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375910"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right="4560"/>
        <w:spacing w:after="0" w:line="279" w:lineRule="auto"/>
        <w:rPr>
          <w:sz w:val="20"/>
          <w:szCs w:val="20"/>
          <w:color w:val="auto"/>
        </w:rPr>
      </w:pPr>
      <w:r>
        <w:rPr>
          <w:rFonts w:ascii="Arial" w:cs="Arial" w:eastAsia="Arial" w:hAnsi="Arial"/>
          <w:sz w:val="21"/>
          <w:szCs w:val="21"/>
          <w:b w:val="1"/>
          <w:bCs w:val="1"/>
          <w:color w:val="092E44"/>
        </w:rPr>
        <w:t>Prior Stockholder Advisory Vote on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-337820</wp:posOffset>
            </wp:positionV>
            <wp:extent cx="1503045" cy="15284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03045" cy="1528445"/>
                    </a:xfrm>
                    <a:prstGeom prst="rect">
                      <a:avLst/>
                    </a:prstGeom>
                    <a:noFill/>
                  </pic:spPr>
                </pic:pic>
              </a:graphicData>
            </a:graphic>
          </wp:anchor>
        </w:drawing>
      </w:r>
    </w:p>
    <w:p>
      <w:pPr>
        <w:ind w:left="220" w:right="3620"/>
        <w:spacing w:after="0" w:line="251" w:lineRule="auto"/>
        <w:rPr>
          <w:sz w:val="20"/>
          <w:szCs w:val="20"/>
          <w:color w:val="auto"/>
        </w:rPr>
      </w:pPr>
      <w:r>
        <w:rPr>
          <w:rFonts w:ascii="Arial" w:cs="Arial" w:eastAsia="Arial" w:hAnsi="Arial"/>
          <w:sz w:val="16"/>
          <w:szCs w:val="16"/>
          <w:color w:val="092E44"/>
        </w:rPr>
        <w:t>In light of the 2021 say-on-pay vote, in which 97% of the votes cast were in favor of our executive compensation program, the TMCC maintained a consistent general approach for fiscal year 2022. In particular, the TMCC continued to emphasize pay-for-performance through the use of performance share awards that reward our executive officers only if they deliver value for our stockholders. The TMCC will continue to consider input from our stockholders when making compensation decisions for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702310</wp:posOffset>
            </wp:positionV>
            <wp:extent cx="220980" cy="2120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32</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0960"/>
          </w:cols>
          <w:pgMar w:left="320" w:top="454" w:right="6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CD&amp;A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COMPENSATION PHILOSOPHY AND OBJECTIVES</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Compensation Philosophy and Objectives</w:t>
      </w:r>
    </w:p>
    <w:p>
      <w:pPr>
        <w:spacing w:after="0" w:line="71" w:lineRule="exact"/>
        <w:rPr>
          <w:sz w:val="20"/>
          <w:szCs w:val="20"/>
          <w:color w:val="auto"/>
        </w:rPr>
      </w:pPr>
    </w:p>
    <w:p>
      <w:pPr>
        <w:ind w:left="160"/>
        <w:spacing w:after="0" w:line="250" w:lineRule="auto"/>
        <w:rPr>
          <w:sz w:val="20"/>
          <w:szCs w:val="20"/>
          <w:color w:val="auto"/>
        </w:rPr>
      </w:pPr>
      <w:r>
        <w:rPr>
          <w:rFonts w:ascii="Arial" w:cs="Arial" w:eastAsia="Arial" w:hAnsi="Arial"/>
          <w:sz w:val="16"/>
          <w:szCs w:val="16"/>
          <w:color w:val="092E44"/>
        </w:rPr>
        <w:t>As a technology company, we operate in an extremely competitive and rapidly changing industry. When setting compensation policies for our executive officers, the TMCC strives to align pay with performance; to provide fair, reasonable, and competitive compensation that will allow us to attract, retain, and reward superior executive talent; and to align our executive officers’ interests with those of our stockholders by rewarding achievement of specific annual, long-term, and strategic goals. To that end, the compensation opportunities provided to our executive officers include a mix of both cash and equity elements that reward performance as measured against pre-established goals and objectives. The specific goals that our current executive compensation program rewards are focused primarily on revenue growth and profitability, as the TMCC believes those measures are the most direct drivers of long-term stockholder value creation.</w:t>
      </w:r>
    </w:p>
    <w:p>
      <w:pPr>
        <w:spacing w:after="0" w:line="63" w:lineRule="exact"/>
        <w:rPr>
          <w:sz w:val="20"/>
          <w:szCs w:val="20"/>
          <w:color w:val="auto"/>
        </w:rPr>
      </w:pPr>
    </w:p>
    <w:p>
      <w:pPr>
        <w:jc w:val="both"/>
        <w:ind w:left="160" w:right="80"/>
        <w:spacing w:after="0" w:line="253" w:lineRule="auto"/>
        <w:rPr>
          <w:sz w:val="20"/>
          <w:szCs w:val="20"/>
          <w:color w:val="auto"/>
        </w:rPr>
      </w:pPr>
      <w:r>
        <w:rPr>
          <w:rFonts w:ascii="Arial" w:cs="Arial" w:eastAsia="Arial" w:hAnsi="Arial"/>
          <w:sz w:val="16"/>
          <w:szCs w:val="16"/>
          <w:color w:val="092E44"/>
        </w:rPr>
        <w:t>Decisions with respect to the total compensation for our executive officers are based primarily upon an assessment of each individual’s performance and potential to enhance long-term stockholder value. Often, the TMCC relies on judgment rather than rigid guidelines or formulas in determining the amount and mix of compensation for each executive officer. Factors affecting such judgment include performance compared to strategic goals established at the beginning of the year, the nature and scope of each executive’s responsibilities, and whether the executive conducts all activities in a manner consistent with our core Company values.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COVID-Related Adjustments to Our Compensation Program</w:t>
      </w:r>
    </w:p>
    <w:p>
      <w:pPr>
        <w:spacing w:after="0" w:line="71" w:lineRule="exact"/>
        <w:rPr>
          <w:sz w:val="20"/>
          <w:szCs w:val="20"/>
          <w:color w:val="auto"/>
        </w:rPr>
      </w:pPr>
    </w:p>
    <w:p>
      <w:pPr>
        <w:ind w:left="160" w:right="140"/>
        <w:spacing w:after="0" w:line="262" w:lineRule="auto"/>
        <w:rPr>
          <w:sz w:val="20"/>
          <w:szCs w:val="20"/>
          <w:color w:val="auto"/>
        </w:rPr>
      </w:pPr>
      <w:r>
        <w:rPr>
          <w:rFonts w:ascii="Arial" w:cs="Arial" w:eastAsia="Arial" w:hAnsi="Arial"/>
          <w:sz w:val="16"/>
          <w:szCs w:val="16"/>
          <w:color w:val="092E44"/>
        </w:rPr>
        <w:t>As the pandemic stabilized during fiscal year 2022, we were able to return to granting the types of awards, with the associated performance metrics and time horizons, that we had typically granted in pre-pandemic years. In May 2021, our TMCC approved several changes to the design of our short-term and long-term incentive compensation programs for fiscal 2022, including:</w:t>
      </w:r>
    </w:p>
    <w:p>
      <w:pPr>
        <w:spacing w:after="0" w:line="53" w:lineRule="exact"/>
        <w:rPr>
          <w:sz w:val="20"/>
          <w:szCs w:val="20"/>
          <w:color w:val="auto"/>
        </w:rPr>
      </w:pPr>
    </w:p>
    <w:p>
      <w:pPr>
        <w:ind w:left="380" w:right="300" w:hanging="213"/>
        <w:spacing w:after="0" w:line="278" w:lineRule="auto"/>
        <w:tabs>
          <w:tab w:leader="none" w:pos="380" w:val="left"/>
        </w:tabs>
        <w:numPr>
          <w:ilvl w:val="0"/>
          <w:numId w:val="14"/>
        </w:numPr>
        <w:rPr>
          <w:rFonts w:ascii="Times New Roman" w:cs="Times New Roman" w:eastAsia="Times New Roman" w:hAnsi="Times New Roman"/>
          <w:sz w:val="16"/>
          <w:szCs w:val="16"/>
          <w:color w:val="E14A6A"/>
        </w:rPr>
      </w:pPr>
      <w:r>
        <w:rPr>
          <w:rFonts w:ascii="Arial" w:cs="Arial" w:eastAsia="Arial" w:hAnsi="Arial"/>
          <w:sz w:val="16"/>
          <w:szCs w:val="16"/>
          <w:color w:val="092E44"/>
        </w:rPr>
        <w:t>Transitioning from quarterly performance periods back to an annual performance period for our annual incentive plan, except with respect to Mr. Di Blasio, as described below;</w:t>
      </w:r>
    </w:p>
    <w:p>
      <w:pPr>
        <w:spacing w:after="0" w:line="14" w:lineRule="exact"/>
        <w:rPr>
          <w:rFonts w:ascii="Times New Roman" w:cs="Times New Roman" w:eastAsia="Times New Roman" w:hAnsi="Times New Roman"/>
          <w:sz w:val="16"/>
          <w:szCs w:val="16"/>
          <w:color w:val="E14A6A"/>
        </w:rPr>
      </w:pPr>
    </w:p>
    <w:p>
      <w:pPr>
        <w:ind w:left="380" w:hanging="213"/>
        <w:spacing w:after="0"/>
        <w:tabs>
          <w:tab w:leader="none" w:pos="380" w:val="left"/>
        </w:tabs>
        <w:numPr>
          <w:ilvl w:val="0"/>
          <w:numId w:val="14"/>
        </w:numPr>
        <w:rPr>
          <w:rFonts w:ascii="Times New Roman" w:cs="Times New Roman" w:eastAsia="Times New Roman" w:hAnsi="Times New Roman"/>
          <w:sz w:val="16"/>
          <w:szCs w:val="16"/>
          <w:color w:val="E14A6A"/>
        </w:rPr>
      </w:pPr>
      <w:r>
        <w:rPr>
          <w:rFonts w:ascii="Arial" w:cs="Arial" w:eastAsia="Arial" w:hAnsi="Arial"/>
          <w:sz w:val="16"/>
          <w:szCs w:val="16"/>
          <w:color w:val="092E44"/>
        </w:rPr>
        <w:t>Adjusting back to the typical shorter and steeper revenue and non-GAAP EBIT payout curves for the annual incentive plan; and</w:t>
      </w:r>
    </w:p>
    <w:p>
      <w:pPr>
        <w:spacing w:after="0" w:line="82" w:lineRule="exact"/>
        <w:rPr>
          <w:rFonts w:ascii="Times New Roman" w:cs="Times New Roman" w:eastAsia="Times New Roman" w:hAnsi="Times New Roman"/>
          <w:sz w:val="16"/>
          <w:szCs w:val="16"/>
          <w:color w:val="E14A6A"/>
        </w:rPr>
      </w:pPr>
    </w:p>
    <w:p>
      <w:pPr>
        <w:ind w:left="380" w:hanging="213"/>
        <w:spacing w:after="0"/>
        <w:tabs>
          <w:tab w:leader="none" w:pos="380" w:val="left"/>
        </w:tabs>
        <w:numPr>
          <w:ilvl w:val="0"/>
          <w:numId w:val="14"/>
        </w:numPr>
        <w:rPr>
          <w:rFonts w:ascii="Times New Roman" w:cs="Times New Roman" w:eastAsia="Times New Roman" w:hAnsi="Times New Roman"/>
          <w:sz w:val="16"/>
          <w:szCs w:val="16"/>
          <w:color w:val="E14A6A"/>
        </w:rPr>
      </w:pPr>
      <w:r>
        <w:rPr>
          <w:rFonts w:ascii="Arial" w:cs="Arial" w:eastAsia="Arial" w:hAnsi="Arial"/>
          <w:sz w:val="16"/>
          <w:szCs w:val="16"/>
          <w:color w:val="092E44"/>
        </w:rPr>
        <w:t>Adding financial PSUs (which historically made up approximately 25% of the executives’ long-term equity awards) back to the long-term incentive mix.</w:t>
      </w:r>
    </w:p>
    <w:p>
      <w:pPr>
        <w:spacing w:after="0" w:line="110" w:lineRule="exact"/>
        <w:rPr>
          <w:sz w:val="20"/>
          <w:szCs w:val="20"/>
          <w:color w:val="auto"/>
        </w:rPr>
      </w:pPr>
    </w:p>
    <w:p>
      <w:pPr>
        <w:ind w:left="160" w:right="340"/>
        <w:spacing w:after="0" w:line="279" w:lineRule="auto"/>
        <w:rPr>
          <w:sz w:val="20"/>
          <w:szCs w:val="20"/>
          <w:color w:val="auto"/>
        </w:rPr>
      </w:pPr>
      <w:r>
        <w:rPr>
          <w:rFonts w:ascii="Arial" w:cs="Arial" w:eastAsia="Arial" w:hAnsi="Arial"/>
          <w:sz w:val="16"/>
          <w:szCs w:val="16"/>
          <w:color w:val="092E44"/>
        </w:rPr>
        <w:t>The TMCC will continue to monitor the design of our incentive compensation programs in the context of the COVID-19 pandemic or other extraneous macro events as well as the continuing maturity of our business, expectations of our stockholders, and market practice among our peers.</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How Compensation Decisions are Made</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Role of the Talent Management and Compensation Committee</w:t>
      </w:r>
    </w:p>
    <w:p>
      <w:pPr>
        <w:spacing w:after="0" w:line="67" w:lineRule="exact"/>
        <w:rPr>
          <w:sz w:val="20"/>
          <w:szCs w:val="20"/>
          <w:color w:val="auto"/>
        </w:rPr>
      </w:pPr>
    </w:p>
    <w:p>
      <w:pPr>
        <w:ind w:left="160" w:right="760"/>
        <w:spacing w:after="0" w:line="279" w:lineRule="auto"/>
        <w:rPr>
          <w:sz w:val="20"/>
          <w:szCs w:val="20"/>
          <w:color w:val="auto"/>
        </w:rPr>
      </w:pPr>
      <w:r>
        <w:rPr>
          <w:rFonts w:ascii="Arial" w:cs="Arial" w:eastAsia="Arial" w:hAnsi="Arial"/>
          <w:sz w:val="16"/>
          <w:szCs w:val="16"/>
          <w:color w:val="092E44"/>
        </w:rPr>
        <w:t>The TMCC is responsible for setting the compensation of our CEO and for reviewing and approving our CEO’s recommendations regarding the compensation of our other executive officers.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Role of Executive Officers</w:t>
      </w:r>
    </w:p>
    <w:p>
      <w:pPr>
        <w:spacing w:after="0" w:line="67" w:lineRule="exact"/>
        <w:rPr>
          <w:sz w:val="20"/>
          <w:szCs w:val="20"/>
          <w:color w:val="auto"/>
        </w:rPr>
      </w:pPr>
    </w:p>
    <w:p>
      <w:pPr>
        <w:jc w:val="both"/>
        <w:ind w:left="160" w:right="100"/>
        <w:spacing w:after="0" w:line="262" w:lineRule="auto"/>
        <w:rPr>
          <w:sz w:val="20"/>
          <w:szCs w:val="20"/>
          <w:color w:val="auto"/>
        </w:rPr>
      </w:pPr>
      <w:r>
        <w:rPr>
          <w:rFonts w:ascii="Arial" w:cs="Arial" w:eastAsia="Arial" w:hAnsi="Arial"/>
          <w:sz w:val="16"/>
          <w:szCs w:val="16"/>
          <w:color w:val="092E44"/>
        </w:rPr>
        <w:t>Each year, the Chief Executive Officer reviews the performance and compensation of each of the executive officers and makes recommendations to the TMCC with respect to their compensation for the coming year. In addition, our CEO, Chief Financial Officer, and Chief Human Resources Officer support the TMCC in its work by providing information relating to our financial plans and personnel-related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229235</wp:posOffset>
            </wp:positionV>
            <wp:extent cx="220980" cy="2120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33</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60"/>
          </w:cols>
          <w:pgMar w:left="320" w:top="454" w:right="5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CD&amp;A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HOW COMPENSATION DECISIONS ARE MADE</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Role of the Compensation Consultant</w:t>
      </w:r>
    </w:p>
    <w:p>
      <w:pPr>
        <w:spacing w:after="0" w:line="67" w:lineRule="exact"/>
        <w:rPr>
          <w:sz w:val="20"/>
          <w:szCs w:val="20"/>
          <w:color w:val="auto"/>
        </w:rPr>
      </w:pPr>
    </w:p>
    <w:p>
      <w:pPr>
        <w:ind w:left="160" w:right="40"/>
        <w:spacing w:after="0" w:line="253" w:lineRule="auto"/>
        <w:rPr>
          <w:sz w:val="20"/>
          <w:szCs w:val="20"/>
          <w:color w:val="auto"/>
        </w:rPr>
      </w:pPr>
      <w:r>
        <w:rPr>
          <w:rFonts w:ascii="Arial" w:cs="Arial" w:eastAsia="Arial" w:hAnsi="Arial"/>
          <w:sz w:val="16"/>
          <w:szCs w:val="16"/>
          <w:color w:val="092E44"/>
        </w:rPr>
        <w:t>The TMCC has authority under its charter to engage outside advisors and experts for advice as appropriate. During fiscal year 2022, the TMCC engaged the services of Compensia, Inc., a national compensation consulting firm, as the TMCC’s consultant to provide advice on matters relating to the compensation of our executive officers and non-employee directors. Compensia provided the TMCC with an analysis of industry sector competitive market data regarding executive compensation, information on compensation trends, and peer group and general market data, as well as assistance with the parameters used to determine the peer group, base salaries, incentive plan design, and the overall structure of our executive compensation program.</w:t>
      </w:r>
    </w:p>
    <w:p>
      <w:pPr>
        <w:spacing w:after="0" w:line="60" w:lineRule="exact"/>
        <w:rPr>
          <w:sz w:val="20"/>
          <w:szCs w:val="20"/>
          <w:color w:val="auto"/>
        </w:rPr>
      </w:pPr>
    </w:p>
    <w:p>
      <w:pPr>
        <w:ind w:left="160" w:right="60"/>
        <w:spacing w:after="0" w:line="256" w:lineRule="auto"/>
        <w:rPr>
          <w:sz w:val="20"/>
          <w:szCs w:val="20"/>
          <w:color w:val="auto"/>
        </w:rPr>
      </w:pPr>
      <w:r>
        <w:rPr>
          <w:rFonts w:ascii="Arial" w:cs="Arial" w:eastAsia="Arial" w:hAnsi="Arial"/>
          <w:sz w:val="16"/>
          <w:szCs w:val="16"/>
          <w:color w:val="092E44"/>
        </w:rPr>
        <w:t>The TMCC regularly reviews the objectivity and independence of the advice provided by its compensation consultant. The TMCC has evaluated Compensia’s engagement and, based on the six factors for assessing independence and identifying potential conflicts of interest that are set forth in SEC rules and Nasdaq rules (and such other factors as were deemed relevant under the circumstances), the TMCC has determined that its relationship with Compensia and the work of Compensia on behalf of the TMCC did not raise any conflict of interest.</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Role of the Peer Group</w:t>
      </w:r>
    </w:p>
    <w:p>
      <w:pPr>
        <w:spacing w:after="0" w:line="67" w:lineRule="exact"/>
        <w:rPr>
          <w:sz w:val="20"/>
          <w:szCs w:val="20"/>
          <w:color w:val="auto"/>
        </w:rPr>
      </w:pPr>
    </w:p>
    <w:p>
      <w:pPr>
        <w:ind w:left="160" w:right="60"/>
        <w:spacing w:after="0" w:line="256" w:lineRule="auto"/>
        <w:rPr>
          <w:sz w:val="20"/>
          <w:szCs w:val="20"/>
          <w:color w:val="auto"/>
        </w:rPr>
      </w:pPr>
      <w:r>
        <w:rPr>
          <w:rFonts w:ascii="Arial" w:cs="Arial" w:eastAsia="Arial" w:hAnsi="Arial"/>
          <w:sz w:val="16"/>
          <w:szCs w:val="16"/>
          <w:color w:val="092E44"/>
        </w:rPr>
        <w:t>During fiscal 2022, the TMCC engaged Compensia to conduct a competitive market analysis for purposes of evaluating our base salaries, annual cash bonus opportunities, and long-term equity incentive plan. The data from this analysis was used to ensure that our executive compensation program was optimally structured to attract, motivate, retain, and reward our highly experienced management team, to keep management focused during our expected period of growth, and to align our compensation practices with comparable technology industry companies.</w:t>
      </w:r>
    </w:p>
    <w:p>
      <w:pPr>
        <w:spacing w:after="0" w:line="58" w:lineRule="exact"/>
        <w:rPr>
          <w:sz w:val="20"/>
          <w:szCs w:val="20"/>
          <w:color w:val="auto"/>
        </w:rPr>
      </w:pPr>
    </w:p>
    <w:p>
      <w:pPr>
        <w:ind w:left="160" w:right="80"/>
        <w:spacing w:after="0" w:line="262" w:lineRule="auto"/>
        <w:rPr>
          <w:sz w:val="20"/>
          <w:szCs w:val="20"/>
          <w:color w:val="auto"/>
        </w:rPr>
      </w:pPr>
      <w:r>
        <w:rPr>
          <w:rFonts w:ascii="Arial" w:cs="Arial" w:eastAsia="Arial" w:hAnsi="Arial"/>
          <w:sz w:val="16"/>
          <w:szCs w:val="16"/>
          <w:color w:val="092E44"/>
        </w:rPr>
        <w:t>In developing the peer group, the TMCC targeted U.S.-headquartered companies within similar industries and of a similar size as the Company. In particular, the TMCC targeted direct competitors and other business application software companies. The peer companies were also evaluated based on two financial criteria:</w:t>
      </w:r>
    </w:p>
    <w:p>
      <w:pPr>
        <w:spacing w:after="0" w:line="53" w:lineRule="exact"/>
        <w:rPr>
          <w:sz w:val="20"/>
          <w:szCs w:val="20"/>
          <w:color w:val="auto"/>
        </w:rPr>
      </w:pPr>
    </w:p>
    <w:p>
      <w:pPr>
        <w:ind w:left="380" w:hanging="213"/>
        <w:spacing w:after="0"/>
        <w:tabs>
          <w:tab w:leader="none" w:pos="380" w:val="left"/>
        </w:tabs>
        <w:numPr>
          <w:ilvl w:val="0"/>
          <w:numId w:val="15"/>
        </w:numPr>
        <w:rPr>
          <w:rFonts w:ascii="Times New Roman" w:cs="Times New Roman" w:eastAsia="Times New Roman" w:hAnsi="Times New Roman"/>
          <w:sz w:val="16"/>
          <w:szCs w:val="16"/>
          <w:color w:val="E14A6A"/>
        </w:rPr>
      </w:pPr>
      <w:r>
        <w:rPr>
          <w:rFonts w:ascii="Arial" w:cs="Arial" w:eastAsia="Arial" w:hAnsi="Arial"/>
          <w:sz w:val="16"/>
          <w:szCs w:val="16"/>
          <w:b w:val="1"/>
          <w:bCs w:val="1"/>
          <w:color w:val="E14A6A"/>
        </w:rPr>
        <w:t xml:space="preserve">Revenue: </w:t>
      </w:r>
      <w:r>
        <w:rPr>
          <w:rFonts w:ascii="Arial" w:cs="Arial" w:eastAsia="Arial" w:hAnsi="Arial"/>
          <w:sz w:val="16"/>
          <w:szCs w:val="16"/>
          <w:color w:val="092E44"/>
        </w:rPr>
        <w:t>Target between approximately $350 million and $1.4 billion (0.5x to 2.0x the Company’s trailing 12-month revenue); and</w:t>
      </w:r>
    </w:p>
    <w:p>
      <w:pPr>
        <w:spacing w:after="0" w:line="82" w:lineRule="exact"/>
        <w:rPr>
          <w:rFonts w:ascii="Times New Roman" w:cs="Times New Roman" w:eastAsia="Times New Roman" w:hAnsi="Times New Roman"/>
          <w:sz w:val="16"/>
          <w:szCs w:val="16"/>
          <w:color w:val="E14A6A"/>
        </w:rPr>
      </w:pPr>
    </w:p>
    <w:p>
      <w:pPr>
        <w:ind w:left="380" w:hanging="213"/>
        <w:spacing w:after="0"/>
        <w:tabs>
          <w:tab w:leader="none" w:pos="380" w:val="left"/>
        </w:tabs>
        <w:numPr>
          <w:ilvl w:val="0"/>
          <w:numId w:val="15"/>
        </w:numPr>
        <w:rPr>
          <w:rFonts w:ascii="Times New Roman" w:cs="Times New Roman" w:eastAsia="Times New Roman" w:hAnsi="Times New Roman"/>
          <w:sz w:val="16"/>
          <w:szCs w:val="16"/>
          <w:color w:val="E14A6A"/>
        </w:rPr>
      </w:pPr>
      <w:r>
        <w:rPr>
          <w:rFonts w:ascii="Arial" w:cs="Arial" w:eastAsia="Arial" w:hAnsi="Arial"/>
          <w:sz w:val="16"/>
          <w:szCs w:val="16"/>
          <w:b w:val="1"/>
          <w:bCs w:val="1"/>
          <w:color w:val="E14A6A"/>
        </w:rPr>
        <w:t xml:space="preserve">Market Capitalization: </w:t>
      </w:r>
      <w:r>
        <w:rPr>
          <w:rFonts w:ascii="Arial" w:cs="Arial" w:eastAsia="Arial" w:hAnsi="Arial"/>
          <w:sz w:val="16"/>
          <w:szCs w:val="16"/>
          <w:color w:val="092E44"/>
        </w:rPr>
        <w:t>Target between $625 million and $6.3 billion (0.3x to 3.0x the Company’s market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172085</wp:posOffset>
            </wp:positionV>
            <wp:extent cx="6929755" cy="3143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29755" cy="314325"/>
                    </a:xfrm>
                    <a:prstGeom prst="rect">
                      <a:avLst/>
                    </a:prstGeom>
                    <a:noFill/>
                  </pic:spPr>
                </pic:pic>
              </a:graphicData>
            </a:graphic>
          </wp:anchor>
        </w:drawing>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18"/>
          <w:szCs w:val="18"/>
          <w:color w:val="E14A6A"/>
        </w:rPr>
        <w:t>The companies included in the peer group for fiscal year 2022 were</w:t>
      </w:r>
    </w:p>
    <w:p>
      <w:pPr>
        <w:spacing w:after="0" w:line="32" w:lineRule="exact"/>
        <w:rPr>
          <w:sz w:val="20"/>
          <w:szCs w:val="20"/>
          <w:color w:val="auto"/>
        </w:rPr>
      </w:pPr>
    </w:p>
    <w:tbl>
      <w:tblPr>
        <w:tblLayout w:type="fixed"/>
        <w:tblInd w:w="160" w:type="dxa"/>
        <w:tblCellMar>
          <w:top w:w="0" w:type="dxa"/>
          <w:left w:w="0" w:type="dxa"/>
          <w:bottom w:w="0" w:type="dxa"/>
          <w:right w:w="0" w:type="dxa"/>
        </w:tblCellMar>
      </w:tblPr>
      <w:tr>
        <w:trPr>
          <w:trHeight w:val="194"/>
        </w:trPr>
        <w:tc>
          <w:tcPr>
            <w:tcW w:w="3840" w:type="dxa"/>
            <w:vAlign w:val="bottom"/>
            <w:shd w:val="clear" w:color="auto" w:fill="DDE9F2"/>
          </w:tcPr>
          <w:p>
            <w:pPr>
              <w:spacing w:after="0"/>
              <w:rPr>
                <w:sz w:val="16"/>
                <w:szCs w:val="16"/>
                <w:color w:val="auto"/>
              </w:rPr>
            </w:pPr>
          </w:p>
        </w:tc>
        <w:tc>
          <w:tcPr>
            <w:tcW w:w="3720" w:type="dxa"/>
            <w:vAlign w:val="bottom"/>
          </w:tcPr>
          <w:p>
            <w:pPr>
              <w:spacing w:after="0"/>
              <w:rPr>
                <w:sz w:val="16"/>
                <w:szCs w:val="16"/>
                <w:color w:val="auto"/>
              </w:rPr>
            </w:pPr>
          </w:p>
        </w:tc>
        <w:tc>
          <w:tcPr>
            <w:tcW w:w="3360" w:type="dxa"/>
            <w:vAlign w:val="bottom"/>
          </w:tcPr>
          <w:p>
            <w:pPr>
              <w:spacing w:after="0"/>
              <w:rPr>
                <w:sz w:val="16"/>
                <w:szCs w:val="16"/>
                <w:color w:val="auto"/>
              </w:rPr>
            </w:pPr>
          </w:p>
        </w:tc>
      </w:tr>
      <w:tr>
        <w:trPr>
          <w:trHeight w:val="211"/>
        </w:trPr>
        <w:tc>
          <w:tcPr>
            <w:tcW w:w="3840" w:type="dxa"/>
            <w:vAlign w:val="bottom"/>
            <w:shd w:val="clear" w:color="auto" w:fill="DDE9F2"/>
          </w:tcPr>
          <w:p>
            <w:pPr>
              <w:ind w:left="180"/>
              <w:spacing w:after="0"/>
              <w:rPr>
                <w:sz w:val="20"/>
                <w:szCs w:val="20"/>
                <w:color w:val="auto"/>
              </w:rPr>
            </w:pPr>
            <w:r>
              <w:rPr>
                <w:rFonts w:ascii="Arial" w:cs="Arial" w:eastAsia="Arial" w:hAnsi="Arial"/>
                <w:sz w:val="16"/>
                <w:szCs w:val="16"/>
                <w:color w:val="092E44"/>
              </w:rPr>
              <w:t>ACI Worldwide</w:t>
            </w:r>
          </w:p>
        </w:tc>
        <w:tc>
          <w:tcPr>
            <w:tcW w:w="3720" w:type="dxa"/>
            <w:vAlign w:val="bottom"/>
            <w:shd w:val="clear" w:color="auto" w:fill="DDE9F2"/>
          </w:tcPr>
          <w:p>
            <w:pPr>
              <w:ind w:left="220"/>
              <w:spacing w:after="0"/>
              <w:rPr>
                <w:sz w:val="20"/>
                <w:szCs w:val="20"/>
                <w:color w:val="auto"/>
              </w:rPr>
            </w:pPr>
            <w:r>
              <w:rPr>
                <w:rFonts w:ascii="Arial" w:cs="Arial" w:eastAsia="Arial" w:hAnsi="Arial"/>
                <w:sz w:val="16"/>
                <w:szCs w:val="16"/>
                <w:color w:val="092E44"/>
              </w:rPr>
              <w:t>MicroStrategy</w:t>
            </w:r>
          </w:p>
        </w:tc>
        <w:tc>
          <w:tcPr>
            <w:tcW w:w="3360" w:type="dxa"/>
            <w:vAlign w:val="bottom"/>
            <w:shd w:val="clear" w:color="auto" w:fill="DDE9F2"/>
          </w:tcPr>
          <w:p>
            <w:pPr>
              <w:ind w:left="200"/>
              <w:spacing w:after="0"/>
              <w:rPr>
                <w:sz w:val="20"/>
                <w:szCs w:val="20"/>
                <w:color w:val="auto"/>
              </w:rPr>
            </w:pPr>
            <w:r>
              <w:rPr>
                <w:rFonts w:ascii="Arial" w:cs="Arial" w:eastAsia="Arial" w:hAnsi="Arial"/>
                <w:sz w:val="16"/>
                <w:szCs w:val="16"/>
                <w:color w:val="092E44"/>
              </w:rPr>
              <w:t>Pure Storage</w:t>
            </w:r>
          </w:p>
        </w:tc>
      </w:tr>
      <w:tr>
        <w:trPr>
          <w:trHeight w:val="253"/>
        </w:trPr>
        <w:tc>
          <w:tcPr>
            <w:tcW w:w="3840" w:type="dxa"/>
            <w:vAlign w:val="bottom"/>
            <w:shd w:val="clear" w:color="auto" w:fill="DDE9F2"/>
          </w:tcPr>
          <w:p>
            <w:pPr>
              <w:ind w:left="180"/>
              <w:spacing w:after="0"/>
              <w:rPr>
                <w:sz w:val="20"/>
                <w:szCs w:val="20"/>
                <w:color w:val="auto"/>
              </w:rPr>
            </w:pPr>
            <w:r>
              <w:rPr>
                <w:rFonts w:ascii="Arial" w:cs="Arial" w:eastAsia="Arial" w:hAnsi="Arial"/>
                <w:sz w:val="16"/>
                <w:szCs w:val="16"/>
                <w:color w:val="092E44"/>
              </w:rPr>
              <w:t>Blackbaud</w:t>
            </w:r>
          </w:p>
        </w:tc>
        <w:tc>
          <w:tcPr>
            <w:tcW w:w="3720" w:type="dxa"/>
            <w:vAlign w:val="bottom"/>
            <w:shd w:val="clear" w:color="auto" w:fill="DDE9F2"/>
          </w:tcPr>
          <w:p>
            <w:pPr>
              <w:ind w:left="220"/>
              <w:spacing w:after="0"/>
              <w:rPr>
                <w:sz w:val="20"/>
                <w:szCs w:val="20"/>
                <w:color w:val="auto"/>
              </w:rPr>
            </w:pPr>
            <w:r>
              <w:rPr>
                <w:rFonts w:ascii="Arial" w:cs="Arial" w:eastAsia="Arial" w:hAnsi="Arial"/>
                <w:sz w:val="16"/>
                <w:szCs w:val="16"/>
                <w:color w:val="092E44"/>
              </w:rPr>
              <w:t>NetScout Systems</w:t>
            </w:r>
          </w:p>
        </w:tc>
        <w:tc>
          <w:tcPr>
            <w:tcW w:w="3360" w:type="dxa"/>
            <w:vAlign w:val="bottom"/>
            <w:shd w:val="clear" w:color="auto" w:fill="DDE9F2"/>
          </w:tcPr>
          <w:p>
            <w:pPr>
              <w:ind w:left="200"/>
              <w:spacing w:after="0"/>
              <w:rPr>
                <w:sz w:val="20"/>
                <w:szCs w:val="20"/>
                <w:color w:val="auto"/>
              </w:rPr>
            </w:pPr>
            <w:r>
              <w:rPr>
                <w:rFonts w:ascii="Arial" w:cs="Arial" w:eastAsia="Arial" w:hAnsi="Arial"/>
                <w:sz w:val="16"/>
                <w:szCs w:val="16"/>
                <w:color w:val="092E44"/>
              </w:rPr>
              <w:t>Rapid7</w:t>
            </w:r>
          </w:p>
        </w:tc>
      </w:tr>
      <w:tr>
        <w:trPr>
          <w:trHeight w:val="267"/>
        </w:trPr>
        <w:tc>
          <w:tcPr>
            <w:tcW w:w="3840" w:type="dxa"/>
            <w:vAlign w:val="bottom"/>
            <w:shd w:val="clear" w:color="auto" w:fill="DDE9F2"/>
          </w:tcPr>
          <w:p>
            <w:pPr>
              <w:ind w:left="180"/>
              <w:spacing w:after="0"/>
              <w:rPr>
                <w:sz w:val="20"/>
                <w:szCs w:val="20"/>
                <w:color w:val="auto"/>
              </w:rPr>
            </w:pPr>
            <w:r>
              <w:rPr>
                <w:rFonts w:ascii="Arial" w:cs="Arial" w:eastAsia="Arial" w:hAnsi="Arial"/>
                <w:sz w:val="16"/>
                <w:szCs w:val="16"/>
                <w:color w:val="092E44"/>
              </w:rPr>
              <w:t>Bottomline Technologies</w:t>
            </w:r>
          </w:p>
        </w:tc>
        <w:tc>
          <w:tcPr>
            <w:tcW w:w="3720" w:type="dxa"/>
            <w:vAlign w:val="bottom"/>
            <w:shd w:val="clear" w:color="auto" w:fill="DDE9F2"/>
          </w:tcPr>
          <w:p>
            <w:pPr>
              <w:ind w:left="220"/>
              <w:spacing w:after="0"/>
              <w:rPr>
                <w:sz w:val="20"/>
                <w:szCs w:val="20"/>
                <w:color w:val="auto"/>
              </w:rPr>
            </w:pPr>
            <w:r>
              <w:rPr>
                <w:rFonts w:ascii="Arial" w:cs="Arial" w:eastAsia="Arial" w:hAnsi="Arial"/>
                <w:sz w:val="16"/>
                <w:szCs w:val="16"/>
                <w:color w:val="092E44"/>
              </w:rPr>
              <w:t>New Relic</w:t>
            </w:r>
          </w:p>
        </w:tc>
        <w:tc>
          <w:tcPr>
            <w:tcW w:w="3360" w:type="dxa"/>
            <w:vAlign w:val="bottom"/>
            <w:shd w:val="clear" w:color="auto" w:fill="DDE9F2"/>
          </w:tcPr>
          <w:p>
            <w:pPr>
              <w:ind w:left="200"/>
              <w:spacing w:after="0"/>
              <w:rPr>
                <w:sz w:val="20"/>
                <w:szCs w:val="20"/>
                <w:color w:val="auto"/>
              </w:rPr>
            </w:pPr>
            <w:r>
              <w:rPr>
                <w:rFonts w:ascii="Arial" w:cs="Arial" w:eastAsia="Arial" w:hAnsi="Arial"/>
                <w:sz w:val="16"/>
                <w:szCs w:val="16"/>
                <w:color w:val="092E44"/>
              </w:rPr>
              <w:t>SecureWorks</w:t>
            </w:r>
          </w:p>
        </w:tc>
      </w:tr>
      <w:tr>
        <w:trPr>
          <w:trHeight w:val="267"/>
        </w:trPr>
        <w:tc>
          <w:tcPr>
            <w:tcW w:w="3840" w:type="dxa"/>
            <w:vAlign w:val="bottom"/>
            <w:shd w:val="clear" w:color="auto" w:fill="DDE9F2"/>
          </w:tcPr>
          <w:p>
            <w:pPr>
              <w:ind w:left="180"/>
              <w:spacing w:after="0"/>
              <w:rPr>
                <w:sz w:val="20"/>
                <w:szCs w:val="20"/>
                <w:color w:val="auto"/>
              </w:rPr>
            </w:pPr>
            <w:r>
              <w:rPr>
                <w:rFonts w:ascii="Arial" w:cs="Arial" w:eastAsia="Arial" w:hAnsi="Arial"/>
                <w:sz w:val="16"/>
                <w:szCs w:val="16"/>
                <w:color w:val="092E44"/>
              </w:rPr>
              <w:t>Box</w:t>
            </w:r>
          </w:p>
        </w:tc>
        <w:tc>
          <w:tcPr>
            <w:tcW w:w="3720" w:type="dxa"/>
            <w:vAlign w:val="bottom"/>
            <w:shd w:val="clear" w:color="auto" w:fill="DDE9F2"/>
          </w:tcPr>
          <w:p>
            <w:pPr>
              <w:ind w:left="220"/>
              <w:spacing w:after="0"/>
              <w:rPr>
                <w:sz w:val="20"/>
                <w:szCs w:val="20"/>
                <w:color w:val="auto"/>
              </w:rPr>
            </w:pPr>
            <w:r>
              <w:rPr>
                <w:rFonts w:ascii="Arial" w:cs="Arial" w:eastAsia="Arial" w:hAnsi="Arial"/>
                <w:sz w:val="16"/>
                <w:szCs w:val="16"/>
                <w:color w:val="092E44"/>
              </w:rPr>
              <w:t>Nutanix</w:t>
            </w:r>
          </w:p>
        </w:tc>
        <w:tc>
          <w:tcPr>
            <w:tcW w:w="3360" w:type="dxa"/>
            <w:vAlign w:val="bottom"/>
            <w:shd w:val="clear" w:color="auto" w:fill="DDE9F2"/>
          </w:tcPr>
          <w:p>
            <w:pPr>
              <w:ind w:left="200"/>
              <w:spacing w:after="0"/>
              <w:rPr>
                <w:sz w:val="20"/>
                <w:szCs w:val="20"/>
                <w:color w:val="auto"/>
              </w:rPr>
            </w:pPr>
            <w:r>
              <w:rPr>
                <w:rFonts w:ascii="Arial" w:cs="Arial" w:eastAsia="Arial" w:hAnsi="Arial"/>
                <w:sz w:val="16"/>
                <w:szCs w:val="16"/>
                <w:color w:val="092E44"/>
              </w:rPr>
              <w:t>Tenable Holdings</w:t>
            </w:r>
          </w:p>
        </w:tc>
      </w:tr>
      <w:tr>
        <w:trPr>
          <w:trHeight w:val="267"/>
        </w:trPr>
        <w:tc>
          <w:tcPr>
            <w:tcW w:w="3840" w:type="dxa"/>
            <w:vAlign w:val="bottom"/>
            <w:shd w:val="clear" w:color="auto" w:fill="DDE9F2"/>
          </w:tcPr>
          <w:p>
            <w:pPr>
              <w:ind w:left="180"/>
              <w:spacing w:after="0"/>
              <w:rPr>
                <w:sz w:val="20"/>
                <w:szCs w:val="20"/>
                <w:color w:val="auto"/>
              </w:rPr>
            </w:pPr>
            <w:r>
              <w:rPr>
                <w:rFonts w:ascii="Arial" w:cs="Arial" w:eastAsia="Arial" w:hAnsi="Arial"/>
                <w:sz w:val="16"/>
                <w:szCs w:val="16"/>
                <w:color w:val="092E44"/>
              </w:rPr>
              <w:t>Mandiant</w:t>
            </w:r>
          </w:p>
        </w:tc>
        <w:tc>
          <w:tcPr>
            <w:tcW w:w="3720" w:type="dxa"/>
            <w:vAlign w:val="bottom"/>
            <w:shd w:val="clear" w:color="auto" w:fill="DDE9F2"/>
          </w:tcPr>
          <w:p>
            <w:pPr>
              <w:ind w:left="220"/>
              <w:spacing w:after="0"/>
              <w:rPr>
                <w:sz w:val="20"/>
                <w:szCs w:val="20"/>
                <w:color w:val="auto"/>
              </w:rPr>
            </w:pPr>
            <w:r>
              <w:rPr>
                <w:rFonts w:ascii="Arial" w:cs="Arial" w:eastAsia="Arial" w:hAnsi="Arial"/>
                <w:sz w:val="16"/>
                <w:szCs w:val="16"/>
                <w:color w:val="092E44"/>
              </w:rPr>
              <w:t>Progress Software</w:t>
            </w:r>
          </w:p>
        </w:tc>
        <w:tc>
          <w:tcPr>
            <w:tcW w:w="3360" w:type="dxa"/>
            <w:vAlign w:val="bottom"/>
            <w:shd w:val="clear" w:color="auto" w:fill="DDE9F2"/>
          </w:tcPr>
          <w:p>
            <w:pPr>
              <w:ind w:left="200"/>
              <w:spacing w:after="0"/>
              <w:rPr>
                <w:sz w:val="20"/>
                <w:szCs w:val="20"/>
                <w:color w:val="auto"/>
              </w:rPr>
            </w:pPr>
            <w:r>
              <w:rPr>
                <w:rFonts w:ascii="Arial" w:cs="Arial" w:eastAsia="Arial" w:hAnsi="Arial"/>
                <w:sz w:val="16"/>
                <w:szCs w:val="16"/>
                <w:color w:val="092E44"/>
              </w:rPr>
              <w:t>Varonis Systems</w:t>
            </w:r>
          </w:p>
        </w:tc>
      </w:tr>
      <w:tr>
        <w:trPr>
          <w:trHeight w:val="405"/>
        </w:trPr>
        <w:tc>
          <w:tcPr>
            <w:tcW w:w="3840" w:type="dxa"/>
            <w:vAlign w:val="bottom"/>
            <w:shd w:val="clear" w:color="auto" w:fill="DDE9F2"/>
          </w:tcPr>
          <w:p>
            <w:pPr>
              <w:ind w:left="180"/>
              <w:spacing w:after="0"/>
              <w:rPr>
                <w:sz w:val="20"/>
                <w:szCs w:val="20"/>
                <w:color w:val="auto"/>
              </w:rPr>
            </w:pPr>
            <w:r>
              <w:rPr>
                <w:rFonts w:ascii="Arial" w:cs="Arial" w:eastAsia="Arial" w:hAnsi="Arial"/>
                <w:sz w:val="16"/>
                <w:szCs w:val="16"/>
                <w:b w:val="1"/>
                <w:bCs w:val="1"/>
                <w:color w:val="092E44"/>
              </w:rPr>
              <w:t>COMMVAULT VS. PEER GROUP</w:t>
            </w:r>
          </w:p>
        </w:tc>
        <w:tc>
          <w:tcPr>
            <w:tcW w:w="3720" w:type="dxa"/>
            <w:vAlign w:val="bottom"/>
            <w:shd w:val="clear" w:color="auto" w:fill="DDE9F2"/>
          </w:tcPr>
          <w:p>
            <w:pPr>
              <w:spacing w:after="0"/>
              <w:rPr>
                <w:sz w:val="24"/>
                <w:szCs w:val="24"/>
                <w:color w:val="auto"/>
              </w:rPr>
            </w:pPr>
          </w:p>
        </w:tc>
        <w:tc>
          <w:tcPr>
            <w:tcW w:w="3360" w:type="dxa"/>
            <w:vAlign w:val="bottom"/>
            <w:shd w:val="clear" w:color="auto" w:fill="DDE9F2"/>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0</wp:posOffset>
            </wp:positionV>
            <wp:extent cx="6929755" cy="8832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2975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and the TMCC review the peer group annually and make changes as needed to ensure it remains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342265</wp:posOffset>
            </wp:positionV>
            <wp:extent cx="220980" cy="2120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34</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80"/>
          </w:cols>
          <w:pgMar w:left="320" w:top="454"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CD&amp;A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FISCAL YEAR 2022 COMPENSATION DECISIONS</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Fiscal Year 2022 Compensation Decisions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Base salary</w:t>
      </w:r>
    </w:p>
    <w:p>
      <w:pPr>
        <w:spacing w:after="0" w:line="67" w:lineRule="exact"/>
        <w:rPr>
          <w:sz w:val="20"/>
          <w:szCs w:val="20"/>
          <w:color w:val="auto"/>
        </w:rPr>
      </w:pPr>
    </w:p>
    <w:p>
      <w:pPr>
        <w:ind w:left="160" w:right="40"/>
        <w:spacing w:after="0" w:line="253" w:lineRule="auto"/>
        <w:rPr>
          <w:sz w:val="20"/>
          <w:szCs w:val="20"/>
          <w:color w:val="auto"/>
        </w:rPr>
      </w:pPr>
      <w:r>
        <w:rPr>
          <w:rFonts w:ascii="Arial" w:cs="Arial" w:eastAsia="Arial" w:hAnsi="Arial"/>
          <w:sz w:val="16"/>
          <w:szCs w:val="16"/>
          <w:color w:val="092E44"/>
        </w:rPr>
        <w:t>The TMCC generally compares our executive officer base salaries to the 30th—80th percentile of the competitive market data in the analysis prepared by its compensation consultant. The TMCC considers this range, allowing for base salaries to be set at the upper end of the range where appropriate, because executive compensation in the technology industry is intensely competitive and some of our competitors are larger organizations that can provide generally larger compensation packages than organizations of our size. Due to the intense competition to attract and retain talent, the TMCC believes it is appropriate to target the base salaries of our executive officers at these levels. We believe our base salaries are competitive.</w:t>
      </w:r>
    </w:p>
    <w:p>
      <w:pPr>
        <w:spacing w:after="0" w:line="60" w:lineRule="exact"/>
        <w:rPr>
          <w:sz w:val="20"/>
          <w:szCs w:val="20"/>
          <w:color w:val="auto"/>
        </w:rPr>
      </w:pPr>
    </w:p>
    <w:p>
      <w:pPr>
        <w:ind w:left="160" w:right="220"/>
        <w:spacing w:after="0" w:line="256" w:lineRule="auto"/>
        <w:rPr>
          <w:sz w:val="20"/>
          <w:szCs w:val="20"/>
          <w:color w:val="auto"/>
        </w:rPr>
      </w:pPr>
      <w:r>
        <w:rPr>
          <w:rFonts w:ascii="Arial" w:cs="Arial" w:eastAsia="Arial" w:hAnsi="Arial"/>
          <w:sz w:val="16"/>
          <w:szCs w:val="16"/>
          <w:color w:val="092E44"/>
        </w:rPr>
        <w:t>Typically, base salary levels are reviewed annually as part of our performance review process, as well as upon a promotion or other change in job responsibility. In addition to considering the competitive market analysis when setting base salaries for fiscal 2022, the TMCC also evaluated the scope of, and accountability associated with, each executive officer’s position and the overall experience of each executive officer. The table below shows the fiscal 2021 and 2022 base salary rates for each named executive officer.</w:t>
      </w:r>
    </w:p>
    <w:p>
      <w:pPr>
        <w:spacing w:after="0" w:line="8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420" w:type="dxa"/>
            <w:vAlign w:val="bottom"/>
          </w:tcPr>
          <w:p>
            <w:pPr>
              <w:jc w:val="right"/>
              <w:ind w:right="363"/>
              <w:spacing w:after="0"/>
              <w:rPr>
                <w:sz w:val="20"/>
                <w:szCs w:val="20"/>
                <w:color w:val="auto"/>
              </w:rPr>
            </w:pPr>
            <w:r>
              <w:rPr>
                <w:rFonts w:ascii="Arial" w:cs="Arial" w:eastAsia="Arial" w:hAnsi="Arial"/>
                <w:sz w:val="14"/>
                <w:szCs w:val="14"/>
                <w:color w:val="092E44"/>
              </w:rPr>
              <w:t>Fiscal 2021 Salary</w:t>
            </w:r>
          </w:p>
        </w:tc>
        <w:tc>
          <w:tcPr>
            <w:tcW w:w="1880" w:type="dxa"/>
            <w:vAlign w:val="bottom"/>
          </w:tcPr>
          <w:p>
            <w:pPr>
              <w:jc w:val="right"/>
              <w:ind w:right="223"/>
              <w:spacing w:after="0"/>
              <w:rPr>
                <w:sz w:val="20"/>
                <w:szCs w:val="20"/>
                <w:color w:val="auto"/>
              </w:rPr>
            </w:pPr>
            <w:r>
              <w:rPr>
                <w:rFonts w:ascii="Arial" w:cs="Arial" w:eastAsia="Arial" w:hAnsi="Arial"/>
                <w:sz w:val="14"/>
                <w:szCs w:val="14"/>
                <w:color w:val="092E44"/>
              </w:rPr>
              <w:t>Fiscal 2022 Salary</w:t>
            </w:r>
          </w:p>
        </w:tc>
        <w:tc>
          <w:tcPr>
            <w:tcW w:w="1900" w:type="dxa"/>
            <w:vAlign w:val="bottom"/>
          </w:tcPr>
          <w:p>
            <w:pPr>
              <w:jc w:val="right"/>
              <w:ind w:right="203"/>
              <w:spacing w:after="0"/>
              <w:rPr>
                <w:sz w:val="20"/>
                <w:szCs w:val="20"/>
                <w:color w:val="auto"/>
              </w:rPr>
            </w:pPr>
            <w:r>
              <w:rPr>
                <w:rFonts w:ascii="Arial" w:cs="Arial" w:eastAsia="Arial" w:hAnsi="Arial"/>
                <w:sz w:val="14"/>
                <w:szCs w:val="14"/>
                <w:color w:val="092E44"/>
              </w:rPr>
              <w:t>Percentage Increase</w:t>
            </w:r>
          </w:p>
        </w:tc>
      </w:tr>
      <w:tr>
        <w:trPr>
          <w:trHeight w:val="183"/>
        </w:trPr>
        <w:tc>
          <w:tcPr>
            <w:tcW w:w="4720" w:type="dxa"/>
            <w:vAlign w:val="bottom"/>
            <w:tcBorders>
              <w:bottom w:val="single" w:sz="8" w:color="E14A6A"/>
            </w:tcBorders>
          </w:tcPr>
          <w:p>
            <w:pPr>
              <w:ind w:left="80"/>
              <w:spacing w:after="0"/>
              <w:rPr>
                <w:sz w:val="20"/>
                <w:szCs w:val="20"/>
                <w:color w:val="auto"/>
              </w:rPr>
            </w:pPr>
            <w:r>
              <w:rPr>
                <w:rFonts w:ascii="Arial" w:cs="Arial" w:eastAsia="Arial" w:hAnsi="Arial"/>
                <w:sz w:val="14"/>
                <w:szCs w:val="14"/>
                <w:color w:val="092E44"/>
              </w:rPr>
              <w:t>Name and Principal Position Held</w:t>
            </w:r>
          </w:p>
        </w:tc>
        <w:tc>
          <w:tcPr>
            <w:tcW w:w="2420" w:type="dxa"/>
            <w:vAlign w:val="bottom"/>
            <w:tcBorders>
              <w:bottom w:val="single" w:sz="8" w:color="E14A6A"/>
            </w:tcBorders>
          </w:tcPr>
          <w:p>
            <w:pPr>
              <w:jc w:val="right"/>
              <w:ind w:right="363"/>
              <w:spacing w:after="0"/>
              <w:rPr>
                <w:sz w:val="20"/>
                <w:szCs w:val="20"/>
                <w:color w:val="auto"/>
              </w:rPr>
            </w:pPr>
            <w:r>
              <w:rPr>
                <w:rFonts w:ascii="Arial" w:cs="Arial" w:eastAsia="Arial" w:hAnsi="Arial"/>
                <w:sz w:val="14"/>
                <w:szCs w:val="14"/>
                <w:color w:val="092E44"/>
              </w:rPr>
              <w:t>($)</w:t>
            </w:r>
          </w:p>
        </w:tc>
        <w:tc>
          <w:tcPr>
            <w:tcW w:w="1880" w:type="dxa"/>
            <w:vAlign w:val="bottom"/>
            <w:tcBorders>
              <w:bottom w:val="single" w:sz="8" w:color="E14A6A"/>
            </w:tcBorders>
          </w:tcPr>
          <w:p>
            <w:pPr>
              <w:jc w:val="right"/>
              <w:ind w:right="223"/>
              <w:spacing w:after="0"/>
              <w:rPr>
                <w:sz w:val="20"/>
                <w:szCs w:val="20"/>
                <w:color w:val="auto"/>
              </w:rPr>
            </w:pPr>
            <w:r>
              <w:rPr>
                <w:rFonts w:ascii="Arial" w:cs="Arial" w:eastAsia="Arial" w:hAnsi="Arial"/>
                <w:sz w:val="14"/>
                <w:szCs w:val="14"/>
                <w:color w:val="092E44"/>
              </w:rPr>
              <w:t>($)</w:t>
            </w:r>
          </w:p>
        </w:tc>
        <w:tc>
          <w:tcPr>
            <w:tcW w:w="1900" w:type="dxa"/>
            <w:vAlign w:val="bottom"/>
            <w:tcBorders>
              <w:bottom w:val="single" w:sz="8" w:color="E14A6A"/>
            </w:tcBorders>
          </w:tcPr>
          <w:p>
            <w:pPr>
              <w:jc w:val="right"/>
              <w:ind w:right="203"/>
              <w:spacing w:after="0"/>
              <w:rPr>
                <w:sz w:val="20"/>
                <w:szCs w:val="20"/>
                <w:color w:val="auto"/>
              </w:rPr>
            </w:pPr>
            <w:r>
              <w:rPr>
                <w:rFonts w:ascii="Arial" w:cs="Arial" w:eastAsia="Arial" w:hAnsi="Arial"/>
                <w:sz w:val="14"/>
                <w:szCs w:val="14"/>
                <w:color w:val="092E44"/>
              </w:rPr>
              <w:t>(%)</w:t>
            </w:r>
          </w:p>
        </w:tc>
      </w:tr>
      <w:tr>
        <w:trPr>
          <w:trHeight w:val="220"/>
        </w:trPr>
        <w:tc>
          <w:tcPr>
            <w:tcW w:w="4720" w:type="dxa"/>
            <w:vAlign w:val="bottom"/>
          </w:tcPr>
          <w:p>
            <w:pPr>
              <w:ind w:left="80"/>
              <w:spacing w:after="0"/>
              <w:rPr>
                <w:sz w:val="20"/>
                <w:szCs w:val="20"/>
                <w:color w:val="auto"/>
              </w:rPr>
            </w:pPr>
            <w:r>
              <w:rPr>
                <w:rFonts w:ascii="Arial" w:cs="Arial" w:eastAsia="Arial" w:hAnsi="Arial"/>
                <w:sz w:val="16"/>
                <w:szCs w:val="16"/>
                <w:b w:val="1"/>
                <w:bCs w:val="1"/>
                <w:color w:val="092E44"/>
              </w:rPr>
              <w:t>Sanjay Mirchandani</w:t>
            </w:r>
          </w:p>
        </w:tc>
        <w:tc>
          <w:tcPr>
            <w:tcW w:w="2420" w:type="dxa"/>
            <w:vAlign w:val="bottom"/>
          </w:tcPr>
          <w:p>
            <w:pPr>
              <w:jc w:val="right"/>
              <w:ind w:right="363"/>
              <w:spacing w:after="0"/>
              <w:rPr>
                <w:sz w:val="20"/>
                <w:szCs w:val="20"/>
                <w:color w:val="auto"/>
              </w:rPr>
            </w:pPr>
            <w:r>
              <w:rPr>
                <w:rFonts w:ascii="Arial" w:cs="Arial" w:eastAsia="Arial" w:hAnsi="Arial"/>
                <w:sz w:val="16"/>
                <w:szCs w:val="16"/>
                <w:color w:val="092E44"/>
              </w:rPr>
              <w:t>550,000</w:t>
            </w:r>
          </w:p>
        </w:tc>
        <w:tc>
          <w:tcPr>
            <w:tcW w:w="1880" w:type="dxa"/>
            <w:vAlign w:val="bottom"/>
          </w:tcPr>
          <w:p>
            <w:pPr>
              <w:jc w:val="right"/>
              <w:ind w:right="223"/>
              <w:spacing w:after="0"/>
              <w:rPr>
                <w:sz w:val="20"/>
                <w:szCs w:val="20"/>
                <w:color w:val="auto"/>
              </w:rPr>
            </w:pPr>
            <w:r>
              <w:rPr>
                <w:rFonts w:ascii="Arial" w:cs="Arial" w:eastAsia="Arial" w:hAnsi="Arial"/>
                <w:sz w:val="16"/>
                <w:szCs w:val="16"/>
                <w:color w:val="092E44"/>
              </w:rPr>
              <w:t>645,000</w:t>
            </w:r>
          </w:p>
        </w:tc>
        <w:tc>
          <w:tcPr>
            <w:tcW w:w="1900" w:type="dxa"/>
            <w:vAlign w:val="bottom"/>
          </w:tcPr>
          <w:p>
            <w:pPr>
              <w:jc w:val="right"/>
              <w:ind w:right="203"/>
              <w:spacing w:after="0"/>
              <w:rPr>
                <w:sz w:val="20"/>
                <w:szCs w:val="20"/>
                <w:color w:val="auto"/>
              </w:rPr>
            </w:pPr>
            <w:r>
              <w:rPr>
                <w:rFonts w:ascii="Arial" w:cs="Arial" w:eastAsia="Arial" w:hAnsi="Arial"/>
                <w:sz w:val="16"/>
                <w:szCs w:val="16"/>
                <w:color w:val="092E44"/>
              </w:rPr>
              <w:t>17.3%*</w:t>
            </w:r>
          </w:p>
        </w:tc>
      </w:tr>
      <w:tr>
        <w:trPr>
          <w:trHeight w:val="211"/>
        </w:trPr>
        <w:tc>
          <w:tcPr>
            <w:tcW w:w="4720" w:type="dxa"/>
            <w:vAlign w:val="bottom"/>
          </w:tcPr>
          <w:p>
            <w:pPr>
              <w:ind w:left="80"/>
              <w:spacing w:after="0"/>
              <w:rPr>
                <w:sz w:val="20"/>
                <w:szCs w:val="20"/>
                <w:color w:val="auto"/>
              </w:rPr>
            </w:pPr>
            <w:r>
              <w:rPr>
                <w:rFonts w:ascii="Arial" w:cs="Arial" w:eastAsia="Arial" w:hAnsi="Arial"/>
                <w:sz w:val="16"/>
                <w:szCs w:val="16"/>
                <w:color w:val="092E44"/>
              </w:rPr>
              <w:t>President and Chief Executive Officer</w:t>
            </w:r>
          </w:p>
        </w:tc>
        <w:tc>
          <w:tcPr>
            <w:tcW w:w="2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70"/>
        </w:trPr>
        <w:tc>
          <w:tcPr>
            <w:tcW w:w="47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900" w:type="dxa"/>
            <w:vAlign w:val="bottom"/>
          </w:tcPr>
          <w:p>
            <w:pPr>
              <w:spacing w:after="0"/>
              <w:rPr>
                <w:sz w:val="6"/>
                <w:szCs w:val="6"/>
                <w:color w:val="auto"/>
              </w:rPr>
            </w:pPr>
          </w:p>
        </w:tc>
      </w:tr>
      <w:tr>
        <w:trPr>
          <w:trHeight w:val="240"/>
        </w:trPr>
        <w:tc>
          <w:tcPr>
            <w:tcW w:w="4720" w:type="dxa"/>
            <w:vAlign w:val="bottom"/>
            <w:shd w:val="clear" w:color="auto" w:fill="DDE9F2"/>
          </w:tcPr>
          <w:p>
            <w:pPr>
              <w:ind w:left="80"/>
              <w:spacing w:after="0"/>
              <w:rPr>
                <w:sz w:val="20"/>
                <w:szCs w:val="20"/>
                <w:color w:val="auto"/>
              </w:rPr>
            </w:pPr>
            <w:r>
              <w:rPr>
                <w:rFonts w:ascii="Arial" w:cs="Arial" w:eastAsia="Arial" w:hAnsi="Arial"/>
                <w:sz w:val="16"/>
                <w:szCs w:val="16"/>
                <w:b w:val="1"/>
                <w:bCs w:val="1"/>
                <w:color w:val="092E44"/>
              </w:rPr>
              <w:t>Brian Carolan</w:t>
            </w:r>
          </w:p>
        </w:tc>
        <w:tc>
          <w:tcPr>
            <w:tcW w:w="2420" w:type="dxa"/>
            <w:vAlign w:val="bottom"/>
            <w:shd w:val="clear" w:color="auto" w:fill="DDE9F2"/>
          </w:tcPr>
          <w:p>
            <w:pPr>
              <w:jc w:val="right"/>
              <w:ind w:right="363"/>
              <w:spacing w:after="0"/>
              <w:rPr>
                <w:sz w:val="20"/>
                <w:szCs w:val="20"/>
                <w:color w:val="auto"/>
              </w:rPr>
            </w:pPr>
            <w:r>
              <w:rPr>
                <w:rFonts w:ascii="Arial" w:cs="Arial" w:eastAsia="Arial" w:hAnsi="Arial"/>
                <w:sz w:val="16"/>
                <w:szCs w:val="16"/>
                <w:color w:val="092E44"/>
              </w:rPr>
              <w:t>410,000</w:t>
            </w:r>
          </w:p>
        </w:tc>
        <w:tc>
          <w:tcPr>
            <w:tcW w:w="1880" w:type="dxa"/>
            <w:vAlign w:val="bottom"/>
            <w:shd w:val="clear" w:color="auto" w:fill="DDE9F2"/>
          </w:tcPr>
          <w:p>
            <w:pPr>
              <w:jc w:val="right"/>
              <w:ind w:right="223"/>
              <w:spacing w:after="0"/>
              <w:rPr>
                <w:sz w:val="20"/>
                <w:szCs w:val="20"/>
                <w:color w:val="auto"/>
              </w:rPr>
            </w:pPr>
            <w:r>
              <w:rPr>
                <w:rFonts w:ascii="Arial" w:cs="Arial" w:eastAsia="Arial" w:hAnsi="Arial"/>
                <w:sz w:val="16"/>
                <w:szCs w:val="16"/>
                <w:color w:val="092E44"/>
              </w:rPr>
              <w:t>410,000</w:t>
            </w:r>
          </w:p>
        </w:tc>
        <w:tc>
          <w:tcPr>
            <w:tcW w:w="1900" w:type="dxa"/>
            <w:vAlign w:val="bottom"/>
            <w:shd w:val="clear" w:color="auto" w:fill="DDE9F2"/>
          </w:tcPr>
          <w:p>
            <w:pPr>
              <w:jc w:val="right"/>
              <w:ind w:right="203"/>
              <w:spacing w:after="0"/>
              <w:rPr>
                <w:sz w:val="20"/>
                <w:szCs w:val="20"/>
                <w:color w:val="auto"/>
              </w:rPr>
            </w:pPr>
            <w:r>
              <w:rPr>
                <w:rFonts w:ascii="Arial" w:cs="Arial" w:eastAsia="Arial" w:hAnsi="Arial"/>
                <w:sz w:val="16"/>
                <w:szCs w:val="16"/>
                <w:color w:val="092E44"/>
              </w:rPr>
              <w:t>0%</w:t>
            </w:r>
          </w:p>
        </w:tc>
      </w:tr>
      <w:tr>
        <w:trPr>
          <w:trHeight w:val="211"/>
        </w:trPr>
        <w:tc>
          <w:tcPr>
            <w:tcW w:w="4720" w:type="dxa"/>
            <w:vAlign w:val="bottom"/>
            <w:shd w:val="clear" w:color="auto" w:fill="DDE9F2"/>
          </w:tcPr>
          <w:p>
            <w:pPr>
              <w:ind w:left="80"/>
              <w:spacing w:after="0"/>
              <w:rPr>
                <w:sz w:val="20"/>
                <w:szCs w:val="20"/>
                <w:color w:val="auto"/>
              </w:rPr>
            </w:pPr>
            <w:r>
              <w:rPr>
                <w:rFonts w:ascii="Arial" w:cs="Arial" w:eastAsia="Arial" w:hAnsi="Arial"/>
                <w:sz w:val="16"/>
                <w:szCs w:val="16"/>
                <w:color w:val="092E44"/>
              </w:rPr>
              <w:t>Chief Financial Officer</w:t>
            </w:r>
          </w:p>
        </w:tc>
        <w:tc>
          <w:tcPr>
            <w:tcW w:w="2420" w:type="dxa"/>
            <w:vAlign w:val="bottom"/>
            <w:shd w:val="clear" w:color="auto" w:fill="DDE9F2"/>
          </w:tcPr>
          <w:p>
            <w:pPr>
              <w:spacing w:after="0"/>
              <w:rPr>
                <w:sz w:val="18"/>
                <w:szCs w:val="18"/>
                <w:color w:val="auto"/>
              </w:rPr>
            </w:pPr>
          </w:p>
        </w:tc>
        <w:tc>
          <w:tcPr>
            <w:tcW w:w="1880" w:type="dxa"/>
            <w:vAlign w:val="bottom"/>
            <w:shd w:val="clear" w:color="auto" w:fill="DDE9F2"/>
          </w:tcPr>
          <w:p>
            <w:pPr>
              <w:spacing w:after="0"/>
              <w:rPr>
                <w:sz w:val="18"/>
                <w:szCs w:val="18"/>
                <w:color w:val="auto"/>
              </w:rPr>
            </w:pPr>
          </w:p>
        </w:tc>
        <w:tc>
          <w:tcPr>
            <w:tcW w:w="1900" w:type="dxa"/>
            <w:vAlign w:val="bottom"/>
            <w:shd w:val="clear" w:color="auto" w:fill="DDE9F2"/>
          </w:tcPr>
          <w:p>
            <w:pPr>
              <w:spacing w:after="0"/>
              <w:rPr>
                <w:sz w:val="18"/>
                <w:szCs w:val="18"/>
                <w:color w:val="auto"/>
              </w:rPr>
            </w:pPr>
          </w:p>
        </w:tc>
      </w:tr>
      <w:tr>
        <w:trPr>
          <w:trHeight w:val="70"/>
        </w:trPr>
        <w:tc>
          <w:tcPr>
            <w:tcW w:w="4720" w:type="dxa"/>
            <w:vAlign w:val="bottom"/>
            <w:shd w:val="clear" w:color="auto" w:fill="DDE9F2"/>
          </w:tcPr>
          <w:p>
            <w:pPr>
              <w:spacing w:after="0"/>
              <w:rPr>
                <w:sz w:val="6"/>
                <w:szCs w:val="6"/>
                <w:color w:val="auto"/>
              </w:rPr>
            </w:pPr>
          </w:p>
        </w:tc>
        <w:tc>
          <w:tcPr>
            <w:tcW w:w="2420" w:type="dxa"/>
            <w:vAlign w:val="bottom"/>
            <w:shd w:val="clear" w:color="auto" w:fill="DDE9F2"/>
          </w:tcPr>
          <w:p>
            <w:pPr>
              <w:spacing w:after="0"/>
              <w:rPr>
                <w:sz w:val="6"/>
                <w:szCs w:val="6"/>
                <w:color w:val="auto"/>
              </w:rPr>
            </w:pPr>
          </w:p>
        </w:tc>
        <w:tc>
          <w:tcPr>
            <w:tcW w:w="1880" w:type="dxa"/>
            <w:vAlign w:val="bottom"/>
            <w:shd w:val="clear" w:color="auto" w:fill="DDE9F2"/>
          </w:tcPr>
          <w:p>
            <w:pPr>
              <w:spacing w:after="0"/>
              <w:rPr>
                <w:sz w:val="6"/>
                <w:szCs w:val="6"/>
                <w:color w:val="auto"/>
              </w:rPr>
            </w:pPr>
          </w:p>
        </w:tc>
        <w:tc>
          <w:tcPr>
            <w:tcW w:w="1900" w:type="dxa"/>
            <w:vAlign w:val="bottom"/>
            <w:shd w:val="clear" w:color="auto" w:fill="DDE9F2"/>
          </w:tcPr>
          <w:p>
            <w:pPr>
              <w:spacing w:after="0"/>
              <w:rPr>
                <w:sz w:val="6"/>
                <w:szCs w:val="6"/>
                <w:color w:val="auto"/>
              </w:rPr>
            </w:pPr>
          </w:p>
        </w:tc>
      </w:tr>
      <w:tr>
        <w:trPr>
          <w:trHeight w:val="240"/>
        </w:trPr>
        <w:tc>
          <w:tcPr>
            <w:tcW w:w="4720" w:type="dxa"/>
            <w:vAlign w:val="bottom"/>
          </w:tcPr>
          <w:p>
            <w:pPr>
              <w:ind w:left="80"/>
              <w:spacing w:after="0"/>
              <w:rPr>
                <w:sz w:val="20"/>
                <w:szCs w:val="20"/>
                <w:color w:val="auto"/>
              </w:rPr>
            </w:pPr>
            <w:r>
              <w:rPr>
                <w:rFonts w:ascii="Arial" w:cs="Arial" w:eastAsia="Arial" w:hAnsi="Arial"/>
                <w:sz w:val="16"/>
                <w:szCs w:val="16"/>
                <w:b w:val="1"/>
                <w:bCs w:val="1"/>
                <w:color w:val="092E44"/>
              </w:rPr>
              <w:t>Riccardo Di Blasio</w:t>
            </w:r>
          </w:p>
        </w:tc>
        <w:tc>
          <w:tcPr>
            <w:tcW w:w="2420" w:type="dxa"/>
            <w:vAlign w:val="bottom"/>
          </w:tcPr>
          <w:p>
            <w:pPr>
              <w:jc w:val="right"/>
              <w:ind w:right="363"/>
              <w:spacing w:after="0"/>
              <w:rPr>
                <w:sz w:val="20"/>
                <w:szCs w:val="20"/>
                <w:color w:val="auto"/>
              </w:rPr>
            </w:pPr>
            <w:r>
              <w:rPr>
                <w:rFonts w:ascii="Arial" w:cs="Arial" w:eastAsia="Arial" w:hAnsi="Arial"/>
                <w:sz w:val="16"/>
                <w:szCs w:val="16"/>
                <w:color w:val="092E44"/>
              </w:rPr>
              <w:t>445,000</w:t>
            </w:r>
          </w:p>
        </w:tc>
        <w:tc>
          <w:tcPr>
            <w:tcW w:w="1880" w:type="dxa"/>
            <w:vAlign w:val="bottom"/>
          </w:tcPr>
          <w:p>
            <w:pPr>
              <w:jc w:val="right"/>
              <w:ind w:right="223"/>
              <w:spacing w:after="0"/>
              <w:rPr>
                <w:sz w:val="20"/>
                <w:szCs w:val="20"/>
                <w:color w:val="auto"/>
              </w:rPr>
            </w:pPr>
            <w:r>
              <w:rPr>
                <w:rFonts w:ascii="Arial" w:cs="Arial" w:eastAsia="Arial" w:hAnsi="Arial"/>
                <w:sz w:val="16"/>
                <w:szCs w:val="16"/>
                <w:color w:val="092E44"/>
              </w:rPr>
              <w:t>450,000</w:t>
            </w:r>
          </w:p>
        </w:tc>
        <w:tc>
          <w:tcPr>
            <w:tcW w:w="1900" w:type="dxa"/>
            <w:vAlign w:val="bottom"/>
          </w:tcPr>
          <w:p>
            <w:pPr>
              <w:jc w:val="right"/>
              <w:ind w:right="203"/>
              <w:spacing w:after="0"/>
              <w:rPr>
                <w:sz w:val="20"/>
                <w:szCs w:val="20"/>
                <w:color w:val="auto"/>
              </w:rPr>
            </w:pPr>
            <w:r>
              <w:rPr>
                <w:rFonts w:ascii="Arial" w:cs="Arial" w:eastAsia="Arial" w:hAnsi="Arial"/>
                <w:sz w:val="16"/>
                <w:szCs w:val="16"/>
                <w:color w:val="092E44"/>
              </w:rPr>
              <w:t>1.1%</w:t>
            </w:r>
          </w:p>
        </w:tc>
      </w:tr>
      <w:tr>
        <w:trPr>
          <w:trHeight w:val="211"/>
        </w:trPr>
        <w:tc>
          <w:tcPr>
            <w:tcW w:w="4720" w:type="dxa"/>
            <w:vAlign w:val="bottom"/>
          </w:tcPr>
          <w:p>
            <w:pPr>
              <w:ind w:left="80"/>
              <w:spacing w:after="0"/>
              <w:rPr>
                <w:sz w:val="20"/>
                <w:szCs w:val="20"/>
                <w:color w:val="auto"/>
              </w:rPr>
            </w:pPr>
            <w:r>
              <w:rPr>
                <w:rFonts w:ascii="Arial" w:cs="Arial" w:eastAsia="Arial" w:hAnsi="Arial"/>
                <w:sz w:val="16"/>
                <w:szCs w:val="16"/>
                <w:color w:val="092E44"/>
              </w:rPr>
              <w:t>Chief Revenue Officer</w:t>
            </w:r>
          </w:p>
        </w:tc>
        <w:tc>
          <w:tcPr>
            <w:tcW w:w="2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9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44450</wp:posOffset>
            </wp:positionV>
            <wp:extent cx="69297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3" w:lineRule="exact"/>
        <w:rPr>
          <w:sz w:val="20"/>
          <w:szCs w:val="20"/>
          <w:color w:val="auto"/>
        </w:rPr>
      </w:pPr>
    </w:p>
    <w:p>
      <w:pPr>
        <w:ind w:left="480" w:right="680" w:hanging="313"/>
        <w:spacing w:after="0" w:line="279" w:lineRule="auto"/>
        <w:tabs>
          <w:tab w:leader="none" w:pos="480" w:val="left"/>
        </w:tabs>
        <w:numPr>
          <w:ilvl w:val="0"/>
          <w:numId w:val="16"/>
        </w:numPr>
        <w:rPr>
          <w:rFonts w:ascii="Arial" w:cs="Arial" w:eastAsia="Arial" w:hAnsi="Arial"/>
          <w:sz w:val="12"/>
          <w:szCs w:val="12"/>
          <w:color w:val="092E44"/>
        </w:rPr>
      </w:pPr>
      <w:r>
        <w:rPr>
          <w:rFonts w:ascii="Arial" w:cs="Arial" w:eastAsia="Arial" w:hAnsi="Arial"/>
          <w:sz w:val="12"/>
          <w:szCs w:val="12"/>
          <w:color w:val="092E44"/>
        </w:rPr>
        <w:t>In his first two years with Commvault, Mr. Mirchandani received housing and relocation allowances of approximately $180,000 per year. For fiscal year 2022, those allowances were incorporated into his base salary rather than being paid separately, accounting for most of this increase.</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Annual Incentive Plan</w:t>
      </w:r>
    </w:p>
    <w:p>
      <w:pPr>
        <w:spacing w:after="0" w:line="67" w:lineRule="exact"/>
        <w:rPr>
          <w:sz w:val="20"/>
          <w:szCs w:val="20"/>
          <w:color w:val="auto"/>
        </w:rPr>
      </w:pPr>
    </w:p>
    <w:p>
      <w:pPr>
        <w:ind w:left="160" w:right="80"/>
        <w:spacing w:after="0" w:line="279" w:lineRule="auto"/>
        <w:rPr>
          <w:sz w:val="20"/>
          <w:szCs w:val="20"/>
          <w:color w:val="auto"/>
        </w:rPr>
      </w:pPr>
      <w:r>
        <w:rPr>
          <w:rFonts w:ascii="Arial" w:cs="Arial" w:eastAsia="Arial" w:hAnsi="Arial"/>
          <w:sz w:val="16"/>
          <w:szCs w:val="16"/>
          <w:color w:val="092E44"/>
        </w:rPr>
        <w:t>During fiscal 2022, Messrs. Mirchandani, Carolan, and Di Blasio each participated in the Commvault Annual Incentive Plan (the “Fiscal 2022 AIP”), which made them eligible to earn a cash bonus based on achievement of pre-established corporate financial goals.</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color w:val="E14A6A"/>
        </w:rPr>
        <w:t>Target Annual Cash Incentive Opportunities</w:t>
      </w:r>
    </w:p>
    <w:p>
      <w:pPr>
        <w:spacing w:after="0" w:line="52" w:lineRule="exact"/>
        <w:rPr>
          <w:sz w:val="20"/>
          <w:szCs w:val="20"/>
          <w:color w:val="auto"/>
        </w:rPr>
      </w:pPr>
    </w:p>
    <w:p>
      <w:pPr>
        <w:jc w:val="both"/>
        <w:ind w:left="160"/>
        <w:spacing w:after="0" w:line="256" w:lineRule="auto"/>
        <w:rPr>
          <w:sz w:val="20"/>
          <w:szCs w:val="20"/>
          <w:color w:val="auto"/>
        </w:rPr>
      </w:pPr>
      <w:r>
        <w:rPr>
          <w:rFonts w:ascii="Arial" w:cs="Arial" w:eastAsia="Arial" w:hAnsi="Arial"/>
          <w:sz w:val="16"/>
          <w:szCs w:val="16"/>
          <w:color w:val="092E44"/>
        </w:rPr>
        <w:t>The TMCC approved target cash incentive opportunities for the named executive officers in May 2021 after considering a competitive market analysis, the scope of and accountability associated with each executive officer’s position, the performance of each executive officer since the last annual performance review (in the case of Mr. Carolan), and the overall experience of each executive officer. Mr. Di Blasio was evaluated against certain quarterly (rather than annual) goals and had more upside potential for one metric (revenue), as discussed below.</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The target cash incentive opportunities were as follows:</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400" w:type="dxa"/>
            <w:vAlign w:val="bottom"/>
          </w:tcPr>
          <w:p>
            <w:pPr>
              <w:jc w:val="right"/>
              <w:ind w:right="482"/>
              <w:spacing w:after="0"/>
              <w:rPr>
                <w:sz w:val="20"/>
                <w:szCs w:val="20"/>
                <w:color w:val="auto"/>
              </w:rPr>
            </w:pPr>
            <w:r>
              <w:rPr>
                <w:rFonts w:ascii="Arial" w:cs="Arial" w:eastAsia="Arial" w:hAnsi="Arial"/>
                <w:sz w:val="14"/>
                <w:szCs w:val="14"/>
                <w:color w:val="092E44"/>
              </w:rPr>
              <w:t>Fiscal year 2022 base salary</w:t>
            </w:r>
          </w:p>
        </w:tc>
        <w:tc>
          <w:tcPr>
            <w:tcW w:w="2740" w:type="dxa"/>
            <w:vAlign w:val="bottom"/>
          </w:tcPr>
          <w:p>
            <w:pPr>
              <w:jc w:val="right"/>
              <w:ind w:right="303"/>
              <w:spacing w:after="0"/>
              <w:rPr>
                <w:sz w:val="20"/>
                <w:szCs w:val="20"/>
                <w:color w:val="auto"/>
              </w:rPr>
            </w:pPr>
            <w:r>
              <w:rPr>
                <w:rFonts w:ascii="Arial" w:cs="Arial" w:eastAsia="Arial" w:hAnsi="Arial"/>
                <w:sz w:val="14"/>
                <w:szCs w:val="14"/>
                <w:color w:val="092E44"/>
              </w:rPr>
              <w:t>Target annual cash incentive</w:t>
            </w:r>
          </w:p>
        </w:tc>
        <w:tc>
          <w:tcPr>
            <w:tcW w:w="2540" w:type="dxa"/>
            <w:vAlign w:val="bottom"/>
          </w:tcPr>
          <w:p>
            <w:pPr>
              <w:jc w:val="right"/>
              <w:ind w:right="263"/>
              <w:spacing w:after="0"/>
              <w:rPr>
                <w:sz w:val="20"/>
                <w:szCs w:val="20"/>
                <w:color w:val="auto"/>
              </w:rPr>
            </w:pPr>
            <w:r>
              <w:rPr>
                <w:rFonts w:ascii="Arial" w:cs="Arial" w:eastAsia="Arial" w:hAnsi="Arial"/>
                <w:sz w:val="14"/>
                <w:szCs w:val="14"/>
                <w:color w:val="092E44"/>
              </w:rPr>
              <w:t>Target annual cash incentive</w:t>
            </w:r>
          </w:p>
        </w:tc>
      </w:tr>
      <w:tr>
        <w:trPr>
          <w:trHeight w:val="183"/>
        </w:trPr>
        <w:tc>
          <w:tcPr>
            <w:tcW w:w="2240" w:type="dxa"/>
            <w:vAlign w:val="bottom"/>
            <w:tcBorders>
              <w:bottom w:val="single" w:sz="8" w:color="E14A6A"/>
            </w:tcBorders>
          </w:tcPr>
          <w:p>
            <w:pPr>
              <w:ind w:left="80"/>
              <w:spacing w:after="0"/>
              <w:rPr>
                <w:sz w:val="20"/>
                <w:szCs w:val="20"/>
                <w:color w:val="auto"/>
              </w:rPr>
            </w:pPr>
            <w:r>
              <w:rPr>
                <w:rFonts w:ascii="Arial" w:cs="Arial" w:eastAsia="Arial" w:hAnsi="Arial"/>
                <w:sz w:val="14"/>
                <w:szCs w:val="14"/>
                <w:color w:val="092E44"/>
              </w:rPr>
              <w:t>Executive</w:t>
            </w:r>
          </w:p>
        </w:tc>
        <w:tc>
          <w:tcPr>
            <w:tcW w:w="3400" w:type="dxa"/>
            <w:vAlign w:val="bottom"/>
            <w:tcBorders>
              <w:bottom w:val="single" w:sz="8" w:color="E14A6A"/>
            </w:tcBorders>
          </w:tcPr>
          <w:p>
            <w:pPr>
              <w:spacing w:after="0"/>
              <w:rPr>
                <w:sz w:val="15"/>
                <w:szCs w:val="15"/>
                <w:color w:val="auto"/>
              </w:rPr>
            </w:pPr>
          </w:p>
        </w:tc>
        <w:tc>
          <w:tcPr>
            <w:tcW w:w="2740" w:type="dxa"/>
            <w:vAlign w:val="bottom"/>
            <w:tcBorders>
              <w:bottom w:val="single" w:sz="8" w:color="E14A6A"/>
            </w:tcBorders>
          </w:tcPr>
          <w:p>
            <w:pPr>
              <w:jc w:val="right"/>
              <w:ind w:right="303"/>
              <w:spacing w:after="0"/>
              <w:rPr>
                <w:sz w:val="20"/>
                <w:szCs w:val="20"/>
                <w:color w:val="auto"/>
              </w:rPr>
            </w:pPr>
            <w:r>
              <w:rPr>
                <w:rFonts w:ascii="Arial" w:cs="Arial" w:eastAsia="Arial" w:hAnsi="Arial"/>
                <w:sz w:val="14"/>
                <w:szCs w:val="14"/>
                <w:color w:val="092E44"/>
              </w:rPr>
              <w:t>(%)</w:t>
            </w:r>
          </w:p>
        </w:tc>
        <w:tc>
          <w:tcPr>
            <w:tcW w:w="2540" w:type="dxa"/>
            <w:vAlign w:val="bottom"/>
            <w:tcBorders>
              <w:bottom w:val="single" w:sz="8" w:color="E14A6A"/>
            </w:tcBorders>
          </w:tcPr>
          <w:p>
            <w:pPr>
              <w:jc w:val="right"/>
              <w:ind w:right="263"/>
              <w:spacing w:after="0"/>
              <w:rPr>
                <w:sz w:val="20"/>
                <w:szCs w:val="20"/>
                <w:color w:val="auto"/>
              </w:rPr>
            </w:pPr>
            <w:r>
              <w:rPr>
                <w:rFonts w:ascii="Arial" w:cs="Arial" w:eastAsia="Arial" w:hAnsi="Arial"/>
                <w:sz w:val="14"/>
                <w:szCs w:val="14"/>
                <w:color w:val="092E44"/>
              </w:rPr>
              <w:t>($)</w:t>
            </w:r>
          </w:p>
        </w:tc>
      </w:tr>
      <w:tr>
        <w:trPr>
          <w:trHeight w:val="254"/>
        </w:trPr>
        <w:tc>
          <w:tcPr>
            <w:tcW w:w="2240" w:type="dxa"/>
            <w:vAlign w:val="bottom"/>
          </w:tcPr>
          <w:p>
            <w:pPr>
              <w:ind w:left="80"/>
              <w:spacing w:after="0"/>
              <w:rPr>
                <w:sz w:val="20"/>
                <w:szCs w:val="20"/>
                <w:color w:val="auto"/>
              </w:rPr>
            </w:pPr>
            <w:r>
              <w:rPr>
                <w:rFonts w:ascii="Arial" w:cs="Arial" w:eastAsia="Arial" w:hAnsi="Arial"/>
                <w:sz w:val="16"/>
                <w:szCs w:val="16"/>
                <w:b w:val="1"/>
                <w:bCs w:val="1"/>
                <w:color w:val="092E44"/>
              </w:rPr>
              <w:t>Sanjay Mirchandani</w:t>
            </w:r>
          </w:p>
        </w:tc>
        <w:tc>
          <w:tcPr>
            <w:tcW w:w="3400" w:type="dxa"/>
            <w:vAlign w:val="bottom"/>
          </w:tcPr>
          <w:p>
            <w:pPr>
              <w:jc w:val="right"/>
              <w:ind w:right="482"/>
              <w:spacing w:after="0"/>
              <w:rPr>
                <w:sz w:val="20"/>
                <w:szCs w:val="20"/>
                <w:color w:val="auto"/>
              </w:rPr>
            </w:pPr>
            <w:r>
              <w:rPr>
                <w:rFonts w:ascii="Arial" w:cs="Arial" w:eastAsia="Arial" w:hAnsi="Arial"/>
                <w:sz w:val="16"/>
                <w:szCs w:val="16"/>
                <w:color w:val="092E44"/>
              </w:rPr>
              <w:t>$645,000</w:t>
            </w:r>
          </w:p>
        </w:tc>
        <w:tc>
          <w:tcPr>
            <w:tcW w:w="2740" w:type="dxa"/>
            <w:vAlign w:val="bottom"/>
          </w:tcPr>
          <w:p>
            <w:pPr>
              <w:jc w:val="right"/>
              <w:ind w:right="303"/>
              <w:spacing w:after="0"/>
              <w:rPr>
                <w:sz w:val="20"/>
                <w:szCs w:val="20"/>
                <w:color w:val="auto"/>
              </w:rPr>
            </w:pPr>
            <w:r>
              <w:rPr>
                <w:rFonts w:ascii="Arial" w:cs="Arial" w:eastAsia="Arial" w:hAnsi="Arial"/>
                <w:sz w:val="16"/>
                <w:szCs w:val="16"/>
                <w:color w:val="092E44"/>
              </w:rPr>
              <w:t>100%</w:t>
            </w:r>
          </w:p>
        </w:tc>
        <w:tc>
          <w:tcPr>
            <w:tcW w:w="2540" w:type="dxa"/>
            <w:vAlign w:val="bottom"/>
          </w:tcPr>
          <w:p>
            <w:pPr>
              <w:jc w:val="right"/>
              <w:ind w:right="263"/>
              <w:spacing w:after="0"/>
              <w:rPr>
                <w:sz w:val="20"/>
                <w:szCs w:val="20"/>
                <w:color w:val="auto"/>
              </w:rPr>
            </w:pPr>
            <w:r>
              <w:rPr>
                <w:rFonts w:ascii="Arial" w:cs="Arial" w:eastAsia="Arial" w:hAnsi="Arial"/>
                <w:sz w:val="16"/>
                <w:szCs w:val="16"/>
                <w:color w:val="092E44"/>
              </w:rPr>
              <w:t>$645,000</w:t>
            </w:r>
          </w:p>
        </w:tc>
      </w:tr>
      <w:tr>
        <w:trPr>
          <w:trHeight w:val="47"/>
        </w:trPr>
        <w:tc>
          <w:tcPr>
            <w:tcW w:w="2240" w:type="dxa"/>
            <w:vAlign w:val="bottom"/>
          </w:tcPr>
          <w:p>
            <w:pPr>
              <w:spacing w:after="0"/>
              <w:rPr>
                <w:sz w:val="4"/>
                <w:szCs w:val="4"/>
                <w:color w:val="auto"/>
              </w:rPr>
            </w:pPr>
          </w:p>
        </w:tc>
        <w:tc>
          <w:tcPr>
            <w:tcW w:w="34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2540" w:type="dxa"/>
            <w:vAlign w:val="bottom"/>
          </w:tcPr>
          <w:p>
            <w:pPr>
              <w:spacing w:after="0"/>
              <w:rPr>
                <w:sz w:val="4"/>
                <w:szCs w:val="4"/>
                <w:color w:val="auto"/>
              </w:rPr>
            </w:pPr>
          </w:p>
        </w:tc>
      </w:tr>
      <w:tr>
        <w:trPr>
          <w:trHeight w:val="301"/>
        </w:trPr>
        <w:tc>
          <w:tcPr>
            <w:tcW w:w="2240" w:type="dxa"/>
            <w:vAlign w:val="bottom"/>
            <w:tcBorders>
              <w:bottom w:val="single" w:sz="8" w:color="DDE9F2"/>
            </w:tcBorders>
            <w:shd w:val="clear" w:color="auto" w:fill="DDE9F2"/>
          </w:tcPr>
          <w:p>
            <w:pPr>
              <w:ind w:left="80"/>
              <w:spacing w:after="0"/>
              <w:rPr>
                <w:sz w:val="20"/>
                <w:szCs w:val="20"/>
                <w:color w:val="auto"/>
              </w:rPr>
            </w:pPr>
            <w:r>
              <w:rPr>
                <w:rFonts w:ascii="Arial" w:cs="Arial" w:eastAsia="Arial" w:hAnsi="Arial"/>
                <w:sz w:val="16"/>
                <w:szCs w:val="16"/>
                <w:b w:val="1"/>
                <w:bCs w:val="1"/>
                <w:color w:val="092E44"/>
              </w:rPr>
              <w:t>Brian Carolan</w:t>
            </w:r>
          </w:p>
        </w:tc>
        <w:tc>
          <w:tcPr>
            <w:tcW w:w="3400" w:type="dxa"/>
            <w:vAlign w:val="bottom"/>
            <w:tcBorders>
              <w:bottom w:val="single" w:sz="8" w:color="DDE9F2"/>
            </w:tcBorders>
            <w:shd w:val="clear" w:color="auto" w:fill="DDE9F2"/>
          </w:tcPr>
          <w:p>
            <w:pPr>
              <w:jc w:val="right"/>
              <w:ind w:right="482"/>
              <w:spacing w:after="0"/>
              <w:rPr>
                <w:sz w:val="20"/>
                <w:szCs w:val="20"/>
                <w:color w:val="auto"/>
              </w:rPr>
            </w:pPr>
            <w:r>
              <w:rPr>
                <w:rFonts w:ascii="Arial" w:cs="Arial" w:eastAsia="Arial" w:hAnsi="Arial"/>
                <w:sz w:val="16"/>
                <w:szCs w:val="16"/>
                <w:color w:val="092E44"/>
              </w:rPr>
              <w:t>$410,000</w:t>
            </w:r>
          </w:p>
        </w:tc>
        <w:tc>
          <w:tcPr>
            <w:tcW w:w="2740" w:type="dxa"/>
            <w:vAlign w:val="bottom"/>
            <w:tcBorders>
              <w:bottom w:val="single" w:sz="8" w:color="DDE9F2"/>
            </w:tcBorders>
            <w:shd w:val="clear" w:color="auto" w:fill="DDE9F2"/>
          </w:tcPr>
          <w:p>
            <w:pPr>
              <w:jc w:val="right"/>
              <w:ind w:right="303"/>
              <w:spacing w:after="0"/>
              <w:rPr>
                <w:sz w:val="20"/>
                <w:szCs w:val="20"/>
                <w:color w:val="auto"/>
              </w:rPr>
            </w:pPr>
            <w:r>
              <w:rPr>
                <w:rFonts w:ascii="Arial" w:cs="Arial" w:eastAsia="Arial" w:hAnsi="Arial"/>
                <w:sz w:val="16"/>
                <w:szCs w:val="16"/>
                <w:color w:val="092E44"/>
              </w:rPr>
              <w:t>60%</w:t>
            </w:r>
          </w:p>
        </w:tc>
        <w:tc>
          <w:tcPr>
            <w:tcW w:w="2540" w:type="dxa"/>
            <w:vAlign w:val="bottom"/>
            <w:tcBorders>
              <w:bottom w:val="single" w:sz="8" w:color="DDE9F2"/>
            </w:tcBorders>
            <w:shd w:val="clear" w:color="auto" w:fill="DDE9F2"/>
          </w:tcPr>
          <w:p>
            <w:pPr>
              <w:jc w:val="right"/>
              <w:ind w:right="263"/>
              <w:spacing w:after="0"/>
              <w:rPr>
                <w:sz w:val="20"/>
                <w:szCs w:val="20"/>
                <w:color w:val="auto"/>
              </w:rPr>
            </w:pPr>
            <w:r>
              <w:rPr>
                <w:rFonts w:ascii="Arial" w:cs="Arial" w:eastAsia="Arial" w:hAnsi="Arial"/>
                <w:sz w:val="16"/>
                <w:szCs w:val="16"/>
                <w:color w:val="092E44"/>
              </w:rPr>
              <w:t>$246,000</w:t>
            </w:r>
          </w:p>
        </w:tc>
      </w:tr>
      <w:tr>
        <w:trPr>
          <w:trHeight w:val="274"/>
        </w:trPr>
        <w:tc>
          <w:tcPr>
            <w:tcW w:w="2240" w:type="dxa"/>
            <w:vAlign w:val="bottom"/>
          </w:tcPr>
          <w:p>
            <w:pPr>
              <w:ind w:left="80"/>
              <w:spacing w:after="0"/>
              <w:rPr>
                <w:sz w:val="20"/>
                <w:szCs w:val="20"/>
                <w:color w:val="auto"/>
              </w:rPr>
            </w:pPr>
            <w:r>
              <w:rPr>
                <w:rFonts w:ascii="Arial" w:cs="Arial" w:eastAsia="Arial" w:hAnsi="Arial"/>
                <w:sz w:val="16"/>
                <w:szCs w:val="16"/>
                <w:b w:val="1"/>
                <w:bCs w:val="1"/>
                <w:color w:val="092E44"/>
              </w:rPr>
              <w:t>Riccardo Di Blasio</w:t>
            </w:r>
          </w:p>
        </w:tc>
        <w:tc>
          <w:tcPr>
            <w:tcW w:w="3400" w:type="dxa"/>
            <w:vAlign w:val="bottom"/>
          </w:tcPr>
          <w:p>
            <w:pPr>
              <w:jc w:val="right"/>
              <w:ind w:right="482"/>
              <w:spacing w:after="0"/>
              <w:rPr>
                <w:sz w:val="20"/>
                <w:szCs w:val="20"/>
                <w:color w:val="auto"/>
              </w:rPr>
            </w:pPr>
            <w:r>
              <w:rPr>
                <w:rFonts w:ascii="Arial" w:cs="Arial" w:eastAsia="Arial" w:hAnsi="Arial"/>
                <w:sz w:val="16"/>
                <w:szCs w:val="16"/>
                <w:color w:val="092E44"/>
              </w:rPr>
              <w:t>$450,000</w:t>
            </w:r>
          </w:p>
        </w:tc>
        <w:tc>
          <w:tcPr>
            <w:tcW w:w="2740" w:type="dxa"/>
            <w:vAlign w:val="bottom"/>
          </w:tcPr>
          <w:p>
            <w:pPr>
              <w:jc w:val="right"/>
              <w:ind w:right="303"/>
              <w:spacing w:after="0"/>
              <w:rPr>
                <w:sz w:val="20"/>
                <w:szCs w:val="20"/>
                <w:color w:val="auto"/>
              </w:rPr>
            </w:pPr>
            <w:r>
              <w:rPr>
                <w:rFonts w:ascii="Arial" w:cs="Arial" w:eastAsia="Arial" w:hAnsi="Arial"/>
                <w:sz w:val="16"/>
                <w:szCs w:val="16"/>
                <w:color w:val="092E44"/>
              </w:rPr>
              <w:t>100%</w:t>
            </w:r>
          </w:p>
        </w:tc>
        <w:tc>
          <w:tcPr>
            <w:tcW w:w="2540" w:type="dxa"/>
            <w:vAlign w:val="bottom"/>
          </w:tcPr>
          <w:p>
            <w:pPr>
              <w:jc w:val="right"/>
              <w:ind w:right="263"/>
              <w:spacing w:after="0"/>
              <w:rPr>
                <w:sz w:val="20"/>
                <w:szCs w:val="20"/>
                <w:color w:val="auto"/>
              </w:rPr>
            </w:pPr>
            <w:r>
              <w:rPr>
                <w:rFonts w:ascii="Arial" w:cs="Arial" w:eastAsia="Arial" w:hAnsi="Arial"/>
                <w:sz w:val="16"/>
                <w:szCs w:val="16"/>
                <w:color w:val="092E44"/>
              </w:rPr>
              <w:t>$450,000</w:t>
            </w:r>
          </w:p>
        </w:tc>
      </w:tr>
      <w:tr>
        <w:trPr>
          <w:trHeight w:val="47"/>
        </w:trPr>
        <w:tc>
          <w:tcPr>
            <w:tcW w:w="2240" w:type="dxa"/>
            <w:vAlign w:val="bottom"/>
            <w:tcBorders>
              <w:bottom w:val="single" w:sz="8" w:color="092E44"/>
            </w:tcBorders>
          </w:tcPr>
          <w:p>
            <w:pPr>
              <w:spacing w:after="0"/>
              <w:rPr>
                <w:sz w:val="4"/>
                <w:szCs w:val="4"/>
                <w:color w:val="auto"/>
              </w:rPr>
            </w:pPr>
          </w:p>
        </w:tc>
        <w:tc>
          <w:tcPr>
            <w:tcW w:w="3400" w:type="dxa"/>
            <w:vAlign w:val="bottom"/>
            <w:tcBorders>
              <w:bottom w:val="single" w:sz="8" w:color="092E44"/>
            </w:tcBorders>
          </w:tcPr>
          <w:p>
            <w:pPr>
              <w:spacing w:after="0"/>
              <w:rPr>
                <w:sz w:val="4"/>
                <w:szCs w:val="4"/>
                <w:color w:val="auto"/>
              </w:rPr>
            </w:pPr>
          </w:p>
        </w:tc>
        <w:tc>
          <w:tcPr>
            <w:tcW w:w="2740" w:type="dxa"/>
            <w:vAlign w:val="bottom"/>
            <w:tcBorders>
              <w:bottom w:val="single" w:sz="8" w:color="092E44"/>
            </w:tcBorders>
          </w:tcPr>
          <w:p>
            <w:pPr>
              <w:spacing w:after="0"/>
              <w:rPr>
                <w:sz w:val="4"/>
                <w:szCs w:val="4"/>
                <w:color w:val="auto"/>
              </w:rPr>
            </w:pPr>
          </w:p>
        </w:tc>
        <w:tc>
          <w:tcPr>
            <w:tcW w:w="2540" w:type="dxa"/>
            <w:vAlign w:val="bottom"/>
            <w:tcBorders>
              <w:bottom w:val="single" w:sz="8" w:color="092E44"/>
            </w:tcBorders>
          </w:tcPr>
          <w:p>
            <w:pPr>
              <w:spacing w:after="0"/>
              <w:rPr>
                <w:sz w:val="4"/>
                <w:szCs w:val="4"/>
                <w:color w:val="auto"/>
              </w:rPr>
            </w:pPr>
          </w:p>
        </w:tc>
      </w:tr>
    </w:tbl>
    <w:p>
      <w:pPr>
        <w:spacing w:after="0" w:line="93"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Cash bonus payments under the Fiscal 2022 AIP could range from zero to 200%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257175</wp:posOffset>
            </wp:positionV>
            <wp:extent cx="220980" cy="2120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35</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80"/>
          </w:cols>
          <w:pgMar w:left="320" w:top="454"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CD&amp;A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FISCAL YEAR 2022 COMPENSATION DECISIONS</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8"/>
          <w:szCs w:val="18"/>
          <w:color w:val="E14A6A"/>
        </w:rPr>
        <w:t>Performance Measures</w:t>
      </w:r>
    </w:p>
    <w:p>
      <w:pPr>
        <w:spacing w:after="0" w:line="52" w:lineRule="exact"/>
        <w:rPr>
          <w:sz w:val="20"/>
          <w:szCs w:val="20"/>
          <w:color w:val="auto"/>
        </w:rPr>
      </w:pPr>
    </w:p>
    <w:p>
      <w:pPr>
        <w:ind w:left="160" w:right="40"/>
        <w:spacing w:after="0" w:line="250" w:lineRule="auto"/>
        <w:rPr>
          <w:sz w:val="20"/>
          <w:szCs w:val="20"/>
          <w:color w:val="auto"/>
        </w:rPr>
      </w:pPr>
      <w:r>
        <w:rPr>
          <w:rFonts w:ascii="Arial" w:cs="Arial" w:eastAsia="Arial" w:hAnsi="Arial"/>
          <w:sz w:val="16"/>
          <w:szCs w:val="16"/>
          <w:color w:val="092E44"/>
        </w:rPr>
        <w:t>In May 2021, the TMCC selected total revenue (weighted 60%) and non-GAAP EBIT (weighted 40%) as the performance metrics for the Fiscal 2022 AIP. Commvault has used these performance metrics for the annual cash incentive plan for six years (though the weightings have varied). These metrics were selected because the TMCC believes that, at this stage of our development, revenue growth and profitability are the most relevant measures of Commvault’s financial performance and the measures most closely correlated to increasing stockholder value. In fact, in the course of our regular stockholder engagements, stockholders often mention their approval of our revenue and non-GAAP EBIT performance measures. Further, in our public communications (including on earnings calls), our disclosures typically reference revenue and non-GAAP EBIT, in addition to GAAP performance metrics, as the primary means we use to evaluate our own performance. In other words, these metrics are closely tied to how we manage the business.</w:t>
      </w:r>
    </w:p>
    <w:p>
      <w:pPr>
        <w:spacing w:after="0" w:line="63" w:lineRule="exact"/>
        <w:rPr>
          <w:sz w:val="20"/>
          <w:szCs w:val="20"/>
          <w:color w:val="auto"/>
        </w:rPr>
      </w:pPr>
    </w:p>
    <w:p>
      <w:pPr>
        <w:ind w:left="160" w:right="760"/>
        <w:spacing w:after="0" w:line="279" w:lineRule="auto"/>
        <w:rPr>
          <w:sz w:val="20"/>
          <w:szCs w:val="20"/>
          <w:color w:val="auto"/>
        </w:rPr>
      </w:pPr>
      <w:r>
        <w:rPr>
          <w:rFonts w:ascii="Arial" w:cs="Arial" w:eastAsia="Arial" w:hAnsi="Arial"/>
          <w:sz w:val="16"/>
          <w:szCs w:val="16"/>
          <w:color w:val="092E44"/>
        </w:rPr>
        <w:t>For purposes of the Fiscal 2022 AIP, the TMCC set the various performance levels for these performance metrics and payout amounts for each performance level as shown below.</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92E44"/>
        </w:rPr>
        <w:t>For Messrs. Carolan and Mirchandani</w:t>
      </w:r>
    </w:p>
    <w:p>
      <w:pPr>
        <w:spacing w:after="0" w:line="7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40" w:type="dxa"/>
            <w:vAlign w:val="bottom"/>
          </w:tcPr>
          <w:p>
            <w:pPr>
              <w:jc w:val="right"/>
              <w:ind w:right="424"/>
              <w:spacing w:after="0"/>
              <w:rPr>
                <w:sz w:val="20"/>
                <w:szCs w:val="20"/>
                <w:color w:val="auto"/>
              </w:rPr>
            </w:pPr>
            <w:r>
              <w:rPr>
                <w:rFonts w:ascii="Arial" w:cs="Arial" w:eastAsia="Arial" w:hAnsi="Arial"/>
                <w:sz w:val="14"/>
                <w:szCs w:val="14"/>
                <w:color w:val="092E44"/>
              </w:rPr>
              <w:t>Threshold (50%</w:t>
            </w:r>
          </w:p>
        </w:tc>
        <w:tc>
          <w:tcPr>
            <w:tcW w:w="1560" w:type="dxa"/>
            <w:vAlign w:val="bottom"/>
          </w:tcPr>
          <w:p>
            <w:pPr>
              <w:jc w:val="right"/>
              <w:ind w:right="284"/>
              <w:spacing w:after="0"/>
              <w:rPr>
                <w:sz w:val="20"/>
                <w:szCs w:val="20"/>
                <w:color w:val="auto"/>
              </w:rPr>
            </w:pPr>
            <w:r>
              <w:rPr>
                <w:rFonts w:ascii="Arial" w:cs="Arial" w:eastAsia="Arial" w:hAnsi="Arial"/>
                <w:sz w:val="14"/>
                <w:szCs w:val="14"/>
                <w:color w:val="092E44"/>
              </w:rPr>
              <w:t>Target (100%</w:t>
            </w:r>
          </w:p>
        </w:tc>
        <w:tc>
          <w:tcPr>
            <w:tcW w:w="1600" w:type="dxa"/>
            <w:vAlign w:val="bottom"/>
          </w:tcPr>
          <w:p>
            <w:pPr>
              <w:jc w:val="right"/>
              <w:ind w:right="224"/>
              <w:spacing w:after="0"/>
              <w:rPr>
                <w:sz w:val="20"/>
                <w:szCs w:val="20"/>
                <w:color w:val="auto"/>
              </w:rPr>
            </w:pPr>
            <w:r>
              <w:rPr>
                <w:rFonts w:ascii="Arial" w:cs="Arial" w:eastAsia="Arial" w:hAnsi="Arial"/>
                <w:sz w:val="14"/>
                <w:szCs w:val="14"/>
                <w:color w:val="092E44"/>
              </w:rPr>
              <w:t>Maximum (200%</w:t>
            </w:r>
          </w:p>
        </w:tc>
      </w:tr>
      <w:tr>
        <w:trPr>
          <w:trHeight w:val="170"/>
        </w:trPr>
        <w:tc>
          <w:tcPr>
            <w:tcW w:w="4480" w:type="dxa"/>
            <w:vAlign w:val="bottom"/>
            <w:tcBorders>
              <w:bottom w:val="single" w:sz="8" w:color="E14A6A"/>
            </w:tcBorders>
          </w:tcPr>
          <w:p>
            <w:pPr>
              <w:ind w:left="80"/>
              <w:spacing w:after="0"/>
              <w:rPr>
                <w:sz w:val="20"/>
                <w:szCs w:val="20"/>
                <w:color w:val="auto"/>
              </w:rPr>
            </w:pPr>
            <w:r>
              <w:rPr>
                <w:rFonts w:ascii="Arial" w:cs="Arial" w:eastAsia="Arial" w:hAnsi="Arial"/>
                <w:sz w:val="14"/>
                <w:szCs w:val="14"/>
                <w:color w:val="092E44"/>
              </w:rPr>
              <w:t>Metric</w:t>
            </w:r>
          </w:p>
        </w:tc>
        <w:tc>
          <w:tcPr>
            <w:tcW w:w="1440" w:type="dxa"/>
            <w:vAlign w:val="bottom"/>
            <w:tcBorders>
              <w:bottom w:val="single" w:sz="8" w:color="E14A6A"/>
            </w:tcBorders>
          </w:tcPr>
          <w:p>
            <w:pPr>
              <w:jc w:val="right"/>
              <w:ind w:right="283"/>
              <w:spacing w:after="0"/>
              <w:rPr>
                <w:sz w:val="20"/>
                <w:szCs w:val="20"/>
                <w:color w:val="auto"/>
              </w:rPr>
            </w:pPr>
            <w:r>
              <w:rPr>
                <w:rFonts w:ascii="Arial" w:cs="Arial" w:eastAsia="Arial" w:hAnsi="Arial"/>
                <w:sz w:val="14"/>
                <w:szCs w:val="14"/>
                <w:color w:val="092E44"/>
              </w:rPr>
              <w:t>Weight</w:t>
            </w:r>
          </w:p>
        </w:tc>
        <w:tc>
          <w:tcPr>
            <w:tcW w:w="1840" w:type="dxa"/>
            <w:vAlign w:val="bottom"/>
            <w:tcBorders>
              <w:bottom w:val="single" w:sz="8" w:color="E14A6A"/>
            </w:tcBorders>
          </w:tcPr>
          <w:p>
            <w:pPr>
              <w:jc w:val="right"/>
              <w:ind w:right="424"/>
              <w:spacing w:after="0"/>
              <w:rPr>
                <w:sz w:val="20"/>
                <w:szCs w:val="20"/>
                <w:color w:val="auto"/>
              </w:rPr>
            </w:pPr>
            <w:r>
              <w:rPr>
                <w:rFonts w:ascii="Arial" w:cs="Arial" w:eastAsia="Arial" w:hAnsi="Arial"/>
                <w:sz w:val="14"/>
                <w:szCs w:val="14"/>
                <w:color w:val="092E44"/>
              </w:rPr>
              <w:t>payout)</w:t>
            </w:r>
          </w:p>
        </w:tc>
        <w:tc>
          <w:tcPr>
            <w:tcW w:w="1560" w:type="dxa"/>
            <w:vAlign w:val="bottom"/>
            <w:tcBorders>
              <w:bottom w:val="single" w:sz="8" w:color="E14A6A"/>
            </w:tcBorders>
          </w:tcPr>
          <w:p>
            <w:pPr>
              <w:jc w:val="right"/>
              <w:ind w:right="284"/>
              <w:spacing w:after="0"/>
              <w:rPr>
                <w:sz w:val="20"/>
                <w:szCs w:val="20"/>
                <w:color w:val="auto"/>
              </w:rPr>
            </w:pPr>
            <w:r>
              <w:rPr>
                <w:rFonts w:ascii="Arial" w:cs="Arial" w:eastAsia="Arial" w:hAnsi="Arial"/>
                <w:sz w:val="14"/>
                <w:szCs w:val="14"/>
                <w:color w:val="092E44"/>
              </w:rPr>
              <w:t>payout)</w:t>
            </w:r>
          </w:p>
        </w:tc>
        <w:tc>
          <w:tcPr>
            <w:tcW w:w="1600" w:type="dxa"/>
            <w:vAlign w:val="bottom"/>
            <w:tcBorders>
              <w:bottom w:val="single" w:sz="8" w:color="E14A6A"/>
            </w:tcBorders>
          </w:tcPr>
          <w:p>
            <w:pPr>
              <w:jc w:val="right"/>
              <w:ind w:right="224"/>
              <w:spacing w:after="0"/>
              <w:rPr>
                <w:sz w:val="20"/>
                <w:szCs w:val="20"/>
                <w:color w:val="auto"/>
              </w:rPr>
            </w:pPr>
            <w:r>
              <w:rPr>
                <w:rFonts w:ascii="Arial" w:cs="Arial" w:eastAsia="Arial" w:hAnsi="Arial"/>
                <w:sz w:val="14"/>
                <w:szCs w:val="14"/>
                <w:color w:val="092E44"/>
              </w:rPr>
              <w:t>payout)</w:t>
            </w:r>
          </w:p>
        </w:tc>
      </w:tr>
      <w:tr>
        <w:trPr>
          <w:trHeight w:val="244"/>
        </w:trPr>
        <w:tc>
          <w:tcPr>
            <w:tcW w:w="4480" w:type="dxa"/>
            <w:vAlign w:val="bottom"/>
          </w:tcPr>
          <w:p>
            <w:pPr>
              <w:ind w:left="80"/>
              <w:spacing w:after="0"/>
              <w:rPr>
                <w:sz w:val="20"/>
                <w:szCs w:val="20"/>
                <w:color w:val="auto"/>
              </w:rPr>
            </w:pPr>
            <w:r>
              <w:rPr>
                <w:rFonts w:ascii="Arial" w:cs="Arial" w:eastAsia="Arial" w:hAnsi="Arial"/>
                <w:sz w:val="16"/>
                <w:szCs w:val="16"/>
                <w:color w:val="092E44"/>
              </w:rPr>
              <w:t>Revenue (in thousands)</w:t>
            </w:r>
          </w:p>
        </w:tc>
        <w:tc>
          <w:tcPr>
            <w:tcW w:w="1440" w:type="dxa"/>
            <w:vAlign w:val="bottom"/>
          </w:tcPr>
          <w:p>
            <w:pPr>
              <w:jc w:val="right"/>
              <w:ind w:right="283"/>
              <w:spacing w:after="0"/>
              <w:rPr>
                <w:sz w:val="20"/>
                <w:szCs w:val="20"/>
                <w:color w:val="auto"/>
              </w:rPr>
            </w:pPr>
            <w:r>
              <w:rPr>
                <w:rFonts w:ascii="Arial" w:cs="Arial" w:eastAsia="Arial" w:hAnsi="Arial"/>
                <w:sz w:val="16"/>
                <w:szCs w:val="16"/>
                <w:color w:val="092E44"/>
              </w:rPr>
              <w:t>60%</w:t>
            </w:r>
          </w:p>
        </w:tc>
        <w:tc>
          <w:tcPr>
            <w:tcW w:w="1840" w:type="dxa"/>
            <w:vAlign w:val="bottom"/>
          </w:tcPr>
          <w:p>
            <w:pPr>
              <w:jc w:val="right"/>
              <w:ind w:right="264"/>
              <w:spacing w:after="0"/>
              <w:rPr>
                <w:sz w:val="20"/>
                <w:szCs w:val="20"/>
                <w:color w:val="auto"/>
              </w:rPr>
            </w:pPr>
            <w:r>
              <w:rPr>
                <w:rFonts w:ascii="Arial" w:cs="Arial" w:eastAsia="Arial" w:hAnsi="Arial"/>
                <w:sz w:val="16"/>
                <w:szCs w:val="16"/>
                <w:color w:val="092E44"/>
              </w:rPr>
              <w:t>90%</w:t>
            </w:r>
          </w:p>
        </w:tc>
        <w:tc>
          <w:tcPr>
            <w:tcW w:w="1560" w:type="dxa"/>
            <w:vAlign w:val="bottom"/>
          </w:tcPr>
          <w:p>
            <w:pPr>
              <w:jc w:val="right"/>
              <w:ind w:right="144"/>
              <w:spacing w:after="0"/>
              <w:rPr>
                <w:sz w:val="20"/>
                <w:szCs w:val="20"/>
                <w:color w:val="auto"/>
              </w:rPr>
            </w:pPr>
            <w:r>
              <w:rPr>
                <w:rFonts w:ascii="Arial" w:cs="Arial" w:eastAsia="Arial" w:hAnsi="Arial"/>
                <w:sz w:val="16"/>
                <w:szCs w:val="16"/>
                <w:color w:val="092E44"/>
              </w:rPr>
              <w:t>100%</w:t>
            </w:r>
          </w:p>
        </w:tc>
        <w:tc>
          <w:tcPr>
            <w:tcW w:w="1600" w:type="dxa"/>
            <w:vAlign w:val="bottom"/>
          </w:tcPr>
          <w:p>
            <w:pPr>
              <w:jc w:val="right"/>
              <w:ind w:right="84"/>
              <w:spacing w:after="0"/>
              <w:rPr>
                <w:sz w:val="20"/>
                <w:szCs w:val="20"/>
                <w:color w:val="auto"/>
              </w:rPr>
            </w:pPr>
            <w:r>
              <w:rPr>
                <w:rFonts w:ascii="Arial" w:cs="Arial" w:eastAsia="Arial" w:hAnsi="Arial"/>
                <w:sz w:val="16"/>
                <w:szCs w:val="16"/>
                <w:color w:val="092E44"/>
              </w:rPr>
              <w:t>105%</w:t>
            </w:r>
          </w:p>
        </w:tc>
      </w:tr>
      <w:tr>
        <w:trPr>
          <w:trHeight w:val="57"/>
        </w:trPr>
        <w:tc>
          <w:tcPr>
            <w:tcW w:w="44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600" w:type="dxa"/>
            <w:vAlign w:val="bottom"/>
          </w:tcPr>
          <w:p>
            <w:pPr>
              <w:spacing w:after="0"/>
              <w:rPr>
                <w:sz w:val="4"/>
                <w:szCs w:val="4"/>
                <w:color w:val="auto"/>
              </w:rPr>
            </w:pPr>
          </w:p>
        </w:tc>
      </w:tr>
      <w:tr>
        <w:trPr>
          <w:trHeight w:val="301"/>
        </w:trPr>
        <w:tc>
          <w:tcPr>
            <w:tcW w:w="4480" w:type="dxa"/>
            <w:vAlign w:val="bottom"/>
            <w:tcBorders>
              <w:bottom w:val="single" w:sz="8" w:color="DDE9F2"/>
            </w:tcBorders>
            <w:shd w:val="clear" w:color="auto" w:fill="DDE9F2"/>
          </w:tcPr>
          <w:p>
            <w:pPr>
              <w:ind w:left="80"/>
              <w:spacing w:after="0"/>
              <w:rPr>
                <w:sz w:val="20"/>
                <w:szCs w:val="20"/>
                <w:color w:val="auto"/>
              </w:rPr>
            </w:pPr>
            <w:r>
              <w:rPr>
                <w:rFonts w:ascii="Arial" w:cs="Arial" w:eastAsia="Arial" w:hAnsi="Arial"/>
                <w:sz w:val="16"/>
                <w:szCs w:val="16"/>
                <w:color w:val="092E44"/>
              </w:rPr>
              <w:t>Non-GAAP EBIT (in thousands)</w:t>
            </w:r>
          </w:p>
        </w:tc>
        <w:tc>
          <w:tcPr>
            <w:tcW w:w="1440" w:type="dxa"/>
            <w:vAlign w:val="bottom"/>
            <w:tcBorders>
              <w:bottom w:val="single" w:sz="8" w:color="DDE9F2"/>
            </w:tcBorders>
            <w:shd w:val="clear" w:color="auto" w:fill="DDE9F2"/>
          </w:tcPr>
          <w:p>
            <w:pPr>
              <w:jc w:val="right"/>
              <w:ind w:right="283"/>
              <w:spacing w:after="0"/>
              <w:rPr>
                <w:sz w:val="20"/>
                <w:szCs w:val="20"/>
                <w:color w:val="auto"/>
              </w:rPr>
            </w:pPr>
            <w:r>
              <w:rPr>
                <w:rFonts w:ascii="Arial" w:cs="Arial" w:eastAsia="Arial" w:hAnsi="Arial"/>
                <w:sz w:val="16"/>
                <w:szCs w:val="16"/>
                <w:color w:val="092E44"/>
              </w:rPr>
              <w:t>40%</w:t>
            </w:r>
          </w:p>
        </w:tc>
        <w:tc>
          <w:tcPr>
            <w:tcW w:w="1840" w:type="dxa"/>
            <w:vAlign w:val="bottom"/>
            <w:tcBorders>
              <w:bottom w:val="single" w:sz="8" w:color="DDE9F2"/>
            </w:tcBorders>
            <w:shd w:val="clear" w:color="auto" w:fill="DDE9F2"/>
          </w:tcPr>
          <w:p>
            <w:pPr>
              <w:jc w:val="right"/>
              <w:ind w:right="264"/>
              <w:spacing w:after="0"/>
              <w:rPr>
                <w:sz w:val="20"/>
                <w:szCs w:val="20"/>
                <w:color w:val="auto"/>
              </w:rPr>
            </w:pPr>
            <w:r>
              <w:rPr>
                <w:rFonts w:ascii="Arial" w:cs="Arial" w:eastAsia="Arial" w:hAnsi="Arial"/>
                <w:sz w:val="16"/>
                <w:szCs w:val="16"/>
                <w:color w:val="092E44"/>
              </w:rPr>
              <w:t>85%</w:t>
            </w:r>
          </w:p>
        </w:tc>
        <w:tc>
          <w:tcPr>
            <w:tcW w:w="1560" w:type="dxa"/>
            <w:vAlign w:val="bottom"/>
            <w:tcBorders>
              <w:bottom w:val="single" w:sz="8" w:color="DDE9F2"/>
            </w:tcBorders>
            <w:shd w:val="clear" w:color="auto" w:fill="DDE9F2"/>
          </w:tcPr>
          <w:p>
            <w:pPr>
              <w:jc w:val="right"/>
              <w:ind w:right="144"/>
              <w:spacing w:after="0"/>
              <w:rPr>
                <w:sz w:val="20"/>
                <w:szCs w:val="20"/>
                <w:color w:val="auto"/>
              </w:rPr>
            </w:pPr>
            <w:r>
              <w:rPr>
                <w:rFonts w:ascii="Arial" w:cs="Arial" w:eastAsia="Arial" w:hAnsi="Arial"/>
                <w:sz w:val="16"/>
                <w:szCs w:val="16"/>
                <w:color w:val="092E44"/>
              </w:rPr>
              <w:t>100%</w:t>
            </w:r>
          </w:p>
        </w:tc>
        <w:tc>
          <w:tcPr>
            <w:tcW w:w="1600" w:type="dxa"/>
            <w:vAlign w:val="bottom"/>
            <w:tcBorders>
              <w:bottom w:val="single" w:sz="8" w:color="DDE9F2"/>
            </w:tcBorders>
            <w:shd w:val="clear" w:color="auto" w:fill="DDE9F2"/>
          </w:tcPr>
          <w:p>
            <w:pPr>
              <w:jc w:val="right"/>
              <w:ind w:right="84"/>
              <w:spacing w:after="0"/>
              <w:rPr>
                <w:sz w:val="20"/>
                <w:szCs w:val="20"/>
                <w:color w:val="auto"/>
              </w:rPr>
            </w:pPr>
            <w:r>
              <w:rPr>
                <w:rFonts w:ascii="Arial" w:cs="Arial" w:eastAsia="Arial" w:hAnsi="Arial"/>
                <w:sz w:val="16"/>
                <w:szCs w:val="16"/>
                <w:color w:val="092E44"/>
              </w:rPr>
              <w:t>112%</w:t>
            </w:r>
          </w:p>
        </w:tc>
      </w:tr>
      <w:tr>
        <w:trPr>
          <w:trHeight w:val="20"/>
        </w:trPr>
        <w:tc>
          <w:tcPr>
            <w:tcW w:w="4480" w:type="dxa"/>
            <w:vAlign w:val="bottom"/>
            <w:shd w:val="clear" w:color="auto" w:fill="092E44"/>
          </w:tcPr>
          <w:p>
            <w:pPr>
              <w:spacing w:after="0" w:line="20" w:lineRule="exact"/>
              <w:rPr>
                <w:sz w:val="1"/>
                <w:szCs w:val="1"/>
                <w:color w:val="auto"/>
              </w:rPr>
            </w:pPr>
          </w:p>
        </w:tc>
        <w:tc>
          <w:tcPr>
            <w:tcW w:w="1440" w:type="dxa"/>
            <w:vAlign w:val="bottom"/>
            <w:shd w:val="clear" w:color="auto" w:fill="092E44"/>
          </w:tcPr>
          <w:p>
            <w:pPr>
              <w:spacing w:after="0" w:line="20" w:lineRule="exact"/>
              <w:rPr>
                <w:sz w:val="1"/>
                <w:szCs w:val="1"/>
                <w:color w:val="auto"/>
              </w:rPr>
            </w:pPr>
          </w:p>
        </w:tc>
        <w:tc>
          <w:tcPr>
            <w:tcW w:w="1840" w:type="dxa"/>
            <w:vAlign w:val="bottom"/>
            <w:shd w:val="clear" w:color="auto" w:fill="092E44"/>
          </w:tcPr>
          <w:p>
            <w:pPr>
              <w:spacing w:after="0" w:line="20" w:lineRule="exact"/>
              <w:rPr>
                <w:sz w:val="1"/>
                <w:szCs w:val="1"/>
                <w:color w:val="auto"/>
              </w:rPr>
            </w:pPr>
          </w:p>
        </w:tc>
        <w:tc>
          <w:tcPr>
            <w:tcW w:w="1560" w:type="dxa"/>
            <w:vAlign w:val="bottom"/>
            <w:shd w:val="clear" w:color="auto" w:fill="092E44"/>
          </w:tcPr>
          <w:p>
            <w:pPr>
              <w:spacing w:after="0" w:line="20" w:lineRule="exact"/>
              <w:rPr>
                <w:sz w:val="1"/>
                <w:szCs w:val="1"/>
                <w:color w:val="auto"/>
              </w:rPr>
            </w:pPr>
          </w:p>
        </w:tc>
        <w:tc>
          <w:tcPr>
            <w:tcW w:w="1600" w:type="dxa"/>
            <w:vAlign w:val="bottom"/>
            <w:shd w:val="clear" w:color="auto" w:fill="092E44"/>
          </w:tcPr>
          <w:p>
            <w:pPr>
              <w:spacing w:after="0" w:line="20" w:lineRule="exact"/>
              <w:rPr>
                <w:sz w:val="1"/>
                <w:szCs w:val="1"/>
                <w:color w:val="auto"/>
              </w:rPr>
            </w:pPr>
          </w:p>
        </w:tc>
      </w:tr>
    </w:tbl>
    <w:p>
      <w:pPr>
        <w:spacing w:after="0" w:line="93"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If actual performance falls between the specified goals, the payout percentage is calculated on a linear basis.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92E44"/>
        </w:rPr>
        <w:t>For Mr. Di Blasio</w:t>
      </w:r>
    </w:p>
    <w:p>
      <w:pPr>
        <w:spacing w:after="0" w:line="57" w:lineRule="exact"/>
        <w:rPr>
          <w:sz w:val="20"/>
          <w:szCs w:val="20"/>
          <w:color w:val="auto"/>
        </w:rPr>
      </w:pPr>
    </w:p>
    <w:p>
      <w:pPr>
        <w:ind w:left="160" w:right="140"/>
        <w:spacing w:after="0" w:line="251" w:lineRule="auto"/>
        <w:rPr>
          <w:sz w:val="20"/>
          <w:szCs w:val="20"/>
          <w:color w:val="auto"/>
        </w:rPr>
      </w:pPr>
      <w:r>
        <w:rPr>
          <w:rFonts w:ascii="Arial" w:cs="Arial" w:eastAsia="Arial" w:hAnsi="Arial"/>
          <w:sz w:val="16"/>
          <w:szCs w:val="16"/>
          <w:color w:val="092E44"/>
        </w:rPr>
        <w:t>Because Mr. Di Blasio is our Chief Revenue Officer, the TMCC believes he should have different targets and multipliers that emphasize the revenue metric. Specifically, Mr. Di Blasio had four independent quarterly revenue goals that, in the aggregate, were the same amount as the annual goal for the other named executive officers. In addition, he was entitled to a payout of 240% for maximum performance (rather than the maximum of 200% for the other named executive officers). Since Mr. Di Blasio could earn his incentive bonus incrementally—based on results for each individual quarter—and his payout percentage was potentially higher, the TMCC anticipated that the payout percentages for the revenue metric for the named executive officers might vary.</w:t>
      </w:r>
    </w:p>
    <w:p>
      <w:pPr>
        <w:spacing w:after="0" w:line="63" w:lineRule="exact"/>
        <w:rPr>
          <w:sz w:val="20"/>
          <w:szCs w:val="20"/>
          <w:color w:val="auto"/>
        </w:rPr>
      </w:pPr>
    </w:p>
    <w:p>
      <w:pPr>
        <w:ind w:left="160" w:right="80"/>
        <w:spacing w:after="0" w:line="253" w:lineRule="auto"/>
        <w:rPr>
          <w:sz w:val="20"/>
          <w:szCs w:val="20"/>
          <w:color w:val="auto"/>
        </w:rPr>
      </w:pPr>
      <w:r>
        <w:rPr>
          <w:rFonts w:ascii="Arial" w:cs="Arial" w:eastAsia="Arial" w:hAnsi="Arial"/>
          <w:sz w:val="16"/>
          <w:szCs w:val="16"/>
          <w:color w:val="092E44"/>
        </w:rPr>
        <w:t>In keeping with the quarterly schedule for Mr. Di Blasio’s incentive bonus, he also earned incremental amounts for the non-GAAP EBIT metric. His goal for non-GAAP EBIT was the same as the annual goal set for the other named executive officers. However, for each of the first three quarters of the AIP performance period, Mr. Di Blasio received an amount based on an assumed achievement of 80% of target for non-GAAP EBIT. At the end of the fourth quarter the payout associated with the non-GAAP EBIT metric was adjusted to reflect Commvault’s actual performance for the year. Thus, Mr. Di Blasio’s aggregate payout related to non-GAAP EBIT was the same as the payout earned by the other named executive officers.</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8"/>
          <w:szCs w:val="18"/>
          <w:color w:val="E14A6A"/>
        </w:rPr>
        <w:t>Fiscal 2022 Annual Cash Incentive Plan Decisions</w:t>
      </w:r>
    </w:p>
    <w:p>
      <w:pPr>
        <w:spacing w:after="0" w:line="52" w:lineRule="exact"/>
        <w:rPr>
          <w:sz w:val="20"/>
          <w:szCs w:val="20"/>
          <w:color w:val="auto"/>
        </w:rPr>
      </w:pPr>
    </w:p>
    <w:p>
      <w:pPr>
        <w:ind w:left="160" w:right="60"/>
        <w:spacing w:after="0" w:line="279" w:lineRule="auto"/>
        <w:rPr>
          <w:sz w:val="20"/>
          <w:szCs w:val="20"/>
          <w:color w:val="auto"/>
        </w:rPr>
      </w:pPr>
      <w:r>
        <w:rPr>
          <w:rFonts w:ascii="Arial" w:cs="Arial" w:eastAsia="Arial" w:hAnsi="Arial"/>
          <w:sz w:val="16"/>
          <w:szCs w:val="16"/>
          <w:color w:val="092E44"/>
        </w:rPr>
        <w:t>In May 2021, the TMCC determined that our achievement for the revenue and non-GAAP EBIT portions of the Fiscal 2022 AIP resulted in a payout equal to 100.12% of target for Messrs. Mirchandani and Carolan.</w:t>
      </w:r>
    </w:p>
    <w:p>
      <w:pPr>
        <w:spacing w:after="0" w:line="19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380" w:type="dxa"/>
            <w:vAlign w:val="bottom"/>
          </w:tcPr>
          <w:p>
            <w:pPr>
              <w:jc w:val="right"/>
              <w:ind w:right="124"/>
              <w:spacing w:after="0"/>
              <w:rPr>
                <w:sz w:val="20"/>
                <w:szCs w:val="20"/>
                <w:color w:val="auto"/>
              </w:rPr>
            </w:pPr>
            <w:r>
              <w:rPr>
                <w:rFonts w:ascii="Arial" w:cs="Arial" w:eastAsia="Arial" w:hAnsi="Arial"/>
                <w:sz w:val="14"/>
                <w:szCs w:val="14"/>
                <w:color w:val="092E44"/>
              </w:rPr>
              <w:t>Achievement</w:t>
            </w:r>
          </w:p>
        </w:tc>
        <w:tc>
          <w:tcPr>
            <w:tcW w:w="1140" w:type="dxa"/>
            <w:vAlign w:val="bottom"/>
          </w:tcPr>
          <w:p>
            <w:pPr>
              <w:jc w:val="right"/>
              <w:ind w:right="144"/>
              <w:spacing w:after="0"/>
              <w:rPr>
                <w:sz w:val="20"/>
                <w:szCs w:val="20"/>
                <w:color w:val="auto"/>
              </w:rPr>
            </w:pPr>
            <w:r>
              <w:rPr>
                <w:rFonts w:ascii="Arial" w:cs="Arial" w:eastAsia="Arial" w:hAnsi="Arial"/>
                <w:sz w:val="14"/>
                <w:szCs w:val="14"/>
                <w:color w:val="092E44"/>
              </w:rPr>
              <w:t>Target</w:t>
            </w:r>
          </w:p>
        </w:tc>
        <w:tc>
          <w:tcPr>
            <w:tcW w:w="1380" w:type="dxa"/>
            <w:vAlign w:val="bottom"/>
          </w:tcPr>
          <w:p>
            <w:pPr>
              <w:jc w:val="right"/>
              <w:ind w:right="264"/>
              <w:spacing w:after="0"/>
              <w:rPr>
                <w:sz w:val="20"/>
                <w:szCs w:val="20"/>
                <w:color w:val="auto"/>
              </w:rPr>
            </w:pPr>
            <w:r>
              <w:rPr>
                <w:rFonts w:ascii="Arial" w:cs="Arial" w:eastAsia="Arial" w:hAnsi="Arial"/>
                <w:sz w:val="14"/>
                <w:szCs w:val="14"/>
                <w:color w:val="092E44"/>
              </w:rPr>
              <w:t>Achievement</w:t>
            </w:r>
          </w:p>
        </w:tc>
        <w:tc>
          <w:tcPr>
            <w:tcW w:w="1020" w:type="dxa"/>
            <w:vAlign w:val="bottom"/>
          </w:tcPr>
          <w:p>
            <w:pPr>
              <w:ind w:left="220"/>
              <w:spacing w:after="0"/>
              <w:rPr>
                <w:sz w:val="20"/>
                <w:szCs w:val="20"/>
                <w:color w:val="auto"/>
              </w:rPr>
            </w:pPr>
            <w:r>
              <w:rPr>
                <w:rFonts w:ascii="Arial" w:cs="Arial" w:eastAsia="Arial" w:hAnsi="Arial"/>
                <w:sz w:val="14"/>
                <w:szCs w:val="14"/>
                <w:color w:val="092E44"/>
              </w:rPr>
              <w:t>Payout</w:t>
            </w:r>
          </w:p>
        </w:tc>
        <w:tc>
          <w:tcPr>
            <w:tcW w:w="1100" w:type="dxa"/>
            <w:vAlign w:val="bottom"/>
          </w:tcPr>
          <w:p>
            <w:pPr>
              <w:spacing w:after="0"/>
              <w:rPr>
                <w:sz w:val="14"/>
                <w:szCs w:val="14"/>
                <w:color w:val="auto"/>
              </w:rPr>
            </w:pPr>
          </w:p>
        </w:tc>
        <w:tc>
          <w:tcPr>
            <w:tcW w:w="940" w:type="dxa"/>
            <w:vAlign w:val="bottom"/>
          </w:tcPr>
          <w:p>
            <w:pPr>
              <w:jc w:val="right"/>
              <w:ind w:right="143"/>
              <w:spacing w:after="0"/>
              <w:rPr>
                <w:sz w:val="20"/>
                <w:szCs w:val="20"/>
                <w:color w:val="auto"/>
              </w:rPr>
            </w:pPr>
            <w:r>
              <w:rPr>
                <w:rFonts w:ascii="Arial" w:cs="Arial" w:eastAsia="Arial" w:hAnsi="Arial"/>
                <w:sz w:val="14"/>
                <w:szCs w:val="14"/>
                <w:color w:val="092E44"/>
              </w:rPr>
              <w:t>Weighted</w:t>
            </w:r>
          </w:p>
        </w:tc>
      </w:tr>
      <w:tr>
        <w:trPr>
          <w:trHeight w:val="183"/>
        </w:trPr>
        <w:tc>
          <w:tcPr>
            <w:tcW w:w="3960" w:type="dxa"/>
            <w:vAlign w:val="bottom"/>
            <w:tcBorders>
              <w:bottom w:val="single" w:sz="8" w:color="E14A6A"/>
            </w:tcBorders>
          </w:tcPr>
          <w:p>
            <w:pPr>
              <w:spacing w:after="0"/>
              <w:rPr>
                <w:sz w:val="15"/>
                <w:szCs w:val="15"/>
                <w:color w:val="auto"/>
              </w:rPr>
            </w:pPr>
          </w:p>
        </w:tc>
        <w:tc>
          <w:tcPr>
            <w:tcW w:w="1380" w:type="dxa"/>
            <w:vAlign w:val="bottom"/>
            <w:tcBorders>
              <w:bottom w:val="single" w:sz="8" w:color="E14A6A"/>
            </w:tcBorders>
          </w:tcPr>
          <w:p>
            <w:pPr>
              <w:jc w:val="right"/>
              <w:ind w:right="124"/>
              <w:spacing w:after="0"/>
              <w:rPr>
                <w:sz w:val="20"/>
                <w:szCs w:val="20"/>
                <w:color w:val="auto"/>
              </w:rPr>
            </w:pPr>
            <w:r>
              <w:rPr>
                <w:rFonts w:ascii="Arial" w:cs="Arial" w:eastAsia="Arial" w:hAnsi="Arial"/>
                <w:sz w:val="14"/>
                <w:szCs w:val="14"/>
                <w:color w:val="092E44"/>
              </w:rPr>
              <w:t>(in millions)</w:t>
            </w:r>
          </w:p>
        </w:tc>
        <w:tc>
          <w:tcPr>
            <w:tcW w:w="1140" w:type="dxa"/>
            <w:vAlign w:val="bottom"/>
            <w:tcBorders>
              <w:bottom w:val="single" w:sz="8" w:color="E14A6A"/>
            </w:tcBorders>
          </w:tcPr>
          <w:p>
            <w:pPr>
              <w:jc w:val="right"/>
              <w:ind w:right="144"/>
              <w:spacing w:after="0"/>
              <w:rPr>
                <w:sz w:val="20"/>
                <w:szCs w:val="20"/>
                <w:color w:val="auto"/>
              </w:rPr>
            </w:pPr>
            <w:r>
              <w:rPr>
                <w:rFonts w:ascii="Arial" w:cs="Arial" w:eastAsia="Arial" w:hAnsi="Arial"/>
                <w:sz w:val="14"/>
                <w:szCs w:val="14"/>
                <w:color w:val="092E44"/>
              </w:rPr>
              <w:t>(in millions)</w:t>
            </w:r>
          </w:p>
        </w:tc>
        <w:tc>
          <w:tcPr>
            <w:tcW w:w="1380" w:type="dxa"/>
            <w:vAlign w:val="bottom"/>
            <w:tcBorders>
              <w:bottom w:val="single" w:sz="8" w:color="E14A6A"/>
            </w:tcBorders>
          </w:tcPr>
          <w:p>
            <w:pPr>
              <w:jc w:val="right"/>
              <w:ind w:right="264"/>
              <w:spacing w:after="0"/>
              <w:rPr>
                <w:sz w:val="20"/>
                <w:szCs w:val="20"/>
                <w:color w:val="auto"/>
              </w:rPr>
            </w:pPr>
            <w:r>
              <w:rPr>
                <w:rFonts w:ascii="Arial" w:cs="Arial" w:eastAsia="Arial" w:hAnsi="Arial"/>
                <w:sz w:val="14"/>
                <w:szCs w:val="14"/>
                <w:color w:val="092E44"/>
              </w:rPr>
              <w:t>vs. Target</w:t>
            </w:r>
          </w:p>
        </w:tc>
        <w:tc>
          <w:tcPr>
            <w:tcW w:w="1020" w:type="dxa"/>
            <w:vAlign w:val="bottom"/>
            <w:tcBorders>
              <w:bottom w:val="single" w:sz="8" w:color="E14A6A"/>
            </w:tcBorders>
          </w:tcPr>
          <w:p>
            <w:pPr>
              <w:ind w:left="260"/>
              <w:spacing w:after="0"/>
              <w:rPr>
                <w:sz w:val="20"/>
                <w:szCs w:val="20"/>
                <w:color w:val="auto"/>
              </w:rPr>
            </w:pPr>
            <w:r>
              <w:rPr>
                <w:rFonts w:ascii="Arial" w:cs="Arial" w:eastAsia="Arial" w:hAnsi="Arial"/>
                <w:sz w:val="14"/>
                <w:szCs w:val="14"/>
                <w:color w:val="092E44"/>
              </w:rPr>
              <w:t>Factor</w:t>
            </w:r>
          </w:p>
        </w:tc>
        <w:tc>
          <w:tcPr>
            <w:tcW w:w="1100" w:type="dxa"/>
            <w:vAlign w:val="bottom"/>
            <w:tcBorders>
              <w:bottom w:val="single" w:sz="8" w:color="E14A6A"/>
            </w:tcBorders>
          </w:tcPr>
          <w:p>
            <w:pPr>
              <w:jc w:val="right"/>
              <w:ind w:right="182"/>
              <w:spacing w:after="0"/>
              <w:rPr>
                <w:sz w:val="20"/>
                <w:szCs w:val="20"/>
                <w:color w:val="auto"/>
              </w:rPr>
            </w:pPr>
            <w:r>
              <w:rPr>
                <w:rFonts w:ascii="Arial" w:cs="Arial" w:eastAsia="Arial" w:hAnsi="Arial"/>
                <w:sz w:val="14"/>
                <w:szCs w:val="14"/>
                <w:color w:val="092E44"/>
              </w:rPr>
              <w:t>Weighting</w:t>
            </w:r>
          </w:p>
        </w:tc>
        <w:tc>
          <w:tcPr>
            <w:tcW w:w="940" w:type="dxa"/>
            <w:vAlign w:val="bottom"/>
            <w:tcBorders>
              <w:bottom w:val="single" w:sz="8" w:color="E14A6A"/>
            </w:tcBorders>
          </w:tcPr>
          <w:p>
            <w:pPr>
              <w:jc w:val="right"/>
              <w:ind w:right="143"/>
              <w:spacing w:after="0"/>
              <w:rPr>
                <w:sz w:val="20"/>
                <w:szCs w:val="20"/>
                <w:color w:val="auto"/>
              </w:rPr>
            </w:pPr>
            <w:r>
              <w:rPr>
                <w:rFonts w:ascii="Arial" w:cs="Arial" w:eastAsia="Arial" w:hAnsi="Arial"/>
                <w:sz w:val="14"/>
                <w:szCs w:val="14"/>
                <w:color w:val="092E44"/>
              </w:rPr>
              <w:t>Payout</w:t>
            </w:r>
          </w:p>
        </w:tc>
      </w:tr>
      <w:tr>
        <w:trPr>
          <w:trHeight w:val="244"/>
        </w:trPr>
        <w:tc>
          <w:tcPr>
            <w:tcW w:w="3960" w:type="dxa"/>
            <w:vAlign w:val="bottom"/>
          </w:tcPr>
          <w:p>
            <w:pPr>
              <w:ind w:left="80"/>
              <w:spacing w:after="0"/>
              <w:rPr>
                <w:sz w:val="20"/>
                <w:szCs w:val="20"/>
                <w:color w:val="auto"/>
              </w:rPr>
            </w:pPr>
            <w:r>
              <w:rPr>
                <w:rFonts w:ascii="Arial" w:cs="Arial" w:eastAsia="Arial" w:hAnsi="Arial"/>
                <w:sz w:val="16"/>
                <w:szCs w:val="16"/>
                <w:color w:val="092E44"/>
              </w:rPr>
              <w:t>Annual Revenue</w:t>
            </w:r>
          </w:p>
        </w:tc>
        <w:tc>
          <w:tcPr>
            <w:tcW w:w="1380" w:type="dxa"/>
            <w:vAlign w:val="bottom"/>
          </w:tcPr>
          <w:p>
            <w:pPr>
              <w:jc w:val="right"/>
              <w:ind w:right="124"/>
              <w:spacing w:after="0"/>
              <w:rPr>
                <w:sz w:val="20"/>
                <w:szCs w:val="20"/>
                <w:color w:val="auto"/>
              </w:rPr>
            </w:pPr>
            <w:r>
              <w:rPr>
                <w:rFonts w:ascii="Arial" w:cs="Arial" w:eastAsia="Arial" w:hAnsi="Arial"/>
                <w:sz w:val="16"/>
                <w:szCs w:val="16"/>
                <w:color w:val="092E44"/>
              </w:rPr>
              <w:t>$770</w:t>
            </w:r>
          </w:p>
        </w:tc>
        <w:tc>
          <w:tcPr>
            <w:tcW w:w="1140" w:type="dxa"/>
            <w:vAlign w:val="bottom"/>
          </w:tcPr>
          <w:p>
            <w:pPr>
              <w:jc w:val="right"/>
              <w:ind w:right="144"/>
              <w:spacing w:after="0"/>
              <w:rPr>
                <w:sz w:val="20"/>
                <w:szCs w:val="20"/>
                <w:color w:val="auto"/>
              </w:rPr>
            </w:pPr>
            <w:r>
              <w:rPr>
                <w:rFonts w:ascii="Arial" w:cs="Arial" w:eastAsia="Arial" w:hAnsi="Arial"/>
                <w:sz w:val="16"/>
                <w:szCs w:val="16"/>
                <w:color w:val="092E44"/>
              </w:rPr>
              <w:t>$768</w:t>
            </w:r>
          </w:p>
        </w:tc>
        <w:tc>
          <w:tcPr>
            <w:tcW w:w="1380" w:type="dxa"/>
            <w:vAlign w:val="bottom"/>
          </w:tcPr>
          <w:p>
            <w:pPr>
              <w:jc w:val="right"/>
              <w:ind w:right="124"/>
              <w:spacing w:after="0"/>
              <w:rPr>
                <w:sz w:val="20"/>
                <w:szCs w:val="20"/>
                <w:color w:val="auto"/>
              </w:rPr>
            </w:pPr>
            <w:r>
              <w:rPr>
                <w:rFonts w:ascii="Arial" w:cs="Arial" w:eastAsia="Arial" w:hAnsi="Arial"/>
                <w:sz w:val="16"/>
                <w:szCs w:val="16"/>
                <w:color w:val="092E44"/>
              </w:rPr>
              <w:t>100.2%</w:t>
            </w:r>
          </w:p>
        </w:tc>
        <w:tc>
          <w:tcPr>
            <w:tcW w:w="1020" w:type="dxa"/>
            <w:vAlign w:val="bottom"/>
          </w:tcPr>
          <w:p>
            <w:pPr>
              <w:ind w:left="260"/>
              <w:spacing w:after="0"/>
              <w:rPr>
                <w:sz w:val="20"/>
                <w:szCs w:val="20"/>
                <w:color w:val="auto"/>
              </w:rPr>
            </w:pPr>
            <w:r>
              <w:rPr>
                <w:rFonts w:ascii="Arial" w:cs="Arial" w:eastAsia="Arial" w:hAnsi="Arial"/>
                <w:sz w:val="16"/>
                <w:szCs w:val="16"/>
                <w:color w:val="092E44"/>
              </w:rPr>
              <w:t>101.0%</w:t>
            </w:r>
          </w:p>
        </w:tc>
        <w:tc>
          <w:tcPr>
            <w:tcW w:w="1100" w:type="dxa"/>
            <w:vAlign w:val="bottom"/>
          </w:tcPr>
          <w:p>
            <w:pPr>
              <w:jc w:val="right"/>
              <w:ind w:right="42"/>
              <w:spacing w:after="0"/>
              <w:rPr>
                <w:sz w:val="20"/>
                <w:szCs w:val="20"/>
                <w:color w:val="auto"/>
              </w:rPr>
            </w:pPr>
            <w:r>
              <w:rPr>
                <w:rFonts w:ascii="Arial" w:cs="Arial" w:eastAsia="Arial" w:hAnsi="Arial"/>
                <w:sz w:val="16"/>
                <w:szCs w:val="16"/>
                <w:color w:val="092E44"/>
              </w:rPr>
              <w:t>60%</w:t>
            </w:r>
          </w:p>
        </w:tc>
        <w:tc>
          <w:tcPr>
            <w:tcW w:w="940" w:type="dxa"/>
            <w:vAlign w:val="bottom"/>
          </w:tcPr>
          <w:p>
            <w:pPr>
              <w:jc w:val="right"/>
              <w:ind w:right="3"/>
              <w:spacing w:after="0"/>
              <w:rPr>
                <w:sz w:val="20"/>
                <w:szCs w:val="20"/>
                <w:color w:val="auto"/>
              </w:rPr>
            </w:pPr>
            <w:r>
              <w:rPr>
                <w:rFonts w:ascii="Arial" w:cs="Arial" w:eastAsia="Arial" w:hAnsi="Arial"/>
                <w:sz w:val="16"/>
                <w:szCs w:val="16"/>
                <w:color w:val="092E44"/>
              </w:rPr>
              <w:t>60.60%</w:t>
            </w:r>
          </w:p>
        </w:tc>
      </w:tr>
      <w:tr>
        <w:trPr>
          <w:trHeight w:val="57"/>
        </w:trPr>
        <w:tc>
          <w:tcPr>
            <w:tcW w:w="39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301"/>
        </w:trPr>
        <w:tc>
          <w:tcPr>
            <w:tcW w:w="3960" w:type="dxa"/>
            <w:vAlign w:val="bottom"/>
            <w:tcBorders>
              <w:bottom w:val="single" w:sz="8" w:color="DDE9F2"/>
            </w:tcBorders>
            <w:shd w:val="clear" w:color="auto" w:fill="DDE9F2"/>
          </w:tcPr>
          <w:p>
            <w:pPr>
              <w:ind w:left="80"/>
              <w:spacing w:after="0"/>
              <w:rPr>
                <w:sz w:val="20"/>
                <w:szCs w:val="20"/>
                <w:color w:val="auto"/>
              </w:rPr>
            </w:pPr>
            <w:r>
              <w:rPr>
                <w:rFonts w:ascii="Arial" w:cs="Arial" w:eastAsia="Arial" w:hAnsi="Arial"/>
                <w:sz w:val="16"/>
                <w:szCs w:val="16"/>
                <w:color w:val="092E44"/>
              </w:rPr>
              <w:t>Non-GAAP EBIT</w:t>
            </w:r>
          </w:p>
        </w:tc>
        <w:tc>
          <w:tcPr>
            <w:tcW w:w="1380" w:type="dxa"/>
            <w:vAlign w:val="bottom"/>
            <w:tcBorders>
              <w:bottom w:val="single" w:sz="8" w:color="DDE9F2"/>
            </w:tcBorders>
            <w:shd w:val="clear" w:color="auto" w:fill="DDE9F2"/>
          </w:tcPr>
          <w:p>
            <w:pPr>
              <w:jc w:val="right"/>
              <w:ind w:right="124"/>
              <w:spacing w:after="0"/>
              <w:rPr>
                <w:sz w:val="20"/>
                <w:szCs w:val="20"/>
                <w:color w:val="auto"/>
              </w:rPr>
            </w:pPr>
            <w:r>
              <w:rPr>
                <w:rFonts w:ascii="Arial" w:cs="Arial" w:eastAsia="Arial" w:hAnsi="Arial"/>
                <w:sz w:val="16"/>
                <w:szCs w:val="16"/>
                <w:color w:val="092E44"/>
              </w:rPr>
              <w:t>$162</w:t>
            </w:r>
          </w:p>
        </w:tc>
        <w:tc>
          <w:tcPr>
            <w:tcW w:w="1140" w:type="dxa"/>
            <w:vAlign w:val="bottom"/>
            <w:tcBorders>
              <w:bottom w:val="single" w:sz="8" w:color="DDE9F2"/>
            </w:tcBorders>
            <w:shd w:val="clear" w:color="auto" w:fill="DDE9F2"/>
          </w:tcPr>
          <w:p>
            <w:pPr>
              <w:jc w:val="right"/>
              <w:ind w:right="144"/>
              <w:spacing w:after="0"/>
              <w:rPr>
                <w:sz w:val="20"/>
                <w:szCs w:val="20"/>
                <w:color w:val="auto"/>
              </w:rPr>
            </w:pPr>
            <w:r>
              <w:rPr>
                <w:rFonts w:ascii="Arial" w:cs="Arial" w:eastAsia="Arial" w:hAnsi="Arial"/>
                <w:sz w:val="16"/>
                <w:szCs w:val="16"/>
                <w:color w:val="092E44"/>
              </w:rPr>
              <w:t>$161</w:t>
            </w:r>
          </w:p>
        </w:tc>
        <w:tc>
          <w:tcPr>
            <w:tcW w:w="1380" w:type="dxa"/>
            <w:vAlign w:val="bottom"/>
            <w:tcBorders>
              <w:bottom w:val="single" w:sz="8" w:color="DDE9F2"/>
            </w:tcBorders>
            <w:shd w:val="clear" w:color="auto" w:fill="DDE9F2"/>
          </w:tcPr>
          <w:p>
            <w:pPr>
              <w:jc w:val="right"/>
              <w:ind w:right="124"/>
              <w:spacing w:after="0"/>
              <w:rPr>
                <w:sz w:val="20"/>
                <w:szCs w:val="20"/>
                <w:color w:val="auto"/>
              </w:rPr>
            </w:pPr>
            <w:r>
              <w:rPr>
                <w:rFonts w:ascii="Arial" w:cs="Arial" w:eastAsia="Arial" w:hAnsi="Arial"/>
                <w:sz w:val="16"/>
                <w:szCs w:val="16"/>
                <w:color w:val="092E44"/>
              </w:rPr>
              <w:t>100.4%</w:t>
            </w:r>
          </w:p>
        </w:tc>
        <w:tc>
          <w:tcPr>
            <w:tcW w:w="1020" w:type="dxa"/>
            <w:vAlign w:val="bottom"/>
            <w:tcBorders>
              <w:bottom w:val="single" w:sz="8" w:color="DDE9F2"/>
            </w:tcBorders>
            <w:shd w:val="clear" w:color="auto" w:fill="DDE9F2"/>
          </w:tcPr>
          <w:p>
            <w:pPr>
              <w:ind w:left="260"/>
              <w:spacing w:after="0"/>
              <w:rPr>
                <w:sz w:val="20"/>
                <w:szCs w:val="20"/>
                <w:color w:val="auto"/>
              </w:rPr>
            </w:pPr>
            <w:r>
              <w:rPr>
                <w:rFonts w:ascii="Arial" w:cs="Arial" w:eastAsia="Arial" w:hAnsi="Arial"/>
                <w:sz w:val="16"/>
                <w:szCs w:val="16"/>
                <w:color w:val="092E44"/>
              </w:rPr>
              <w:t>101.3%</w:t>
            </w:r>
          </w:p>
        </w:tc>
        <w:tc>
          <w:tcPr>
            <w:tcW w:w="1100" w:type="dxa"/>
            <w:vAlign w:val="bottom"/>
            <w:tcBorders>
              <w:bottom w:val="single" w:sz="8" w:color="DDE9F2"/>
            </w:tcBorders>
            <w:shd w:val="clear" w:color="auto" w:fill="DDE9F2"/>
          </w:tcPr>
          <w:p>
            <w:pPr>
              <w:jc w:val="right"/>
              <w:ind w:right="42"/>
              <w:spacing w:after="0"/>
              <w:rPr>
                <w:sz w:val="20"/>
                <w:szCs w:val="20"/>
                <w:color w:val="auto"/>
              </w:rPr>
            </w:pPr>
            <w:r>
              <w:rPr>
                <w:rFonts w:ascii="Arial" w:cs="Arial" w:eastAsia="Arial" w:hAnsi="Arial"/>
                <w:sz w:val="16"/>
                <w:szCs w:val="16"/>
                <w:color w:val="092E44"/>
              </w:rPr>
              <w:t>40%</w:t>
            </w:r>
          </w:p>
        </w:tc>
        <w:tc>
          <w:tcPr>
            <w:tcW w:w="940" w:type="dxa"/>
            <w:vAlign w:val="bottom"/>
            <w:tcBorders>
              <w:bottom w:val="single" w:sz="8" w:color="DDE9F2"/>
            </w:tcBorders>
            <w:shd w:val="clear" w:color="auto" w:fill="DDE9F2"/>
          </w:tcPr>
          <w:p>
            <w:pPr>
              <w:jc w:val="right"/>
              <w:ind w:right="3"/>
              <w:spacing w:after="0"/>
              <w:rPr>
                <w:sz w:val="20"/>
                <w:szCs w:val="20"/>
                <w:color w:val="auto"/>
              </w:rPr>
            </w:pPr>
            <w:r>
              <w:rPr>
                <w:rFonts w:ascii="Arial" w:cs="Arial" w:eastAsia="Arial" w:hAnsi="Arial"/>
                <w:sz w:val="16"/>
                <w:szCs w:val="16"/>
                <w:color w:val="092E44"/>
              </w:rPr>
              <w:t>40.52%</w:t>
            </w:r>
          </w:p>
        </w:tc>
      </w:tr>
      <w:tr>
        <w:trPr>
          <w:trHeight w:val="264"/>
        </w:trPr>
        <w:tc>
          <w:tcPr>
            <w:tcW w:w="3960" w:type="dxa"/>
            <w:vAlign w:val="bottom"/>
          </w:tcPr>
          <w:p>
            <w:pPr>
              <w:ind w:left="80"/>
              <w:spacing w:after="0"/>
              <w:rPr>
                <w:sz w:val="20"/>
                <w:szCs w:val="20"/>
                <w:color w:val="auto"/>
              </w:rPr>
            </w:pPr>
            <w:r>
              <w:rPr>
                <w:rFonts w:ascii="Arial" w:cs="Arial" w:eastAsia="Arial" w:hAnsi="Arial"/>
                <w:sz w:val="16"/>
                <w:szCs w:val="16"/>
                <w:color w:val="092E44"/>
              </w:rPr>
              <w:t>Total</w:t>
            </w:r>
          </w:p>
        </w:tc>
        <w:tc>
          <w:tcPr>
            <w:tcW w:w="1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092E44"/>
              </w:rPr>
              <w:t>100.0%</w:t>
            </w:r>
          </w:p>
        </w:tc>
        <w:tc>
          <w:tcPr>
            <w:tcW w:w="940" w:type="dxa"/>
            <w:vAlign w:val="bottom"/>
          </w:tcPr>
          <w:p>
            <w:pPr>
              <w:jc w:val="right"/>
              <w:ind w:right="3"/>
              <w:spacing w:after="0"/>
              <w:rPr>
                <w:sz w:val="20"/>
                <w:szCs w:val="20"/>
                <w:color w:val="auto"/>
              </w:rPr>
            </w:pPr>
            <w:r>
              <w:rPr>
                <w:rFonts w:ascii="Arial" w:cs="Arial" w:eastAsia="Arial" w:hAnsi="Arial"/>
                <w:sz w:val="16"/>
                <w:szCs w:val="16"/>
                <w:color w:val="092E44"/>
              </w:rPr>
              <w:t>101.12%</w:t>
            </w:r>
          </w:p>
        </w:tc>
      </w:tr>
      <w:tr>
        <w:trPr>
          <w:trHeight w:val="57"/>
        </w:trPr>
        <w:tc>
          <w:tcPr>
            <w:tcW w:w="3960" w:type="dxa"/>
            <w:vAlign w:val="bottom"/>
            <w:tcBorders>
              <w:bottom w:val="single" w:sz="8" w:color="092E44"/>
            </w:tcBorders>
          </w:tcPr>
          <w:p>
            <w:pPr>
              <w:spacing w:after="0"/>
              <w:rPr>
                <w:sz w:val="4"/>
                <w:szCs w:val="4"/>
                <w:color w:val="auto"/>
              </w:rPr>
            </w:pPr>
          </w:p>
        </w:tc>
        <w:tc>
          <w:tcPr>
            <w:tcW w:w="1380" w:type="dxa"/>
            <w:vAlign w:val="bottom"/>
            <w:tcBorders>
              <w:bottom w:val="single" w:sz="8" w:color="092E44"/>
            </w:tcBorders>
          </w:tcPr>
          <w:p>
            <w:pPr>
              <w:spacing w:after="0"/>
              <w:rPr>
                <w:sz w:val="4"/>
                <w:szCs w:val="4"/>
                <w:color w:val="auto"/>
              </w:rPr>
            </w:pPr>
          </w:p>
        </w:tc>
        <w:tc>
          <w:tcPr>
            <w:tcW w:w="1140" w:type="dxa"/>
            <w:vAlign w:val="bottom"/>
            <w:tcBorders>
              <w:bottom w:val="single" w:sz="8" w:color="092E44"/>
            </w:tcBorders>
          </w:tcPr>
          <w:p>
            <w:pPr>
              <w:spacing w:after="0"/>
              <w:rPr>
                <w:sz w:val="4"/>
                <w:szCs w:val="4"/>
                <w:color w:val="auto"/>
              </w:rPr>
            </w:pPr>
          </w:p>
        </w:tc>
        <w:tc>
          <w:tcPr>
            <w:tcW w:w="1380" w:type="dxa"/>
            <w:vAlign w:val="bottom"/>
            <w:tcBorders>
              <w:bottom w:val="single" w:sz="8" w:color="092E44"/>
            </w:tcBorders>
          </w:tcPr>
          <w:p>
            <w:pPr>
              <w:spacing w:after="0"/>
              <w:rPr>
                <w:sz w:val="4"/>
                <w:szCs w:val="4"/>
                <w:color w:val="auto"/>
              </w:rPr>
            </w:pPr>
          </w:p>
        </w:tc>
        <w:tc>
          <w:tcPr>
            <w:tcW w:w="1020" w:type="dxa"/>
            <w:vAlign w:val="bottom"/>
            <w:tcBorders>
              <w:bottom w:val="single" w:sz="8" w:color="092E44"/>
            </w:tcBorders>
          </w:tcPr>
          <w:p>
            <w:pPr>
              <w:spacing w:after="0"/>
              <w:rPr>
                <w:sz w:val="4"/>
                <w:szCs w:val="4"/>
                <w:color w:val="auto"/>
              </w:rPr>
            </w:pPr>
          </w:p>
        </w:tc>
        <w:tc>
          <w:tcPr>
            <w:tcW w:w="1100" w:type="dxa"/>
            <w:vAlign w:val="bottom"/>
            <w:tcBorders>
              <w:bottom w:val="single" w:sz="8" w:color="092E44"/>
            </w:tcBorders>
          </w:tcPr>
          <w:p>
            <w:pPr>
              <w:spacing w:after="0"/>
              <w:rPr>
                <w:sz w:val="4"/>
                <w:szCs w:val="4"/>
                <w:color w:val="auto"/>
              </w:rPr>
            </w:pPr>
          </w:p>
        </w:tc>
        <w:tc>
          <w:tcPr>
            <w:tcW w:w="940" w:type="dxa"/>
            <w:vAlign w:val="bottom"/>
            <w:tcBorders>
              <w:bottom w:val="single" w:sz="8" w:color="092E44"/>
            </w:tcBorders>
          </w:tcPr>
          <w:p>
            <w:pPr>
              <w:spacing w:after="0"/>
              <w:rPr>
                <w:sz w:val="4"/>
                <w:szCs w:val="4"/>
                <w:color w:val="auto"/>
              </w:rPr>
            </w:pPr>
          </w:p>
        </w:tc>
      </w:tr>
    </w:tbl>
    <w:p>
      <w:pPr>
        <w:spacing w:after="0" w:line="93" w:lineRule="exact"/>
        <w:rPr>
          <w:sz w:val="20"/>
          <w:szCs w:val="20"/>
          <w:color w:val="auto"/>
        </w:rPr>
      </w:pPr>
    </w:p>
    <w:p>
      <w:pPr>
        <w:ind w:left="160" w:right="300"/>
        <w:spacing w:after="0" w:line="279" w:lineRule="auto"/>
        <w:rPr>
          <w:sz w:val="20"/>
          <w:szCs w:val="20"/>
          <w:color w:val="auto"/>
        </w:rPr>
      </w:pPr>
      <w:r>
        <w:rPr>
          <w:rFonts w:ascii="Arial" w:cs="Arial" w:eastAsia="Arial" w:hAnsi="Arial"/>
          <w:sz w:val="16"/>
          <w:szCs w:val="16"/>
          <w:color w:val="092E44"/>
        </w:rPr>
        <w:t>The payout for Mr. Di Blasio was 128.34% because Commvault significantly exceeded the revenue target in the third quarter, and outperformed target (but to a lesser extent) in the first and fourth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221615</wp:posOffset>
            </wp:positionV>
            <wp:extent cx="220980" cy="2120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36</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80"/>
          </w:cols>
          <w:pgMar w:left="320" w:top="454"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CD&amp;A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FISCAL YEAR 2022 COMPENSATION DECISIONS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As a result, the named executive officers received the annual incentive bonuses shown below.</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560" w:type="dxa"/>
            <w:vAlign w:val="bottom"/>
          </w:tcPr>
          <w:p>
            <w:pPr>
              <w:jc w:val="right"/>
              <w:ind w:right="363"/>
              <w:spacing w:after="0"/>
              <w:rPr>
                <w:sz w:val="20"/>
                <w:szCs w:val="20"/>
                <w:color w:val="auto"/>
              </w:rPr>
            </w:pPr>
            <w:r>
              <w:rPr>
                <w:rFonts w:ascii="Arial" w:cs="Arial" w:eastAsia="Arial" w:hAnsi="Arial"/>
                <w:sz w:val="14"/>
                <w:szCs w:val="14"/>
                <w:color w:val="092E44"/>
              </w:rPr>
              <w:t>Target Annual Cash</w:t>
            </w:r>
          </w:p>
        </w:tc>
        <w:tc>
          <w:tcPr>
            <w:tcW w:w="2400" w:type="dxa"/>
            <w:vAlign w:val="bottom"/>
          </w:tcPr>
          <w:p>
            <w:pPr>
              <w:jc w:val="right"/>
              <w:ind w:right="343"/>
              <w:spacing w:after="0"/>
              <w:rPr>
                <w:sz w:val="20"/>
                <w:szCs w:val="20"/>
                <w:color w:val="auto"/>
              </w:rPr>
            </w:pPr>
            <w:r>
              <w:rPr>
                <w:rFonts w:ascii="Arial" w:cs="Arial" w:eastAsia="Arial" w:hAnsi="Arial"/>
                <w:sz w:val="14"/>
                <w:szCs w:val="14"/>
                <w:color w:val="092E44"/>
              </w:rPr>
              <w:t>Percentage of Target</w:t>
            </w:r>
          </w:p>
        </w:tc>
        <w:tc>
          <w:tcPr>
            <w:tcW w:w="1540" w:type="dxa"/>
            <w:vAlign w:val="bottom"/>
          </w:tcPr>
          <w:p>
            <w:pPr>
              <w:jc w:val="right"/>
              <w:spacing w:after="0"/>
              <w:rPr>
                <w:sz w:val="20"/>
                <w:szCs w:val="20"/>
                <w:color w:val="auto"/>
              </w:rPr>
            </w:pPr>
            <w:r>
              <w:rPr>
                <w:rFonts w:ascii="Arial" w:cs="Arial" w:eastAsia="Arial" w:hAnsi="Arial"/>
                <w:sz w:val="14"/>
                <w:szCs w:val="14"/>
                <w:color w:val="092E44"/>
              </w:rPr>
              <w:t>Actual Annual</w:t>
            </w:r>
          </w:p>
        </w:tc>
      </w:tr>
      <w:tr>
        <w:trPr>
          <w:trHeight w:val="170"/>
        </w:trPr>
        <w:tc>
          <w:tcPr>
            <w:tcW w:w="4420" w:type="dxa"/>
            <w:vAlign w:val="bottom"/>
            <w:tcBorders>
              <w:bottom w:val="single" w:sz="8" w:color="E14A6A"/>
            </w:tcBorders>
          </w:tcPr>
          <w:p>
            <w:pPr>
              <w:spacing w:after="0"/>
              <w:rPr>
                <w:sz w:val="14"/>
                <w:szCs w:val="14"/>
                <w:color w:val="auto"/>
              </w:rPr>
            </w:pPr>
          </w:p>
        </w:tc>
        <w:tc>
          <w:tcPr>
            <w:tcW w:w="2560" w:type="dxa"/>
            <w:vAlign w:val="bottom"/>
            <w:tcBorders>
              <w:bottom w:val="single" w:sz="8" w:color="E14A6A"/>
            </w:tcBorders>
          </w:tcPr>
          <w:p>
            <w:pPr>
              <w:jc w:val="right"/>
              <w:ind w:right="363"/>
              <w:spacing w:after="0"/>
              <w:rPr>
                <w:sz w:val="20"/>
                <w:szCs w:val="20"/>
                <w:color w:val="auto"/>
              </w:rPr>
            </w:pPr>
            <w:r>
              <w:rPr>
                <w:rFonts w:ascii="Arial" w:cs="Arial" w:eastAsia="Arial" w:hAnsi="Arial"/>
                <w:sz w:val="14"/>
                <w:szCs w:val="14"/>
                <w:color w:val="092E44"/>
              </w:rPr>
              <w:t>Incentive Opportunity</w:t>
            </w:r>
          </w:p>
        </w:tc>
        <w:tc>
          <w:tcPr>
            <w:tcW w:w="2400" w:type="dxa"/>
            <w:vAlign w:val="bottom"/>
            <w:tcBorders>
              <w:bottom w:val="single" w:sz="8" w:color="E14A6A"/>
            </w:tcBorders>
          </w:tcPr>
          <w:p>
            <w:pPr>
              <w:jc w:val="right"/>
              <w:ind w:right="343"/>
              <w:spacing w:after="0"/>
              <w:rPr>
                <w:sz w:val="20"/>
                <w:szCs w:val="20"/>
                <w:color w:val="auto"/>
              </w:rPr>
            </w:pPr>
            <w:r>
              <w:rPr>
                <w:rFonts w:ascii="Arial" w:cs="Arial" w:eastAsia="Arial" w:hAnsi="Arial"/>
                <w:sz w:val="14"/>
                <w:szCs w:val="14"/>
                <w:color w:val="092E44"/>
              </w:rPr>
              <w:t>Annual Incentive Earned</w:t>
            </w:r>
          </w:p>
        </w:tc>
        <w:tc>
          <w:tcPr>
            <w:tcW w:w="1540" w:type="dxa"/>
            <w:vAlign w:val="bottom"/>
            <w:tcBorders>
              <w:bottom w:val="single" w:sz="8" w:color="E14A6A"/>
            </w:tcBorders>
          </w:tcPr>
          <w:p>
            <w:pPr>
              <w:jc w:val="right"/>
              <w:spacing w:after="0"/>
              <w:rPr>
                <w:sz w:val="20"/>
                <w:szCs w:val="20"/>
                <w:color w:val="auto"/>
              </w:rPr>
            </w:pPr>
            <w:r>
              <w:rPr>
                <w:rFonts w:ascii="Arial" w:cs="Arial" w:eastAsia="Arial" w:hAnsi="Arial"/>
                <w:sz w:val="14"/>
                <w:szCs w:val="14"/>
                <w:color w:val="092E44"/>
              </w:rPr>
              <w:t>Incentive Earned</w:t>
            </w:r>
          </w:p>
        </w:tc>
      </w:tr>
      <w:tr>
        <w:trPr>
          <w:trHeight w:val="254"/>
        </w:trPr>
        <w:tc>
          <w:tcPr>
            <w:tcW w:w="4420" w:type="dxa"/>
            <w:vAlign w:val="bottom"/>
          </w:tcPr>
          <w:p>
            <w:pPr>
              <w:ind w:left="80"/>
              <w:spacing w:after="0"/>
              <w:rPr>
                <w:sz w:val="20"/>
                <w:szCs w:val="20"/>
                <w:color w:val="auto"/>
              </w:rPr>
            </w:pPr>
            <w:r>
              <w:rPr>
                <w:rFonts w:ascii="Arial" w:cs="Arial" w:eastAsia="Arial" w:hAnsi="Arial"/>
                <w:sz w:val="16"/>
                <w:szCs w:val="16"/>
                <w:b w:val="1"/>
                <w:bCs w:val="1"/>
                <w:color w:val="092E44"/>
              </w:rPr>
              <w:t>Mr. Mirchandani</w:t>
            </w:r>
          </w:p>
        </w:tc>
        <w:tc>
          <w:tcPr>
            <w:tcW w:w="2560" w:type="dxa"/>
            <w:vAlign w:val="bottom"/>
          </w:tcPr>
          <w:p>
            <w:pPr>
              <w:jc w:val="right"/>
              <w:ind w:right="363"/>
              <w:spacing w:after="0"/>
              <w:rPr>
                <w:sz w:val="20"/>
                <w:szCs w:val="20"/>
                <w:color w:val="auto"/>
              </w:rPr>
            </w:pPr>
            <w:r>
              <w:rPr>
                <w:rFonts w:ascii="Arial" w:cs="Arial" w:eastAsia="Arial" w:hAnsi="Arial"/>
                <w:sz w:val="16"/>
                <w:szCs w:val="16"/>
                <w:color w:val="092E44"/>
              </w:rPr>
              <w:t>$645,000</w:t>
            </w:r>
          </w:p>
        </w:tc>
        <w:tc>
          <w:tcPr>
            <w:tcW w:w="2400" w:type="dxa"/>
            <w:vAlign w:val="bottom"/>
          </w:tcPr>
          <w:p>
            <w:pPr>
              <w:jc w:val="right"/>
              <w:ind w:right="343"/>
              <w:spacing w:after="0"/>
              <w:rPr>
                <w:sz w:val="20"/>
                <w:szCs w:val="20"/>
                <w:color w:val="auto"/>
              </w:rPr>
            </w:pPr>
            <w:r>
              <w:rPr>
                <w:rFonts w:ascii="Arial" w:cs="Arial" w:eastAsia="Arial" w:hAnsi="Arial"/>
                <w:sz w:val="16"/>
                <w:szCs w:val="16"/>
                <w:color w:val="092E44"/>
              </w:rPr>
              <w:t>101.12%</w:t>
            </w:r>
          </w:p>
        </w:tc>
        <w:tc>
          <w:tcPr>
            <w:tcW w:w="1540" w:type="dxa"/>
            <w:vAlign w:val="bottom"/>
          </w:tcPr>
          <w:p>
            <w:pPr>
              <w:jc w:val="right"/>
              <w:spacing w:after="0"/>
              <w:rPr>
                <w:sz w:val="20"/>
                <w:szCs w:val="20"/>
                <w:color w:val="auto"/>
              </w:rPr>
            </w:pPr>
            <w:r>
              <w:rPr>
                <w:rFonts w:ascii="Arial" w:cs="Arial" w:eastAsia="Arial" w:hAnsi="Arial"/>
                <w:sz w:val="16"/>
                <w:szCs w:val="16"/>
                <w:color w:val="092E44"/>
              </w:rPr>
              <w:t>$652,224</w:t>
            </w:r>
          </w:p>
        </w:tc>
      </w:tr>
      <w:tr>
        <w:trPr>
          <w:trHeight w:val="47"/>
        </w:trPr>
        <w:tc>
          <w:tcPr>
            <w:tcW w:w="44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301"/>
        </w:trPr>
        <w:tc>
          <w:tcPr>
            <w:tcW w:w="4420" w:type="dxa"/>
            <w:vAlign w:val="bottom"/>
            <w:tcBorders>
              <w:bottom w:val="single" w:sz="8" w:color="DDE9F2"/>
            </w:tcBorders>
            <w:shd w:val="clear" w:color="auto" w:fill="DDE9F2"/>
          </w:tcPr>
          <w:p>
            <w:pPr>
              <w:ind w:left="80"/>
              <w:spacing w:after="0"/>
              <w:rPr>
                <w:sz w:val="20"/>
                <w:szCs w:val="20"/>
                <w:color w:val="auto"/>
              </w:rPr>
            </w:pPr>
            <w:r>
              <w:rPr>
                <w:rFonts w:ascii="Arial" w:cs="Arial" w:eastAsia="Arial" w:hAnsi="Arial"/>
                <w:sz w:val="16"/>
                <w:szCs w:val="16"/>
                <w:b w:val="1"/>
                <w:bCs w:val="1"/>
                <w:color w:val="092E44"/>
              </w:rPr>
              <w:t>Mr. Carolan</w:t>
            </w:r>
          </w:p>
        </w:tc>
        <w:tc>
          <w:tcPr>
            <w:tcW w:w="2560" w:type="dxa"/>
            <w:vAlign w:val="bottom"/>
            <w:tcBorders>
              <w:bottom w:val="single" w:sz="8" w:color="DDE9F2"/>
            </w:tcBorders>
            <w:shd w:val="clear" w:color="auto" w:fill="DDE9F2"/>
          </w:tcPr>
          <w:p>
            <w:pPr>
              <w:jc w:val="right"/>
              <w:ind w:right="363"/>
              <w:spacing w:after="0"/>
              <w:rPr>
                <w:sz w:val="20"/>
                <w:szCs w:val="20"/>
                <w:color w:val="auto"/>
              </w:rPr>
            </w:pPr>
            <w:r>
              <w:rPr>
                <w:rFonts w:ascii="Arial" w:cs="Arial" w:eastAsia="Arial" w:hAnsi="Arial"/>
                <w:sz w:val="16"/>
                <w:szCs w:val="16"/>
                <w:color w:val="092E44"/>
              </w:rPr>
              <w:t>$246,000</w:t>
            </w:r>
          </w:p>
        </w:tc>
        <w:tc>
          <w:tcPr>
            <w:tcW w:w="2400" w:type="dxa"/>
            <w:vAlign w:val="bottom"/>
            <w:tcBorders>
              <w:bottom w:val="single" w:sz="8" w:color="DDE9F2"/>
            </w:tcBorders>
            <w:shd w:val="clear" w:color="auto" w:fill="DDE9F2"/>
          </w:tcPr>
          <w:p>
            <w:pPr>
              <w:jc w:val="right"/>
              <w:ind w:right="343"/>
              <w:spacing w:after="0"/>
              <w:rPr>
                <w:sz w:val="20"/>
                <w:szCs w:val="20"/>
                <w:color w:val="auto"/>
              </w:rPr>
            </w:pPr>
            <w:r>
              <w:rPr>
                <w:rFonts w:ascii="Arial" w:cs="Arial" w:eastAsia="Arial" w:hAnsi="Arial"/>
                <w:sz w:val="16"/>
                <w:szCs w:val="16"/>
                <w:color w:val="092E44"/>
              </w:rPr>
              <w:t>101.12%</w:t>
            </w:r>
          </w:p>
        </w:tc>
        <w:tc>
          <w:tcPr>
            <w:tcW w:w="1540" w:type="dxa"/>
            <w:vAlign w:val="bottom"/>
            <w:tcBorders>
              <w:bottom w:val="single" w:sz="8" w:color="DDE9F2"/>
            </w:tcBorders>
            <w:shd w:val="clear" w:color="auto" w:fill="DDE9F2"/>
          </w:tcPr>
          <w:p>
            <w:pPr>
              <w:jc w:val="right"/>
              <w:spacing w:after="0"/>
              <w:rPr>
                <w:sz w:val="20"/>
                <w:szCs w:val="20"/>
                <w:color w:val="auto"/>
              </w:rPr>
            </w:pPr>
            <w:r>
              <w:rPr>
                <w:rFonts w:ascii="Arial" w:cs="Arial" w:eastAsia="Arial" w:hAnsi="Arial"/>
                <w:sz w:val="16"/>
                <w:szCs w:val="16"/>
                <w:color w:val="092E44"/>
              </w:rPr>
              <w:t>$248,755</w:t>
            </w:r>
          </w:p>
        </w:tc>
      </w:tr>
      <w:tr>
        <w:trPr>
          <w:trHeight w:val="274"/>
        </w:trPr>
        <w:tc>
          <w:tcPr>
            <w:tcW w:w="4420" w:type="dxa"/>
            <w:vAlign w:val="bottom"/>
          </w:tcPr>
          <w:p>
            <w:pPr>
              <w:ind w:left="80"/>
              <w:spacing w:after="0"/>
              <w:rPr>
                <w:sz w:val="20"/>
                <w:szCs w:val="20"/>
                <w:color w:val="auto"/>
              </w:rPr>
            </w:pPr>
            <w:r>
              <w:rPr>
                <w:rFonts w:ascii="Arial" w:cs="Arial" w:eastAsia="Arial" w:hAnsi="Arial"/>
                <w:sz w:val="16"/>
                <w:szCs w:val="16"/>
                <w:b w:val="1"/>
                <w:bCs w:val="1"/>
                <w:color w:val="092E44"/>
              </w:rPr>
              <w:t>Mr. Di Blasio</w:t>
            </w:r>
          </w:p>
        </w:tc>
        <w:tc>
          <w:tcPr>
            <w:tcW w:w="2560" w:type="dxa"/>
            <w:vAlign w:val="bottom"/>
          </w:tcPr>
          <w:p>
            <w:pPr>
              <w:jc w:val="right"/>
              <w:ind w:right="363"/>
              <w:spacing w:after="0"/>
              <w:rPr>
                <w:sz w:val="20"/>
                <w:szCs w:val="20"/>
                <w:color w:val="auto"/>
              </w:rPr>
            </w:pPr>
            <w:r>
              <w:rPr>
                <w:rFonts w:ascii="Arial" w:cs="Arial" w:eastAsia="Arial" w:hAnsi="Arial"/>
                <w:sz w:val="16"/>
                <w:szCs w:val="16"/>
                <w:color w:val="092E44"/>
              </w:rPr>
              <w:t>$450,000</w:t>
            </w:r>
          </w:p>
        </w:tc>
        <w:tc>
          <w:tcPr>
            <w:tcW w:w="2400" w:type="dxa"/>
            <w:vAlign w:val="bottom"/>
          </w:tcPr>
          <w:p>
            <w:pPr>
              <w:jc w:val="right"/>
              <w:ind w:right="343"/>
              <w:spacing w:after="0"/>
              <w:rPr>
                <w:sz w:val="20"/>
                <w:szCs w:val="20"/>
                <w:color w:val="auto"/>
              </w:rPr>
            </w:pPr>
            <w:r>
              <w:rPr>
                <w:rFonts w:ascii="Arial" w:cs="Arial" w:eastAsia="Arial" w:hAnsi="Arial"/>
                <w:sz w:val="16"/>
                <w:szCs w:val="16"/>
                <w:color w:val="092E44"/>
              </w:rPr>
              <w:t>128.34%</w:t>
            </w:r>
          </w:p>
        </w:tc>
        <w:tc>
          <w:tcPr>
            <w:tcW w:w="1540" w:type="dxa"/>
            <w:vAlign w:val="bottom"/>
          </w:tcPr>
          <w:p>
            <w:pPr>
              <w:jc w:val="right"/>
              <w:spacing w:after="0"/>
              <w:rPr>
                <w:sz w:val="20"/>
                <w:szCs w:val="20"/>
                <w:color w:val="auto"/>
              </w:rPr>
            </w:pPr>
            <w:r>
              <w:rPr>
                <w:rFonts w:ascii="Arial" w:cs="Arial" w:eastAsia="Arial" w:hAnsi="Arial"/>
                <w:sz w:val="16"/>
                <w:szCs w:val="16"/>
                <w:color w:val="092E44"/>
              </w:rPr>
              <w:t>$577,539</w:t>
            </w:r>
          </w:p>
        </w:tc>
      </w:tr>
      <w:tr>
        <w:trPr>
          <w:trHeight w:val="47"/>
        </w:trPr>
        <w:tc>
          <w:tcPr>
            <w:tcW w:w="4420" w:type="dxa"/>
            <w:vAlign w:val="bottom"/>
            <w:tcBorders>
              <w:bottom w:val="single" w:sz="8" w:color="092E44"/>
            </w:tcBorders>
          </w:tcPr>
          <w:p>
            <w:pPr>
              <w:spacing w:after="0"/>
              <w:rPr>
                <w:sz w:val="4"/>
                <w:szCs w:val="4"/>
                <w:color w:val="auto"/>
              </w:rPr>
            </w:pPr>
          </w:p>
        </w:tc>
        <w:tc>
          <w:tcPr>
            <w:tcW w:w="2560" w:type="dxa"/>
            <w:vAlign w:val="bottom"/>
            <w:tcBorders>
              <w:bottom w:val="single" w:sz="8" w:color="092E44"/>
            </w:tcBorders>
          </w:tcPr>
          <w:p>
            <w:pPr>
              <w:spacing w:after="0"/>
              <w:rPr>
                <w:sz w:val="4"/>
                <w:szCs w:val="4"/>
                <w:color w:val="auto"/>
              </w:rPr>
            </w:pPr>
          </w:p>
        </w:tc>
        <w:tc>
          <w:tcPr>
            <w:tcW w:w="2400" w:type="dxa"/>
            <w:vAlign w:val="bottom"/>
            <w:tcBorders>
              <w:bottom w:val="single" w:sz="8" w:color="092E44"/>
            </w:tcBorders>
          </w:tcPr>
          <w:p>
            <w:pPr>
              <w:spacing w:after="0"/>
              <w:rPr>
                <w:sz w:val="4"/>
                <w:szCs w:val="4"/>
                <w:color w:val="auto"/>
              </w:rPr>
            </w:pPr>
          </w:p>
        </w:tc>
        <w:tc>
          <w:tcPr>
            <w:tcW w:w="1540" w:type="dxa"/>
            <w:vAlign w:val="bottom"/>
            <w:tcBorders>
              <w:bottom w:val="single" w:sz="8" w:color="092E44"/>
            </w:tcBorders>
          </w:tcPr>
          <w:p>
            <w:pPr>
              <w:spacing w:after="0"/>
              <w:rPr>
                <w:sz w:val="4"/>
                <w:szCs w:val="4"/>
                <w:color w:val="auto"/>
              </w:rPr>
            </w:pPr>
          </w:p>
        </w:tc>
      </w:tr>
    </w:tbl>
    <w:p>
      <w:pPr>
        <w:spacing w:after="0" w:line="29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Long-Term Equity Incentive Awards</w:t>
      </w:r>
    </w:p>
    <w:p>
      <w:pPr>
        <w:spacing w:after="0" w:line="67" w:lineRule="exact"/>
        <w:rPr>
          <w:sz w:val="20"/>
          <w:szCs w:val="20"/>
          <w:color w:val="auto"/>
        </w:rPr>
      </w:pPr>
    </w:p>
    <w:p>
      <w:pPr>
        <w:ind w:left="160" w:right="200"/>
        <w:spacing w:after="0" w:line="256" w:lineRule="auto"/>
        <w:rPr>
          <w:sz w:val="20"/>
          <w:szCs w:val="20"/>
          <w:color w:val="auto"/>
        </w:rPr>
      </w:pPr>
      <w:r>
        <w:rPr>
          <w:rFonts w:ascii="Arial" w:cs="Arial" w:eastAsia="Arial" w:hAnsi="Arial"/>
          <w:sz w:val="16"/>
          <w:szCs w:val="16"/>
          <w:color w:val="092E44"/>
        </w:rPr>
        <w:t>We provide long-term equity incentive awards pursuant to our 2016 Incentive Plan, which is designed to provide plan participants with appropriate incentives to achieve long-range goals and to align participants’ interests with those of our stockholders. The 2016 Incentive Plan permits the grant of stock options, stock appreciation rights, restricted stock awards, performance stock awards, and other forms of equity based on, or related to, shares of our common stock, and cash incentive awards that are contingent on performance.</w:t>
      </w:r>
    </w:p>
    <w:p>
      <w:pPr>
        <w:spacing w:after="0" w:line="58"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092E44"/>
        </w:rPr>
        <w:t>Generally, new executive officers receive a significant equity award when they commence employment. The size of each equity award is set at a level that we believe is appropriate to create a meaningful opportunity for stock ownership based upon our equity award grant guidelines, the individual’s position with Commvault, and the individual’s potential for future responsibility and promotion. The relative weight given to each of these factors varies from individual to individual. All equity awards granted to our executive officers are approved by the TMCC.</w:t>
      </w:r>
    </w:p>
    <w:p>
      <w:pPr>
        <w:spacing w:after="0" w:line="58" w:lineRule="exact"/>
        <w:rPr>
          <w:sz w:val="20"/>
          <w:szCs w:val="20"/>
          <w:color w:val="auto"/>
        </w:rPr>
      </w:pPr>
    </w:p>
    <w:p>
      <w:pPr>
        <w:ind w:left="160" w:right="140"/>
        <w:spacing w:after="0" w:line="262" w:lineRule="auto"/>
        <w:rPr>
          <w:sz w:val="20"/>
          <w:szCs w:val="20"/>
          <w:color w:val="auto"/>
        </w:rPr>
      </w:pPr>
      <w:r>
        <w:rPr>
          <w:rFonts w:ascii="Arial" w:cs="Arial" w:eastAsia="Arial" w:hAnsi="Arial"/>
          <w:sz w:val="16"/>
          <w:szCs w:val="16"/>
          <w:color w:val="092E44"/>
        </w:rPr>
        <w:t>When annual equity awards are granted—typically in May of each year—the TMCC bases grants on an evaluation of each executive officer’s performance during the prior fiscal year, as well as our overall corporate financial performance. The terms of annual awards and the number and form of awards granted are designed to ensure the recipient has a meaningful incentive to remain a Commvault employee.</w:t>
      </w:r>
    </w:p>
    <w:p>
      <w:pPr>
        <w:spacing w:after="0" w:line="39" w:lineRule="exact"/>
        <w:rPr>
          <w:sz w:val="20"/>
          <w:szCs w:val="20"/>
          <w:color w:val="auto"/>
        </w:rPr>
      </w:pPr>
    </w:p>
    <w:p>
      <w:pPr>
        <w:jc w:val="both"/>
        <w:ind w:left="160" w:right="160"/>
        <w:spacing w:after="0" w:line="262" w:lineRule="auto"/>
        <w:rPr>
          <w:sz w:val="20"/>
          <w:szCs w:val="20"/>
          <w:color w:val="auto"/>
        </w:rPr>
      </w:pPr>
      <w:r>
        <w:rPr>
          <w:rFonts w:ascii="Arial" w:cs="Arial" w:eastAsia="Arial" w:hAnsi="Arial"/>
          <w:sz w:val="16"/>
          <w:szCs w:val="16"/>
          <w:color w:val="092E44"/>
        </w:rPr>
        <w:t>In preparation for granting annual equity awards in May 2021, the TMCC reviewed a competitive market analysis prepared by Compensia to obtain data primarily related to the grant date fair value of the equity awards granted to similarly situated executives at companies in our compensation peer group. The awards granted to our named executive officers in May 2021 were provided in three forms, and subject to the terms and conditions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69297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7"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3520" w:type="dxa"/>
            <w:vAlign w:val="bottom"/>
          </w:tcPr>
          <w:p>
            <w:pPr>
              <w:ind w:left="80"/>
              <w:spacing w:after="0"/>
              <w:rPr>
                <w:sz w:val="20"/>
                <w:szCs w:val="20"/>
                <w:color w:val="auto"/>
              </w:rPr>
            </w:pPr>
            <w:r>
              <w:rPr>
                <w:rFonts w:ascii="Arial" w:cs="Arial" w:eastAsia="Arial" w:hAnsi="Arial"/>
                <w:sz w:val="16"/>
                <w:szCs w:val="16"/>
                <w:color w:val="092E44"/>
              </w:rPr>
              <w:t>Time-Based RSU awards</w:t>
            </w:r>
          </w:p>
        </w:tc>
        <w:tc>
          <w:tcPr>
            <w:tcW w:w="7400" w:type="dxa"/>
            <w:vAlign w:val="bottom"/>
          </w:tcPr>
          <w:p>
            <w:pPr>
              <w:ind w:left="100"/>
              <w:spacing w:after="0"/>
              <w:rPr>
                <w:sz w:val="20"/>
                <w:szCs w:val="20"/>
                <w:color w:val="auto"/>
              </w:rPr>
            </w:pPr>
            <w:r>
              <w:rPr>
                <w:rFonts w:ascii="Arial" w:cs="Arial" w:eastAsia="Arial" w:hAnsi="Arial"/>
                <w:sz w:val="16"/>
                <w:szCs w:val="16"/>
                <w:color w:val="092E44"/>
              </w:rPr>
              <w:t>These awards vest 33.3% on the first anniversary of the grant date and an additional 8.375% quarterly</w:t>
            </w:r>
          </w:p>
        </w:tc>
      </w:tr>
      <w:tr>
        <w:trPr>
          <w:trHeight w:val="225"/>
        </w:trPr>
        <w:tc>
          <w:tcPr>
            <w:tcW w:w="3520" w:type="dxa"/>
            <w:vAlign w:val="bottom"/>
          </w:tcPr>
          <w:p>
            <w:pPr>
              <w:ind w:left="80"/>
              <w:spacing w:after="0"/>
              <w:rPr>
                <w:sz w:val="20"/>
                <w:szCs w:val="20"/>
                <w:color w:val="auto"/>
              </w:rPr>
            </w:pPr>
            <w:r>
              <w:rPr>
                <w:rFonts w:ascii="Arial" w:cs="Arial" w:eastAsia="Arial" w:hAnsi="Arial"/>
                <w:sz w:val="16"/>
                <w:szCs w:val="16"/>
                <w:color w:val="092E44"/>
              </w:rPr>
              <w:t>50%</w:t>
            </w:r>
          </w:p>
        </w:tc>
        <w:tc>
          <w:tcPr>
            <w:tcW w:w="7400" w:type="dxa"/>
            <w:vAlign w:val="bottom"/>
          </w:tcPr>
          <w:p>
            <w:pPr>
              <w:ind w:left="100"/>
              <w:spacing w:after="0"/>
              <w:rPr>
                <w:sz w:val="20"/>
                <w:szCs w:val="20"/>
                <w:color w:val="auto"/>
              </w:rPr>
            </w:pPr>
            <w:r>
              <w:rPr>
                <w:rFonts w:ascii="Arial" w:cs="Arial" w:eastAsia="Arial" w:hAnsi="Arial"/>
                <w:sz w:val="16"/>
                <w:szCs w:val="16"/>
                <w:color w:val="092E44"/>
              </w:rPr>
              <w:t>thereafter until fully vested, generally subject to continued employment on the vesting date.</w:t>
            </w:r>
          </w:p>
        </w:tc>
      </w:tr>
      <w:tr>
        <w:trPr>
          <w:trHeight w:val="57"/>
        </w:trPr>
        <w:tc>
          <w:tcPr>
            <w:tcW w:w="3520" w:type="dxa"/>
            <w:vAlign w:val="bottom"/>
          </w:tcPr>
          <w:p>
            <w:pPr>
              <w:spacing w:after="0"/>
              <w:rPr>
                <w:sz w:val="4"/>
                <w:szCs w:val="4"/>
                <w:color w:val="auto"/>
              </w:rPr>
            </w:pPr>
          </w:p>
        </w:tc>
        <w:tc>
          <w:tcPr>
            <w:tcW w:w="7400" w:type="dxa"/>
            <w:vAlign w:val="bottom"/>
          </w:tcPr>
          <w:p>
            <w:pPr>
              <w:spacing w:after="0"/>
              <w:rPr>
                <w:sz w:val="4"/>
                <w:szCs w:val="4"/>
                <w:color w:val="auto"/>
              </w:rPr>
            </w:pPr>
          </w:p>
        </w:tc>
      </w:tr>
      <w:tr>
        <w:trPr>
          <w:trHeight w:val="240"/>
        </w:trPr>
        <w:tc>
          <w:tcPr>
            <w:tcW w:w="3520" w:type="dxa"/>
            <w:vAlign w:val="bottom"/>
            <w:shd w:val="clear" w:color="auto" w:fill="DDE9F2"/>
          </w:tcPr>
          <w:p>
            <w:pPr>
              <w:ind w:left="80"/>
              <w:spacing w:after="0"/>
              <w:rPr>
                <w:sz w:val="20"/>
                <w:szCs w:val="20"/>
                <w:color w:val="auto"/>
              </w:rPr>
            </w:pPr>
            <w:r>
              <w:rPr>
                <w:rFonts w:ascii="Arial" w:cs="Arial" w:eastAsia="Arial" w:hAnsi="Arial"/>
                <w:sz w:val="16"/>
                <w:szCs w:val="16"/>
                <w:color w:val="092E44"/>
              </w:rPr>
              <w:t>Relative TSR PSU awards</w:t>
            </w:r>
          </w:p>
        </w:tc>
        <w:tc>
          <w:tcPr>
            <w:tcW w:w="7400" w:type="dxa"/>
            <w:vAlign w:val="bottom"/>
            <w:shd w:val="clear" w:color="auto" w:fill="DDE9F2"/>
          </w:tcPr>
          <w:p>
            <w:pPr>
              <w:ind w:left="100"/>
              <w:spacing w:after="0"/>
              <w:rPr>
                <w:sz w:val="20"/>
                <w:szCs w:val="20"/>
                <w:color w:val="auto"/>
              </w:rPr>
            </w:pPr>
            <w:r>
              <w:rPr>
                <w:rFonts w:ascii="Arial" w:cs="Arial" w:eastAsia="Arial" w:hAnsi="Arial"/>
                <w:sz w:val="16"/>
                <w:szCs w:val="16"/>
                <w:color w:val="092E44"/>
              </w:rPr>
              <w:t>Recipients may earn up to 200% of their target award based on Commvault’s TSR performance</w:t>
            </w:r>
          </w:p>
        </w:tc>
      </w:tr>
      <w:tr>
        <w:trPr>
          <w:trHeight w:val="187"/>
        </w:trPr>
        <w:tc>
          <w:tcPr>
            <w:tcW w:w="3520" w:type="dxa"/>
            <w:vAlign w:val="bottom"/>
            <w:shd w:val="clear" w:color="auto" w:fill="DDE9F2"/>
          </w:tcPr>
          <w:p>
            <w:pPr>
              <w:ind w:left="80"/>
              <w:spacing w:after="0"/>
              <w:rPr>
                <w:sz w:val="20"/>
                <w:szCs w:val="20"/>
                <w:color w:val="auto"/>
              </w:rPr>
            </w:pPr>
            <w:r>
              <w:rPr>
                <w:rFonts w:ascii="Arial" w:cs="Arial" w:eastAsia="Arial" w:hAnsi="Arial"/>
                <w:sz w:val="16"/>
                <w:szCs w:val="16"/>
                <w:color w:val="092E44"/>
              </w:rPr>
              <w:t>25%</w:t>
            </w:r>
          </w:p>
        </w:tc>
        <w:tc>
          <w:tcPr>
            <w:tcW w:w="7400" w:type="dxa"/>
            <w:vAlign w:val="bottom"/>
            <w:shd w:val="clear" w:color="auto" w:fill="DDE9F2"/>
          </w:tcPr>
          <w:p>
            <w:pPr>
              <w:ind w:left="100"/>
              <w:spacing w:after="0"/>
              <w:rPr>
                <w:sz w:val="20"/>
                <w:szCs w:val="20"/>
                <w:color w:val="auto"/>
              </w:rPr>
            </w:pPr>
            <w:r>
              <w:rPr>
                <w:rFonts w:ascii="Arial" w:cs="Arial" w:eastAsia="Arial" w:hAnsi="Arial"/>
                <w:sz w:val="16"/>
                <w:szCs w:val="16"/>
                <w:color w:val="092E44"/>
              </w:rPr>
              <w:t>relative to the components of the Russell 3000 Index over equally weighted 1-, 2-, and 3-year</w:t>
            </w:r>
          </w:p>
        </w:tc>
      </w:tr>
      <w:tr>
        <w:trPr>
          <w:trHeight w:val="248"/>
        </w:trPr>
        <w:tc>
          <w:tcPr>
            <w:tcW w:w="3520" w:type="dxa"/>
            <w:vAlign w:val="bottom"/>
            <w:tcBorders>
              <w:bottom w:val="single" w:sz="8" w:color="DDE9F2"/>
            </w:tcBorders>
            <w:shd w:val="clear" w:color="auto" w:fill="DDE9F2"/>
          </w:tcPr>
          <w:p>
            <w:pPr>
              <w:spacing w:after="0"/>
              <w:rPr>
                <w:sz w:val="21"/>
                <w:szCs w:val="21"/>
                <w:color w:val="auto"/>
              </w:rPr>
            </w:pPr>
          </w:p>
        </w:tc>
        <w:tc>
          <w:tcPr>
            <w:tcW w:w="7400" w:type="dxa"/>
            <w:vAlign w:val="bottom"/>
            <w:tcBorders>
              <w:bottom w:val="single" w:sz="8" w:color="DDE9F2"/>
            </w:tcBorders>
            <w:shd w:val="clear" w:color="auto" w:fill="DDE9F2"/>
          </w:tcPr>
          <w:p>
            <w:pPr>
              <w:ind w:left="100"/>
              <w:spacing w:after="0"/>
              <w:rPr>
                <w:sz w:val="20"/>
                <w:szCs w:val="20"/>
                <w:color w:val="auto"/>
              </w:rPr>
            </w:pPr>
            <w:r>
              <w:rPr>
                <w:rFonts w:ascii="Arial" w:cs="Arial" w:eastAsia="Arial" w:hAnsi="Arial"/>
                <w:sz w:val="16"/>
                <w:szCs w:val="16"/>
                <w:color w:val="092E44"/>
              </w:rPr>
              <w:t>performance periods. Earned shares, if any, vest at the end of each applicable performance period.</w:t>
            </w:r>
          </w:p>
        </w:tc>
      </w:tr>
      <w:tr>
        <w:trPr>
          <w:trHeight w:val="240"/>
        </w:trPr>
        <w:tc>
          <w:tcPr>
            <w:tcW w:w="3520" w:type="dxa"/>
            <w:vAlign w:val="bottom"/>
          </w:tcPr>
          <w:p>
            <w:pPr>
              <w:ind w:left="80"/>
              <w:spacing w:after="0"/>
              <w:rPr>
                <w:sz w:val="20"/>
                <w:szCs w:val="20"/>
                <w:color w:val="auto"/>
              </w:rPr>
            </w:pPr>
            <w:r>
              <w:rPr>
                <w:rFonts w:ascii="Arial" w:cs="Arial" w:eastAsia="Arial" w:hAnsi="Arial"/>
                <w:sz w:val="16"/>
                <w:szCs w:val="16"/>
                <w:color w:val="092E44"/>
              </w:rPr>
              <w:t>Financial PSU awards</w:t>
            </w:r>
          </w:p>
        </w:tc>
        <w:tc>
          <w:tcPr>
            <w:tcW w:w="7400" w:type="dxa"/>
            <w:vAlign w:val="bottom"/>
          </w:tcPr>
          <w:p>
            <w:pPr>
              <w:ind w:left="100"/>
              <w:spacing w:after="0"/>
              <w:rPr>
                <w:sz w:val="20"/>
                <w:szCs w:val="20"/>
                <w:color w:val="auto"/>
              </w:rPr>
            </w:pPr>
            <w:r>
              <w:rPr>
                <w:rFonts w:ascii="Arial" w:cs="Arial" w:eastAsia="Arial" w:hAnsi="Arial"/>
                <w:sz w:val="16"/>
                <w:szCs w:val="16"/>
                <w:color w:val="092E44"/>
              </w:rPr>
              <w:t>Recipients generally may earn up to 200% of their target award based 25% on Commvault’s one-year</w:t>
            </w:r>
          </w:p>
        </w:tc>
      </w:tr>
      <w:tr>
        <w:trPr>
          <w:trHeight w:val="187"/>
        </w:trPr>
        <w:tc>
          <w:tcPr>
            <w:tcW w:w="3520" w:type="dxa"/>
            <w:vAlign w:val="bottom"/>
          </w:tcPr>
          <w:p>
            <w:pPr>
              <w:ind w:left="80"/>
              <w:spacing w:after="0"/>
              <w:rPr>
                <w:sz w:val="20"/>
                <w:szCs w:val="20"/>
                <w:color w:val="auto"/>
              </w:rPr>
            </w:pPr>
            <w:r>
              <w:rPr>
                <w:rFonts w:ascii="Arial" w:cs="Arial" w:eastAsia="Arial" w:hAnsi="Arial"/>
                <w:sz w:val="16"/>
                <w:szCs w:val="16"/>
                <w:color w:val="092E44"/>
              </w:rPr>
              <w:t>25%</w:t>
            </w:r>
          </w:p>
        </w:tc>
        <w:tc>
          <w:tcPr>
            <w:tcW w:w="7400" w:type="dxa"/>
            <w:vAlign w:val="bottom"/>
          </w:tcPr>
          <w:p>
            <w:pPr>
              <w:ind w:left="100"/>
              <w:spacing w:after="0"/>
              <w:rPr>
                <w:sz w:val="20"/>
                <w:szCs w:val="20"/>
                <w:color w:val="auto"/>
              </w:rPr>
            </w:pPr>
            <w:r>
              <w:rPr>
                <w:rFonts w:ascii="Arial" w:cs="Arial" w:eastAsia="Arial" w:hAnsi="Arial"/>
                <w:sz w:val="16"/>
                <w:szCs w:val="16"/>
                <w:color w:val="092E44"/>
              </w:rPr>
              <w:t>revenue, 50% on annual recurring revenue for the Metallic product line (“Metallic ARR”), and 25% on</w:t>
            </w:r>
          </w:p>
        </w:tc>
      </w:tr>
      <w:tr>
        <w:trPr>
          <w:trHeight w:val="187"/>
        </w:trPr>
        <w:tc>
          <w:tcPr>
            <w:tcW w:w="3520" w:type="dxa"/>
            <w:vAlign w:val="bottom"/>
          </w:tcPr>
          <w:p>
            <w:pPr>
              <w:spacing w:after="0"/>
              <w:rPr>
                <w:sz w:val="16"/>
                <w:szCs w:val="16"/>
                <w:color w:val="auto"/>
              </w:rPr>
            </w:pPr>
          </w:p>
        </w:tc>
        <w:tc>
          <w:tcPr>
            <w:tcW w:w="7400" w:type="dxa"/>
            <w:vAlign w:val="bottom"/>
          </w:tcPr>
          <w:p>
            <w:pPr>
              <w:ind w:left="100"/>
              <w:spacing w:after="0"/>
              <w:rPr>
                <w:sz w:val="20"/>
                <w:szCs w:val="20"/>
                <w:color w:val="auto"/>
              </w:rPr>
            </w:pPr>
            <w:r>
              <w:rPr>
                <w:rFonts w:ascii="Arial" w:cs="Arial" w:eastAsia="Arial" w:hAnsi="Arial"/>
                <w:sz w:val="16"/>
                <w:szCs w:val="16"/>
                <w:color w:val="092E44"/>
              </w:rPr>
              <w:t>non-GAAP EBIT performance for fiscal 2022.</w:t>
            </w:r>
          </w:p>
        </w:tc>
      </w:tr>
      <w:tr>
        <w:trPr>
          <w:trHeight w:val="187"/>
        </w:trPr>
        <w:tc>
          <w:tcPr>
            <w:tcW w:w="3520" w:type="dxa"/>
            <w:vAlign w:val="bottom"/>
          </w:tcPr>
          <w:p>
            <w:pPr>
              <w:spacing w:after="0"/>
              <w:rPr>
                <w:sz w:val="16"/>
                <w:szCs w:val="16"/>
                <w:color w:val="auto"/>
              </w:rPr>
            </w:pPr>
          </w:p>
        </w:tc>
        <w:tc>
          <w:tcPr>
            <w:tcW w:w="7400" w:type="dxa"/>
            <w:vAlign w:val="bottom"/>
          </w:tcPr>
          <w:p>
            <w:pPr>
              <w:ind w:left="100"/>
              <w:spacing w:after="0"/>
              <w:rPr>
                <w:sz w:val="20"/>
                <w:szCs w:val="20"/>
                <w:color w:val="auto"/>
              </w:rPr>
            </w:pPr>
            <w:r>
              <w:rPr>
                <w:rFonts w:ascii="Arial" w:cs="Arial" w:eastAsia="Arial" w:hAnsi="Arial"/>
                <w:sz w:val="16"/>
                <w:szCs w:val="16"/>
                <w:color w:val="092E44"/>
              </w:rPr>
              <w:t>Earned shares, if any, vest 33.3% on the first anniversary of the grant date and an additional 8.375%</w:t>
            </w:r>
          </w:p>
        </w:tc>
      </w:tr>
      <w:tr>
        <w:trPr>
          <w:trHeight w:val="211"/>
        </w:trPr>
        <w:tc>
          <w:tcPr>
            <w:tcW w:w="3520" w:type="dxa"/>
            <w:vAlign w:val="bottom"/>
          </w:tcPr>
          <w:p>
            <w:pPr>
              <w:spacing w:after="0"/>
              <w:rPr>
                <w:sz w:val="18"/>
                <w:szCs w:val="18"/>
                <w:color w:val="auto"/>
              </w:rPr>
            </w:pPr>
          </w:p>
        </w:tc>
        <w:tc>
          <w:tcPr>
            <w:tcW w:w="7400" w:type="dxa"/>
            <w:vAlign w:val="bottom"/>
          </w:tcPr>
          <w:p>
            <w:pPr>
              <w:ind w:left="100"/>
              <w:spacing w:after="0"/>
              <w:rPr>
                <w:sz w:val="20"/>
                <w:szCs w:val="20"/>
                <w:color w:val="auto"/>
              </w:rPr>
            </w:pPr>
            <w:r>
              <w:rPr>
                <w:rFonts w:ascii="Arial" w:cs="Arial" w:eastAsia="Arial" w:hAnsi="Arial"/>
                <w:sz w:val="16"/>
                <w:szCs w:val="16"/>
                <w:color w:val="092E44"/>
              </w:rPr>
              <w:t>quarterly thereafter until fully vested, generally subject to continued employment on the vesting date.</w:t>
            </w:r>
          </w:p>
        </w:tc>
      </w:tr>
      <w:tr>
        <w:trPr>
          <w:trHeight w:val="70"/>
        </w:trPr>
        <w:tc>
          <w:tcPr>
            <w:tcW w:w="3520" w:type="dxa"/>
            <w:vAlign w:val="bottom"/>
            <w:tcBorders>
              <w:bottom w:val="single" w:sz="8" w:color="092E44"/>
            </w:tcBorders>
          </w:tcPr>
          <w:p>
            <w:pPr>
              <w:spacing w:after="0"/>
              <w:rPr>
                <w:sz w:val="6"/>
                <w:szCs w:val="6"/>
                <w:color w:val="auto"/>
              </w:rPr>
            </w:pPr>
          </w:p>
        </w:tc>
        <w:tc>
          <w:tcPr>
            <w:tcW w:w="7400" w:type="dxa"/>
            <w:vAlign w:val="bottom"/>
            <w:tcBorders>
              <w:bottom w:val="single" w:sz="8" w:color="092E44"/>
            </w:tcBorders>
          </w:tcPr>
          <w:p>
            <w:pPr>
              <w:spacing w:after="0"/>
              <w:rPr>
                <w:sz w:val="6"/>
                <w:szCs w:val="6"/>
                <w:color w:val="auto"/>
              </w:rPr>
            </w:pPr>
          </w:p>
        </w:tc>
      </w:tr>
    </w:tbl>
    <w:p>
      <w:pPr>
        <w:spacing w:after="0" w:line="93" w:lineRule="exact"/>
        <w:rPr>
          <w:sz w:val="20"/>
          <w:szCs w:val="20"/>
          <w:color w:val="auto"/>
        </w:rPr>
      </w:pPr>
    </w:p>
    <w:p>
      <w:pPr>
        <w:ind w:left="160" w:right="300"/>
        <w:spacing w:after="0" w:line="292" w:lineRule="auto"/>
        <w:rPr>
          <w:sz w:val="20"/>
          <w:szCs w:val="20"/>
          <w:color w:val="auto"/>
        </w:rPr>
      </w:pPr>
      <w:r>
        <w:rPr>
          <w:rFonts w:ascii="Arial" w:cs="Arial" w:eastAsia="Arial" w:hAnsi="Arial"/>
          <w:sz w:val="16"/>
          <w:szCs w:val="16"/>
          <w:b w:val="1"/>
          <w:bCs w:val="1"/>
          <w:color w:val="092E44"/>
        </w:rPr>
        <w:t>Based on the competitive market analysis prepared by Compensia, Commvault’s long-term equity grants are more heavily weighted toward performance-based awards than is the norm within our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208915</wp:posOffset>
            </wp:positionV>
            <wp:extent cx="220980" cy="2120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37</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80"/>
          </w:cols>
          <w:pgMar w:left="320" w:top="454"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CD&amp;A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FISCAL YEAR 2022 COMPENSATION DECISIONS</w:t>
      </w:r>
    </w:p>
    <w:p>
      <w:pPr>
        <w:spacing w:after="0" w:line="140" w:lineRule="exact"/>
        <w:rPr>
          <w:sz w:val="20"/>
          <w:szCs w:val="20"/>
          <w:color w:val="auto"/>
        </w:rPr>
      </w:pPr>
    </w:p>
    <w:p>
      <w:pPr>
        <w:ind w:left="160" w:right="140"/>
        <w:spacing w:after="0" w:line="279" w:lineRule="auto"/>
        <w:rPr>
          <w:sz w:val="20"/>
          <w:szCs w:val="20"/>
          <w:color w:val="auto"/>
        </w:rPr>
      </w:pPr>
      <w:r>
        <w:rPr>
          <w:rFonts w:ascii="Arial" w:cs="Arial" w:eastAsia="Arial" w:hAnsi="Arial"/>
          <w:sz w:val="16"/>
          <w:szCs w:val="16"/>
          <w:color w:val="092E44"/>
        </w:rPr>
        <w:t>Taking into consideration market data and the performance of individual executive officers, the TMCC approved the following equity award grants for our named executive officers:</w:t>
      </w:r>
    </w:p>
    <w:p>
      <w:pPr>
        <w:spacing w:after="0" w:line="19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jc w:val="right"/>
              <w:ind w:right="262"/>
              <w:spacing w:after="0"/>
              <w:rPr>
                <w:sz w:val="20"/>
                <w:szCs w:val="20"/>
                <w:color w:val="auto"/>
              </w:rPr>
            </w:pPr>
            <w:r>
              <w:rPr>
                <w:rFonts w:ascii="Arial" w:cs="Arial" w:eastAsia="Arial" w:hAnsi="Arial"/>
                <w:sz w:val="14"/>
                <w:szCs w:val="14"/>
                <w:color w:val="092E44"/>
              </w:rPr>
              <w:t>Aggregate</w:t>
            </w:r>
          </w:p>
        </w:tc>
        <w:tc>
          <w:tcPr>
            <w:tcW w:w="2060" w:type="dxa"/>
            <w:vAlign w:val="bottom"/>
          </w:tcPr>
          <w:p>
            <w:pPr>
              <w:jc w:val="right"/>
              <w:ind w:right="263"/>
              <w:spacing w:after="0"/>
              <w:rPr>
                <w:sz w:val="20"/>
                <w:szCs w:val="20"/>
                <w:color w:val="auto"/>
              </w:rPr>
            </w:pPr>
            <w:r>
              <w:rPr>
                <w:rFonts w:ascii="Arial" w:cs="Arial" w:eastAsia="Arial" w:hAnsi="Arial"/>
                <w:sz w:val="14"/>
                <w:szCs w:val="14"/>
                <w:color w:val="092E44"/>
              </w:rPr>
              <w:t>Time-based restricted</w:t>
            </w:r>
          </w:p>
        </w:tc>
        <w:tc>
          <w:tcPr>
            <w:tcW w:w="1560" w:type="dxa"/>
            <w:vAlign w:val="bottom"/>
          </w:tcPr>
          <w:p>
            <w:pPr>
              <w:jc w:val="right"/>
              <w:ind w:right="143"/>
              <w:spacing w:after="0"/>
              <w:rPr>
                <w:sz w:val="20"/>
                <w:szCs w:val="20"/>
                <w:color w:val="auto"/>
              </w:rPr>
            </w:pPr>
            <w:r>
              <w:rPr>
                <w:rFonts w:ascii="Arial" w:cs="Arial" w:eastAsia="Arial" w:hAnsi="Arial"/>
                <w:sz w:val="14"/>
                <w:szCs w:val="14"/>
                <w:color w:val="092E44"/>
              </w:rPr>
              <w:t>Relative TSR</w:t>
            </w:r>
          </w:p>
        </w:tc>
        <w:tc>
          <w:tcPr>
            <w:tcW w:w="1380" w:type="dxa"/>
            <w:vAlign w:val="bottom"/>
          </w:tcPr>
          <w:p>
            <w:pPr>
              <w:jc w:val="right"/>
              <w:ind w:right="183"/>
              <w:spacing w:after="0"/>
              <w:rPr>
                <w:sz w:val="20"/>
                <w:szCs w:val="20"/>
                <w:color w:val="auto"/>
              </w:rPr>
            </w:pPr>
            <w:r>
              <w:rPr>
                <w:rFonts w:ascii="Arial" w:cs="Arial" w:eastAsia="Arial" w:hAnsi="Arial"/>
                <w:sz w:val="14"/>
                <w:szCs w:val="14"/>
                <w:color w:val="092E44"/>
              </w:rPr>
              <w:t>Financial PSU</w:t>
            </w:r>
          </w:p>
        </w:tc>
      </w:tr>
      <w:tr>
        <w:trPr>
          <w:trHeight w:val="170"/>
        </w:trPr>
        <w:tc>
          <w:tcPr>
            <w:tcW w:w="4120" w:type="dxa"/>
            <w:vAlign w:val="bottom"/>
            <w:tcBorders>
              <w:bottom w:val="single" w:sz="8" w:color="E14A6A"/>
            </w:tcBorders>
          </w:tcPr>
          <w:p>
            <w:pPr>
              <w:ind w:left="80"/>
              <w:spacing w:after="0"/>
              <w:rPr>
                <w:sz w:val="20"/>
                <w:szCs w:val="20"/>
                <w:color w:val="auto"/>
              </w:rPr>
            </w:pPr>
            <w:r>
              <w:rPr>
                <w:rFonts w:ascii="Arial" w:cs="Arial" w:eastAsia="Arial" w:hAnsi="Arial"/>
                <w:sz w:val="14"/>
                <w:szCs w:val="14"/>
                <w:color w:val="092E44"/>
              </w:rPr>
              <w:t>Executive</w:t>
            </w:r>
          </w:p>
        </w:tc>
        <w:tc>
          <w:tcPr>
            <w:tcW w:w="1800" w:type="dxa"/>
            <w:vAlign w:val="bottom"/>
            <w:tcBorders>
              <w:bottom w:val="single" w:sz="8" w:color="E14A6A"/>
            </w:tcBorders>
            <w:gridSpan w:val="2"/>
          </w:tcPr>
          <w:p>
            <w:pPr>
              <w:jc w:val="right"/>
              <w:ind w:right="262"/>
              <w:spacing w:after="0"/>
              <w:rPr>
                <w:sz w:val="20"/>
                <w:szCs w:val="20"/>
                <w:color w:val="auto"/>
              </w:rPr>
            </w:pPr>
            <w:r>
              <w:rPr>
                <w:rFonts w:ascii="Arial" w:cs="Arial" w:eastAsia="Arial" w:hAnsi="Arial"/>
                <w:sz w:val="14"/>
                <w:szCs w:val="14"/>
                <w:color w:val="092E44"/>
              </w:rPr>
              <w:t>target value</w:t>
            </w:r>
          </w:p>
        </w:tc>
        <w:tc>
          <w:tcPr>
            <w:tcW w:w="2060" w:type="dxa"/>
            <w:vAlign w:val="bottom"/>
            <w:tcBorders>
              <w:bottom w:val="single" w:sz="8" w:color="E14A6A"/>
            </w:tcBorders>
          </w:tcPr>
          <w:p>
            <w:pPr>
              <w:jc w:val="right"/>
              <w:ind w:right="263"/>
              <w:spacing w:after="0"/>
              <w:rPr>
                <w:sz w:val="20"/>
                <w:szCs w:val="20"/>
                <w:color w:val="auto"/>
              </w:rPr>
            </w:pPr>
            <w:r>
              <w:rPr>
                <w:rFonts w:ascii="Arial" w:cs="Arial" w:eastAsia="Arial" w:hAnsi="Arial"/>
                <w:sz w:val="14"/>
                <w:szCs w:val="14"/>
                <w:color w:val="092E44"/>
              </w:rPr>
              <w:t>stock unit awards (#)</w:t>
            </w:r>
          </w:p>
        </w:tc>
        <w:tc>
          <w:tcPr>
            <w:tcW w:w="1560" w:type="dxa"/>
            <w:vAlign w:val="bottom"/>
            <w:tcBorders>
              <w:bottom w:val="single" w:sz="8" w:color="E14A6A"/>
            </w:tcBorders>
          </w:tcPr>
          <w:p>
            <w:pPr>
              <w:jc w:val="right"/>
              <w:ind w:right="143"/>
              <w:spacing w:after="0"/>
              <w:rPr>
                <w:sz w:val="20"/>
                <w:szCs w:val="20"/>
                <w:color w:val="auto"/>
              </w:rPr>
            </w:pPr>
            <w:r>
              <w:rPr>
                <w:rFonts w:ascii="Arial" w:cs="Arial" w:eastAsia="Arial" w:hAnsi="Arial"/>
                <w:sz w:val="14"/>
                <w:szCs w:val="14"/>
                <w:color w:val="092E44"/>
              </w:rPr>
              <w:t>PSU awards (#)</w:t>
            </w:r>
          </w:p>
        </w:tc>
        <w:tc>
          <w:tcPr>
            <w:tcW w:w="1380" w:type="dxa"/>
            <w:vAlign w:val="bottom"/>
            <w:tcBorders>
              <w:bottom w:val="single" w:sz="8" w:color="E14A6A"/>
            </w:tcBorders>
          </w:tcPr>
          <w:p>
            <w:pPr>
              <w:jc w:val="right"/>
              <w:ind w:right="183"/>
              <w:spacing w:after="0"/>
              <w:rPr>
                <w:sz w:val="20"/>
                <w:szCs w:val="20"/>
                <w:color w:val="auto"/>
              </w:rPr>
            </w:pPr>
            <w:r>
              <w:rPr>
                <w:rFonts w:ascii="Arial" w:cs="Arial" w:eastAsia="Arial" w:hAnsi="Arial"/>
                <w:sz w:val="14"/>
                <w:szCs w:val="14"/>
                <w:color w:val="092E44"/>
              </w:rPr>
              <w:t>awards (#)</w:t>
            </w:r>
          </w:p>
        </w:tc>
      </w:tr>
      <w:tr>
        <w:trPr>
          <w:trHeight w:val="254"/>
        </w:trPr>
        <w:tc>
          <w:tcPr>
            <w:tcW w:w="4120" w:type="dxa"/>
            <w:vAlign w:val="bottom"/>
          </w:tcPr>
          <w:p>
            <w:pPr>
              <w:ind w:left="80"/>
              <w:spacing w:after="0"/>
              <w:rPr>
                <w:sz w:val="20"/>
                <w:szCs w:val="20"/>
                <w:color w:val="auto"/>
              </w:rPr>
            </w:pPr>
            <w:r>
              <w:rPr>
                <w:rFonts w:ascii="Arial" w:cs="Arial" w:eastAsia="Arial" w:hAnsi="Arial"/>
                <w:sz w:val="16"/>
                <w:szCs w:val="16"/>
                <w:b w:val="1"/>
                <w:bCs w:val="1"/>
                <w:color w:val="092E44"/>
              </w:rPr>
              <w:t>Mr. Mirchandani</w:t>
            </w:r>
          </w:p>
        </w:tc>
        <w:tc>
          <w:tcPr>
            <w:tcW w:w="720" w:type="dxa"/>
            <w:vAlign w:val="bottom"/>
          </w:tcPr>
          <w:p>
            <w:pPr>
              <w:jc w:val="right"/>
              <w:spacing w:after="0"/>
              <w:rPr>
                <w:sz w:val="20"/>
                <w:szCs w:val="20"/>
                <w:color w:val="auto"/>
              </w:rPr>
            </w:pPr>
            <w:r>
              <w:rPr>
                <w:rFonts w:ascii="Arial" w:cs="Arial" w:eastAsia="Arial" w:hAnsi="Arial"/>
                <w:sz w:val="16"/>
                <w:szCs w:val="16"/>
                <w:color w:val="092E44"/>
              </w:rPr>
              <w:t>$</w:t>
            </w:r>
          </w:p>
        </w:tc>
        <w:tc>
          <w:tcPr>
            <w:tcW w:w="1080" w:type="dxa"/>
            <w:vAlign w:val="bottom"/>
          </w:tcPr>
          <w:p>
            <w:pPr>
              <w:jc w:val="right"/>
              <w:ind w:right="262"/>
              <w:spacing w:after="0"/>
              <w:rPr>
                <w:sz w:val="20"/>
                <w:szCs w:val="20"/>
                <w:color w:val="auto"/>
              </w:rPr>
            </w:pPr>
            <w:r>
              <w:rPr>
                <w:rFonts w:ascii="Arial" w:cs="Arial" w:eastAsia="Arial" w:hAnsi="Arial"/>
                <w:sz w:val="16"/>
                <w:szCs w:val="16"/>
                <w:color w:val="092E44"/>
                <w:w w:val="99"/>
              </w:rPr>
              <w:t>8.5 million</w:t>
            </w:r>
          </w:p>
        </w:tc>
        <w:tc>
          <w:tcPr>
            <w:tcW w:w="2060" w:type="dxa"/>
            <w:vAlign w:val="bottom"/>
          </w:tcPr>
          <w:p>
            <w:pPr>
              <w:jc w:val="right"/>
              <w:ind w:right="263"/>
              <w:spacing w:after="0"/>
              <w:rPr>
                <w:sz w:val="20"/>
                <w:szCs w:val="20"/>
                <w:color w:val="auto"/>
              </w:rPr>
            </w:pPr>
            <w:r>
              <w:rPr>
                <w:rFonts w:ascii="Arial" w:cs="Arial" w:eastAsia="Arial" w:hAnsi="Arial"/>
                <w:sz w:val="16"/>
                <w:szCs w:val="16"/>
                <w:color w:val="092E44"/>
              </w:rPr>
              <w:t>63,961</w:t>
            </w:r>
          </w:p>
        </w:tc>
        <w:tc>
          <w:tcPr>
            <w:tcW w:w="1560" w:type="dxa"/>
            <w:vAlign w:val="bottom"/>
          </w:tcPr>
          <w:p>
            <w:pPr>
              <w:jc w:val="right"/>
              <w:ind w:right="143"/>
              <w:spacing w:after="0"/>
              <w:rPr>
                <w:sz w:val="20"/>
                <w:szCs w:val="20"/>
                <w:color w:val="auto"/>
              </w:rPr>
            </w:pPr>
            <w:r>
              <w:rPr>
                <w:rFonts w:ascii="Arial" w:cs="Arial" w:eastAsia="Arial" w:hAnsi="Arial"/>
                <w:sz w:val="16"/>
                <w:szCs w:val="16"/>
                <w:color w:val="092E44"/>
              </w:rPr>
              <w:t>31,980</w:t>
            </w:r>
          </w:p>
        </w:tc>
        <w:tc>
          <w:tcPr>
            <w:tcW w:w="1380" w:type="dxa"/>
            <w:vAlign w:val="bottom"/>
          </w:tcPr>
          <w:p>
            <w:pPr>
              <w:jc w:val="right"/>
              <w:ind w:right="183"/>
              <w:spacing w:after="0"/>
              <w:rPr>
                <w:sz w:val="20"/>
                <w:szCs w:val="20"/>
                <w:color w:val="auto"/>
              </w:rPr>
            </w:pPr>
            <w:r>
              <w:rPr>
                <w:rFonts w:ascii="Arial" w:cs="Arial" w:eastAsia="Arial" w:hAnsi="Arial"/>
                <w:sz w:val="16"/>
                <w:szCs w:val="16"/>
                <w:color w:val="092E44"/>
              </w:rPr>
              <w:t>31,980</w:t>
            </w:r>
          </w:p>
        </w:tc>
      </w:tr>
      <w:tr>
        <w:trPr>
          <w:trHeight w:val="47"/>
        </w:trPr>
        <w:tc>
          <w:tcPr>
            <w:tcW w:w="4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301"/>
        </w:trPr>
        <w:tc>
          <w:tcPr>
            <w:tcW w:w="4120" w:type="dxa"/>
            <w:vAlign w:val="bottom"/>
            <w:tcBorders>
              <w:bottom w:val="single" w:sz="8" w:color="DDE9F2"/>
            </w:tcBorders>
            <w:shd w:val="clear" w:color="auto" w:fill="DDE9F2"/>
          </w:tcPr>
          <w:p>
            <w:pPr>
              <w:ind w:left="80"/>
              <w:spacing w:after="0"/>
              <w:rPr>
                <w:sz w:val="20"/>
                <w:szCs w:val="20"/>
                <w:color w:val="auto"/>
              </w:rPr>
            </w:pPr>
            <w:r>
              <w:rPr>
                <w:rFonts w:ascii="Arial" w:cs="Arial" w:eastAsia="Arial" w:hAnsi="Arial"/>
                <w:sz w:val="16"/>
                <w:szCs w:val="16"/>
                <w:b w:val="1"/>
                <w:bCs w:val="1"/>
                <w:color w:val="092E44"/>
              </w:rPr>
              <w:t>Mr. Carolan</w:t>
            </w:r>
          </w:p>
        </w:tc>
        <w:tc>
          <w:tcPr>
            <w:tcW w:w="720" w:type="dxa"/>
            <w:vAlign w:val="bottom"/>
            <w:tcBorders>
              <w:bottom w:val="single" w:sz="8" w:color="DDE9F2"/>
            </w:tcBorders>
            <w:shd w:val="clear" w:color="auto" w:fill="DDE9F2"/>
          </w:tcPr>
          <w:p>
            <w:pPr>
              <w:jc w:val="right"/>
              <w:spacing w:after="0"/>
              <w:rPr>
                <w:sz w:val="20"/>
                <w:szCs w:val="20"/>
                <w:color w:val="auto"/>
              </w:rPr>
            </w:pPr>
            <w:r>
              <w:rPr>
                <w:rFonts w:ascii="Arial" w:cs="Arial" w:eastAsia="Arial" w:hAnsi="Arial"/>
                <w:sz w:val="16"/>
                <w:szCs w:val="16"/>
                <w:color w:val="092E44"/>
              </w:rPr>
              <w:t>$</w:t>
            </w:r>
          </w:p>
        </w:tc>
        <w:tc>
          <w:tcPr>
            <w:tcW w:w="1080" w:type="dxa"/>
            <w:vAlign w:val="bottom"/>
            <w:tcBorders>
              <w:bottom w:val="single" w:sz="8" w:color="DDE9F2"/>
            </w:tcBorders>
            <w:shd w:val="clear" w:color="auto" w:fill="DDE9F2"/>
          </w:tcPr>
          <w:p>
            <w:pPr>
              <w:jc w:val="right"/>
              <w:ind w:right="262"/>
              <w:spacing w:after="0"/>
              <w:rPr>
                <w:sz w:val="20"/>
                <w:szCs w:val="20"/>
                <w:color w:val="auto"/>
              </w:rPr>
            </w:pPr>
            <w:r>
              <w:rPr>
                <w:rFonts w:ascii="Arial" w:cs="Arial" w:eastAsia="Arial" w:hAnsi="Arial"/>
                <w:sz w:val="16"/>
                <w:szCs w:val="16"/>
                <w:color w:val="092E44"/>
              </w:rPr>
              <w:t>2 million</w:t>
            </w:r>
          </w:p>
        </w:tc>
        <w:tc>
          <w:tcPr>
            <w:tcW w:w="2060" w:type="dxa"/>
            <w:vAlign w:val="bottom"/>
            <w:tcBorders>
              <w:bottom w:val="single" w:sz="8" w:color="DDE9F2"/>
            </w:tcBorders>
            <w:shd w:val="clear" w:color="auto" w:fill="DDE9F2"/>
          </w:tcPr>
          <w:p>
            <w:pPr>
              <w:jc w:val="right"/>
              <w:ind w:right="263"/>
              <w:spacing w:after="0"/>
              <w:rPr>
                <w:sz w:val="20"/>
                <w:szCs w:val="20"/>
                <w:color w:val="auto"/>
              </w:rPr>
            </w:pPr>
            <w:r>
              <w:rPr>
                <w:rFonts w:ascii="Arial" w:cs="Arial" w:eastAsia="Arial" w:hAnsi="Arial"/>
                <w:sz w:val="16"/>
                <w:szCs w:val="16"/>
                <w:color w:val="092E44"/>
              </w:rPr>
              <w:t>15,049</w:t>
            </w:r>
          </w:p>
        </w:tc>
        <w:tc>
          <w:tcPr>
            <w:tcW w:w="1560" w:type="dxa"/>
            <w:vAlign w:val="bottom"/>
            <w:tcBorders>
              <w:bottom w:val="single" w:sz="8" w:color="DDE9F2"/>
            </w:tcBorders>
            <w:shd w:val="clear" w:color="auto" w:fill="DDE9F2"/>
          </w:tcPr>
          <w:p>
            <w:pPr>
              <w:jc w:val="right"/>
              <w:ind w:right="143"/>
              <w:spacing w:after="0"/>
              <w:rPr>
                <w:sz w:val="20"/>
                <w:szCs w:val="20"/>
                <w:color w:val="auto"/>
              </w:rPr>
            </w:pPr>
            <w:r>
              <w:rPr>
                <w:rFonts w:ascii="Arial" w:cs="Arial" w:eastAsia="Arial" w:hAnsi="Arial"/>
                <w:sz w:val="16"/>
                <w:szCs w:val="16"/>
                <w:color w:val="092E44"/>
              </w:rPr>
              <w:t>7,524</w:t>
            </w:r>
          </w:p>
        </w:tc>
        <w:tc>
          <w:tcPr>
            <w:tcW w:w="1380" w:type="dxa"/>
            <w:vAlign w:val="bottom"/>
            <w:tcBorders>
              <w:bottom w:val="single" w:sz="8" w:color="DDE9F2"/>
            </w:tcBorders>
            <w:shd w:val="clear" w:color="auto" w:fill="DDE9F2"/>
          </w:tcPr>
          <w:p>
            <w:pPr>
              <w:jc w:val="right"/>
              <w:ind w:right="183"/>
              <w:spacing w:after="0"/>
              <w:rPr>
                <w:sz w:val="20"/>
                <w:szCs w:val="20"/>
                <w:color w:val="auto"/>
              </w:rPr>
            </w:pPr>
            <w:r>
              <w:rPr>
                <w:rFonts w:ascii="Arial" w:cs="Arial" w:eastAsia="Arial" w:hAnsi="Arial"/>
                <w:sz w:val="16"/>
                <w:szCs w:val="16"/>
                <w:color w:val="092E44"/>
              </w:rPr>
              <w:t>7,524</w:t>
            </w:r>
          </w:p>
        </w:tc>
      </w:tr>
      <w:tr>
        <w:trPr>
          <w:trHeight w:val="274"/>
        </w:trPr>
        <w:tc>
          <w:tcPr>
            <w:tcW w:w="4120" w:type="dxa"/>
            <w:vAlign w:val="bottom"/>
          </w:tcPr>
          <w:p>
            <w:pPr>
              <w:ind w:left="80"/>
              <w:spacing w:after="0"/>
              <w:rPr>
                <w:sz w:val="20"/>
                <w:szCs w:val="20"/>
                <w:color w:val="auto"/>
              </w:rPr>
            </w:pPr>
            <w:r>
              <w:rPr>
                <w:rFonts w:ascii="Arial" w:cs="Arial" w:eastAsia="Arial" w:hAnsi="Arial"/>
                <w:sz w:val="16"/>
                <w:szCs w:val="16"/>
                <w:b w:val="1"/>
                <w:bCs w:val="1"/>
                <w:color w:val="092E44"/>
              </w:rPr>
              <w:t>Mr. Di Blasio</w:t>
            </w:r>
          </w:p>
        </w:tc>
        <w:tc>
          <w:tcPr>
            <w:tcW w:w="720" w:type="dxa"/>
            <w:vAlign w:val="bottom"/>
          </w:tcPr>
          <w:p>
            <w:pPr>
              <w:jc w:val="right"/>
              <w:spacing w:after="0"/>
              <w:rPr>
                <w:sz w:val="20"/>
                <w:szCs w:val="20"/>
                <w:color w:val="auto"/>
              </w:rPr>
            </w:pPr>
            <w:r>
              <w:rPr>
                <w:rFonts w:ascii="Arial" w:cs="Arial" w:eastAsia="Arial" w:hAnsi="Arial"/>
                <w:sz w:val="16"/>
                <w:szCs w:val="16"/>
                <w:color w:val="092E44"/>
              </w:rPr>
              <w:t>$</w:t>
            </w:r>
          </w:p>
        </w:tc>
        <w:tc>
          <w:tcPr>
            <w:tcW w:w="1080" w:type="dxa"/>
            <w:vAlign w:val="bottom"/>
          </w:tcPr>
          <w:p>
            <w:pPr>
              <w:jc w:val="right"/>
              <w:ind w:right="262"/>
              <w:spacing w:after="0"/>
              <w:rPr>
                <w:sz w:val="20"/>
                <w:szCs w:val="20"/>
                <w:color w:val="auto"/>
              </w:rPr>
            </w:pPr>
            <w:r>
              <w:rPr>
                <w:rFonts w:ascii="Arial" w:cs="Arial" w:eastAsia="Arial" w:hAnsi="Arial"/>
                <w:sz w:val="16"/>
                <w:szCs w:val="16"/>
                <w:color w:val="092E44"/>
                <w:w w:val="99"/>
              </w:rPr>
              <w:t>2.5 million</w:t>
            </w:r>
          </w:p>
        </w:tc>
        <w:tc>
          <w:tcPr>
            <w:tcW w:w="2060" w:type="dxa"/>
            <w:vAlign w:val="bottom"/>
          </w:tcPr>
          <w:p>
            <w:pPr>
              <w:jc w:val="right"/>
              <w:ind w:right="263"/>
              <w:spacing w:after="0"/>
              <w:rPr>
                <w:sz w:val="20"/>
                <w:szCs w:val="20"/>
                <w:color w:val="auto"/>
              </w:rPr>
            </w:pPr>
            <w:r>
              <w:rPr>
                <w:rFonts w:ascii="Arial" w:cs="Arial" w:eastAsia="Arial" w:hAnsi="Arial"/>
                <w:sz w:val="16"/>
                <w:szCs w:val="16"/>
                <w:color w:val="092E44"/>
              </w:rPr>
              <w:t>18,812</w:t>
            </w:r>
          </w:p>
        </w:tc>
        <w:tc>
          <w:tcPr>
            <w:tcW w:w="1560" w:type="dxa"/>
            <w:vAlign w:val="bottom"/>
          </w:tcPr>
          <w:p>
            <w:pPr>
              <w:jc w:val="right"/>
              <w:ind w:right="143"/>
              <w:spacing w:after="0"/>
              <w:rPr>
                <w:sz w:val="20"/>
                <w:szCs w:val="20"/>
                <w:color w:val="auto"/>
              </w:rPr>
            </w:pPr>
            <w:r>
              <w:rPr>
                <w:rFonts w:ascii="Arial" w:cs="Arial" w:eastAsia="Arial" w:hAnsi="Arial"/>
                <w:sz w:val="16"/>
                <w:szCs w:val="16"/>
                <w:color w:val="092E44"/>
              </w:rPr>
              <w:t>9,406</w:t>
            </w:r>
          </w:p>
        </w:tc>
        <w:tc>
          <w:tcPr>
            <w:tcW w:w="1380" w:type="dxa"/>
            <w:vAlign w:val="bottom"/>
          </w:tcPr>
          <w:p>
            <w:pPr>
              <w:jc w:val="right"/>
              <w:ind w:right="183"/>
              <w:spacing w:after="0"/>
              <w:rPr>
                <w:sz w:val="20"/>
                <w:szCs w:val="20"/>
                <w:color w:val="auto"/>
              </w:rPr>
            </w:pPr>
            <w:r>
              <w:rPr>
                <w:rFonts w:ascii="Arial" w:cs="Arial" w:eastAsia="Arial" w:hAnsi="Arial"/>
                <w:sz w:val="16"/>
                <w:szCs w:val="16"/>
                <w:color w:val="092E44"/>
              </w:rPr>
              <w:t>9,406</w:t>
            </w:r>
          </w:p>
        </w:tc>
      </w:tr>
      <w:tr>
        <w:trPr>
          <w:trHeight w:val="47"/>
        </w:trPr>
        <w:tc>
          <w:tcPr>
            <w:tcW w:w="4120" w:type="dxa"/>
            <w:vAlign w:val="bottom"/>
            <w:tcBorders>
              <w:bottom w:val="single" w:sz="8" w:color="092E44"/>
            </w:tcBorders>
          </w:tcPr>
          <w:p>
            <w:pPr>
              <w:spacing w:after="0"/>
              <w:rPr>
                <w:sz w:val="4"/>
                <w:szCs w:val="4"/>
                <w:color w:val="auto"/>
              </w:rPr>
            </w:pPr>
          </w:p>
        </w:tc>
        <w:tc>
          <w:tcPr>
            <w:tcW w:w="720" w:type="dxa"/>
            <w:vAlign w:val="bottom"/>
            <w:tcBorders>
              <w:bottom w:val="single" w:sz="8" w:color="092E44"/>
            </w:tcBorders>
          </w:tcPr>
          <w:p>
            <w:pPr>
              <w:spacing w:after="0"/>
              <w:rPr>
                <w:sz w:val="4"/>
                <w:szCs w:val="4"/>
                <w:color w:val="auto"/>
              </w:rPr>
            </w:pPr>
          </w:p>
        </w:tc>
        <w:tc>
          <w:tcPr>
            <w:tcW w:w="1080" w:type="dxa"/>
            <w:vAlign w:val="bottom"/>
            <w:tcBorders>
              <w:bottom w:val="single" w:sz="8" w:color="092E44"/>
            </w:tcBorders>
          </w:tcPr>
          <w:p>
            <w:pPr>
              <w:spacing w:after="0"/>
              <w:rPr>
                <w:sz w:val="4"/>
                <w:szCs w:val="4"/>
                <w:color w:val="auto"/>
              </w:rPr>
            </w:pPr>
          </w:p>
        </w:tc>
        <w:tc>
          <w:tcPr>
            <w:tcW w:w="2060" w:type="dxa"/>
            <w:vAlign w:val="bottom"/>
            <w:tcBorders>
              <w:bottom w:val="single" w:sz="8" w:color="092E44"/>
            </w:tcBorders>
          </w:tcPr>
          <w:p>
            <w:pPr>
              <w:spacing w:after="0"/>
              <w:rPr>
                <w:sz w:val="4"/>
                <w:szCs w:val="4"/>
                <w:color w:val="auto"/>
              </w:rPr>
            </w:pPr>
          </w:p>
        </w:tc>
        <w:tc>
          <w:tcPr>
            <w:tcW w:w="1560" w:type="dxa"/>
            <w:vAlign w:val="bottom"/>
            <w:tcBorders>
              <w:bottom w:val="single" w:sz="8" w:color="092E44"/>
            </w:tcBorders>
          </w:tcPr>
          <w:p>
            <w:pPr>
              <w:spacing w:after="0"/>
              <w:rPr>
                <w:sz w:val="4"/>
                <w:szCs w:val="4"/>
                <w:color w:val="auto"/>
              </w:rPr>
            </w:pPr>
          </w:p>
        </w:tc>
        <w:tc>
          <w:tcPr>
            <w:tcW w:w="1380" w:type="dxa"/>
            <w:vAlign w:val="bottom"/>
            <w:tcBorders>
              <w:bottom w:val="single" w:sz="8" w:color="092E44"/>
            </w:tcBorders>
          </w:tcPr>
          <w:p>
            <w:pPr>
              <w:spacing w:after="0"/>
              <w:rPr>
                <w:sz w:val="4"/>
                <w:szCs w:val="4"/>
                <w:color w:val="auto"/>
              </w:rPr>
            </w:pPr>
          </w:p>
        </w:tc>
      </w:tr>
    </w:tbl>
    <w:p>
      <w:pPr>
        <w:spacing w:after="0" w:line="93" w:lineRule="exact"/>
        <w:rPr>
          <w:sz w:val="20"/>
          <w:szCs w:val="20"/>
          <w:color w:val="auto"/>
        </w:rPr>
      </w:pPr>
    </w:p>
    <w:p>
      <w:pPr>
        <w:ind w:left="160" w:right="220"/>
        <w:spacing w:after="0" w:line="279" w:lineRule="auto"/>
        <w:rPr>
          <w:sz w:val="20"/>
          <w:szCs w:val="20"/>
          <w:color w:val="auto"/>
        </w:rPr>
      </w:pPr>
      <w:r>
        <w:rPr>
          <w:rFonts w:ascii="Arial" w:cs="Arial" w:eastAsia="Arial" w:hAnsi="Arial"/>
          <w:sz w:val="16"/>
          <w:szCs w:val="16"/>
          <w:color w:val="092E44"/>
        </w:rPr>
        <w:t>In determining the number of shares granted to each named executive officer, the TMCC converted the target value of each award to a number of units based on the 5-trading day average closing price of our common stock prior to the grant date.</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color w:val="E14A6A"/>
        </w:rPr>
        <w:t>Relative TSR PSU Awards</w:t>
      </w:r>
    </w:p>
    <w:p>
      <w:pPr>
        <w:spacing w:after="0" w:line="105" w:lineRule="exact"/>
        <w:rPr>
          <w:sz w:val="20"/>
          <w:szCs w:val="20"/>
          <w:color w:val="auto"/>
        </w:rPr>
      </w:pPr>
    </w:p>
    <w:p>
      <w:pPr>
        <w:ind w:left="160" w:right="160"/>
        <w:spacing w:after="0" w:line="262" w:lineRule="auto"/>
        <w:rPr>
          <w:sz w:val="20"/>
          <w:szCs w:val="20"/>
          <w:color w:val="auto"/>
        </w:rPr>
      </w:pPr>
      <w:r>
        <w:rPr>
          <w:rFonts w:ascii="Arial" w:cs="Arial" w:eastAsia="Arial" w:hAnsi="Arial"/>
          <w:sz w:val="16"/>
          <w:szCs w:val="16"/>
          <w:color w:val="092E44"/>
        </w:rPr>
        <w:t>The Relative TSR PSU awards granted to our named executive officers in fiscal 2022 will be earned (or not) based on our TSR measured relative to the components of the Russell 3000 Index over three equally weighted overlapping one-year, two-year, and three-year performance periods. The payout opportunities for the Relative TSR PSU awards are as follows:</w:t>
      </w:r>
    </w:p>
    <w:p>
      <w:pPr>
        <w:spacing w:after="0" w:line="205"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5580" w:type="dxa"/>
            <w:vAlign w:val="bottom"/>
            <w:tcBorders>
              <w:bottom w:val="single" w:sz="8" w:color="E14A6A"/>
            </w:tcBorders>
          </w:tcPr>
          <w:p>
            <w:pPr>
              <w:jc w:val="center"/>
              <w:ind w:left="1"/>
              <w:spacing w:after="0"/>
              <w:rPr>
                <w:sz w:val="20"/>
                <w:szCs w:val="20"/>
                <w:color w:val="auto"/>
              </w:rPr>
            </w:pPr>
            <w:r>
              <w:rPr>
                <w:rFonts w:ascii="Arial" w:cs="Arial" w:eastAsia="Arial" w:hAnsi="Arial"/>
                <w:sz w:val="14"/>
                <w:szCs w:val="14"/>
                <w:color w:val="092E44"/>
              </w:rPr>
              <w:t>Relative TSR Percentile Rank</w:t>
            </w:r>
          </w:p>
        </w:tc>
        <w:tc>
          <w:tcPr>
            <w:tcW w:w="5340" w:type="dxa"/>
            <w:vAlign w:val="bottom"/>
            <w:tcBorders>
              <w:bottom w:val="single" w:sz="8" w:color="E14A6A"/>
            </w:tcBorders>
          </w:tcPr>
          <w:p>
            <w:pPr>
              <w:jc w:val="center"/>
              <w:ind w:left="21"/>
              <w:spacing w:after="0"/>
              <w:rPr>
                <w:sz w:val="20"/>
                <w:szCs w:val="20"/>
                <w:color w:val="auto"/>
              </w:rPr>
            </w:pPr>
            <w:r>
              <w:rPr>
                <w:rFonts w:ascii="Arial" w:cs="Arial" w:eastAsia="Arial" w:hAnsi="Arial"/>
                <w:sz w:val="14"/>
                <w:szCs w:val="14"/>
                <w:color w:val="092E44"/>
              </w:rPr>
              <w:t>% of Target PSU Earned</w:t>
            </w:r>
          </w:p>
        </w:tc>
      </w:tr>
      <w:tr>
        <w:trPr>
          <w:trHeight w:val="301"/>
        </w:trPr>
        <w:tc>
          <w:tcPr>
            <w:tcW w:w="5580" w:type="dxa"/>
            <w:vAlign w:val="bottom"/>
          </w:tcPr>
          <w:p>
            <w:pPr>
              <w:jc w:val="center"/>
              <w:ind w:left="1"/>
              <w:spacing w:after="0" w:line="301" w:lineRule="exact"/>
              <w:rPr>
                <w:sz w:val="20"/>
                <w:szCs w:val="20"/>
                <w:color w:val="auto"/>
              </w:rPr>
            </w:pPr>
            <w:r>
              <w:rPr>
                <w:rFonts w:ascii="Arial" w:cs="Arial" w:eastAsia="Arial" w:hAnsi="Arial"/>
                <w:sz w:val="16"/>
                <w:szCs w:val="16"/>
                <w:color w:val="092E44"/>
                <w:w w:val="90"/>
              </w:rPr>
              <w:t>&lt; 25</w:t>
            </w:r>
            <w:r>
              <w:rPr>
                <w:rFonts w:ascii="Arial" w:cs="Arial" w:eastAsia="Arial" w:hAnsi="Arial"/>
                <w:sz w:val="27"/>
                <w:szCs w:val="27"/>
                <w:color w:val="092E44"/>
                <w:w w:val="90"/>
                <w:vertAlign w:val="superscript"/>
              </w:rPr>
              <w:t>th</w:t>
            </w:r>
          </w:p>
        </w:tc>
        <w:tc>
          <w:tcPr>
            <w:tcW w:w="5340" w:type="dxa"/>
            <w:vAlign w:val="bottom"/>
          </w:tcPr>
          <w:p>
            <w:pPr>
              <w:jc w:val="center"/>
              <w:ind w:left="41"/>
              <w:spacing w:after="0"/>
              <w:rPr>
                <w:sz w:val="20"/>
                <w:szCs w:val="20"/>
                <w:color w:val="auto"/>
              </w:rPr>
            </w:pPr>
            <w:r>
              <w:rPr>
                <w:rFonts w:ascii="Arial" w:cs="Arial" w:eastAsia="Arial" w:hAnsi="Arial"/>
                <w:sz w:val="16"/>
                <w:szCs w:val="16"/>
                <w:color w:val="092E44"/>
                <w:w w:val="94"/>
              </w:rPr>
              <w:t>0%</w:t>
            </w:r>
          </w:p>
        </w:tc>
      </w:tr>
      <w:tr>
        <w:trPr>
          <w:trHeight w:val="321"/>
        </w:trPr>
        <w:tc>
          <w:tcPr>
            <w:tcW w:w="5580" w:type="dxa"/>
            <w:vAlign w:val="bottom"/>
            <w:shd w:val="clear" w:color="auto" w:fill="DDE9F2"/>
          </w:tcPr>
          <w:p>
            <w:pPr>
              <w:jc w:val="center"/>
              <w:ind w:left="1"/>
              <w:spacing w:after="0"/>
              <w:rPr>
                <w:sz w:val="20"/>
                <w:szCs w:val="20"/>
                <w:color w:val="auto"/>
              </w:rPr>
            </w:pPr>
            <w:r>
              <w:rPr>
                <w:rFonts w:ascii="Arial" w:cs="Arial" w:eastAsia="Arial" w:hAnsi="Arial"/>
                <w:sz w:val="16"/>
                <w:szCs w:val="16"/>
                <w:color w:val="092E44"/>
                <w:w w:val="91"/>
              </w:rPr>
              <w:t>25</w:t>
            </w:r>
            <w:r>
              <w:rPr>
                <w:rFonts w:ascii="Arial" w:cs="Arial" w:eastAsia="Arial" w:hAnsi="Arial"/>
                <w:sz w:val="27"/>
                <w:szCs w:val="27"/>
                <w:color w:val="092E44"/>
                <w:w w:val="91"/>
                <w:vertAlign w:val="superscript"/>
              </w:rPr>
              <w:t>th</w:t>
            </w:r>
          </w:p>
        </w:tc>
        <w:tc>
          <w:tcPr>
            <w:tcW w:w="5340" w:type="dxa"/>
            <w:vAlign w:val="bottom"/>
            <w:shd w:val="clear" w:color="auto" w:fill="DDE9F2"/>
          </w:tcPr>
          <w:p>
            <w:pPr>
              <w:jc w:val="center"/>
              <w:ind w:left="21"/>
              <w:spacing w:after="0"/>
              <w:rPr>
                <w:sz w:val="20"/>
                <w:szCs w:val="20"/>
                <w:color w:val="auto"/>
              </w:rPr>
            </w:pPr>
            <w:r>
              <w:rPr>
                <w:rFonts w:ascii="Arial" w:cs="Arial" w:eastAsia="Arial" w:hAnsi="Arial"/>
                <w:sz w:val="16"/>
                <w:szCs w:val="16"/>
                <w:color w:val="092E44"/>
                <w:w w:val="99"/>
              </w:rPr>
              <w:t>50%</w:t>
            </w:r>
          </w:p>
        </w:tc>
      </w:tr>
      <w:tr>
        <w:trPr>
          <w:trHeight w:val="321"/>
        </w:trPr>
        <w:tc>
          <w:tcPr>
            <w:tcW w:w="5580" w:type="dxa"/>
            <w:vAlign w:val="bottom"/>
          </w:tcPr>
          <w:p>
            <w:pPr>
              <w:jc w:val="center"/>
              <w:ind w:left="1"/>
              <w:spacing w:after="0"/>
              <w:rPr>
                <w:sz w:val="20"/>
                <w:szCs w:val="20"/>
                <w:color w:val="auto"/>
              </w:rPr>
            </w:pPr>
            <w:r>
              <w:rPr>
                <w:rFonts w:ascii="Arial" w:cs="Arial" w:eastAsia="Arial" w:hAnsi="Arial"/>
                <w:sz w:val="16"/>
                <w:szCs w:val="16"/>
                <w:color w:val="092E44"/>
                <w:w w:val="91"/>
              </w:rPr>
              <w:t>50</w:t>
            </w:r>
            <w:r>
              <w:rPr>
                <w:rFonts w:ascii="Arial" w:cs="Arial" w:eastAsia="Arial" w:hAnsi="Arial"/>
                <w:sz w:val="27"/>
                <w:szCs w:val="27"/>
                <w:color w:val="092E44"/>
                <w:w w:val="91"/>
                <w:vertAlign w:val="superscript"/>
              </w:rPr>
              <w:t>th</w:t>
            </w:r>
          </w:p>
        </w:tc>
        <w:tc>
          <w:tcPr>
            <w:tcW w:w="5340" w:type="dxa"/>
            <w:vAlign w:val="bottom"/>
          </w:tcPr>
          <w:p>
            <w:pPr>
              <w:jc w:val="center"/>
              <w:ind w:left="41"/>
              <w:spacing w:after="0"/>
              <w:rPr>
                <w:sz w:val="20"/>
                <w:szCs w:val="20"/>
                <w:color w:val="auto"/>
              </w:rPr>
            </w:pPr>
            <w:r>
              <w:rPr>
                <w:rFonts w:ascii="Arial" w:cs="Arial" w:eastAsia="Arial" w:hAnsi="Arial"/>
                <w:sz w:val="16"/>
                <w:szCs w:val="16"/>
                <w:color w:val="092E44"/>
              </w:rPr>
              <w:t>100%</w:t>
            </w:r>
          </w:p>
        </w:tc>
      </w:tr>
      <w:tr>
        <w:trPr>
          <w:trHeight w:val="321"/>
        </w:trPr>
        <w:tc>
          <w:tcPr>
            <w:tcW w:w="5580" w:type="dxa"/>
            <w:vAlign w:val="bottom"/>
            <w:shd w:val="clear" w:color="auto" w:fill="DDE9F2"/>
          </w:tcPr>
          <w:p>
            <w:pPr>
              <w:jc w:val="center"/>
              <w:ind w:left="1"/>
              <w:spacing w:after="0"/>
              <w:rPr>
                <w:sz w:val="20"/>
                <w:szCs w:val="20"/>
                <w:color w:val="auto"/>
              </w:rPr>
            </w:pPr>
            <w:r>
              <w:rPr>
                <w:rFonts w:ascii="Arial" w:cs="Arial" w:eastAsia="Arial" w:hAnsi="Arial"/>
                <w:sz w:val="16"/>
                <w:szCs w:val="16"/>
                <w:color w:val="092E44"/>
                <w:w w:val="91"/>
              </w:rPr>
              <w:t>75</w:t>
            </w:r>
            <w:r>
              <w:rPr>
                <w:rFonts w:ascii="Arial" w:cs="Arial" w:eastAsia="Arial" w:hAnsi="Arial"/>
                <w:sz w:val="27"/>
                <w:szCs w:val="27"/>
                <w:color w:val="092E44"/>
                <w:w w:val="91"/>
                <w:vertAlign w:val="superscript"/>
              </w:rPr>
              <w:t>th</w:t>
            </w:r>
          </w:p>
        </w:tc>
        <w:tc>
          <w:tcPr>
            <w:tcW w:w="5340" w:type="dxa"/>
            <w:vAlign w:val="bottom"/>
            <w:shd w:val="clear" w:color="auto" w:fill="DDE9F2"/>
          </w:tcPr>
          <w:p>
            <w:pPr>
              <w:jc w:val="center"/>
              <w:ind w:left="41"/>
              <w:spacing w:after="0"/>
              <w:rPr>
                <w:sz w:val="20"/>
                <w:szCs w:val="20"/>
                <w:color w:val="auto"/>
              </w:rPr>
            </w:pPr>
            <w:r>
              <w:rPr>
                <w:rFonts w:ascii="Arial" w:cs="Arial" w:eastAsia="Arial" w:hAnsi="Arial"/>
                <w:sz w:val="16"/>
                <w:szCs w:val="16"/>
                <w:color w:val="092E44"/>
              </w:rPr>
              <w:t>150%</w:t>
            </w:r>
          </w:p>
        </w:tc>
      </w:tr>
      <w:tr>
        <w:trPr>
          <w:trHeight w:val="336"/>
        </w:trPr>
        <w:tc>
          <w:tcPr>
            <w:tcW w:w="5580" w:type="dxa"/>
            <w:vAlign w:val="bottom"/>
          </w:tcPr>
          <w:p>
            <w:pPr>
              <w:jc w:val="center"/>
              <w:ind w:left="1"/>
              <w:spacing w:after="0"/>
              <w:rPr>
                <w:sz w:val="20"/>
                <w:szCs w:val="20"/>
                <w:color w:val="auto"/>
              </w:rPr>
            </w:pPr>
            <w:r>
              <w:rPr>
                <w:rFonts w:ascii="Arial" w:cs="Arial" w:eastAsia="Arial" w:hAnsi="Arial"/>
                <w:sz w:val="16"/>
                <w:szCs w:val="16"/>
                <w:color w:val="092E44"/>
                <w:w w:val="91"/>
              </w:rPr>
              <w:t>85</w:t>
            </w:r>
            <w:r>
              <w:rPr>
                <w:rFonts w:ascii="Arial" w:cs="Arial" w:eastAsia="Arial" w:hAnsi="Arial"/>
                <w:sz w:val="27"/>
                <w:szCs w:val="27"/>
                <w:color w:val="092E44"/>
                <w:w w:val="91"/>
                <w:vertAlign w:val="superscript"/>
              </w:rPr>
              <w:t>th</w:t>
            </w:r>
          </w:p>
        </w:tc>
        <w:tc>
          <w:tcPr>
            <w:tcW w:w="5340" w:type="dxa"/>
            <w:vAlign w:val="bottom"/>
          </w:tcPr>
          <w:p>
            <w:pPr>
              <w:jc w:val="center"/>
              <w:ind w:left="41"/>
              <w:spacing w:after="0"/>
              <w:rPr>
                <w:sz w:val="20"/>
                <w:szCs w:val="20"/>
                <w:color w:val="auto"/>
              </w:rPr>
            </w:pPr>
            <w:r>
              <w:rPr>
                <w:rFonts w:ascii="Arial" w:cs="Arial" w:eastAsia="Arial" w:hAnsi="Arial"/>
                <w:sz w:val="16"/>
                <w:szCs w:val="16"/>
                <w:color w:val="092E44"/>
                <w:w w:val="99"/>
              </w:rPr>
              <w:t>200% (max)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wp:posOffset>
            </wp:positionV>
            <wp:extent cx="69297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092E44"/>
        </w:rPr>
        <w:t>Scale is linear between shown points.</w:t>
      </w:r>
    </w:p>
    <w:p>
      <w:pPr>
        <w:spacing w:after="0" w:line="94" w:lineRule="exact"/>
        <w:rPr>
          <w:sz w:val="20"/>
          <w:szCs w:val="20"/>
          <w:color w:val="auto"/>
        </w:rPr>
      </w:pPr>
    </w:p>
    <w:p>
      <w:pPr>
        <w:ind w:left="160" w:right="220"/>
        <w:spacing w:after="0" w:line="279" w:lineRule="auto"/>
        <w:rPr>
          <w:sz w:val="20"/>
          <w:szCs w:val="20"/>
          <w:color w:val="auto"/>
        </w:rPr>
      </w:pPr>
      <w:r>
        <w:rPr>
          <w:rFonts w:ascii="Arial" w:cs="Arial" w:eastAsia="Arial" w:hAnsi="Arial"/>
          <w:sz w:val="16"/>
          <w:szCs w:val="16"/>
          <w:color w:val="092E44"/>
        </w:rPr>
        <w:t>Regardless of Commvault’s relative TSR performance, earned shares cannot exceed 100% of target if the Company’s stock price is lower at the end of the performance period than it was at the beginning.</w:t>
      </w:r>
    </w:p>
    <w:p>
      <w:pPr>
        <w:spacing w:after="0" w:line="40" w:lineRule="exact"/>
        <w:rPr>
          <w:sz w:val="20"/>
          <w:szCs w:val="20"/>
          <w:color w:val="auto"/>
        </w:rPr>
      </w:pPr>
    </w:p>
    <w:p>
      <w:pPr>
        <w:ind w:left="160" w:right="140"/>
        <w:spacing w:after="0" w:line="262" w:lineRule="auto"/>
        <w:rPr>
          <w:sz w:val="20"/>
          <w:szCs w:val="20"/>
          <w:color w:val="auto"/>
        </w:rPr>
      </w:pPr>
      <w:r>
        <w:rPr>
          <w:rFonts w:ascii="Arial" w:cs="Arial" w:eastAsia="Arial" w:hAnsi="Arial"/>
          <w:sz w:val="16"/>
          <w:szCs w:val="16"/>
          <w:color w:val="092E44"/>
        </w:rPr>
        <w:t>The TMCC regularly considers the appropriate time horizon for the performance measures used in the compensation plan for our named executive officers. The TMCC believes that using multiple-year vesting for the Relative TSR PSUs appropriately balances the one-year performance period for the annual bonus and the three-year vesting period for the time-based RSUs and Financial PSUs.</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Our performance and the resulting payouts for Relative TSR PSUs have varied significantly over the past five years.</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color w:val="E14A6A"/>
        </w:rPr>
        <w:t>Performance Vesting RSUs—Total Shareholder Return (TSR)</w:t>
      </w:r>
    </w:p>
    <w:p>
      <w:pPr>
        <w:spacing w:after="0" w:line="128" w:lineRule="exact"/>
        <w:rPr>
          <w:sz w:val="20"/>
          <w:szCs w:val="20"/>
          <w:color w:val="auto"/>
        </w:rPr>
      </w:pPr>
    </w:p>
    <w:tbl>
      <w:tblPr>
        <w:tblLayout w:type="fixed"/>
        <w:tblInd w:w="160" w:type="dxa"/>
        <w:tblCellMar>
          <w:top w:w="0" w:type="dxa"/>
          <w:left w:w="0" w:type="dxa"/>
          <w:bottom w:w="0" w:type="dxa"/>
          <w:right w:w="0" w:type="dxa"/>
        </w:tblCellMar>
      </w:tblPr>
      <w:tr>
        <w:trPr>
          <w:trHeight w:val="276"/>
        </w:trPr>
        <w:tc>
          <w:tcPr>
            <w:tcW w:w="6920" w:type="dxa"/>
            <w:vAlign w:val="bottom"/>
          </w:tcPr>
          <w:p>
            <w:pPr>
              <w:spacing w:after="0"/>
              <w:rPr>
                <w:sz w:val="23"/>
                <w:szCs w:val="23"/>
                <w:color w:val="auto"/>
              </w:rPr>
            </w:pPr>
          </w:p>
        </w:tc>
        <w:tc>
          <w:tcPr>
            <w:tcW w:w="740" w:type="dxa"/>
            <w:vAlign w:val="bottom"/>
          </w:tcPr>
          <w:p>
            <w:pPr>
              <w:jc w:val="right"/>
              <w:ind w:right="63"/>
              <w:spacing w:after="0"/>
              <w:rPr>
                <w:sz w:val="20"/>
                <w:szCs w:val="20"/>
                <w:color w:val="auto"/>
              </w:rPr>
            </w:pPr>
            <w:r>
              <w:rPr>
                <w:rFonts w:ascii="Arial" w:cs="Arial" w:eastAsia="Arial" w:hAnsi="Arial"/>
                <w:sz w:val="14"/>
                <w:szCs w:val="14"/>
                <w:color w:val="092E44"/>
              </w:rPr>
              <w:t>May</w:t>
            </w:r>
          </w:p>
        </w:tc>
        <w:tc>
          <w:tcPr>
            <w:tcW w:w="1380" w:type="dxa"/>
            <w:vAlign w:val="bottom"/>
          </w:tcPr>
          <w:p>
            <w:pPr>
              <w:jc w:val="right"/>
              <w:ind w:right="83"/>
              <w:spacing w:after="0"/>
              <w:rPr>
                <w:sz w:val="20"/>
                <w:szCs w:val="20"/>
                <w:color w:val="auto"/>
              </w:rPr>
            </w:pPr>
            <w:r>
              <w:rPr>
                <w:rFonts w:ascii="Arial" w:cs="Arial" w:eastAsia="Arial" w:hAnsi="Arial"/>
                <w:sz w:val="14"/>
                <w:szCs w:val="14"/>
                <w:color w:val="092E44"/>
              </w:rPr>
              <w:t>February 2019</w:t>
            </w:r>
            <w:r>
              <w:rPr>
                <w:rFonts w:ascii="Arial" w:cs="Arial" w:eastAsia="Arial" w:hAnsi="Arial"/>
                <w:sz w:val="24"/>
                <w:szCs w:val="24"/>
                <w:color w:val="092E44"/>
                <w:vertAlign w:val="superscript"/>
              </w:rPr>
              <w:t>(1)</w:t>
            </w:r>
          </w:p>
        </w:tc>
        <w:tc>
          <w:tcPr>
            <w:tcW w:w="660" w:type="dxa"/>
            <w:vAlign w:val="bottom"/>
          </w:tcPr>
          <w:p>
            <w:pPr>
              <w:jc w:val="right"/>
              <w:ind w:right="103"/>
              <w:spacing w:after="0"/>
              <w:rPr>
                <w:sz w:val="20"/>
                <w:szCs w:val="20"/>
                <w:color w:val="auto"/>
              </w:rPr>
            </w:pPr>
            <w:r>
              <w:rPr>
                <w:rFonts w:ascii="Arial" w:cs="Arial" w:eastAsia="Arial" w:hAnsi="Arial"/>
                <w:sz w:val="14"/>
                <w:szCs w:val="14"/>
                <w:color w:val="092E44"/>
              </w:rPr>
              <w:t>May</w:t>
            </w:r>
          </w:p>
        </w:tc>
        <w:tc>
          <w:tcPr>
            <w:tcW w:w="680" w:type="dxa"/>
            <w:vAlign w:val="bottom"/>
          </w:tcPr>
          <w:p>
            <w:pPr>
              <w:jc w:val="right"/>
              <w:ind w:right="43"/>
              <w:spacing w:after="0"/>
              <w:rPr>
                <w:sz w:val="20"/>
                <w:szCs w:val="20"/>
                <w:color w:val="auto"/>
              </w:rPr>
            </w:pPr>
            <w:r>
              <w:rPr>
                <w:rFonts w:ascii="Arial" w:cs="Arial" w:eastAsia="Arial" w:hAnsi="Arial"/>
                <w:sz w:val="14"/>
                <w:szCs w:val="14"/>
                <w:color w:val="092E44"/>
              </w:rPr>
              <w:t>May</w:t>
            </w:r>
          </w:p>
        </w:tc>
        <w:tc>
          <w:tcPr>
            <w:tcW w:w="540" w:type="dxa"/>
            <w:vAlign w:val="bottom"/>
          </w:tcPr>
          <w:p>
            <w:pPr>
              <w:jc w:val="right"/>
              <w:ind w:right="23"/>
              <w:spacing w:after="0"/>
              <w:rPr>
                <w:sz w:val="20"/>
                <w:szCs w:val="20"/>
                <w:color w:val="auto"/>
              </w:rPr>
            </w:pPr>
            <w:r>
              <w:rPr>
                <w:rFonts w:ascii="Arial" w:cs="Arial" w:eastAsia="Arial" w:hAnsi="Arial"/>
                <w:sz w:val="14"/>
                <w:szCs w:val="14"/>
                <w:color w:val="092E44"/>
              </w:rPr>
              <w:t>May</w:t>
            </w:r>
          </w:p>
        </w:tc>
      </w:tr>
      <w:tr>
        <w:trPr>
          <w:trHeight w:val="170"/>
        </w:trPr>
        <w:tc>
          <w:tcPr>
            <w:tcW w:w="6920" w:type="dxa"/>
            <w:vAlign w:val="bottom"/>
            <w:tcBorders>
              <w:bottom w:val="single" w:sz="8" w:color="E14A6A"/>
            </w:tcBorders>
          </w:tcPr>
          <w:p>
            <w:pPr>
              <w:ind w:left="80"/>
              <w:spacing w:after="0"/>
              <w:rPr>
                <w:sz w:val="20"/>
                <w:szCs w:val="20"/>
                <w:color w:val="auto"/>
              </w:rPr>
            </w:pPr>
            <w:r>
              <w:rPr>
                <w:rFonts w:ascii="Arial" w:cs="Arial" w:eastAsia="Arial" w:hAnsi="Arial"/>
                <w:sz w:val="14"/>
                <w:szCs w:val="14"/>
                <w:color w:val="092E44"/>
              </w:rPr>
              <w:t>Grant</w:t>
            </w:r>
          </w:p>
        </w:tc>
        <w:tc>
          <w:tcPr>
            <w:tcW w:w="740" w:type="dxa"/>
            <w:vAlign w:val="bottom"/>
            <w:tcBorders>
              <w:bottom w:val="single" w:sz="8" w:color="E14A6A"/>
            </w:tcBorders>
          </w:tcPr>
          <w:p>
            <w:pPr>
              <w:jc w:val="right"/>
              <w:ind w:right="63"/>
              <w:spacing w:after="0"/>
              <w:rPr>
                <w:sz w:val="20"/>
                <w:szCs w:val="20"/>
                <w:color w:val="auto"/>
              </w:rPr>
            </w:pPr>
            <w:r>
              <w:rPr>
                <w:rFonts w:ascii="Arial" w:cs="Arial" w:eastAsia="Arial" w:hAnsi="Arial"/>
                <w:sz w:val="14"/>
                <w:szCs w:val="14"/>
                <w:color w:val="092E44"/>
              </w:rPr>
              <w:t>2018</w:t>
            </w:r>
          </w:p>
        </w:tc>
        <w:tc>
          <w:tcPr>
            <w:tcW w:w="1380" w:type="dxa"/>
            <w:vAlign w:val="bottom"/>
            <w:tcBorders>
              <w:bottom w:val="single" w:sz="8" w:color="E14A6A"/>
            </w:tcBorders>
          </w:tcPr>
          <w:p>
            <w:pPr>
              <w:jc w:val="right"/>
              <w:ind w:right="83"/>
              <w:spacing w:after="0"/>
              <w:rPr>
                <w:sz w:val="20"/>
                <w:szCs w:val="20"/>
                <w:color w:val="auto"/>
              </w:rPr>
            </w:pPr>
            <w:r>
              <w:rPr>
                <w:rFonts w:ascii="Arial" w:cs="Arial" w:eastAsia="Arial" w:hAnsi="Arial"/>
                <w:sz w:val="14"/>
                <w:szCs w:val="14"/>
                <w:color w:val="092E44"/>
              </w:rPr>
              <w:t>—New CEO</w:t>
            </w:r>
          </w:p>
        </w:tc>
        <w:tc>
          <w:tcPr>
            <w:tcW w:w="660" w:type="dxa"/>
            <w:vAlign w:val="bottom"/>
            <w:tcBorders>
              <w:bottom w:val="single" w:sz="8" w:color="E14A6A"/>
            </w:tcBorders>
          </w:tcPr>
          <w:p>
            <w:pPr>
              <w:jc w:val="right"/>
              <w:ind w:right="103"/>
              <w:spacing w:after="0"/>
              <w:rPr>
                <w:sz w:val="20"/>
                <w:szCs w:val="20"/>
                <w:color w:val="auto"/>
              </w:rPr>
            </w:pPr>
            <w:r>
              <w:rPr>
                <w:rFonts w:ascii="Arial" w:cs="Arial" w:eastAsia="Arial" w:hAnsi="Arial"/>
                <w:sz w:val="14"/>
                <w:szCs w:val="14"/>
                <w:color w:val="092E44"/>
              </w:rPr>
              <w:t>2019</w:t>
            </w:r>
          </w:p>
        </w:tc>
        <w:tc>
          <w:tcPr>
            <w:tcW w:w="680" w:type="dxa"/>
            <w:vAlign w:val="bottom"/>
            <w:tcBorders>
              <w:bottom w:val="single" w:sz="8" w:color="E14A6A"/>
            </w:tcBorders>
          </w:tcPr>
          <w:p>
            <w:pPr>
              <w:jc w:val="right"/>
              <w:ind w:right="43"/>
              <w:spacing w:after="0"/>
              <w:rPr>
                <w:sz w:val="20"/>
                <w:szCs w:val="20"/>
                <w:color w:val="auto"/>
              </w:rPr>
            </w:pPr>
            <w:r>
              <w:rPr>
                <w:rFonts w:ascii="Arial" w:cs="Arial" w:eastAsia="Arial" w:hAnsi="Arial"/>
                <w:sz w:val="14"/>
                <w:szCs w:val="14"/>
                <w:color w:val="092E44"/>
              </w:rPr>
              <w:t>2020</w:t>
            </w:r>
          </w:p>
        </w:tc>
        <w:tc>
          <w:tcPr>
            <w:tcW w:w="540" w:type="dxa"/>
            <w:vAlign w:val="bottom"/>
            <w:tcBorders>
              <w:bottom w:val="single" w:sz="8" w:color="E14A6A"/>
            </w:tcBorders>
          </w:tcPr>
          <w:p>
            <w:pPr>
              <w:jc w:val="right"/>
              <w:ind w:right="23"/>
              <w:spacing w:after="0"/>
              <w:rPr>
                <w:sz w:val="20"/>
                <w:szCs w:val="20"/>
                <w:color w:val="auto"/>
              </w:rPr>
            </w:pPr>
            <w:r>
              <w:rPr>
                <w:rFonts w:ascii="Arial" w:cs="Arial" w:eastAsia="Arial" w:hAnsi="Arial"/>
                <w:sz w:val="14"/>
                <w:szCs w:val="14"/>
                <w:color w:val="092E44"/>
              </w:rPr>
              <w:t>2021</w:t>
            </w:r>
          </w:p>
        </w:tc>
      </w:tr>
      <w:tr>
        <w:trPr>
          <w:trHeight w:val="244"/>
        </w:trPr>
        <w:tc>
          <w:tcPr>
            <w:tcW w:w="6920" w:type="dxa"/>
            <w:vAlign w:val="bottom"/>
          </w:tcPr>
          <w:p>
            <w:pPr>
              <w:ind w:left="80"/>
              <w:spacing w:after="0"/>
              <w:rPr>
                <w:sz w:val="20"/>
                <w:szCs w:val="20"/>
                <w:color w:val="auto"/>
              </w:rPr>
            </w:pPr>
            <w:r>
              <w:rPr>
                <w:rFonts w:ascii="Arial" w:cs="Arial" w:eastAsia="Arial" w:hAnsi="Arial"/>
                <w:sz w:val="16"/>
                <w:szCs w:val="16"/>
                <w:color w:val="092E44"/>
              </w:rPr>
              <w:t>Actual Vest %:</w:t>
            </w:r>
          </w:p>
        </w:tc>
        <w:tc>
          <w:tcPr>
            <w:tcW w:w="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57"/>
        </w:trPr>
        <w:tc>
          <w:tcPr>
            <w:tcW w:w="6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21"/>
        </w:trPr>
        <w:tc>
          <w:tcPr>
            <w:tcW w:w="6920" w:type="dxa"/>
            <w:vAlign w:val="bottom"/>
            <w:shd w:val="clear" w:color="auto" w:fill="DDE9F2"/>
          </w:tcPr>
          <w:p>
            <w:pPr>
              <w:ind w:left="80"/>
              <w:spacing w:after="0"/>
              <w:rPr>
                <w:sz w:val="20"/>
                <w:szCs w:val="20"/>
                <w:color w:val="auto"/>
              </w:rPr>
            </w:pPr>
            <w:r>
              <w:rPr>
                <w:rFonts w:ascii="Arial" w:cs="Arial" w:eastAsia="Arial" w:hAnsi="Arial"/>
                <w:sz w:val="16"/>
                <w:szCs w:val="16"/>
                <w:color w:val="092E44"/>
              </w:rPr>
              <w:t>First annual tranche</w:t>
            </w:r>
          </w:p>
        </w:tc>
        <w:tc>
          <w:tcPr>
            <w:tcW w:w="740" w:type="dxa"/>
            <w:vAlign w:val="bottom"/>
            <w:shd w:val="clear" w:color="auto" w:fill="DDE9F2"/>
          </w:tcPr>
          <w:p>
            <w:pPr>
              <w:jc w:val="right"/>
              <w:ind w:right="63"/>
              <w:spacing w:after="0"/>
              <w:rPr>
                <w:sz w:val="20"/>
                <w:szCs w:val="20"/>
                <w:color w:val="auto"/>
              </w:rPr>
            </w:pPr>
            <w:r>
              <w:rPr>
                <w:rFonts w:ascii="Arial" w:cs="Arial" w:eastAsia="Arial" w:hAnsi="Arial"/>
                <w:sz w:val="16"/>
                <w:szCs w:val="16"/>
                <w:color w:val="092E44"/>
              </w:rPr>
              <w:t>0%</w:t>
            </w:r>
          </w:p>
        </w:tc>
        <w:tc>
          <w:tcPr>
            <w:tcW w:w="1380" w:type="dxa"/>
            <w:vAlign w:val="bottom"/>
            <w:shd w:val="clear" w:color="auto" w:fill="DDE9F2"/>
          </w:tcPr>
          <w:p>
            <w:pPr>
              <w:jc w:val="center"/>
              <w:spacing w:after="0"/>
              <w:rPr>
                <w:sz w:val="20"/>
                <w:szCs w:val="20"/>
                <w:color w:val="auto"/>
              </w:rPr>
            </w:pPr>
            <w:r>
              <w:rPr>
                <w:rFonts w:ascii="Arial" w:cs="Arial" w:eastAsia="Arial" w:hAnsi="Arial"/>
                <w:sz w:val="16"/>
                <w:szCs w:val="16"/>
                <w:color w:val="092E44"/>
                <w:w w:val="90"/>
              </w:rPr>
              <w:t>N/A</w:t>
            </w:r>
            <w:r>
              <w:rPr>
                <w:rFonts w:ascii="Arial" w:cs="Arial" w:eastAsia="Arial" w:hAnsi="Arial"/>
                <w:sz w:val="27"/>
                <w:szCs w:val="27"/>
                <w:color w:val="092E44"/>
                <w:w w:val="90"/>
                <w:vertAlign w:val="superscript"/>
              </w:rPr>
              <w:t>(2)</w:t>
            </w:r>
          </w:p>
        </w:tc>
        <w:tc>
          <w:tcPr>
            <w:tcW w:w="660" w:type="dxa"/>
            <w:vAlign w:val="bottom"/>
            <w:shd w:val="clear" w:color="auto" w:fill="DDE9F2"/>
          </w:tcPr>
          <w:p>
            <w:pPr>
              <w:jc w:val="right"/>
              <w:ind w:right="103"/>
              <w:spacing w:after="0"/>
              <w:rPr>
                <w:sz w:val="20"/>
                <w:szCs w:val="20"/>
                <w:color w:val="auto"/>
              </w:rPr>
            </w:pPr>
            <w:r>
              <w:rPr>
                <w:rFonts w:ascii="Arial" w:cs="Arial" w:eastAsia="Arial" w:hAnsi="Arial"/>
                <w:sz w:val="16"/>
                <w:szCs w:val="16"/>
                <w:color w:val="092E44"/>
              </w:rPr>
              <w:t>96%</w:t>
            </w:r>
          </w:p>
        </w:tc>
        <w:tc>
          <w:tcPr>
            <w:tcW w:w="680" w:type="dxa"/>
            <w:vAlign w:val="bottom"/>
            <w:shd w:val="clear" w:color="auto" w:fill="DDE9F2"/>
          </w:tcPr>
          <w:p>
            <w:pPr>
              <w:jc w:val="right"/>
              <w:ind w:right="43"/>
              <w:spacing w:after="0"/>
              <w:rPr>
                <w:sz w:val="20"/>
                <w:szCs w:val="20"/>
                <w:color w:val="auto"/>
              </w:rPr>
            </w:pPr>
            <w:r>
              <w:rPr>
                <w:rFonts w:ascii="Arial" w:cs="Arial" w:eastAsia="Arial" w:hAnsi="Arial"/>
                <w:sz w:val="16"/>
                <w:szCs w:val="16"/>
                <w:color w:val="092E44"/>
              </w:rPr>
              <w:t>105%</w:t>
            </w:r>
          </w:p>
        </w:tc>
        <w:tc>
          <w:tcPr>
            <w:tcW w:w="540" w:type="dxa"/>
            <w:vAlign w:val="bottom"/>
            <w:shd w:val="clear" w:color="auto" w:fill="DDE9F2"/>
          </w:tcPr>
          <w:p>
            <w:pPr>
              <w:jc w:val="right"/>
              <w:ind w:right="23"/>
              <w:spacing w:after="0"/>
              <w:rPr>
                <w:sz w:val="20"/>
                <w:szCs w:val="20"/>
                <w:color w:val="auto"/>
              </w:rPr>
            </w:pPr>
            <w:r>
              <w:rPr>
                <w:rFonts w:ascii="Arial" w:cs="Arial" w:eastAsia="Arial" w:hAnsi="Arial"/>
                <w:sz w:val="16"/>
                <w:szCs w:val="16"/>
                <w:color w:val="092E44"/>
              </w:rPr>
              <w:t>98%</w:t>
            </w:r>
          </w:p>
        </w:tc>
      </w:tr>
      <w:tr>
        <w:trPr>
          <w:trHeight w:val="264"/>
        </w:trPr>
        <w:tc>
          <w:tcPr>
            <w:tcW w:w="6920" w:type="dxa"/>
            <w:vAlign w:val="bottom"/>
          </w:tcPr>
          <w:p>
            <w:pPr>
              <w:ind w:left="80"/>
              <w:spacing w:after="0"/>
              <w:rPr>
                <w:sz w:val="20"/>
                <w:szCs w:val="20"/>
                <w:color w:val="auto"/>
              </w:rPr>
            </w:pPr>
            <w:r>
              <w:rPr>
                <w:rFonts w:ascii="Arial" w:cs="Arial" w:eastAsia="Arial" w:hAnsi="Arial"/>
                <w:sz w:val="16"/>
                <w:szCs w:val="16"/>
                <w:color w:val="092E44"/>
              </w:rPr>
              <w:t>Second annual tranche</w:t>
            </w:r>
          </w:p>
        </w:tc>
        <w:tc>
          <w:tcPr>
            <w:tcW w:w="740" w:type="dxa"/>
            <w:vAlign w:val="bottom"/>
          </w:tcPr>
          <w:p>
            <w:pPr>
              <w:jc w:val="right"/>
              <w:ind w:right="63"/>
              <w:spacing w:after="0"/>
              <w:rPr>
                <w:sz w:val="20"/>
                <w:szCs w:val="20"/>
                <w:color w:val="auto"/>
              </w:rPr>
            </w:pPr>
            <w:r>
              <w:rPr>
                <w:rFonts w:ascii="Arial" w:cs="Arial" w:eastAsia="Arial" w:hAnsi="Arial"/>
                <w:sz w:val="16"/>
                <w:szCs w:val="16"/>
                <w:color w:val="092E44"/>
              </w:rPr>
              <w:t>71%</w:t>
            </w:r>
          </w:p>
        </w:tc>
        <w:tc>
          <w:tcPr>
            <w:tcW w:w="1380" w:type="dxa"/>
            <w:vAlign w:val="bottom"/>
          </w:tcPr>
          <w:p>
            <w:pPr>
              <w:jc w:val="center"/>
              <w:spacing w:after="0"/>
              <w:rPr>
                <w:sz w:val="20"/>
                <w:szCs w:val="20"/>
                <w:color w:val="auto"/>
              </w:rPr>
            </w:pPr>
            <w:r>
              <w:rPr>
                <w:rFonts w:ascii="Arial" w:cs="Arial" w:eastAsia="Arial" w:hAnsi="Arial"/>
                <w:sz w:val="16"/>
                <w:szCs w:val="16"/>
                <w:color w:val="092E44"/>
                <w:w w:val="99"/>
              </w:rPr>
              <w:t>62%</w:t>
            </w:r>
          </w:p>
        </w:tc>
        <w:tc>
          <w:tcPr>
            <w:tcW w:w="660" w:type="dxa"/>
            <w:vAlign w:val="bottom"/>
          </w:tcPr>
          <w:p>
            <w:pPr>
              <w:jc w:val="right"/>
              <w:ind w:right="103"/>
              <w:spacing w:after="0"/>
              <w:rPr>
                <w:sz w:val="20"/>
                <w:szCs w:val="20"/>
                <w:color w:val="auto"/>
              </w:rPr>
            </w:pPr>
            <w:r>
              <w:rPr>
                <w:rFonts w:ascii="Arial" w:cs="Arial" w:eastAsia="Arial" w:hAnsi="Arial"/>
                <w:sz w:val="16"/>
                <w:szCs w:val="16"/>
                <w:color w:val="092E44"/>
              </w:rPr>
              <w:t>95%</w:t>
            </w:r>
          </w:p>
        </w:tc>
        <w:tc>
          <w:tcPr>
            <w:tcW w:w="680" w:type="dxa"/>
            <w:vAlign w:val="bottom"/>
          </w:tcPr>
          <w:p>
            <w:pPr>
              <w:jc w:val="right"/>
              <w:ind w:right="43"/>
              <w:spacing w:after="0"/>
              <w:rPr>
                <w:sz w:val="20"/>
                <w:szCs w:val="20"/>
                <w:color w:val="auto"/>
              </w:rPr>
            </w:pPr>
            <w:r>
              <w:rPr>
                <w:rFonts w:ascii="Arial" w:cs="Arial" w:eastAsia="Arial" w:hAnsi="Arial"/>
                <w:sz w:val="16"/>
                <w:szCs w:val="16"/>
                <w:color w:val="092E44"/>
              </w:rPr>
              <w:t>101%</w:t>
            </w:r>
          </w:p>
        </w:tc>
        <w:tc>
          <w:tcPr>
            <w:tcW w:w="540" w:type="dxa"/>
            <w:vAlign w:val="bottom"/>
          </w:tcPr>
          <w:p>
            <w:pPr>
              <w:jc w:val="right"/>
              <w:ind w:right="23"/>
              <w:spacing w:after="0"/>
              <w:rPr>
                <w:sz w:val="20"/>
                <w:szCs w:val="20"/>
                <w:color w:val="auto"/>
              </w:rPr>
            </w:pPr>
            <w:r>
              <w:rPr>
                <w:rFonts w:ascii="Arial" w:cs="Arial" w:eastAsia="Arial" w:hAnsi="Arial"/>
                <w:sz w:val="16"/>
                <w:szCs w:val="16"/>
                <w:color w:val="092E44"/>
              </w:rPr>
              <w:t>TBD</w:t>
            </w:r>
          </w:p>
        </w:tc>
      </w:tr>
      <w:tr>
        <w:trPr>
          <w:trHeight w:val="57"/>
        </w:trPr>
        <w:tc>
          <w:tcPr>
            <w:tcW w:w="6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1"/>
        </w:trPr>
        <w:tc>
          <w:tcPr>
            <w:tcW w:w="6920" w:type="dxa"/>
            <w:vAlign w:val="bottom"/>
            <w:tcBorders>
              <w:bottom w:val="single" w:sz="8" w:color="DDE9F2"/>
            </w:tcBorders>
            <w:shd w:val="clear" w:color="auto" w:fill="DDE9F2"/>
          </w:tcPr>
          <w:p>
            <w:pPr>
              <w:ind w:left="80"/>
              <w:spacing w:after="0"/>
              <w:rPr>
                <w:sz w:val="20"/>
                <w:szCs w:val="20"/>
                <w:color w:val="auto"/>
              </w:rPr>
            </w:pPr>
            <w:r>
              <w:rPr>
                <w:rFonts w:ascii="Arial" w:cs="Arial" w:eastAsia="Arial" w:hAnsi="Arial"/>
                <w:sz w:val="16"/>
                <w:szCs w:val="16"/>
                <w:color w:val="092E44"/>
              </w:rPr>
              <w:t>Third annual tranche</w:t>
            </w:r>
          </w:p>
        </w:tc>
        <w:tc>
          <w:tcPr>
            <w:tcW w:w="740" w:type="dxa"/>
            <w:vAlign w:val="bottom"/>
            <w:tcBorders>
              <w:bottom w:val="single" w:sz="8" w:color="DDE9F2"/>
            </w:tcBorders>
            <w:shd w:val="clear" w:color="auto" w:fill="DDE9F2"/>
          </w:tcPr>
          <w:p>
            <w:pPr>
              <w:jc w:val="right"/>
              <w:ind w:right="63"/>
              <w:spacing w:after="0"/>
              <w:rPr>
                <w:sz w:val="20"/>
                <w:szCs w:val="20"/>
                <w:color w:val="auto"/>
              </w:rPr>
            </w:pPr>
            <w:r>
              <w:rPr>
                <w:rFonts w:ascii="Arial" w:cs="Arial" w:eastAsia="Arial" w:hAnsi="Arial"/>
                <w:sz w:val="16"/>
                <w:szCs w:val="16"/>
                <w:color w:val="092E44"/>
              </w:rPr>
              <w:t>62%</w:t>
            </w:r>
          </w:p>
        </w:tc>
        <w:tc>
          <w:tcPr>
            <w:tcW w:w="1380" w:type="dxa"/>
            <w:vAlign w:val="bottom"/>
            <w:tcBorders>
              <w:bottom w:val="single" w:sz="8" w:color="DDE9F2"/>
            </w:tcBorders>
            <w:shd w:val="clear" w:color="auto" w:fill="DDE9F2"/>
          </w:tcPr>
          <w:p>
            <w:pPr>
              <w:jc w:val="center"/>
              <w:spacing w:after="0"/>
              <w:rPr>
                <w:sz w:val="20"/>
                <w:szCs w:val="20"/>
                <w:color w:val="auto"/>
              </w:rPr>
            </w:pPr>
            <w:r>
              <w:rPr>
                <w:rFonts w:ascii="Arial" w:cs="Arial" w:eastAsia="Arial" w:hAnsi="Arial"/>
                <w:sz w:val="16"/>
                <w:szCs w:val="16"/>
                <w:color w:val="092E44"/>
                <w:w w:val="99"/>
              </w:rPr>
              <w:t>66%</w:t>
            </w:r>
          </w:p>
        </w:tc>
        <w:tc>
          <w:tcPr>
            <w:tcW w:w="660" w:type="dxa"/>
            <w:vAlign w:val="bottom"/>
            <w:tcBorders>
              <w:bottom w:val="single" w:sz="8" w:color="DDE9F2"/>
            </w:tcBorders>
            <w:shd w:val="clear" w:color="auto" w:fill="DDE9F2"/>
          </w:tcPr>
          <w:p>
            <w:pPr>
              <w:jc w:val="right"/>
              <w:ind w:right="103"/>
              <w:spacing w:after="0"/>
              <w:rPr>
                <w:sz w:val="20"/>
                <w:szCs w:val="20"/>
                <w:color w:val="auto"/>
              </w:rPr>
            </w:pPr>
            <w:r>
              <w:rPr>
                <w:rFonts w:ascii="Arial" w:cs="Arial" w:eastAsia="Arial" w:hAnsi="Arial"/>
                <w:sz w:val="16"/>
                <w:szCs w:val="16"/>
                <w:color w:val="092E44"/>
              </w:rPr>
              <w:t>87%</w:t>
            </w:r>
          </w:p>
        </w:tc>
        <w:tc>
          <w:tcPr>
            <w:tcW w:w="680" w:type="dxa"/>
            <w:vAlign w:val="bottom"/>
            <w:tcBorders>
              <w:bottom w:val="single" w:sz="8" w:color="DDE9F2"/>
            </w:tcBorders>
            <w:shd w:val="clear" w:color="auto" w:fill="DDE9F2"/>
          </w:tcPr>
          <w:p>
            <w:pPr>
              <w:jc w:val="right"/>
              <w:ind w:right="43"/>
              <w:spacing w:after="0"/>
              <w:rPr>
                <w:sz w:val="20"/>
                <w:szCs w:val="20"/>
                <w:color w:val="auto"/>
              </w:rPr>
            </w:pPr>
            <w:r>
              <w:rPr>
                <w:rFonts w:ascii="Arial" w:cs="Arial" w:eastAsia="Arial" w:hAnsi="Arial"/>
                <w:sz w:val="16"/>
                <w:szCs w:val="16"/>
                <w:color w:val="092E44"/>
              </w:rPr>
              <w:t>TBD</w:t>
            </w:r>
          </w:p>
        </w:tc>
        <w:tc>
          <w:tcPr>
            <w:tcW w:w="540" w:type="dxa"/>
            <w:vAlign w:val="bottom"/>
            <w:tcBorders>
              <w:bottom w:val="single" w:sz="8" w:color="DDE9F2"/>
            </w:tcBorders>
            <w:shd w:val="clear" w:color="auto" w:fill="DDE9F2"/>
          </w:tcPr>
          <w:p>
            <w:pPr>
              <w:jc w:val="right"/>
              <w:ind w:right="23"/>
              <w:spacing w:after="0"/>
              <w:rPr>
                <w:sz w:val="20"/>
                <w:szCs w:val="20"/>
                <w:color w:val="auto"/>
              </w:rPr>
            </w:pPr>
            <w:r>
              <w:rPr>
                <w:rFonts w:ascii="Arial" w:cs="Arial" w:eastAsia="Arial" w:hAnsi="Arial"/>
                <w:sz w:val="16"/>
                <w:szCs w:val="16"/>
                <w:color w:val="092E44"/>
              </w:rPr>
              <w:t>TBD</w:t>
            </w:r>
          </w:p>
        </w:tc>
      </w:tr>
      <w:tr>
        <w:trPr>
          <w:trHeight w:val="20"/>
        </w:trPr>
        <w:tc>
          <w:tcPr>
            <w:tcW w:w="6920" w:type="dxa"/>
            <w:vAlign w:val="bottom"/>
            <w:shd w:val="clear" w:color="auto" w:fill="092E44"/>
          </w:tcPr>
          <w:p>
            <w:pPr>
              <w:spacing w:after="0" w:line="20" w:lineRule="exact"/>
              <w:rPr>
                <w:sz w:val="1"/>
                <w:szCs w:val="1"/>
                <w:color w:val="auto"/>
              </w:rPr>
            </w:pPr>
          </w:p>
        </w:tc>
        <w:tc>
          <w:tcPr>
            <w:tcW w:w="740" w:type="dxa"/>
            <w:vAlign w:val="bottom"/>
            <w:shd w:val="clear" w:color="auto" w:fill="092E44"/>
          </w:tcPr>
          <w:p>
            <w:pPr>
              <w:spacing w:after="0" w:line="20" w:lineRule="exact"/>
              <w:rPr>
                <w:sz w:val="1"/>
                <w:szCs w:val="1"/>
                <w:color w:val="auto"/>
              </w:rPr>
            </w:pPr>
          </w:p>
        </w:tc>
        <w:tc>
          <w:tcPr>
            <w:tcW w:w="1380" w:type="dxa"/>
            <w:vAlign w:val="bottom"/>
            <w:shd w:val="clear" w:color="auto" w:fill="092E44"/>
          </w:tcPr>
          <w:p>
            <w:pPr>
              <w:spacing w:after="0" w:line="20" w:lineRule="exact"/>
              <w:rPr>
                <w:sz w:val="1"/>
                <w:szCs w:val="1"/>
                <w:color w:val="auto"/>
              </w:rPr>
            </w:pPr>
          </w:p>
        </w:tc>
        <w:tc>
          <w:tcPr>
            <w:tcW w:w="660" w:type="dxa"/>
            <w:vAlign w:val="bottom"/>
            <w:shd w:val="clear" w:color="auto" w:fill="092E44"/>
          </w:tcPr>
          <w:p>
            <w:pPr>
              <w:spacing w:after="0" w:line="20" w:lineRule="exact"/>
              <w:rPr>
                <w:sz w:val="1"/>
                <w:szCs w:val="1"/>
                <w:color w:val="auto"/>
              </w:rPr>
            </w:pPr>
          </w:p>
        </w:tc>
        <w:tc>
          <w:tcPr>
            <w:tcW w:w="680" w:type="dxa"/>
            <w:vAlign w:val="bottom"/>
            <w:shd w:val="clear" w:color="auto" w:fill="092E44"/>
          </w:tcPr>
          <w:p>
            <w:pPr>
              <w:spacing w:after="0" w:line="20" w:lineRule="exact"/>
              <w:rPr>
                <w:sz w:val="1"/>
                <w:szCs w:val="1"/>
                <w:color w:val="auto"/>
              </w:rPr>
            </w:pPr>
          </w:p>
        </w:tc>
        <w:tc>
          <w:tcPr>
            <w:tcW w:w="540" w:type="dxa"/>
            <w:vAlign w:val="bottom"/>
            <w:shd w:val="clear" w:color="auto" w:fill="092E44"/>
          </w:tcPr>
          <w:p>
            <w:pPr>
              <w:spacing w:after="0" w:line="20" w:lineRule="exact"/>
              <w:rPr>
                <w:sz w:val="1"/>
                <w:szCs w:val="1"/>
                <w:color w:val="auto"/>
              </w:rPr>
            </w:pPr>
          </w:p>
        </w:tc>
      </w:tr>
    </w:tbl>
    <w:p>
      <w:pPr>
        <w:spacing w:after="0" w:line="49" w:lineRule="exact"/>
        <w:rPr>
          <w:sz w:val="20"/>
          <w:szCs w:val="20"/>
          <w:color w:val="auto"/>
        </w:rPr>
      </w:pPr>
    </w:p>
    <w:p>
      <w:pPr>
        <w:ind w:left="480" w:hanging="313"/>
        <w:spacing w:after="0"/>
        <w:tabs>
          <w:tab w:leader="none" w:pos="480" w:val="left"/>
        </w:tabs>
        <w:numPr>
          <w:ilvl w:val="0"/>
          <w:numId w:val="17"/>
        </w:numPr>
        <w:rPr>
          <w:rFonts w:ascii="Arial" w:cs="Arial" w:eastAsia="Arial" w:hAnsi="Arial"/>
          <w:sz w:val="12"/>
          <w:szCs w:val="12"/>
          <w:color w:val="092E44"/>
        </w:rPr>
      </w:pPr>
      <w:r>
        <w:rPr>
          <w:rFonts w:ascii="Arial" w:cs="Arial" w:eastAsia="Arial" w:hAnsi="Arial"/>
          <w:sz w:val="12"/>
          <w:szCs w:val="12"/>
          <w:color w:val="092E44"/>
        </w:rPr>
        <w:t>This market-based award was granted to Mr. Mirchandani as part of his new hire equity award.</w:t>
      </w:r>
    </w:p>
    <w:p>
      <w:pPr>
        <w:spacing w:after="0" w:line="7" w:lineRule="exact"/>
        <w:rPr>
          <w:rFonts w:ascii="Arial" w:cs="Arial" w:eastAsia="Arial" w:hAnsi="Arial"/>
          <w:sz w:val="12"/>
          <w:szCs w:val="12"/>
          <w:color w:val="092E44"/>
        </w:rPr>
      </w:pPr>
    </w:p>
    <w:p>
      <w:pPr>
        <w:ind w:left="480" w:hanging="313"/>
        <w:spacing w:after="0"/>
        <w:tabs>
          <w:tab w:leader="none" w:pos="480" w:val="left"/>
        </w:tabs>
        <w:numPr>
          <w:ilvl w:val="0"/>
          <w:numId w:val="17"/>
        </w:numPr>
        <w:rPr>
          <w:rFonts w:ascii="Arial" w:cs="Arial" w:eastAsia="Arial" w:hAnsi="Arial"/>
          <w:sz w:val="12"/>
          <w:szCs w:val="12"/>
          <w:color w:val="092E44"/>
        </w:rPr>
      </w:pPr>
      <w:r>
        <w:rPr>
          <w:rFonts w:ascii="Arial" w:cs="Arial" w:eastAsia="Arial" w:hAnsi="Arial"/>
          <w:sz w:val="12"/>
          <w:szCs w:val="12"/>
          <w:color w:val="092E44"/>
        </w:rPr>
        <w:t>The first tranche of Mr. Mirchandani’ s awards vested on the second anniversary of the grant date.</w:t>
      </w:r>
    </w:p>
    <w:p>
      <w:pPr>
        <w:spacing w:after="0" w:line="202" w:lineRule="exact"/>
        <w:rPr>
          <w:sz w:val="20"/>
          <w:szCs w:val="20"/>
          <w:color w:val="auto"/>
        </w:rPr>
      </w:pPr>
    </w:p>
    <w:p>
      <w:pPr>
        <w:ind w:left="160" w:right="120"/>
        <w:spacing w:after="0" w:line="207" w:lineRule="auto"/>
        <w:rPr>
          <w:sz w:val="20"/>
          <w:szCs w:val="20"/>
          <w:color w:val="auto"/>
        </w:rPr>
      </w:pPr>
      <w:r>
        <w:rPr>
          <w:rFonts w:ascii="Arial" w:cs="Arial" w:eastAsia="Arial" w:hAnsi="Arial"/>
          <w:sz w:val="16"/>
          <w:szCs w:val="16"/>
          <w:color w:val="092E44"/>
        </w:rPr>
        <w:t>Earned units for each performance period, if any, will vest following certification of our results by the TMCC. For the one-year performance period ending May 17, 2022, our total stockholder return of -10.84% was positioned at the 49</w:t>
      </w:r>
      <w:r>
        <w:rPr>
          <w:rFonts w:ascii="Arial" w:cs="Arial" w:eastAsia="Arial" w:hAnsi="Arial"/>
          <w:sz w:val="27"/>
          <w:szCs w:val="27"/>
          <w:color w:val="092E44"/>
          <w:vertAlign w:val="superscript"/>
        </w:rPr>
        <w:t>th</w:t>
      </w:r>
      <w:r>
        <w:rPr>
          <w:rFonts w:ascii="Arial" w:cs="Arial" w:eastAsia="Arial" w:hAnsi="Arial"/>
          <w:sz w:val="16"/>
          <w:szCs w:val="16"/>
          <w:color w:val="092E44"/>
        </w:rPr>
        <w:t xml:space="preserve"> percentile of the benchmark. As a result, the TMCC certified a payout equal to 98% of target for the portion of the Relative TSR PSU awards allocated to the one-year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240030</wp:posOffset>
            </wp:positionV>
            <wp:extent cx="220980" cy="2120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38</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80"/>
          </w:cols>
          <w:pgMar w:left="320" w:top="454"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CD&amp;A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FISCAL YEAR 2022 COMPENSATION DECISIONS</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8"/>
          <w:szCs w:val="18"/>
          <w:color w:val="E14A6A"/>
        </w:rPr>
        <w:t>Financial PSU awards</w:t>
      </w:r>
    </w:p>
    <w:p>
      <w:pPr>
        <w:spacing w:after="0" w:line="52" w:lineRule="exact"/>
        <w:rPr>
          <w:sz w:val="20"/>
          <w:szCs w:val="20"/>
          <w:color w:val="auto"/>
        </w:rPr>
      </w:pPr>
    </w:p>
    <w:p>
      <w:pPr>
        <w:ind w:left="160" w:right="60"/>
        <w:spacing w:after="0" w:line="279" w:lineRule="auto"/>
        <w:rPr>
          <w:sz w:val="20"/>
          <w:szCs w:val="20"/>
          <w:color w:val="auto"/>
        </w:rPr>
      </w:pPr>
      <w:r>
        <w:rPr>
          <w:rFonts w:ascii="Arial" w:cs="Arial" w:eastAsia="Arial" w:hAnsi="Arial"/>
          <w:sz w:val="16"/>
          <w:szCs w:val="16"/>
          <w:color w:val="092E44"/>
        </w:rPr>
        <w:t>The Financial PSUs granted to our named executive officers in fiscal 2022 were eligible to be earned based on our level of achievement against revenue, non-GAAP EBIT, and Metallic ARR goals established at the beginning of fiscal 2022 and measured over a one-year performance period.</w:t>
      </w:r>
    </w:p>
    <w:p>
      <w:pPr>
        <w:spacing w:after="0" w:line="19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60" w:type="dxa"/>
            <w:vAlign w:val="bottom"/>
          </w:tcPr>
          <w:p>
            <w:pPr>
              <w:jc w:val="right"/>
              <w:ind w:right="282"/>
              <w:spacing w:after="0"/>
              <w:rPr>
                <w:sz w:val="20"/>
                <w:szCs w:val="20"/>
                <w:color w:val="auto"/>
              </w:rPr>
            </w:pPr>
            <w:r>
              <w:rPr>
                <w:rFonts w:ascii="Arial" w:cs="Arial" w:eastAsia="Arial" w:hAnsi="Arial"/>
                <w:sz w:val="14"/>
                <w:szCs w:val="14"/>
                <w:color w:val="092E44"/>
              </w:rPr>
              <w:t>Weight</w:t>
            </w:r>
          </w:p>
        </w:tc>
        <w:tc>
          <w:tcPr>
            <w:tcW w:w="1700" w:type="dxa"/>
            <w:vAlign w:val="bottom"/>
          </w:tcPr>
          <w:p>
            <w:pPr>
              <w:jc w:val="center"/>
              <w:spacing w:after="0"/>
              <w:rPr>
                <w:sz w:val="20"/>
                <w:szCs w:val="20"/>
                <w:color w:val="auto"/>
              </w:rPr>
            </w:pPr>
            <w:r>
              <w:rPr>
                <w:rFonts w:ascii="Arial" w:cs="Arial" w:eastAsia="Arial" w:hAnsi="Arial"/>
                <w:sz w:val="14"/>
                <w:szCs w:val="14"/>
                <w:color w:val="092E44"/>
              </w:rPr>
              <w:t>Threshold (50%</w:t>
            </w:r>
          </w:p>
        </w:tc>
        <w:tc>
          <w:tcPr>
            <w:tcW w:w="1360" w:type="dxa"/>
            <w:vAlign w:val="bottom"/>
          </w:tcPr>
          <w:p>
            <w:pPr>
              <w:jc w:val="center"/>
              <w:ind w:left="63"/>
              <w:spacing w:after="0"/>
              <w:rPr>
                <w:sz w:val="20"/>
                <w:szCs w:val="20"/>
                <w:color w:val="auto"/>
              </w:rPr>
            </w:pPr>
            <w:r>
              <w:rPr>
                <w:rFonts w:ascii="Arial" w:cs="Arial" w:eastAsia="Arial" w:hAnsi="Arial"/>
                <w:sz w:val="14"/>
                <w:szCs w:val="14"/>
                <w:color w:val="092E44"/>
              </w:rPr>
              <w:t>Target (100%</w:t>
            </w:r>
          </w:p>
        </w:tc>
        <w:tc>
          <w:tcPr>
            <w:tcW w:w="1260" w:type="dxa"/>
            <w:vAlign w:val="bottom"/>
          </w:tcPr>
          <w:p>
            <w:pPr>
              <w:jc w:val="center"/>
              <w:ind w:left="123"/>
              <w:spacing w:after="0"/>
              <w:rPr>
                <w:sz w:val="20"/>
                <w:szCs w:val="20"/>
                <w:color w:val="auto"/>
              </w:rPr>
            </w:pPr>
            <w:r>
              <w:rPr>
                <w:rFonts w:ascii="Arial" w:cs="Arial" w:eastAsia="Arial" w:hAnsi="Arial"/>
                <w:sz w:val="14"/>
                <w:szCs w:val="14"/>
                <w:color w:val="092E44"/>
              </w:rPr>
              <w:t>Maximum (200%</w:t>
            </w:r>
          </w:p>
        </w:tc>
      </w:tr>
      <w:tr>
        <w:trPr>
          <w:trHeight w:val="170"/>
        </w:trPr>
        <w:tc>
          <w:tcPr>
            <w:tcW w:w="5140" w:type="dxa"/>
            <w:vAlign w:val="bottom"/>
            <w:tcBorders>
              <w:bottom w:val="single" w:sz="8" w:color="E14A6A"/>
            </w:tcBorders>
          </w:tcPr>
          <w:p>
            <w:pPr>
              <w:ind w:left="80"/>
              <w:spacing w:after="0"/>
              <w:rPr>
                <w:sz w:val="20"/>
                <w:szCs w:val="20"/>
                <w:color w:val="auto"/>
              </w:rPr>
            </w:pPr>
            <w:r>
              <w:rPr>
                <w:rFonts w:ascii="Arial" w:cs="Arial" w:eastAsia="Arial" w:hAnsi="Arial"/>
                <w:sz w:val="14"/>
                <w:szCs w:val="14"/>
                <w:color w:val="092E44"/>
              </w:rPr>
              <w:t>Metric</w:t>
            </w:r>
          </w:p>
        </w:tc>
        <w:tc>
          <w:tcPr>
            <w:tcW w:w="1460" w:type="dxa"/>
            <w:vAlign w:val="bottom"/>
            <w:tcBorders>
              <w:bottom w:val="single" w:sz="8" w:color="E14A6A"/>
            </w:tcBorders>
          </w:tcPr>
          <w:p>
            <w:pPr>
              <w:spacing w:after="0"/>
              <w:rPr>
                <w:sz w:val="14"/>
                <w:szCs w:val="14"/>
                <w:color w:val="auto"/>
              </w:rPr>
            </w:pPr>
          </w:p>
        </w:tc>
        <w:tc>
          <w:tcPr>
            <w:tcW w:w="1700" w:type="dxa"/>
            <w:vAlign w:val="bottom"/>
            <w:tcBorders>
              <w:bottom w:val="single" w:sz="8" w:color="E14A6A"/>
            </w:tcBorders>
          </w:tcPr>
          <w:p>
            <w:pPr>
              <w:ind w:left="880"/>
              <w:spacing w:after="0"/>
              <w:rPr>
                <w:sz w:val="20"/>
                <w:szCs w:val="20"/>
                <w:color w:val="auto"/>
              </w:rPr>
            </w:pPr>
            <w:r>
              <w:rPr>
                <w:rFonts w:ascii="Arial" w:cs="Arial" w:eastAsia="Arial" w:hAnsi="Arial"/>
                <w:sz w:val="14"/>
                <w:szCs w:val="14"/>
                <w:color w:val="092E44"/>
              </w:rPr>
              <w:t>payout)</w:t>
            </w:r>
          </w:p>
        </w:tc>
        <w:tc>
          <w:tcPr>
            <w:tcW w:w="1360" w:type="dxa"/>
            <w:vAlign w:val="bottom"/>
            <w:tcBorders>
              <w:bottom w:val="single" w:sz="8" w:color="E14A6A"/>
            </w:tcBorders>
          </w:tcPr>
          <w:p>
            <w:pPr>
              <w:ind w:left="700"/>
              <w:spacing w:after="0"/>
              <w:rPr>
                <w:sz w:val="20"/>
                <w:szCs w:val="20"/>
                <w:color w:val="auto"/>
              </w:rPr>
            </w:pPr>
            <w:r>
              <w:rPr>
                <w:rFonts w:ascii="Arial" w:cs="Arial" w:eastAsia="Arial" w:hAnsi="Arial"/>
                <w:sz w:val="14"/>
                <w:szCs w:val="14"/>
                <w:color w:val="092E44"/>
              </w:rPr>
              <w:t>payout)</w:t>
            </w:r>
          </w:p>
        </w:tc>
        <w:tc>
          <w:tcPr>
            <w:tcW w:w="1260" w:type="dxa"/>
            <w:vAlign w:val="bottom"/>
            <w:tcBorders>
              <w:bottom w:val="single" w:sz="8" w:color="E14A6A"/>
            </w:tcBorders>
          </w:tcPr>
          <w:p>
            <w:pPr>
              <w:ind w:left="720"/>
              <w:spacing w:after="0"/>
              <w:rPr>
                <w:sz w:val="20"/>
                <w:szCs w:val="20"/>
                <w:color w:val="auto"/>
              </w:rPr>
            </w:pPr>
            <w:r>
              <w:rPr>
                <w:rFonts w:ascii="Arial" w:cs="Arial" w:eastAsia="Arial" w:hAnsi="Arial"/>
                <w:sz w:val="14"/>
                <w:szCs w:val="14"/>
                <w:color w:val="092E44"/>
                <w:w w:val="99"/>
              </w:rPr>
              <w:t>payout)*</w:t>
            </w:r>
          </w:p>
        </w:tc>
      </w:tr>
      <w:tr>
        <w:trPr>
          <w:trHeight w:val="244"/>
        </w:trPr>
        <w:tc>
          <w:tcPr>
            <w:tcW w:w="5140" w:type="dxa"/>
            <w:vAlign w:val="bottom"/>
          </w:tcPr>
          <w:p>
            <w:pPr>
              <w:ind w:left="80"/>
              <w:spacing w:after="0"/>
              <w:rPr>
                <w:sz w:val="20"/>
                <w:szCs w:val="20"/>
                <w:color w:val="auto"/>
              </w:rPr>
            </w:pPr>
            <w:r>
              <w:rPr>
                <w:rFonts w:ascii="Arial" w:cs="Arial" w:eastAsia="Arial" w:hAnsi="Arial"/>
                <w:sz w:val="16"/>
                <w:szCs w:val="16"/>
                <w:color w:val="092E44"/>
              </w:rPr>
              <w:t>Revenue</w:t>
            </w:r>
          </w:p>
        </w:tc>
        <w:tc>
          <w:tcPr>
            <w:tcW w:w="1460" w:type="dxa"/>
            <w:vAlign w:val="bottom"/>
          </w:tcPr>
          <w:p>
            <w:pPr>
              <w:jc w:val="right"/>
              <w:ind w:right="282"/>
              <w:spacing w:after="0"/>
              <w:rPr>
                <w:sz w:val="20"/>
                <w:szCs w:val="20"/>
                <w:color w:val="auto"/>
              </w:rPr>
            </w:pPr>
            <w:r>
              <w:rPr>
                <w:rFonts w:ascii="Arial" w:cs="Arial" w:eastAsia="Arial" w:hAnsi="Arial"/>
                <w:sz w:val="16"/>
                <w:szCs w:val="16"/>
                <w:color w:val="092E44"/>
              </w:rPr>
              <w:t>25%</w:t>
            </w:r>
          </w:p>
        </w:tc>
        <w:tc>
          <w:tcPr>
            <w:tcW w:w="1700" w:type="dxa"/>
            <w:vAlign w:val="bottom"/>
          </w:tcPr>
          <w:p>
            <w:pPr>
              <w:jc w:val="center"/>
              <w:spacing w:after="0"/>
              <w:rPr>
                <w:sz w:val="20"/>
                <w:szCs w:val="20"/>
                <w:color w:val="auto"/>
              </w:rPr>
            </w:pPr>
            <w:r>
              <w:rPr>
                <w:rFonts w:ascii="Arial" w:cs="Arial" w:eastAsia="Arial" w:hAnsi="Arial"/>
                <w:sz w:val="16"/>
                <w:szCs w:val="16"/>
                <w:color w:val="092E44"/>
                <w:w w:val="99"/>
              </w:rPr>
              <w:t>90%</w:t>
            </w:r>
          </w:p>
        </w:tc>
        <w:tc>
          <w:tcPr>
            <w:tcW w:w="1360" w:type="dxa"/>
            <w:vAlign w:val="bottom"/>
          </w:tcPr>
          <w:p>
            <w:pPr>
              <w:jc w:val="center"/>
              <w:ind w:left="63"/>
              <w:spacing w:after="0"/>
              <w:rPr>
                <w:sz w:val="20"/>
                <w:szCs w:val="20"/>
                <w:color w:val="auto"/>
              </w:rPr>
            </w:pPr>
            <w:r>
              <w:rPr>
                <w:rFonts w:ascii="Arial" w:cs="Arial" w:eastAsia="Arial" w:hAnsi="Arial"/>
                <w:sz w:val="16"/>
                <w:szCs w:val="16"/>
                <w:color w:val="092E44"/>
              </w:rPr>
              <w:t>100%</w:t>
            </w:r>
          </w:p>
        </w:tc>
        <w:tc>
          <w:tcPr>
            <w:tcW w:w="1260" w:type="dxa"/>
            <w:vAlign w:val="bottom"/>
          </w:tcPr>
          <w:p>
            <w:pPr>
              <w:jc w:val="center"/>
              <w:ind w:left="123"/>
              <w:spacing w:after="0"/>
              <w:rPr>
                <w:sz w:val="20"/>
                <w:szCs w:val="20"/>
                <w:color w:val="auto"/>
              </w:rPr>
            </w:pPr>
            <w:r>
              <w:rPr>
                <w:rFonts w:ascii="Arial" w:cs="Arial" w:eastAsia="Arial" w:hAnsi="Arial"/>
                <w:sz w:val="16"/>
                <w:szCs w:val="16"/>
                <w:color w:val="092E44"/>
              </w:rPr>
              <w:t>105%</w:t>
            </w:r>
          </w:p>
        </w:tc>
      </w:tr>
      <w:tr>
        <w:trPr>
          <w:trHeight w:val="57"/>
        </w:trPr>
        <w:tc>
          <w:tcPr>
            <w:tcW w:w="5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301"/>
        </w:trPr>
        <w:tc>
          <w:tcPr>
            <w:tcW w:w="5140" w:type="dxa"/>
            <w:vAlign w:val="bottom"/>
            <w:tcBorders>
              <w:bottom w:val="single" w:sz="8" w:color="DDE9F2"/>
            </w:tcBorders>
            <w:shd w:val="clear" w:color="auto" w:fill="DDE9F2"/>
          </w:tcPr>
          <w:p>
            <w:pPr>
              <w:ind w:left="80"/>
              <w:spacing w:after="0"/>
              <w:rPr>
                <w:sz w:val="20"/>
                <w:szCs w:val="20"/>
                <w:color w:val="auto"/>
              </w:rPr>
            </w:pPr>
            <w:r>
              <w:rPr>
                <w:rFonts w:ascii="Arial" w:cs="Arial" w:eastAsia="Arial" w:hAnsi="Arial"/>
                <w:sz w:val="16"/>
                <w:szCs w:val="16"/>
                <w:color w:val="092E44"/>
              </w:rPr>
              <w:t>Non-GAAP EBIT</w:t>
            </w:r>
          </w:p>
        </w:tc>
        <w:tc>
          <w:tcPr>
            <w:tcW w:w="1460" w:type="dxa"/>
            <w:vAlign w:val="bottom"/>
            <w:tcBorders>
              <w:bottom w:val="single" w:sz="8" w:color="DDE9F2"/>
            </w:tcBorders>
            <w:shd w:val="clear" w:color="auto" w:fill="DDE9F2"/>
          </w:tcPr>
          <w:p>
            <w:pPr>
              <w:jc w:val="right"/>
              <w:ind w:right="282"/>
              <w:spacing w:after="0"/>
              <w:rPr>
                <w:sz w:val="20"/>
                <w:szCs w:val="20"/>
                <w:color w:val="auto"/>
              </w:rPr>
            </w:pPr>
            <w:r>
              <w:rPr>
                <w:rFonts w:ascii="Arial" w:cs="Arial" w:eastAsia="Arial" w:hAnsi="Arial"/>
                <w:sz w:val="16"/>
                <w:szCs w:val="16"/>
                <w:color w:val="092E44"/>
              </w:rPr>
              <w:t>25%</w:t>
            </w:r>
          </w:p>
        </w:tc>
        <w:tc>
          <w:tcPr>
            <w:tcW w:w="1700" w:type="dxa"/>
            <w:vAlign w:val="bottom"/>
            <w:tcBorders>
              <w:bottom w:val="single" w:sz="8" w:color="DDE9F2"/>
            </w:tcBorders>
            <w:shd w:val="clear" w:color="auto" w:fill="DDE9F2"/>
          </w:tcPr>
          <w:p>
            <w:pPr>
              <w:jc w:val="center"/>
              <w:spacing w:after="0"/>
              <w:rPr>
                <w:sz w:val="20"/>
                <w:szCs w:val="20"/>
                <w:color w:val="auto"/>
              </w:rPr>
            </w:pPr>
            <w:r>
              <w:rPr>
                <w:rFonts w:ascii="Arial" w:cs="Arial" w:eastAsia="Arial" w:hAnsi="Arial"/>
                <w:sz w:val="16"/>
                <w:szCs w:val="16"/>
                <w:color w:val="092E44"/>
                <w:w w:val="99"/>
              </w:rPr>
              <w:t>85%</w:t>
            </w:r>
          </w:p>
        </w:tc>
        <w:tc>
          <w:tcPr>
            <w:tcW w:w="1360" w:type="dxa"/>
            <w:vAlign w:val="bottom"/>
            <w:tcBorders>
              <w:bottom w:val="single" w:sz="8" w:color="DDE9F2"/>
            </w:tcBorders>
            <w:shd w:val="clear" w:color="auto" w:fill="DDE9F2"/>
          </w:tcPr>
          <w:p>
            <w:pPr>
              <w:jc w:val="center"/>
              <w:ind w:left="63"/>
              <w:spacing w:after="0"/>
              <w:rPr>
                <w:sz w:val="20"/>
                <w:szCs w:val="20"/>
                <w:color w:val="auto"/>
              </w:rPr>
            </w:pPr>
            <w:r>
              <w:rPr>
                <w:rFonts w:ascii="Arial" w:cs="Arial" w:eastAsia="Arial" w:hAnsi="Arial"/>
                <w:sz w:val="16"/>
                <w:szCs w:val="16"/>
                <w:color w:val="092E44"/>
              </w:rPr>
              <w:t>100%</w:t>
            </w:r>
          </w:p>
        </w:tc>
        <w:tc>
          <w:tcPr>
            <w:tcW w:w="1260" w:type="dxa"/>
            <w:vAlign w:val="bottom"/>
            <w:tcBorders>
              <w:bottom w:val="single" w:sz="8" w:color="DDE9F2"/>
            </w:tcBorders>
            <w:shd w:val="clear" w:color="auto" w:fill="DDE9F2"/>
          </w:tcPr>
          <w:p>
            <w:pPr>
              <w:jc w:val="center"/>
              <w:ind w:left="103"/>
              <w:spacing w:after="0"/>
              <w:rPr>
                <w:sz w:val="20"/>
                <w:szCs w:val="20"/>
                <w:color w:val="auto"/>
              </w:rPr>
            </w:pPr>
            <w:r>
              <w:rPr>
                <w:rFonts w:ascii="Arial" w:cs="Arial" w:eastAsia="Arial" w:hAnsi="Arial"/>
                <w:sz w:val="16"/>
                <w:szCs w:val="16"/>
                <w:color w:val="092E44"/>
                <w:w w:val="97"/>
              </w:rPr>
              <w:t>112%</w:t>
            </w:r>
          </w:p>
        </w:tc>
      </w:tr>
      <w:tr>
        <w:trPr>
          <w:trHeight w:val="264"/>
        </w:trPr>
        <w:tc>
          <w:tcPr>
            <w:tcW w:w="5140" w:type="dxa"/>
            <w:vAlign w:val="bottom"/>
          </w:tcPr>
          <w:p>
            <w:pPr>
              <w:ind w:left="80"/>
              <w:spacing w:after="0"/>
              <w:rPr>
                <w:sz w:val="20"/>
                <w:szCs w:val="20"/>
                <w:color w:val="auto"/>
              </w:rPr>
            </w:pPr>
            <w:r>
              <w:rPr>
                <w:rFonts w:ascii="Arial" w:cs="Arial" w:eastAsia="Arial" w:hAnsi="Arial"/>
                <w:sz w:val="16"/>
                <w:szCs w:val="16"/>
                <w:color w:val="092E44"/>
              </w:rPr>
              <w:t>Metallic ARR</w:t>
            </w:r>
          </w:p>
        </w:tc>
        <w:tc>
          <w:tcPr>
            <w:tcW w:w="1460" w:type="dxa"/>
            <w:vAlign w:val="bottom"/>
          </w:tcPr>
          <w:p>
            <w:pPr>
              <w:jc w:val="right"/>
              <w:ind w:right="282"/>
              <w:spacing w:after="0"/>
              <w:rPr>
                <w:sz w:val="20"/>
                <w:szCs w:val="20"/>
                <w:color w:val="auto"/>
              </w:rPr>
            </w:pPr>
            <w:r>
              <w:rPr>
                <w:rFonts w:ascii="Arial" w:cs="Arial" w:eastAsia="Arial" w:hAnsi="Arial"/>
                <w:sz w:val="16"/>
                <w:szCs w:val="16"/>
                <w:color w:val="092E44"/>
              </w:rPr>
              <w:t>50%</w:t>
            </w:r>
          </w:p>
        </w:tc>
        <w:tc>
          <w:tcPr>
            <w:tcW w:w="1700" w:type="dxa"/>
            <w:vAlign w:val="bottom"/>
          </w:tcPr>
          <w:p>
            <w:pPr>
              <w:jc w:val="center"/>
              <w:spacing w:after="0"/>
              <w:rPr>
                <w:sz w:val="20"/>
                <w:szCs w:val="20"/>
                <w:color w:val="auto"/>
              </w:rPr>
            </w:pPr>
            <w:r>
              <w:rPr>
                <w:rFonts w:ascii="Arial" w:cs="Arial" w:eastAsia="Arial" w:hAnsi="Arial"/>
                <w:sz w:val="16"/>
                <w:szCs w:val="16"/>
                <w:color w:val="092E44"/>
                <w:w w:val="99"/>
              </w:rPr>
              <w:t>75%</w:t>
            </w:r>
          </w:p>
        </w:tc>
        <w:tc>
          <w:tcPr>
            <w:tcW w:w="1360" w:type="dxa"/>
            <w:vAlign w:val="bottom"/>
          </w:tcPr>
          <w:p>
            <w:pPr>
              <w:jc w:val="center"/>
              <w:ind w:left="63"/>
              <w:spacing w:after="0"/>
              <w:rPr>
                <w:sz w:val="20"/>
                <w:szCs w:val="20"/>
                <w:color w:val="auto"/>
              </w:rPr>
            </w:pPr>
            <w:r>
              <w:rPr>
                <w:rFonts w:ascii="Arial" w:cs="Arial" w:eastAsia="Arial" w:hAnsi="Arial"/>
                <w:sz w:val="16"/>
                <w:szCs w:val="16"/>
                <w:color w:val="092E44"/>
              </w:rPr>
              <w:t>100%</w:t>
            </w:r>
          </w:p>
        </w:tc>
        <w:tc>
          <w:tcPr>
            <w:tcW w:w="1260" w:type="dxa"/>
            <w:vAlign w:val="bottom"/>
          </w:tcPr>
          <w:p>
            <w:pPr>
              <w:jc w:val="center"/>
              <w:ind w:left="123"/>
              <w:spacing w:after="0"/>
              <w:rPr>
                <w:sz w:val="20"/>
                <w:szCs w:val="20"/>
                <w:color w:val="auto"/>
              </w:rPr>
            </w:pPr>
            <w:r>
              <w:rPr>
                <w:rFonts w:ascii="Arial" w:cs="Arial" w:eastAsia="Arial" w:hAnsi="Arial"/>
                <w:sz w:val="16"/>
                <w:szCs w:val="16"/>
                <w:color w:val="092E44"/>
              </w:rPr>
              <w:t>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36195</wp:posOffset>
            </wp:positionV>
            <wp:extent cx="69297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480" w:hanging="313"/>
        <w:spacing w:after="0"/>
        <w:tabs>
          <w:tab w:leader="none" w:pos="480" w:val="left"/>
        </w:tabs>
        <w:numPr>
          <w:ilvl w:val="0"/>
          <w:numId w:val="18"/>
        </w:numPr>
        <w:rPr>
          <w:rFonts w:ascii="Arial" w:cs="Arial" w:eastAsia="Arial" w:hAnsi="Arial"/>
          <w:sz w:val="12"/>
          <w:szCs w:val="12"/>
          <w:color w:val="092E44"/>
        </w:rPr>
      </w:pPr>
      <w:r>
        <w:rPr>
          <w:rFonts w:ascii="Arial" w:cs="Arial" w:eastAsia="Arial" w:hAnsi="Arial"/>
          <w:sz w:val="12"/>
          <w:szCs w:val="12"/>
          <w:color w:val="092E44"/>
        </w:rPr>
        <w:t>Mr. Di Blasio is eligible for a payout of 240% for maximum performance on the Revenue metric.</w:t>
      </w:r>
    </w:p>
    <w:p>
      <w:pPr>
        <w:spacing w:after="0" w:line="93" w:lineRule="exact"/>
        <w:rPr>
          <w:sz w:val="20"/>
          <w:szCs w:val="20"/>
          <w:color w:val="auto"/>
        </w:rPr>
      </w:pPr>
    </w:p>
    <w:p>
      <w:pPr>
        <w:ind w:left="160" w:right="300"/>
        <w:spacing w:after="0" w:line="279" w:lineRule="auto"/>
        <w:rPr>
          <w:sz w:val="20"/>
          <w:szCs w:val="20"/>
          <w:color w:val="auto"/>
        </w:rPr>
      </w:pPr>
      <w:r>
        <w:rPr>
          <w:rFonts w:ascii="Arial" w:cs="Arial" w:eastAsia="Arial" w:hAnsi="Arial"/>
          <w:sz w:val="16"/>
          <w:szCs w:val="16"/>
          <w:color w:val="092E44"/>
        </w:rPr>
        <w:t>Any shares earned based on our actual one-year financial performance were to vest 33.3% on the first anniversary of the grant date and an additional 8.375% quarterly thereafter until fully vested.</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Other Benefits</w:t>
      </w:r>
    </w:p>
    <w:p>
      <w:pPr>
        <w:spacing w:after="0" w:line="67" w:lineRule="exact"/>
        <w:rPr>
          <w:sz w:val="20"/>
          <w:szCs w:val="20"/>
          <w:color w:val="auto"/>
        </w:rPr>
      </w:pPr>
    </w:p>
    <w:p>
      <w:pPr>
        <w:ind w:left="160" w:right="240"/>
        <w:spacing w:after="0" w:line="279" w:lineRule="auto"/>
        <w:rPr>
          <w:sz w:val="20"/>
          <w:szCs w:val="20"/>
          <w:color w:val="auto"/>
        </w:rPr>
      </w:pPr>
      <w:r>
        <w:rPr>
          <w:rFonts w:ascii="Arial" w:cs="Arial" w:eastAsia="Arial" w:hAnsi="Arial"/>
          <w:sz w:val="16"/>
          <w:szCs w:val="16"/>
          <w:color w:val="092E44"/>
        </w:rPr>
        <w:t>Our executive officers participate in health and welfare benefit programs that are substantially the same as the benefits for all other eligible Commvault employees. These benefits include a 50% matching contribution on the first 4% of eligible pay contributed to our 401(k) plan.</w:t>
      </w:r>
    </w:p>
    <w:p>
      <w:pPr>
        <w:spacing w:after="0" w:line="40" w:lineRule="exact"/>
        <w:rPr>
          <w:sz w:val="20"/>
          <w:szCs w:val="20"/>
          <w:color w:val="auto"/>
        </w:rPr>
      </w:pPr>
    </w:p>
    <w:p>
      <w:pPr>
        <w:ind w:left="160" w:right="40"/>
        <w:spacing w:after="0" w:line="251" w:lineRule="auto"/>
        <w:rPr>
          <w:sz w:val="20"/>
          <w:szCs w:val="20"/>
          <w:color w:val="auto"/>
        </w:rPr>
      </w:pPr>
      <w:r>
        <w:rPr>
          <w:rFonts w:ascii="Arial" w:cs="Arial" w:eastAsia="Arial" w:hAnsi="Arial"/>
          <w:sz w:val="16"/>
          <w:szCs w:val="16"/>
          <w:color w:val="092E44"/>
        </w:rPr>
        <w:t>Our executive officers also are eligible to participate in our Employee Stock Purchase Plan (the “ESPP”). The ESPP is a stockholder approved plan under which substantially all employees may purchase the Company’s common stock through payroll deductions at a price equal to 85% of the lower of the fair market value of the common stock as of the beginning or the end of six-month offering periods. An employee’s payroll deductions under the ESPP are limited to 10% of salary, and employees may not purchase more than $25,000 of common stock during any calendar year. Messrs. Mirchandani and Carolan participated in the ESPP in fiscal 2022 and received nominal benefits related to the 15% discount on the purchase price of the Company’s common stock. Mr. Di Blasio did not participate in the ESPP during fiscal 2022.</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Compensation Risk Assessment</w:t>
      </w:r>
    </w:p>
    <w:p>
      <w:pPr>
        <w:spacing w:after="0" w:line="67" w:lineRule="exact"/>
        <w:rPr>
          <w:sz w:val="20"/>
          <w:szCs w:val="20"/>
          <w:color w:val="auto"/>
        </w:rPr>
      </w:pPr>
    </w:p>
    <w:p>
      <w:pPr>
        <w:ind w:left="160" w:right="80"/>
        <w:spacing w:after="0" w:line="279" w:lineRule="auto"/>
        <w:rPr>
          <w:sz w:val="20"/>
          <w:szCs w:val="20"/>
          <w:color w:val="auto"/>
        </w:rPr>
      </w:pPr>
      <w:r>
        <w:rPr>
          <w:rFonts w:ascii="Arial" w:cs="Arial" w:eastAsia="Arial" w:hAnsi="Arial"/>
          <w:sz w:val="16"/>
          <w:szCs w:val="16"/>
          <w:color w:val="092E44"/>
        </w:rPr>
        <w:t>We have reviewed our compensation policies and practices for all employees and concluded that any risks arising from our policies and practices are not reasonably likely to have a material adverse effect on us.</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Change in Control Severance Agreements</w:t>
      </w:r>
    </w:p>
    <w:p>
      <w:pPr>
        <w:spacing w:after="0" w:line="67" w:lineRule="exact"/>
        <w:rPr>
          <w:sz w:val="20"/>
          <w:szCs w:val="20"/>
          <w:color w:val="auto"/>
        </w:rPr>
      </w:pPr>
    </w:p>
    <w:p>
      <w:pPr>
        <w:ind w:left="160" w:right="400"/>
        <w:spacing w:after="0" w:line="253" w:lineRule="auto"/>
        <w:rPr>
          <w:sz w:val="20"/>
          <w:szCs w:val="20"/>
          <w:color w:val="auto"/>
        </w:rPr>
      </w:pPr>
      <w:r>
        <w:rPr>
          <w:rFonts w:ascii="Arial" w:cs="Arial" w:eastAsia="Arial" w:hAnsi="Arial"/>
          <w:sz w:val="16"/>
          <w:szCs w:val="16"/>
          <w:color w:val="092E44"/>
        </w:rPr>
        <w:t>We have entered into change-in-control severance agreements with each of our named executive officers. We entered into these arrangements to acknowledge each executive’s importance to Commvault and our stockholders and to attempt to avoid the distraction and loss of key management personnel that may occur in connection with rumored or actual fundamental corporate organizational changes. As more fully described in the section entitled “Employment Agreements” below, these agreements entitle a named executive officer to payments and benefits if employment is terminated without “cause,” or by him for “good reason,” within the two-year period following a change in control of the Company.</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Stock Ownership Guidelines for the CEO</w:t>
      </w:r>
    </w:p>
    <w:p>
      <w:pPr>
        <w:spacing w:after="0" w:line="67" w:lineRule="exact"/>
        <w:rPr>
          <w:sz w:val="20"/>
          <w:szCs w:val="20"/>
          <w:color w:val="auto"/>
        </w:rPr>
      </w:pPr>
    </w:p>
    <w:p>
      <w:pPr>
        <w:ind w:left="160" w:right="80"/>
        <w:spacing w:after="0" w:line="262" w:lineRule="auto"/>
        <w:rPr>
          <w:sz w:val="20"/>
          <w:szCs w:val="20"/>
          <w:color w:val="auto"/>
        </w:rPr>
      </w:pPr>
      <w:r>
        <w:rPr>
          <w:rFonts w:ascii="Arial" w:cs="Arial" w:eastAsia="Arial" w:hAnsi="Arial"/>
          <w:sz w:val="16"/>
          <w:szCs w:val="16"/>
          <w:color w:val="092E44"/>
        </w:rPr>
        <w:t>We currently require our CEO to acquire an equity ownership interest in Commvault common stock by February 2024—five years from his start date— that is equal to five times his current annual base salary. The TMCC is satisfied that this level of equity ownership is sufficient to motivate our CEO and to align his interests with those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229235</wp:posOffset>
            </wp:positionV>
            <wp:extent cx="220980" cy="2120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39</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80"/>
          </w:cols>
          <w:pgMar w:left="320" w:top="454"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CD&amp;A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FISCAL YEAR 2022 COMPENSATION DECISIONS</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Hedging Prohibition</w:t>
      </w:r>
    </w:p>
    <w:p>
      <w:pPr>
        <w:spacing w:after="0" w:line="67" w:lineRule="exact"/>
        <w:rPr>
          <w:sz w:val="20"/>
          <w:szCs w:val="20"/>
          <w:color w:val="auto"/>
        </w:rPr>
      </w:pPr>
    </w:p>
    <w:p>
      <w:pPr>
        <w:ind w:left="160" w:right="40"/>
        <w:spacing w:after="0" w:line="251" w:lineRule="auto"/>
        <w:rPr>
          <w:sz w:val="20"/>
          <w:szCs w:val="20"/>
          <w:color w:val="auto"/>
        </w:rPr>
      </w:pPr>
      <w:r>
        <w:rPr>
          <w:rFonts w:ascii="Arial" w:cs="Arial" w:eastAsia="Arial" w:hAnsi="Arial"/>
          <w:sz w:val="16"/>
          <w:szCs w:val="16"/>
          <w:color w:val="092E44"/>
        </w:rPr>
        <w:t>We have a policy that prohibits our employees (including officers) and directors from engaging in any hedging transactions with regard to Commvault common stock, including: short sales; purchases or sales of puts, calls, or other derivative securities; and purchases of financial instruments (such as prepaid variable forward contracts, equity swaps, collars, and exchange funds) or other transactions that hedge or offset, or are designed to hedge or offset, any decrease in the market value of Commvault securities. Hedging transactions enable the holder to continue to own share of our common stock, but without the full risks and rewards of ownership. The Board believes these transactions are inadvisable because a holder who no longer has the full risks and rewards of ownership may not have the same objectives as the Company and our other stockholders.</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Clawback Policy</w:t>
      </w:r>
    </w:p>
    <w:p>
      <w:pPr>
        <w:spacing w:after="0" w:line="67" w:lineRule="exact"/>
        <w:rPr>
          <w:sz w:val="20"/>
          <w:szCs w:val="20"/>
          <w:color w:val="auto"/>
        </w:rPr>
      </w:pPr>
    </w:p>
    <w:p>
      <w:pPr>
        <w:ind w:left="160" w:right="420"/>
        <w:spacing w:after="0" w:line="262" w:lineRule="auto"/>
        <w:rPr>
          <w:sz w:val="20"/>
          <w:szCs w:val="20"/>
          <w:color w:val="auto"/>
        </w:rPr>
      </w:pPr>
      <w:r>
        <w:rPr>
          <w:rFonts w:ascii="Arial" w:cs="Arial" w:eastAsia="Arial" w:hAnsi="Arial"/>
          <w:sz w:val="16"/>
          <w:szCs w:val="16"/>
          <w:color w:val="092E44"/>
        </w:rPr>
        <w:t>In April 2021, we adopted a “clawback” policy that permits the TMCC to seek to recover cash or equity incentive awards from certain senior leaders, including our chief executive officer, chief financial officer, and chief accounting officer, in the event the Company is required to prepare a financial restatement, regardless of whether the restatement was necessary because of fraud or other misconduct.</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Tax and Accounting Considerations</w:t>
      </w:r>
    </w:p>
    <w:p>
      <w:pPr>
        <w:spacing w:after="0" w:line="67" w:lineRule="exact"/>
        <w:rPr>
          <w:sz w:val="20"/>
          <w:szCs w:val="20"/>
          <w:color w:val="auto"/>
        </w:rPr>
      </w:pPr>
    </w:p>
    <w:p>
      <w:pPr>
        <w:jc w:val="both"/>
        <w:ind w:left="160" w:right="180"/>
        <w:spacing w:after="0" w:line="256" w:lineRule="auto"/>
        <w:rPr>
          <w:sz w:val="20"/>
          <w:szCs w:val="20"/>
          <w:color w:val="auto"/>
        </w:rPr>
      </w:pPr>
      <w:r>
        <w:rPr>
          <w:rFonts w:ascii="Arial" w:cs="Arial" w:eastAsia="Arial" w:hAnsi="Arial"/>
          <w:sz w:val="16"/>
          <w:szCs w:val="16"/>
          <w:color w:val="092E44"/>
        </w:rPr>
        <w:t>Section 162(m) of the Internal Revenue Code places a limit of $1 million on the amount of compensation that we may deduct as a business expense in any year with respect to certain of our most highly paid executive officers. While the TMCC considers the deductibility of compensation as one factor in determining executive compensation, the TMCC believes it is in the best interests of our stockholders to maintain flexibility in our approach to executive compensation and to structure a program that we consider to be the most effective in attracting, motivating, and retaining key executives.</w:t>
      </w:r>
    </w:p>
    <w:p>
      <w:pPr>
        <w:spacing w:after="0" w:line="58"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092E44"/>
        </w:rPr>
        <w:t>We account for the equity awards granted to all our employees under ASC 718, Compensation—Stock Compensation, which requires us to estimate and record compensation expense over the service period of the award. All equity awards to our employees, including our executive officers, and to the non-employee members of our Board of Directors, are reflected in our consolidated financial statements, based upon the applicable accounting guidance, at fair value on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232410</wp:posOffset>
            </wp:positionV>
            <wp:extent cx="220980" cy="2120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40</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60"/>
          </w:cols>
          <w:pgMar w:left="320" w:top="454" w:right="5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6938010" cy="19615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38010" cy="196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60"/>
        <w:spacing w:after="0"/>
        <w:rPr>
          <w:sz w:val="20"/>
          <w:szCs w:val="20"/>
          <w:color w:val="auto"/>
        </w:rPr>
      </w:pPr>
      <w:r>
        <w:rPr>
          <w:rFonts w:ascii="Arial" w:cs="Arial" w:eastAsia="Arial" w:hAnsi="Arial"/>
          <w:sz w:val="64"/>
          <w:szCs w:val="64"/>
          <w:b w:val="1"/>
          <w:bCs w:val="1"/>
          <w:color w:val="FCFCFC"/>
        </w:rPr>
        <w:t>Compensation Tables</w:t>
      </w:r>
    </w:p>
    <w:p>
      <w:pPr>
        <w:spacing w:after="0" w:line="200" w:lineRule="exact"/>
        <w:rPr>
          <w:sz w:val="20"/>
          <w:szCs w:val="20"/>
          <w:color w:val="auto"/>
        </w:rPr>
      </w:pPr>
    </w:p>
    <w:p>
      <w:pPr>
        <w:spacing w:after="0" w:line="32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Fiscal 2022 Summary Compensation Table</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The following table summarizes the compensation earned by the named executive officers during the fiscal years ended March 31, 2022, 2021, and 2020.</w:t>
      </w:r>
    </w:p>
    <w:p>
      <w:pPr>
        <w:spacing w:after="0" w:line="236"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4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vMerge w:val="restart"/>
          </w:tcPr>
          <w:p>
            <w:pPr>
              <w:jc w:val="right"/>
              <w:ind w:right="51"/>
              <w:spacing w:after="0"/>
              <w:rPr>
                <w:sz w:val="20"/>
                <w:szCs w:val="20"/>
                <w:color w:val="auto"/>
              </w:rPr>
            </w:pPr>
            <w:r>
              <w:rPr>
                <w:rFonts w:ascii="Arial" w:cs="Arial" w:eastAsia="Arial" w:hAnsi="Arial"/>
                <w:sz w:val="12"/>
                <w:szCs w:val="12"/>
                <w:color w:val="092E44"/>
              </w:rPr>
              <w:t>Stock</w:t>
            </w:r>
          </w:p>
        </w:tc>
        <w:tc>
          <w:tcPr>
            <w:tcW w:w="1080" w:type="dxa"/>
            <w:vAlign w:val="bottom"/>
          </w:tcPr>
          <w:p>
            <w:pPr>
              <w:jc w:val="right"/>
              <w:ind w:right="71"/>
              <w:spacing w:after="0"/>
              <w:rPr>
                <w:sz w:val="20"/>
                <w:szCs w:val="20"/>
                <w:color w:val="auto"/>
              </w:rPr>
            </w:pPr>
            <w:r>
              <w:rPr>
                <w:rFonts w:ascii="Arial" w:cs="Arial" w:eastAsia="Arial" w:hAnsi="Arial"/>
                <w:sz w:val="12"/>
                <w:szCs w:val="12"/>
                <w:color w:val="092E44"/>
              </w:rPr>
              <w:t>Non-Equity</w:t>
            </w:r>
          </w:p>
        </w:tc>
        <w:tc>
          <w:tcPr>
            <w:tcW w:w="1200" w:type="dxa"/>
            <w:vAlign w:val="bottom"/>
            <w:vMerge w:val="restart"/>
          </w:tcPr>
          <w:p>
            <w:pPr>
              <w:jc w:val="right"/>
              <w:ind w:right="191"/>
              <w:spacing w:after="0"/>
              <w:rPr>
                <w:sz w:val="20"/>
                <w:szCs w:val="20"/>
                <w:color w:val="auto"/>
              </w:rPr>
            </w:pPr>
            <w:r>
              <w:rPr>
                <w:rFonts w:ascii="Arial" w:cs="Arial" w:eastAsia="Arial" w:hAnsi="Arial"/>
                <w:sz w:val="12"/>
                <w:szCs w:val="12"/>
                <w:color w:val="092E44"/>
              </w:rPr>
              <w:t>All Other</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080" w:type="dxa"/>
            <w:vAlign w:val="bottom"/>
          </w:tcPr>
          <w:p>
            <w:pPr>
              <w:jc w:val="right"/>
              <w:ind w:right="71"/>
              <w:spacing w:after="0" w:line="125" w:lineRule="exact"/>
              <w:rPr>
                <w:sz w:val="20"/>
                <w:szCs w:val="20"/>
                <w:color w:val="auto"/>
              </w:rPr>
            </w:pPr>
            <w:r>
              <w:rPr>
                <w:rFonts w:ascii="Arial" w:cs="Arial" w:eastAsia="Arial" w:hAnsi="Arial"/>
                <w:sz w:val="12"/>
                <w:szCs w:val="12"/>
                <w:color w:val="092E44"/>
              </w:rPr>
              <w:t>Incentive Plan</w:t>
            </w:r>
          </w:p>
        </w:tc>
        <w:tc>
          <w:tcPr>
            <w:tcW w:w="120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4280" w:type="dxa"/>
            <w:vAlign w:val="bottom"/>
          </w:tcPr>
          <w:p>
            <w:pPr>
              <w:ind w:left="80"/>
              <w:spacing w:after="0" w:line="134" w:lineRule="exact"/>
              <w:rPr>
                <w:sz w:val="20"/>
                <w:szCs w:val="20"/>
                <w:color w:val="auto"/>
              </w:rPr>
            </w:pPr>
            <w:r>
              <w:rPr>
                <w:rFonts w:ascii="Arial" w:cs="Arial" w:eastAsia="Arial" w:hAnsi="Arial"/>
                <w:sz w:val="12"/>
                <w:szCs w:val="12"/>
                <w:color w:val="092E44"/>
              </w:rPr>
              <w:t>Name and Principal</w:t>
            </w: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jc w:val="right"/>
              <w:ind w:right="51"/>
              <w:spacing w:after="0" w:line="134" w:lineRule="exact"/>
              <w:rPr>
                <w:sz w:val="20"/>
                <w:szCs w:val="20"/>
                <w:color w:val="auto"/>
              </w:rPr>
            </w:pPr>
            <w:r>
              <w:rPr>
                <w:rFonts w:ascii="Arial" w:cs="Arial" w:eastAsia="Arial" w:hAnsi="Arial"/>
                <w:sz w:val="12"/>
                <w:szCs w:val="12"/>
                <w:color w:val="092E44"/>
              </w:rPr>
              <w:t>Awards</w:t>
            </w:r>
          </w:p>
        </w:tc>
        <w:tc>
          <w:tcPr>
            <w:tcW w:w="1080" w:type="dxa"/>
            <w:vAlign w:val="bottom"/>
          </w:tcPr>
          <w:p>
            <w:pPr>
              <w:jc w:val="right"/>
              <w:ind w:right="71"/>
              <w:spacing w:after="0" w:line="134" w:lineRule="exact"/>
              <w:rPr>
                <w:sz w:val="20"/>
                <w:szCs w:val="20"/>
                <w:color w:val="auto"/>
              </w:rPr>
            </w:pPr>
            <w:r>
              <w:rPr>
                <w:rFonts w:ascii="Arial" w:cs="Arial" w:eastAsia="Arial" w:hAnsi="Arial"/>
                <w:sz w:val="12"/>
                <w:szCs w:val="12"/>
                <w:color w:val="092E44"/>
              </w:rPr>
              <w:t>Compensation</w:t>
            </w:r>
          </w:p>
        </w:tc>
        <w:tc>
          <w:tcPr>
            <w:tcW w:w="1200" w:type="dxa"/>
            <w:vAlign w:val="bottom"/>
          </w:tcPr>
          <w:p>
            <w:pPr>
              <w:jc w:val="right"/>
              <w:ind w:right="191"/>
              <w:spacing w:after="0" w:line="134" w:lineRule="exact"/>
              <w:rPr>
                <w:sz w:val="20"/>
                <w:szCs w:val="20"/>
                <w:color w:val="auto"/>
              </w:rPr>
            </w:pPr>
            <w:r>
              <w:rPr>
                <w:rFonts w:ascii="Arial" w:cs="Arial" w:eastAsia="Arial" w:hAnsi="Arial"/>
                <w:sz w:val="12"/>
                <w:szCs w:val="12"/>
                <w:color w:val="092E44"/>
              </w:rPr>
              <w:t>Compensation</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80" w:type="dxa"/>
            <w:vAlign w:val="bottom"/>
          </w:tcPr>
          <w:p>
            <w:pPr>
              <w:ind w:left="80"/>
              <w:spacing w:after="0"/>
              <w:rPr>
                <w:sz w:val="20"/>
                <w:szCs w:val="20"/>
                <w:color w:val="auto"/>
              </w:rPr>
            </w:pPr>
            <w:r>
              <w:rPr>
                <w:rFonts w:ascii="Arial" w:cs="Arial" w:eastAsia="Arial" w:hAnsi="Arial"/>
                <w:sz w:val="12"/>
                <w:szCs w:val="12"/>
                <w:color w:val="092E44"/>
              </w:rPr>
              <w:t>Position</w:t>
            </w:r>
          </w:p>
        </w:tc>
        <w:tc>
          <w:tcPr>
            <w:tcW w:w="600" w:type="dxa"/>
            <w:vAlign w:val="bottom"/>
          </w:tcPr>
          <w:p>
            <w:pPr>
              <w:jc w:val="right"/>
              <w:spacing w:after="0"/>
              <w:rPr>
                <w:sz w:val="20"/>
                <w:szCs w:val="20"/>
                <w:color w:val="auto"/>
              </w:rPr>
            </w:pPr>
            <w:r>
              <w:rPr>
                <w:rFonts w:ascii="Arial" w:cs="Arial" w:eastAsia="Arial" w:hAnsi="Arial"/>
                <w:sz w:val="12"/>
                <w:szCs w:val="12"/>
                <w:color w:val="092E44"/>
              </w:rPr>
              <w:t>Year</w:t>
            </w:r>
          </w:p>
        </w:tc>
        <w:tc>
          <w:tcPr>
            <w:tcW w:w="920" w:type="dxa"/>
            <w:vAlign w:val="bottom"/>
          </w:tcPr>
          <w:p>
            <w:pPr>
              <w:jc w:val="right"/>
              <w:ind w:right="70"/>
              <w:spacing w:after="0"/>
              <w:rPr>
                <w:sz w:val="20"/>
                <w:szCs w:val="20"/>
                <w:color w:val="auto"/>
              </w:rPr>
            </w:pPr>
            <w:r>
              <w:rPr>
                <w:rFonts w:ascii="Arial" w:cs="Arial" w:eastAsia="Arial" w:hAnsi="Arial"/>
                <w:sz w:val="12"/>
                <w:szCs w:val="12"/>
                <w:color w:val="092E44"/>
              </w:rPr>
              <w:t>Salary ($)</w:t>
            </w:r>
          </w:p>
        </w:tc>
        <w:tc>
          <w:tcPr>
            <w:tcW w:w="1000" w:type="dxa"/>
            <w:vAlign w:val="bottom"/>
          </w:tcPr>
          <w:p>
            <w:pPr>
              <w:jc w:val="right"/>
              <w:ind w:right="250"/>
              <w:spacing w:after="0"/>
              <w:rPr>
                <w:sz w:val="20"/>
                <w:szCs w:val="20"/>
                <w:color w:val="auto"/>
              </w:rPr>
            </w:pPr>
            <w:r>
              <w:rPr>
                <w:rFonts w:ascii="Arial" w:cs="Arial" w:eastAsia="Arial" w:hAnsi="Arial"/>
                <w:sz w:val="12"/>
                <w:szCs w:val="12"/>
                <w:color w:val="092E44"/>
              </w:rPr>
              <w:t>Bonus ($)</w:t>
            </w:r>
          </w:p>
        </w:tc>
        <w:tc>
          <w:tcPr>
            <w:tcW w:w="920" w:type="dxa"/>
            <w:vAlign w:val="bottom"/>
          </w:tcPr>
          <w:p>
            <w:pPr>
              <w:jc w:val="right"/>
              <w:ind w:right="51"/>
              <w:spacing w:after="0"/>
              <w:rPr>
                <w:sz w:val="20"/>
                <w:szCs w:val="20"/>
                <w:color w:val="auto"/>
              </w:rPr>
            </w:pPr>
            <w:r>
              <w:rPr>
                <w:rFonts w:ascii="Arial" w:cs="Arial" w:eastAsia="Arial" w:hAnsi="Arial"/>
                <w:sz w:val="12"/>
                <w:szCs w:val="12"/>
                <w:color w:val="092E44"/>
              </w:rPr>
              <w:t>($)(3)</w:t>
            </w:r>
          </w:p>
        </w:tc>
        <w:tc>
          <w:tcPr>
            <w:tcW w:w="1080" w:type="dxa"/>
            <w:vAlign w:val="bottom"/>
          </w:tcPr>
          <w:p>
            <w:pPr>
              <w:jc w:val="right"/>
              <w:ind w:right="71"/>
              <w:spacing w:after="0"/>
              <w:rPr>
                <w:sz w:val="20"/>
                <w:szCs w:val="20"/>
                <w:color w:val="auto"/>
              </w:rPr>
            </w:pPr>
            <w:r>
              <w:rPr>
                <w:rFonts w:ascii="Arial" w:cs="Arial" w:eastAsia="Arial" w:hAnsi="Arial"/>
                <w:sz w:val="12"/>
                <w:szCs w:val="12"/>
                <w:color w:val="092E44"/>
              </w:rPr>
              <w:t>($)(4)</w:t>
            </w:r>
          </w:p>
        </w:tc>
        <w:tc>
          <w:tcPr>
            <w:tcW w:w="1200" w:type="dxa"/>
            <w:vAlign w:val="bottom"/>
          </w:tcPr>
          <w:p>
            <w:pPr>
              <w:jc w:val="right"/>
              <w:ind w:right="191"/>
              <w:spacing w:after="0"/>
              <w:rPr>
                <w:sz w:val="20"/>
                <w:szCs w:val="20"/>
                <w:color w:val="auto"/>
              </w:rPr>
            </w:pPr>
            <w:r>
              <w:rPr>
                <w:rFonts w:ascii="Arial" w:cs="Arial" w:eastAsia="Arial" w:hAnsi="Arial"/>
                <w:sz w:val="12"/>
                <w:szCs w:val="12"/>
                <w:color w:val="092E44"/>
              </w:rPr>
              <w:t>($)</w:t>
            </w:r>
          </w:p>
        </w:tc>
        <w:tc>
          <w:tcPr>
            <w:tcW w:w="920" w:type="dxa"/>
            <w:vAlign w:val="bottom"/>
          </w:tcPr>
          <w:p>
            <w:pPr>
              <w:jc w:val="right"/>
              <w:ind w:right="30"/>
              <w:spacing w:after="0"/>
              <w:rPr>
                <w:sz w:val="20"/>
                <w:szCs w:val="20"/>
                <w:color w:val="auto"/>
              </w:rPr>
            </w:pPr>
            <w:r>
              <w:rPr>
                <w:rFonts w:ascii="Arial" w:cs="Arial" w:eastAsia="Arial" w:hAnsi="Arial"/>
                <w:sz w:val="12"/>
                <w:szCs w:val="12"/>
                <w:color w:val="092E44"/>
              </w:rPr>
              <w:t>Total ($)</w:t>
            </w:r>
          </w:p>
        </w:tc>
        <w:tc>
          <w:tcPr>
            <w:tcW w:w="0" w:type="dxa"/>
            <w:vAlign w:val="bottom"/>
          </w:tcPr>
          <w:p>
            <w:pPr>
              <w:spacing w:after="0"/>
              <w:rPr>
                <w:sz w:val="1"/>
                <w:szCs w:val="1"/>
                <w:color w:val="auto"/>
              </w:rPr>
            </w:pPr>
          </w:p>
        </w:tc>
      </w:tr>
      <w:tr>
        <w:trPr>
          <w:trHeight w:val="54"/>
        </w:trPr>
        <w:tc>
          <w:tcPr>
            <w:tcW w:w="4280" w:type="dxa"/>
            <w:vAlign w:val="bottom"/>
            <w:tcBorders>
              <w:bottom w:val="single" w:sz="8" w:color="E14A6A"/>
            </w:tcBorders>
          </w:tcPr>
          <w:p>
            <w:pPr>
              <w:spacing w:after="0"/>
              <w:rPr>
                <w:sz w:val="4"/>
                <w:szCs w:val="4"/>
                <w:color w:val="auto"/>
              </w:rPr>
            </w:pPr>
          </w:p>
        </w:tc>
        <w:tc>
          <w:tcPr>
            <w:tcW w:w="600" w:type="dxa"/>
            <w:vAlign w:val="bottom"/>
            <w:tcBorders>
              <w:bottom w:val="single" w:sz="8" w:color="E14A6A"/>
            </w:tcBorders>
          </w:tcPr>
          <w:p>
            <w:pPr>
              <w:spacing w:after="0"/>
              <w:rPr>
                <w:sz w:val="4"/>
                <w:szCs w:val="4"/>
                <w:color w:val="auto"/>
              </w:rPr>
            </w:pPr>
          </w:p>
        </w:tc>
        <w:tc>
          <w:tcPr>
            <w:tcW w:w="920" w:type="dxa"/>
            <w:vAlign w:val="bottom"/>
            <w:tcBorders>
              <w:bottom w:val="single" w:sz="8" w:color="E14A6A"/>
            </w:tcBorders>
          </w:tcPr>
          <w:p>
            <w:pPr>
              <w:spacing w:after="0"/>
              <w:rPr>
                <w:sz w:val="4"/>
                <w:szCs w:val="4"/>
                <w:color w:val="auto"/>
              </w:rPr>
            </w:pPr>
          </w:p>
        </w:tc>
        <w:tc>
          <w:tcPr>
            <w:tcW w:w="1000" w:type="dxa"/>
            <w:vAlign w:val="bottom"/>
            <w:tcBorders>
              <w:bottom w:val="single" w:sz="8" w:color="E14A6A"/>
            </w:tcBorders>
          </w:tcPr>
          <w:p>
            <w:pPr>
              <w:spacing w:after="0"/>
              <w:rPr>
                <w:sz w:val="4"/>
                <w:szCs w:val="4"/>
                <w:color w:val="auto"/>
              </w:rPr>
            </w:pPr>
          </w:p>
        </w:tc>
        <w:tc>
          <w:tcPr>
            <w:tcW w:w="920" w:type="dxa"/>
            <w:vAlign w:val="bottom"/>
            <w:tcBorders>
              <w:bottom w:val="single" w:sz="8" w:color="E14A6A"/>
            </w:tcBorders>
          </w:tcPr>
          <w:p>
            <w:pPr>
              <w:spacing w:after="0"/>
              <w:rPr>
                <w:sz w:val="4"/>
                <w:szCs w:val="4"/>
                <w:color w:val="auto"/>
              </w:rPr>
            </w:pPr>
          </w:p>
        </w:tc>
        <w:tc>
          <w:tcPr>
            <w:tcW w:w="1080" w:type="dxa"/>
            <w:vAlign w:val="bottom"/>
            <w:tcBorders>
              <w:bottom w:val="single" w:sz="8" w:color="E14A6A"/>
            </w:tcBorders>
          </w:tcPr>
          <w:p>
            <w:pPr>
              <w:spacing w:after="0"/>
              <w:rPr>
                <w:sz w:val="4"/>
                <w:szCs w:val="4"/>
                <w:color w:val="auto"/>
              </w:rPr>
            </w:pPr>
          </w:p>
        </w:tc>
        <w:tc>
          <w:tcPr>
            <w:tcW w:w="1200" w:type="dxa"/>
            <w:vAlign w:val="bottom"/>
            <w:tcBorders>
              <w:bottom w:val="single" w:sz="8" w:color="E14A6A"/>
            </w:tcBorders>
          </w:tcPr>
          <w:p>
            <w:pPr>
              <w:spacing w:after="0"/>
              <w:rPr>
                <w:sz w:val="4"/>
                <w:szCs w:val="4"/>
                <w:color w:val="auto"/>
              </w:rPr>
            </w:pPr>
          </w:p>
        </w:tc>
        <w:tc>
          <w:tcPr>
            <w:tcW w:w="920" w:type="dxa"/>
            <w:vAlign w:val="bottom"/>
            <w:tcBorders>
              <w:bottom w:val="single" w:sz="8" w:color="E14A6A"/>
            </w:tcBorders>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4280" w:type="dxa"/>
            <w:vAlign w:val="bottom"/>
          </w:tcPr>
          <w:p>
            <w:pPr>
              <w:ind w:left="80"/>
              <w:spacing w:after="0"/>
              <w:rPr>
                <w:sz w:val="20"/>
                <w:szCs w:val="20"/>
                <w:color w:val="auto"/>
              </w:rPr>
            </w:pPr>
            <w:r>
              <w:rPr>
                <w:rFonts w:ascii="Arial" w:cs="Arial" w:eastAsia="Arial" w:hAnsi="Arial"/>
                <w:sz w:val="14"/>
                <w:szCs w:val="14"/>
                <w:b w:val="1"/>
                <w:bCs w:val="1"/>
                <w:color w:val="092E44"/>
              </w:rPr>
              <w:t>Sanjay Mirchandani</w:t>
            </w:r>
          </w:p>
        </w:tc>
        <w:tc>
          <w:tcPr>
            <w:tcW w:w="600" w:type="dxa"/>
            <w:vAlign w:val="bottom"/>
          </w:tcPr>
          <w:p>
            <w:pPr>
              <w:jc w:val="right"/>
              <w:spacing w:after="0"/>
              <w:rPr>
                <w:sz w:val="20"/>
                <w:szCs w:val="20"/>
                <w:color w:val="auto"/>
              </w:rPr>
            </w:pPr>
            <w:r>
              <w:rPr>
                <w:rFonts w:ascii="Arial" w:cs="Arial" w:eastAsia="Arial" w:hAnsi="Arial"/>
                <w:sz w:val="14"/>
                <w:szCs w:val="14"/>
                <w:color w:val="092E44"/>
              </w:rPr>
              <w:t>2022</w:t>
            </w:r>
          </w:p>
        </w:tc>
        <w:tc>
          <w:tcPr>
            <w:tcW w:w="920" w:type="dxa"/>
            <w:vAlign w:val="bottom"/>
          </w:tcPr>
          <w:p>
            <w:pPr>
              <w:jc w:val="right"/>
              <w:ind w:right="70"/>
              <w:spacing w:after="0"/>
              <w:rPr>
                <w:sz w:val="20"/>
                <w:szCs w:val="20"/>
                <w:color w:val="auto"/>
              </w:rPr>
            </w:pPr>
            <w:r>
              <w:rPr>
                <w:rFonts w:ascii="Arial" w:cs="Arial" w:eastAsia="Arial" w:hAnsi="Arial"/>
                <w:sz w:val="14"/>
                <w:szCs w:val="14"/>
                <w:color w:val="092E44"/>
              </w:rPr>
              <w:t>634,038</w:t>
            </w:r>
          </w:p>
        </w:tc>
        <w:tc>
          <w:tcPr>
            <w:tcW w:w="1000" w:type="dxa"/>
            <w:vAlign w:val="bottom"/>
          </w:tcPr>
          <w:p>
            <w:pPr>
              <w:jc w:val="right"/>
              <w:ind w:right="250"/>
              <w:spacing w:after="0"/>
              <w:rPr>
                <w:sz w:val="20"/>
                <w:szCs w:val="20"/>
                <w:color w:val="auto"/>
              </w:rPr>
            </w:pPr>
            <w:r>
              <w:rPr>
                <w:rFonts w:ascii="Arial" w:cs="Arial" w:eastAsia="Arial" w:hAnsi="Arial"/>
                <w:sz w:val="14"/>
                <w:szCs w:val="14"/>
                <w:color w:val="092E44"/>
              </w:rPr>
              <w:t>—</w:t>
            </w:r>
          </w:p>
        </w:tc>
        <w:tc>
          <w:tcPr>
            <w:tcW w:w="920" w:type="dxa"/>
            <w:vAlign w:val="bottom"/>
          </w:tcPr>
          <w:p>
            <w:pPr>
              <w:jc w:val="right"/>
              <w:ind w:right="51"/>
              <w:spacing w:after="0"/>
              <w:rPr>
                <w:sz w:val="20"/>
                <w:szCs w:val="20"/>
                <w:color w:val="auto"/>
              </w:rPr>
            </w:pPr>
            <w:r>
              <w:rPr>
                <w:rFonts w:ascii="Arial" w:cs="Arial" w:eastAsia="Arial" w:hAnsi="Arial"/>
                <w:sz w:val="14"/>
                <w:szCs w:val="14"/>
                <w:color w:val="092E44"/>
              </w:rPr>
              <w:t>9,413,382</w:t>
            </w:r>
          </w:p>
        </w:tc>
        <w:tc>
          <w:tcPr>
            <w:tcW w:w="1080" w:type="dxa"/>
            <w:vAlign w:val="bottom"/>
          </w:tcPr>
          <w:p>
            <w:pPr>
              <w:jc w:val="right"/>
              <w:ind w:right="71"/>
              <w:spacing w:after="0"/>
              <w:rPr>
                <w:sz w:val="20"/>
                <w:szCs w:val="20"/>
                <w:color w:val="auto"/>
              </w:rPr>
            </w:pPr>
            <w:r>
              <w:rPr>
                <w:rFonts w:ascii="Arial" w:cs="Arial" w:eastAsia="Arial" w:hAnsi="Arial"/>
                <w:sz w:val="14"/>
                <w:szCs w:val="14"/>
                <w:color w:val="092E44"/>
              </w:rPr>
              <w:t>652,224</w:t>
            </w:r>
          </w:p>
        </w:tc>
        <w:tc>
          <w:tcPr>
            <w:tcW w:w="1200" w:type="dxa"/>
            <w:vAlign w:val="bottom"/>
          </w:tcPr>
          <w:p>
            <w:pPr>
              <w:jc w:val="right"/>
              <w:ind w:right="31"/>
              <w:spacing w:after="0"/>
              <w:rPr>
                <w:sz w:val="20"/>
                <w:szCs w:val="20"/>
                <w:color w:val="auto"/>
              </w:rPr>
            </w:pPr>
            <w:r>
              <w:rPr>
                <w:rFonts w:ascii="Arial" w:cs="Arial" w:eastAsia="Arial" w:hAnsi="Arial"/>
                <w:sz w:val="14"/>
                <w:szCs w:val="14"/>
                <w:color w:val="092E44"/>
              </w:rPr>
              <w:t>60,568(5)</w:t>
            </w:r>
          </w:p>
        </w:tc>
        <w:tc>
          <w:tcPr>
            <w:tcW w:w="920" w:type="dxa"/>
            <w:vAlign w:val="bottom"/>
          </w:tcPr>
          <w:p>
            <w:pPr>
              <w:jc w:val="right"/>
              <w:ind w:right="30"/>
              <w:spacing w:after="0"/>
              <w:rPr>
                <w:sz w:val="20"/>
                <w:szCs w:val="20"/>
                <w:color w:val="auto"/>
              </w:rPr>
            </w:pPr>
            <w:r>
              <w:rPr>
                <w:rFonts w:ascii="Arial" w:cs="Arial" w:eastAsia="Arial" w:hAnsi="Arial"/>
                <w:sz w:val="14"/>
                <w:szCs w:val="14"/>
                <w:color w:val="092E44"/>
              </w:rPr>
              <w:t>10,760,212</w:t>
            </w:r>
          </w:p>
        </w:tc>
        <w:tc>
          <w:tcPr>
            <w:tcW w:w="0" w:type="dxa"/>
            <w:vAlign w:val="bottom"/>
          </w:tcPr>
          <w:p>
            <w:pPr>
              <w:spacing w:after="0"/>
              <w:rPr>
                <w:sz w:val="1"/>
                <w:szCs w:val="1"/>
                <w:color w:val="auto"/>
              </w:rPr>
            </w:pPr>
          </w:p>
        </w:tc>
      </w:tr>
      <w:tr>
        <w:trPr>
          <w:trHeight w:val="288"/>
        </w:trPr>
        <w:tc>
          <w:tcPr>
            <w:tcW w:w="4280" w:type="dxa"/>
            <w:vAlign w:val="bottom"/>
          </w:tcPr>
          <w:p>
            <w:pPr>
              <w:ind w:left="80"/>
              <w:spacing w:after="0"/>
              <w:rPr>
                <w:sz w:val="20"/>
                <w:szCs w:val="20"/>
                <w:color w:val="auto"/>
              </w:rPr>
            </w:pPr>
            <w:r>
              <w:rPr>
                <w:rFonts w:ascii="Arial" w:cs="Arial" w:eastAsia="Arial" w:hAnsi="Arial"/>
                <w:sz w:val="14"/>
                <w:szCs w:val="14"/>
                <w:color w:val="092E44"/>
              </w:rPr>
              <w:t>President and Chief Executive Officer</w:t>
            </w:r>
          </w:p>
        </w:tc>
        <w:tc>
          <w:tcPr>
            <w:tcW w:w="600" w:type="dxa"/>
            <w:vAlign w:val="bottom"/>
          </w:tcPr>
          <w:p>
            <w:pPr>
              <w:jc w:val="right"/>
              <w:spacing w:after="0"/>
              <w:rPr>
                <w:sz w:val="20"/>
                <w:szCs w:val="20"/>
                <w:color w:val="auto"/>
              </w:rPr>
            </w:pPr>
            <w:r>
              <w:rPr>
                <w:rFonts w:ascii="Arial" w:cs="Arial" w:eastAsia="Arial" w:hAnsi="Arial"/>
                <w:sz w:val="14"/>
                <w:szCs w:val="14"/>
                <w:color w:val="092E44"/>
              </w:rPr>
              <w:t>2021</w:t>
            </w:r>
          </w:p>
        </w:tc>
        <w:tc>
          <w:tcPr>
            <w:tcW w:w="920" w:type="dxa"/>
            <w:vAlign w:val="bottom"/>
          </w:tcPr>
          <w:p>
            <w:pPr>
              <w:jc w:val="right"/>
              <w:ind w:right="70"/>
              <w:spacing w:after="0"/>
              <w:rPr>
                <w:sz w:val="20"/>
                <w:szCs w:val="20"/>
                <w:color w:val="auto"/>
              </w:rPr>
            </w:pPr>
            <w:r>
              <w:rPr>
                <w:rFonts w:ascii="Arial" w:cs="Arial" w:eastAsia="Arial" w:hAnsi="Arial"/>
                <w:sz w:val="14"/>
                <w:szCs w:val="14"/>
                <w:color w:val="092E44"/>
              </w:rPr>
              <w:t>505,769</w:t>
            </w:r>
          </w:p>
        </w:tc>
        <w:tc>
          <w:tcPr>
            <w:tcW w:w="1000" w:type="dxa"/>
            <w:vAlign w:val="bottom"/>
          </w:tcPr>
          <w:p>
            <w:pPr>
              <w:jc w:val="right"/>
              <w:ind w:right="250"/>
              <w:spacing w:after="0"/>
              <w:rPr>
                <w:sz w:val="20"/>
                <w:szCs w:val="20"/>
                <w:color w:val="auto"/>
              </w:rPr>
            </w:pPr>
            <w:r>
              <w:rPr>
                <w:rFonts w:ascii="Arial" w:cs="Arial" w:eastAsia="Arial" w:hAnsi="Arial"/>
                <w:sz w:val="14"/>
                <w:szCs w:val="14"/>
                <w:color w:val="092E44"/>
              </w:rPr>
              <w:t>—</w:t>
            </w:r>
          </w:p>
        </w:tc>
        <w:tc>
          <w:tcPr>
            <w:tcW w:w="920" w:type="dxa"/>
            <w:vAlign w:val="bottom"/>
          </w:tcPr>
          <w:p>
            <w:pPr>
              <w:jc w:val="right"/>
              <w:ind w:right="51"/>
              <w:spacing w:after="0"/>
              <w:rPr>
                <w:sz w:val="20"/>
                <w:szCs w:val="20"/>
                <w:color w:val="auto"/>
              </w:rPr>
            </w:pPr>
            <w:r>
              <w:rPr>
                <w:rFonts w:ascii="Arial" w:cs="Arial" w:eastAsia="Arial" w:hAnsi="Arial"/>
                <w:sz w:val="14"/>
                <w:szCs w:val="14"/>
                <w:color w:val="092E44"/>
              </w:rPr>
              <w:t>6,336,511</w:t>
            </w:r>
          </w:p>
        </w:tc>
        <w:tc>
          <w:tcPr>
            <w:tcW w:w="1080" w:type="dxa"/>
            <w:vAlign w:val="bottom"/>
          </w:tcPr>
          <w:p>
            <w:pPr>
              <w:jc w:val="right"/>
              <w:ind w:right="71"/>
              <w:spacing w:after="0"/>
              <w:rPr>
                <w:sz w:val="20"/>
                <w:szCs w:val="20"/>
                <w:color w:val="auto"/>
              </w:rPr>
            </w:pPr>
            <w:r>
              <w:rPr>
                <w:rFonts w:ascii="Arial" w:cs="Arial" w:eastAsia="Arial" w:hAnsi="Arial"/>
                <w:sz w:val="14"/>
                <w:szCs w:val="14"/>
                <w:color w:val="092E44"/>
              </w:rPr>
              <w:t>874,706</w:t>
            </w:r>
          </w:p>
        </w:tc>
        <w:tc>
          <w:tcPr>
            <w:tcW w:w="1200" w:type="dxa"/>
            <w:vAlign w:val="bottom"/>
          </w:tcPr>
          <w:p>
            <w:pPr>
              <w:jc w:val="right"/>
              <w:ind w:right="191"/>
              <w:spacing w:after="0"/>
              <w:rPr>
                <w:sz w:val="20"/>
                <w:szCs w:val="20"/>
                <w:color w:val="auto"/>
              </w:rPr>
            </w:pPr>
            <w:r>
              <w:rPr>
                <w:rFonts w:ascii="Arial" w:cs="Arial" w:eastAsia="Arial" w:hAnsi="Arial"/>
                <w:sz w:val="14"/>
                <w:szCs w:val="14"/>
                <w:color w:val="092E44"/>
              </w:rPr>
              <w:t>288,000</w:t>
            </w:r>
          </w:p>
        </w:tc>
        <w:tc>
          <w:tcPr>
            <w:tcW w:w="920" w:type="dxa"/>
            <w:vAlign w:val="bottom"/>
          </w:tcPr>
          <w:p>
            <w:pPr>
              <w:jc w:val="right"/>
              <w:ind w:right="30"/>
              <w:spacing w:after="0"/>
              <w:rPr>
                <w:sz w:val="20"/>
                <w:szCs w:val="20"/>
                <w:color w:val="auto"/>
              </w:rPr>
            </w:pPr>
            <w:r>
              <w:rPr>
                <w:rFonts w:ascii="Arial" w:cs="Arial" w:eastAsia="Arial" w:hAnsi="Arial"/>
                <w:sz w:val="14"/>
                <w:szCs w:val="14"/>
                <w:color w:val="092E44"/>
              </w:rPr>
              <w:t>8,004,986</w:t>
            </w:r>
          </w:p>
        </w:tc>
        <w:tc>
          <w:tcPr>
            <w:tcW w:w="0" w:type="dxa"/>
            <w:vAlign w:val="bottom"/>
          </w:tcPr>
          <w:p>
            <w:pPr>
              <w:spacing w:after="0"/>
              <w:rPr>
                <w:sz w:val="1"/>
                <w:szCs w:val="1"/>
                <w:color w:val="auto"/>
              </w:rPr>
            </w:pPr>
          </w:p>
        </w:tc>
      </w:tr>
      <w:tr>
        <w:trPr>
          <w:trHeight w:val="267"/>
        </w:trPr>
        <w:tc>
          <w:tcPr>
            <w:tcW w:w="42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092E44"/>
              </w:rPr>
              <w:t>2020</w:t>
            </w:r>
          </w:p>
        </w:tc>
        <w:tc>
          <w:tcPr>
            <w:tcW w:w="920" w:type="dxa"/>
            <w:vAlign w:val="bottom"/>
          </w:tcPr>
          <w:p>
            <w:pPr>
              <w:jc w:val="right"/>
              <w:ind w:right="70"/>
              <w:spacing w:after="0"/>
              <w:rPr>
                <w:sz w:val="20"/>
                <w:szCs w:val="20"/>
                <w:color w:val="auto"/>
              </w:rPr>
            </w:pPr>
            <w:r>
              <w:rPr>
                <w:rFonts w:ascii="Arial" w:cs="Arial" w:eastAsia="Arial" w:hAnsi="Arial"/>
                <w:sz w:val="14"/>
                <w:szCs w:val="14"/>
                <w:color w:val="092E44"/>
              </w:rPr>
              <w:t>500,000</w:t>
            </w:r>
          </w:p>
        </w:tc>
        <w:tc>
          <w:tcPr>
            <w:tcW w:w="1000" w:type="dxa"/>
            <w:vAlign w:val="bottom"/>
          </w:tcPr>
          <w:p>
            <w:pPr>
              <w:jc w:val="right"/>
              <w:ind w:right="70"/>
              <w:spacing w:after="0"/>
              <w:rPr>
                <w:sz w:val="20"/>
                <w:szCs w:val="20"/>
                <w:color w:val="auto"/>
              </w:rPr>
            </w:pPr>
            <w:r>
              <w:rPr>
                <w:rFonts w:ascii="Arial" w:cs="Arial" w:eastAsia="Arial" w:hAnsi="Arial"/>
                <w:sz w:val="14"/>
                <w:szCs w:val="14"/>
                <w:color w:val="092E44"/>
              </w:rPr>
              <w:t>250,000(1)</w:t>
            </w:r>
          </w:p>
        </w:tc>
        <w:tc>
          <w:tcPr>
            <w:tcW w:w="920" w:type="dxa"/>
            <w:vAlign w:val="bottom"/>
          </w:tcPr>
          <w:p>
            <w:pPr>
              <w:jc w:val="right"/>
              <w:ind w:right="51"/>
              <w:spacing w:after="0"/>
              <w:rPr>
                <w:sz w:val="20"/>
                <w:szCs w:val="20"/>
                <w:color w:val="auto"/>
              </w:rPr>
            </w:pPr>
            <w:r>
              <w:rPr>
                <w:rFonts w:ascii="Arial" w:cs="Arial" w:eastAsia="Arial" w:hAnsi="Arial"/>
                <w:sz w:val="14"/>
                <w:szCs w:val="14"/>
                <w:color w:val="092E44"/>
              </w:rPr>
              <w:t>4,999,745</w:t>
            </w:r>
          </w:p>
        </w:tc>
        <w:tc>
          <w:tcPr>
            <w:tcW w:w="1080" w:type="dxa"/>
            <w:vAlign w:val="bottom"/>
          </w:tcPr>
          <w:p>
            <w:pPr>
              <w:jc w:val="right"/>
              <w:ind w:right="71"/>
              <w:spacing w:after="0"/>
              <w:rPr>
                <w:sz w:val="20"/>
                <w:szCs w:val="20"/>
                <w:color w:val="auto"/>
              </w:rPr>
            </w:pPr>
            <w:r>
              <w:rPr>
                <w:rFonts w:ascii="Arial" w:cs="Arial" w:eastAsia="Arial" w:hAnsi="Arial"/>
                <w:sz w:val="14"/>
                <w:szCs w:val="14"/>
                <w:color w:val="092E44"/>
              </w:rPr>
              <w:t>—</w:t>
            </w:r>
          </w:p>
        </w:tc>
        <w:tc>
          <w:tcPr>
            <w:tcW w:w="1200" w:type="dxa"/>
            <w:vAlign w:val="bottom"/>
          </w:tcPr>
          <w:p>
            <w:pPr>
              <w:jc w:val="right"/>
              <w:ind w:right="191"/>
              <w:spacing w:after="0"/>
              <w:rPr>
                <w:sz w:val="20"/>
                <w:szCs w:val="20"/>
                <w:color w:val="auto"/>
              </w:rPr>
            </w:pPr>
            <w:r>
              <w:rPr>
                <w:rFonts w:ascii="Arial" w:cs="Arial" w:eastAsia="Arial" w:hAnsi="Arial"/>
                <w:sz w:val="14"/>
                <w:szCs w:val="14"/>
                <w:color w:val="092E44"/>
              </w:rPr>
              <w:t>347,771</w:t>
            </w:r>
          </w:p>
        </w:tc>
        <w:tc>
          <w:tcPr>
            <w:tcW w:w="920" w:type="dxa"/>
            <w:vAlign w:val="bottom"/>
          </w:tcPr>
          <w:p>
            <w:pPr>
              <w:jc w:val="right"/>
              <w:ind w:right="30"/>
              <w:spacing w:after="0"/>
              <w:rPr>
                <w:sz w:val="20"/>
                <w:szCs w:val="20"/>
                <w:color w:val="auto"/>
              </w:rPr>
            </w:pPr>
            <w:r>
              <w:rPr>
                <w:rFonts w:ascii="Arial" w:cs="Arial" w:eastAsia="Arial" w:hAnsi="Arial"/>
                <w:sz w:val="14"/>
                <w:szCs w:val="14"/>
                <w:color w:val="092E44"/>
              </w:rPr>
              <w:t>6,097,515</w:t>
            </w:r>
          </w:p>
        </w:tc>
        <w:tc>
          <w:tcPr>
            <w:tcW w:w="0" w:type="dxa"/>
            <w:vAlign w:val="bottom"/>
          </w:tcPr>
          <w:p>
            <w:pPr>
              <w:spacing w:after="0"/>
              <w:rPr>
                <w:sz w:val="1"/>
                <w:szCs w:val="1"/>
                <w:color w:val="auto"/>
              </w:rPr>
            </w:pPr>
          </w:p>
        </w:tc>
      </w:tr>
      <w:tr>
        <w:trPr>
          <w:trHeight w:val="61"/>
        </w:trPr>
        <w:tc>
          <w:tcPr>
            <w:tcW w:w="4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4280" w:type="dxa"/>
            <w:vAlign w:val="bottom"/>
            <w:shd w:val="clear" w:color="auto" w:fill="DDE9F2"/>
          </w:tcPr>
          <w:p>
            <w:pPr>
              <w:ind w:left="80"/>
              <w:spacing w:after="0"/>
              <w:rPr>
                <w:sz w:val="20"/>
                <w:szCs w:val="20"/>
                <w:color w:val="auto"/>
              </w:rPr>
            </w:pPr>
            <w:r>
              <w:rPr>
                <w:rFonts w:ascii="Arial" w:cs="Arial" w:eastAsia="Arial" w:hAnsi="Arial"/>
                <w:sz w:val="14"/>
                <w:szCs w:val="14"/>
                <w:b w:val="1"/>
                <w:bCs w:val="1"/>
                <w:color w:val="092E44"/>
              </w:rPr>
              <w:t>Brian Carolan</w:t>
            </w:r>
          </w:p>
        </w:tc>
        <w:tc>
          <w:tcPr>
            <w:tcW w:w="600" w:type="dxa"/>
            <w:vAlign w:val="bottom"/>
            <w:shd w:val="clear" w:color="auto" w:fill="DDE9F2"/>
          </w:tcPr>
          <w:p>
            <w:pPr>
              <w:jc w:val="right"/>
              <w:spacing w:after="0"/>
              <w:rPr>
                <w:sz w:val="20"/>
                <w:szCs w:val="20"/>
                <w:color w:val="auto"/>
              </w:rPr>
            </w:pPr>
            <w:r>
              <w:rPr>
                <w:rFonts w:ascii="Arial" w:cs="Arial" w:eastAsia="Arial" w:hAnsi="Arial"/>
                <w:sz w:val="14"/>
                <w:szCs w:val="14"/>
                <w:color w:val="092E44"/>
              </w:rPr>
              <w:t>2022</w:t>
            </w:r>
          </w:p>
        </w:tc>
        <w:tc>
          <w:tcPr>
            <w:tcW w:w="920" w:type="dxa"/>
            <w:vAlign w:val="bottom"/>
            <w:shd w:val="clear" w:color="auto" w:fill="DDE9F2"/>
          </w:tcPr>
          <w:p>
            <w:pPr>
              <w:jc w:val="right"/>
              <w:ind w:right="70"/>
              <w:spacing w:after="0"/>
              <w:rPr>
                <w:sz w:val="20"/>
                <w:szCs w:val="20"/>
                <w:color w:val="auto"/>
              </w:rPr>
            </w:pPr>
            <w:r>
              <w:rPr>
                <w:rFonts w:ascii="Arial" w:cs="Arial" w:eastAsia="Arial" w:hAnsi="Arial"/>
                <w:sz w:val="14"/>
                <w:szCs w:val="14"/>
                <w:color w:val="092E44"/>
              </w:rPr>
              <w:t>410,000</w:t>
            </w:r>
          </w:p>
        </w:tc>
        <w:tc>
          <w:tcPr>
            <w:tcW w:w="1000" w:type="dxa"/>
            <w:vAlign w:val="bottom"/>
            <w:shd w:val="clear" w:color="auto" w:fill="DDE9F2"/>
          </w:tcPr>
          <w:p>
            <w:pPr>
              <w:jc w:val="right"/>
              <w:ind w:right="250"/>
              <w:spacing w:after="0"/>
              <w:rPr>
                <w:sz w:val="20"/>
                <w:szCs w:val="20"/>
                <w:color w:val="auto"/>
              </w:rPr>
            </w:pPr>
            <w:r>
              <w:rPr>
                <w:rFonts w:ascii="Arial" w:cs="Arial" w:eastAsia="Arial" w:hAnsi="Arial"/>
                <w:sz w:val="14"/>
                <w:szCs w:val="14"/>
                <w:color w:val="092E44"/>
              </w:rPr>
              <w:t>—</w:t>
            </w:r>
          </w:p>
        </w:tc>
        <w:tc>
          <w:tcPr>
            <w:tcW w:w="920" w:type="dxa"/>
            <w:vAlign w:val="bottom"/>
            <w:shd w:val="clear" w:color="auto" w:fill="DDE9F2"/>
          </w:tcPr>
          <w:p>
            <w:pPr>
              <w:jc w:val="right"/>
              <w:ind w:right="51"/>
              <w:spacing w:after="0"/>
              <w:rPr>
                <w:sz w:val="20"/>
                <w:szCs w:val="20"/>
                <w:color w:val="auto"/>
              </w:rPr>
            </w:pPr>
            <w:r>
              <w:rPr>
                <w:rFonts w:ascii="Arial" w:cs="Arial" w:eastAsia="Arial" w:hAnsi="Arial"/>
                <w:sz w:val="14"/>
                <w:szCs w:val="14"/>
                <w:color w:val="092E44"/>
              </w:rPr>
              <w:t>2,214,758</w:t>
            </w:r>
          </w:p>
        </w:tc>
        <w:tc>
          <w:tcPr>
            <w:tcW w:w="1080" w:type="dxa"/>
            <w:vAlign w:val="bottom"/>
            <w:shd w:val="clear" w:color="auto" w:fill="DDE9F2"/>
          </w:tcPr>
          <w:p>
            <w:pPr>
              <w:jc w:val="right"/>
              <w:ind w:right="71"/>
              <w:spacing w:after="0"/>
              <w:rPr>
                <w:sz w:val="20"/>
                <w:szCs w:val="20"/>
                <w:color w:val="auto"/>
              </w:rPr>
            </w:pPr>
            <w:r>
              <w:rPr>
                <w:rFonts w:ascii="Arial" w:cs="Arial" w:eastAsia="Arial" w:hAnsi="Arial"/>
                <w:sz w:val="14"/>
                <w:szCs w:val="14"/>
                <w:color w:val="092E44"/>
              </w:rPr>
              <w:t>248,755</w:t>
            </w:r>
          </w:p>
        </w:tc>
        <w:tc>
          <w:tcPr>
            <w:tcW w:w="1200" w:type="dxa"/>
            <w:vAlign w:val="bottom"/>
            <w:shd w:val="clear" w:color="auto" w:fill="DDE9F2"/>
          </w:tcPr>
          <w:p>
            <w:pPr>
              <w:jc w:val="right"/>
              <w:ind w:right="31"/>
              <w:spacing w:after="0"/>
              <w:rPr>
                <w:sz w:val="20"/>
                <w:szCs w:val="20"/>
                <w:color w:val="auto"/>
              </w:rPr>
            </w:pPr>
            <w:r>
              <w:rPr>
                <w:rFonts w:ascii="Arial" w:cs="Arial" w:eastAsia="Arial" w:hAnsi="Arial"/>
                <w:sz w:val="14"/>
                <w:szCs w:val="14"/>
                <w:color w:val="092E44"/>
              </w:rPr>
              <w:t>8,263(6)</w:t>
            </w:r>
          </w:p>
        </w:tc>
        <w:tc>
          <w:tcPr>
            <w:tcW w:w="920" w:type="dxa"/>
            <w:vAlign w:val="bottom"/>
            <w:shd w:val="clear" w:color="auto" w:fill="DDE9F2"/>
          </w:tcPr>
          <w:p>
            <w:pPr>
              <w:jc w:val="right"/>
              <w:ind w:right="30"/>
              <w:spacing w:after="0"/>
              <w:rPr>
                <w:sz w:val="20"/>
                <w:szCs w:val="20"/>
                <w:color w:val="auto"/>
              </w:rPr>
            </w:pPr>
            <w:r>
              <w:rPr>
                <w:rFonts w:ascii="Arial" w:cs="Arial" w:eastAsia="Arial" w:hAnsi="Arial"/>
                <w:sz w:val="14"/>
                <w:szCs w:val="14"/>
                <w:color w:val="092E44"/>
              </w:rPr>
              <w:t>2,881,776</w:t>
            </w:r>
          </w:p>
        </w:tc>
        <w:tc>
          <w:tcPr>
            <w:tcW w:w="0" w:type="dxa"/>
            <w:vAlign w:val="bottom"/>
          </w:tcPr>
          <w:p>
            <w:pPr>
              <w:spacing w:after="0"/>
              <w:rPr>
                <w:sz w:val="1"/>
                <w:szCs w:val="1"/>
                <w:color w:val="auto"/>
              </w:rPr>
            </w:pPr>
          </w:p>
        </w:tc>
      </w:tr>
      <w:tr>
        <w:trPr>
          <w:trHeight w:val="288"/>
        </w:trPr>
        <w:tc>
          <w:tcPr>
            <w:tcW w:w="4280" w:type="dxa"/>
            <w:vAlign w:val="bottom"/>
            <w:shd w:val="clear" w:color="auto" w:fill="DDE9F2"/>
          </w:tcPr>
          <w:p>
            <w:pPr>
              <w:ind w:left="80"/>
              <w:spacing w:after="0"/>
              <w:rPr>
                <w:sz w:val="20"/>
                <w:szCs w:val="20"/>
                <w:color w:val="auto"/>
              </w:rPr>
            </w:pPr>
            <w:r>
              <w:rPr>
                <w:rFonts w:ascii="Arial" w:cs="Arial" w:eastAsia="Arial" w:hAnsi="Arial"/>
                <w:sz w:val="14"/>
                <w:szCs w:val="14"/>
                <w:color w:val="092E44"/>
              </w:rPr>
              <w:t>Chief Financial Officer</w:t>
            </w:r>
          </w:p>
        </w:tc>
        <w:tc>
          <w:tcPr>
            <w:tcW w:w="600" w:type="dxa"/>
            <w:vAlign w:val="bottom"/>
            <w:shd w:val="clear" w:color="auto" w:fill="DDE9F2"/>
          </w:tcPr>
          <w:p>
            <w:pPr>
              <w:jc w:val="right"/>
              <w:spacing w:after="0"/>
              <w:rPr>
                <w:sz w:val="20"/>
                <w:szCs w:val="20"/>
                <w:color w:val="auto"/>
              </w:rPr>
            </w:pPr>
            <w:r>
              <w:rPr>
                <w:rFonts w:ascii="Arial" w:cs="Arial" w:eastAsia="Arial" w:hAnsi="Arial"/>
                <w:sz w:val="14"/>
                <w:szCs w:val="14"/>
                <w:color w:val="092E44"/>
              </w:rPr>
              <w:t>2021</w:t>
            </w:r>
          </w:p>
        </w:tc>
        <w:tc>
          <w:tcPr>
            <w:tcW w:w="920" w:type="dxa"/>
            <w:vAlign w:val="bottom"/>
            <w:shd w:val="clear" w:color="auto" w:fill="DDE9F2"/>
          </w:tcPr>
          <w:p>
            <w:pPr>
              <w:jc w:val="right"/>
              <w:ind w:right="70"/>
              <w:spacing w:after="0"/>
              <w:rPr>
                <w:sz w:val="20"/>
                <w:szCs w:val="20"/>
                <w:color w:val="auto"/>
              </w:rPr>
            </w:pPr>
            <w:r>
              <w:rPr>
                <w:rFonts w:ascii="Arial" w:cs="Arial" w:eastAsia="Arial" w:hAnsi="Arial"/>
                <w:sz w:val="14"/>
                <w:szCs w:val="14"/>
                <w:color w:val="092E44"/>
              </w:rPr>
              <w:t>384,123</w:t>
            </w:r>
          </w:p>
        </w:tc>
        <w:tc>
          <w:tcPr>
            <w:tcW w:w="1000" w:type="dxa"/>
            <w:vAlign w:val="bottom"/>
            <w:shd w:val="clear" w:color="auto" w:fill="DDE9F2"/>
          </w:tcPr>
          <w:p>
            <w:pPr>
              <w:jc w:val="right"/>
              <w:ind w:right="250"/>
              <w:spacing w:after="0"/>
              <w:rPr>
                <w:sz w:val="20"/>
                <w:szCs w:val="20"/>
                <w:color w:val="auto"/>
              </w:rPr>
            </w:pPr>
            <w:r>
              <w:rPr>
                <w:rFonts w:ascii="Arial" w:cs="Arial" w:eastAsia="Arial" w:hAnsi="Arial"/>
                <w:sz w:val="14"/>
                <w:szCs w:val="14"/>
                <w:color w:val="092E44"/>
              </w:rPr>
              <w:t>—</w:t>
            </w:r>
          </w:p>
        </w:tc>
        <w:tc>
          <w:tcPr>
            <w:tcW w:w="920" w:type="dxa"/>
            <w:vAlign w:val="bottom"/>
            <w:shd w:val="clear" w:color="auto" w:fill="DDE9F2"/>
          </w:tcPr>
          <w:p>
            <w:pPr>
              <w:jc w:val="right"/>
              <w:ind w:right="51"/>
              <w:spacing w:after="0"/>
              <w:rPr>
                <w:sz w:val="20"/>
                <w:szCs w:val="20"/>
                <w:color w:val="auto"/>
              </w:rPr>
            </w:pPr>
            <w:r>
              <w:rPr>
                <w:rFonts w:ascii="Arial" w:cs="Arial" w:eastAsia="Arial" w:hAnsi="Arial"/>
                <w:sz w:val="14"/>
                <w:szCs w:val="14"/>
                <w:color w:val="092E44"/>
              </w:rPr>
              <w:t>2,086,543</w:t>
            </w:r>
          </w:p>
        </w:tc>
        <w:tc>
          <w:tcPr>
            <w:tcW w:w="1080" w:type="dxa"/>
            <w:vAlign w:val="bottom"/>
            <w:shd w:val="clear" w:color="auto" w:fill="DDE9F2"/>
          </w:tcPr>
          <w:p>
            <w:pPr>
              <w:jc w:val="right"/>
              <w:ind w:right="71"/>
              <w:spacing w:after="0"/>
              <w:rPr>
                <w:sz w:val="20"/>
                <w:szCs w:val="20"/>
                <w:color w:val="auto"/>
              </w:rPr>
            </w:pPr>
            <w:r>
              <w:rPr>
                <w:rFonts w:ascii="Arial" w:cs="Arial" w:eastAsia="Arial" w:hAnsi="Arial"/>
                <w:sz w:val="14"/>
                <w:szCs w:val="14"/>
                <w:color w:val="092E44"/>
              </w:rPr>
              <w:t>386,786</w:t>
            </w:r>
          </w:p>
        </w:tc>
        <w:tc>
          <w:tcPr>
            <w:tcW w:w="1200" w:type="dxa"/>
            <w:vAlign w:val="bottom"/>
            <w:shd w:val="clear" w:color="auto" w:fill="DDE9F2"/>
          </w:tcPr>
          <w:p>
            <w:pPr>
              <w:jc w:val="right"/>
              <w:ind w:right="191"/>
              <w:spacing w:after="0"/>
              <w:rPr>
                <w:sz w:val="20"/>
                <w:szCs w:val="20"/>
                <w:color w:val="auto"/>
              </w:rPr>
            </w:pPr>
            <w:r>
              <w:rPr>
                <w:rFonts w:ascii="Arial" w:cs="Arial" w:eastAsia="Arial" w:hAnsi="Arial"/>
                <w:sz w:val="14"/>
                <w:szCs w:val="14"/>
                <w:color w:val="092E44"/>
              </w:rPr>
              <w:t>5,455</w:t>
            </w:r>
          </w:p>
        </w:tc>
        <w:tc>
          <w:tcPr>
            <w:tcW w:w="920" w:type="dxa"/>
            <w:vAlign w:val="bottom"/>
            <w:shd w:val="clear" w:color="auto" w:fill="DDE9F2"/>
          </w:tcPr>
          <w:p>
            <w:pPr>
              <w:jc w:val="right"/>
              <w:ind w:right="30"/>
              <w:spacing w:after="0"/>
              <w:rPr>
                <w:sz w:val="20"/>
                <w:szCs w:val="20"/>
                <w:color w:val="auto"/>
              </w:rPr>
            </w:pPr>
            <w:r>
              <w:rPr>
                <w:rFonts w:ascii="Arial" w:cs="Arial" w:eastAsia="Arial" w:hAnsi="Arial"/>
                <w:sz w:val="14"/>
                <w:szCs w:val="14"/>
                <w:color w:val="092E44"/>
              </w:rPr>
              <w:t>2,862,907</w:t>
            </w:r>
          </w:p>
        </w:tc>
        <w:tc>
          <w:tcPr>
            <w:tcW w:w="0" w:type="dxa"/>
            <w:vAlign w:val="bottom"/>
          </w:tcPr>
          <w:p>
            <w:pPr>
              <w:spacing w:after="0"/>
              <w:rPr>
                <w:sz w:val="1"/>
                <w:szCs w:val="1"/>
                <w:color w:val="auto"/>
              </w:rPr>
            </w:pPr>
          </w:p>
        </w:tc>
      </w:tr>
      <w:tr>
        <w:trPr>
          <w:trHeight w:val="322"/>
        </w:trPr>
        <w:tc>
          <w:tcPr>
            <w:tcW w:w="4280" w:type="dxa"/>
            <w:vAlign w:val="bottom"/>
            <w:tcBorders>
              <w:bottom w:val="single" w:sz="8" w:color="DDE9F2"/>
            </w:tcBorders>
            <w:shd w:val="clear" w:color="auto" w:fill="DDE9F2"/>
          </w:tcPr>
          <w:p>
            <w:pPr>
              <w:spacing w:after="0"/>
              <w:rPr>
                <w:sz w:val="24"/>
                <w:szCs w:val="24"/>
                <w:color w:val="auto"/>
              </w:rPr>
            </w:pPr>
          </w:p>
        </w:tc>
        <w:tc>
          <w:tcPr>
            <w:tcW w:w="600" w:type="dxa"/>
            <w:vAlign w:val="bottom"/>
            <w:tcBorders>
              <w:bottom w:val="single" w:sz="8" w:color="DDE9F2"/>
            </w:tcBorders>
            <w:shd w:val="clear" w:color="auto" w:fill="DDE9F2"/>
          </w:tcPr>
          <w:p>
            <w:pPr>
              <w:jc w:val="right"/>
              <w:spacing w:after="0"/>
              <w:rPr>
                <w:sz w:val="20"/>
                <w:szCs w:val="20"/>
                <w:color w:val="auto"/>
              </w:rPr>
            </w:pPr>
            <w:r>
              <w:rPr>
                <w:rFonts w:ascii="Arial" w:cs="Arial" w:eastAsia="Arial" w:hAnsi="Arial"/>
                <w:sz w:val="14"/>
                <w:szCs w:val="14"/>
                <w:color w:val="092E44"/>
              </w:rPr>
              <w:t>2020</w:t>
            </w:r>
          </w:p>
        </w:tc>
        <w:tc>
          <w:tcPr>
            <w:tcW w:w="920" w:type="dxa"/>
            <w:vAlign w:val="bottom"/>
            <w:tcBorders>
              <w:bottom w:val="single" w:sz="8" w:color="DDE9F2"/>
            </w:tcBorders>
            <w:shd w:val="clear" w:color="auto" w:fill="DDE9F2"/>
          </w:tcPr>
          <w:p>
            <w:pPr>
              <w:jc w:val="right"/>
              <w:ind w:right="70"/>
              <w:spacing w:after="0"/>
              <w:rPr>
                <w:sz w:val="20"/>
                <w:szCs w:val="20"/>
                <w:color w:val="auto"/>
              </w:rPr>
            </w:pPr>
            <w:r>
              <w:rPr>
                <w:rFonts w:ascii="Arial" w:cs="Arial" w:eastAsia="Arial" w:hAnsi="Arial"/>
                <w:sz w:val="14"/>
                <w:szCs w:val="14"/>
                <w:color w:val="092E44"/>
              </w:rPr>
              <w:t>397,000</w:t>
            </w:r>
          </w:p>
        </w:tc>
        <w:tc>
          <w:tcPr>
            <w:tcW w:w="1000" w:type="dxa"/>
            <w:vAlign w:val="bottom"/>
            <w:tcBorders>
              <w:bottom w:val="single" w:sz="8" w:color="DDE9F2"/>
            </w:tcBorders>
            <w:shd w:val="clear" w:color="auto" w:fill="DDE9F2"/>
          </w:tcPr>
          <w:p>
            <w:pPr>
              <w:jc w:val="right"/>
              <w:ind w:right="250"/>
              <w:spacing w:after="0"/>
              <w:rPr>
                <w:sz w:val="20"/>
                <w:szCs w:val="20"/>
                <w:color w:val="auto"/>
              </w:rPr>
            </w:pPr>
            <w:r>
              <w:rPr>
                <w:rFonts w:ascii="Arial" w:cs="Arial" w:eastAsia="Arial" w:hAnsi="Arial"/>
                <w:sz w:val="14"/>
                <w:szCs w:val="14"/>
                <w:color w:val="092E44"/>
              </w:rPr>
              <w:t>—</w:t>
            </w:r>
          </w:p>
        </w:tc>
        <w:tc>
          <w:tcPr>
            <w:tcW w:w="920" w:type="dxa"/>
            <w:vAlign w:val="bottom"/>
            <w:tcBorders>
              <w:bottom w:val="single" w:sz="8" w:color="DDE9F2"/>
            </w:tcBorders>
            <w:shd w:val="clear" w:color="auto" w:fill="DDE9F2"/>
          </w:tcPr>
          <w:p>
            <w:pPr>
              <w:jc w:val="right"/>
              <w:ind w:right="51"/>
              <w:spacing w:after="0"/>
              <w:rPr>
                <w:sz w:val="20"/>
                <w:szCs w:val="20"/>
                <w:color w:val="auto"/>
              </w:rPr>
            </w:pPr>
            <w:r>
              <w:rPr>
                <w:rFonts w:ascii="Arial" w:cs="Arial" w:eastAsia="Arial" w:hAnsi="Arial"/>
                <w:sz w:val="14"/>
                <w:szCs w:val="14"/>
                <w:color w:val="092E44"/>
              </w:rPr>
              <w:t>2,017,884</w:t>
            </w:r>
          </w:p>
        </w:tc>
        <w:tc>
          <w:tcPr>
            <w:tcW w:w="1080" w:type="dxa"/>
            <w:vAlign w:val="bottom"/>
            <w:tcBorders>
              <w:bottom w:val="single" w:sz="8" w:color="DDE9F2"/>
            </w:tcBorders>
            <w:shd w:val="clear" w:color="auto" w:fill="DDE9F2"/>
          </w:tcPr>
          <w:p>
            <w:pPr>
              <w:jc w:val="right"/>
              <w:ind w:right="71"/>
              <w:spacing w:after="0"/>
              <w:rPr>
                <w:sz w:val="20"/>
                <w:szCs w:val="20"/>
                <w:color w:val="auto"/>
              </w:rPr>
            </w:pPr>
            <w:r>
              <w:rPr>
                <w:rFonts w:ascii="Arial" w:cs="Arial" w:eastAsia="Arial" w:hAnsi="Arial"/>
                <w:sz w:val="14"/>
                <w:szCs w:val="14"/>
                <w:color w:val="092E44"/>
              </w:rPr>
              <w:t>166,740</w:t>
            </w:r>
          </w:p>
        </w:tc>
        <w:tc>
          <w:tcPr>
            <w:tcW w:w="1200" w:type="dxa"/>
            <w:vAlign w:val="bottom"/>
            <w:tcBorders>
              <w:bottom w:val="single" w:sz="8" w:color="DDE9F2"/>
            </w:tcBorders>
            <w:shd w:val="clear" w:color="auto" w:fill="DDE9F2"/>
          </w:tcPr>
          <w:p>
            <w:pPr>
              <w:jc w:val="right"/>
              <w:ind w:right="191"/>
              <w:spacing w:after="0"/>
              <w:rPr>
                <w:sz w:val="20"/>
                <w:szCs w:val="20"/>
                <w:color w:val="auto"/>
              </w:rPr>
            </w:pPr>
            <w:r>
              <w:rPr>
                <w:rFonts w:ascii="Arial" w:cs="Arial" w:eastAsia="Arial" w:hAnsi="Arial"/>
                <w:sz w:val="14"/>
                <w:szCs w:val="14"/>
                <w:color w:val="092E44"/>
              </w:rPr>
              <w:t>10,190</w:t>
            </w:r>
          </w:p>
        </w:tc>
        <w:tc>
          <w:tcPr>
            <w:tcW w:w="920" w:type="dxa"/>
            <w:vAlign w:val="bottom"/>
            <w:tcBorders>
              <w:bottom w:val="single" w:sz="8" w:color="DDE9F2"/>
            </w:tcBorders>
            <w:shd w:val="clear" w:color="auto" w:fill="DDE9F2"/>
          </w:tcPr>
          <w:p>
            <w:pPr>
              <w:jc w:val="right"/>
              <w:ind w:right="30"/>
              <w:spacing w:after="0"/>
              <w:rPr>
                <w:sz w:val="20"/>
                <w:szCs w:val="20"/>
                <w:color w:val="auto"/>
              </w:rPr>
            </w:pPr>
            <w:r>
              <w:rPr>
                <w:rFonts w:ascii="Arial" w:cs="Arial" w:eastAsia="Arial" w:hAnsi="Arial"/>
                <w:sz w:val="14"/>
                <w:szCs w:val="14"/>
                <w:color w:val="092E44"/>
              </w:rPr>
              <w:t>2,591,814</w:t>
            </w:r>
          </w:p>
        </w:tc>
        <w:tc>
          <w:tcPr>
            <w:tcW w:w="0" w:type="dxa"/>
            <w:vAlign w:val="bottom"/>
          </w:tcPr>
          <w:p>
            <w:pPr>
              <w:spacing w:after="0"/>
              <w:rPr>
                <w:sz w:val="1"/>
                <w:szCs w:val="1"/>
                <w:color w:val="auto"/>
              </w:rPr>
            </w:pPr>
          </w:p>
        </w:tc>
      </w:tr>
      <w:tr>
        <w:trPr>
          <w:trHeight w:val="253"/>
        </w:trPr>
        <w:tc>
          <w:tcPr>
            <w:tcW w:w="4280" w:type="dxa"/>
            <w:vAlign w:val="bottom"/>
          </w:tcPr>
          <w:p>
            <w:pPr>
              <w:ind w:left="80"/>
              <w:spacing w:after="0"/>
              <w:rPr>
                <w:sz w:val="20"/>
                <w:szCs w:val="20"/>
                <w:color w:val="auto"/>
              </w:rPr>
            </w:pPr>
            <w:r>
              <w:rPr>
                <w:rFonts w:ascii="Arial" w:cs="Arial" w:eastAsia="Arial" w:hAnsi="Arial"/>
                <w:sz w:val="14"/>
                <w:szCs w:val="14"/>
                <w:b w:val="1"/>
                <w:bCs w:val="1"/>
                <w:color w:val="092E44"/>
              </w:rPr>
              <w:t>Riccardo Di Blasio</w:t>
            </w:r>
          </w:p>
        </w:tc>
        <w:tc>
          <w:tcPr>
            <w:tcW w:w="600" w:type="dxa"/>
            <w:vAlign w:val="bottom"/>
          </w:tcPr>
          <w:p>
            <w:pPr>
              <w:jc w:val="right"/>
              <w:spacing w:after="0"/>
              <w:rPr>
                <w:sz w:val="20"/>
                <w:szCs w:val="20"/>
                <w:color w:val="auto"/>
              </w:rPr>
            </w:pPr>
            <w:r>
              <w:rPr>
                <w:rFonts w:ascii="Arial" w:cs="Arial" w:eastAsia="Arial" w:hAnsi="Arial"/>
                <w:sz w:val="14"/>
                <w:szCs w:val="14"/>
                <w:color w:val="092E44"/>
              </w:rPr>
              <w:t>2022</w:t>
            </w:r>
          </w:p>
        </w:tc>
        <w:tc>
          <w:tcPr>
            <w:tcW w:w="920" w:type="dxa"/>
            <w:vAlign w:val="bottom"/>
          </w:tcPr>
          <w:p>
            <w:pPr>
              <w:jc w:val="right"/>
              <w:ind w:right="70"/>
              <w:spacing w:after="0"/>
              <w:rPr>
                <w:sz w:val="20"/>
                <w:szCs w:val="20"/>
                <w:color w:val="auto"/>
              </w:rPr>
            </w:pPr>
            <w:r>
              <w:rPr>
                <w:rFonts w:ascii="Arial" w:cs="Arial" w:eastAsia="Arial" w:hAnsi="Arial"/>
                <w:sz w:val="14"/>
                <w:szCs w:val="14"/>
                <w:color w:val="092E44"/>
              </w:rPr>
              <w:t>449,423</w:t>
            </w:r>
          </w:p>
        </w:tc>
        <w:tc>
          <w:tcPr>
            <w:tcW w:w="1000" w:type="dxa"/>
            <w:vAlign w:val="bottom"/>
          </w:tcPr>
          <w:p>
            <w:pPr>
              <w:jc w:val="right"/>
              <w:ind w:right="250"/>
              <w:spacing w:after="0"/>
              <w:rPr>
                <w:sz w:val="20"/>
                <w:szCs w:val="20"/>
                <w:color w:val="auto"/>
              </w:rPr>
            </w:pPr>
            <w:r>
              <w:rPr>
                <w:rFonts w:ascii="Arial" w:cs="Arial" w:eastAsia="Arial" w:hAnsi="Arial"/>
                <w:sz w:val="14"/>
                <w:szCs w:val="14"/>
                <w:color w:val="092E44"/>
              </w:rPr>
              <w:t>—</w:t>
            </w:r>
          </w:p>
        </w:tc>
        <w:tc>
          <w:tcPr>
            <w:tcW w:w="920" w:type="dxa"/>
            <w:vAlign w:val="bottom"/>
          </w:tcPr>
          <w:p>
            <w:pPr>
              <w:jc w:val="right"/>
              <w:ind w:right="51"/>
              <w:spacing w:after="0"/>
              <w:rPr>
                <w:sz w:val="20"/>
                <w:szCs w:val="20"/>
                <w:color w:val="auto"/>
              </w:rPr>
            </w:pPr>
            <w:r>
              <w:rPr>
                <w:rFonts w:ascii="Arial" w:cs="Arial" w:eastAsia="Arial" w:hAnsi="Arial"/>
                <w:sz w:val="14"/>
                <w:szCs w:val="14"/>
                <w:color w:val="092E44"/>
              </w:rPr>
              <w:t>2,768,656</w:t>
            </w:r>
          </w:p>
        </w:tc>
        <w:tc>
          <w:tcPr>
            <w:tcW w:w="1080" w:type="dxa"/>
            <w:vAlign w:val="bottom"/>
          </w:tcPr>
          <w:p>
            <w:pPr>
              <w:jc w:val="right"/>
              <w:ind w:right="71"/>
              <w:spacing w:after="0"/>
              <w:rPr>
                <w:sz w:val="20"/>
                <w:szCs w:val="20"/>
                <w:color w:val="auto"/>
              </w:rPr>
            </w:pPr>
            <w:r>
              <w:rPr>
                <w:rFonts w:ascii="Arial" w:cs="Arial" w:eastAsia="Arial" w:hAnsi="Arial"/>
                <w:sz w:val="14"/>
                <w:szCs w:val="14"/>
                <w:color w:val="092E44"/>
              </w:rPr>
              <w:t>577,539</w:t>
            </w:r>
          </w:p>
        </w:tc>
        <w:tc>
          <w:tcPr>
            <w:tcW w:w="1200" w:type="dxa"/>
            <w:vAlign w:val="bottom"/>
          </w:tcPr>
          <w:p>
            <w:pPr>
              <w:jc w:val="right"/>
              <w:ind w:right="31"/>
              <w:spacing w:after="0"/>
              <w:rPr>
                <w:sz w:val="20"/>
                <w:szCs w:val="20"/>
                <w:color w:val="auto"/>
              </w:rPr>
            </w:pPr>
            <w:r>
              <w:rPr>
                <w:rFonts w:ascii="Arial" w:cs="Arial" w:eastAsia="Arial" w:hAnsi="Arial"/>
                <w:sz w:val="14"/>
                <w:szCs w:val="14"/>
                <w:color w:val="092E44"/>
              </w:rPr>
              <w:t>8,185(7)</w:t>
            </w:r>
          </w:p>
        </w:tc>
        <w:tc>
          <w:tcPr>
            <w:tcW w:w="920" w:type="dxa"/>
            <w:vAlign w:val="bottom"/>
          </w:tcPr>
          <w:p>
            <w:pPr>
              <w:jc w:val="right"/>
              <w:ind w:right="30"/>
              <w:spacing w:after="0"/>
              <w:rPr>
                <w:sz w:val="20"/>
                <w:szCs w:val="20"/>
                <w:color w:val="auto"/>
              </w:rPr>
            </w:pPr>
            <w:r>
              <w:rPr>
                <w:rFonts w:ascii="Arial" w:cs="Arial" w:eastAsia="Arial" w:hAnsi="Arial"/>
                <w:sz w:val="14"/>
                <w:szCs w:val="14"/>
                <w:color w:val="092E44"/>
              </w:rPr>
              <w:t>3,803,803</w:t>
            </w:r>
          </w:p>
        </w:tc>
        <w:tc>
          <w:tcPr>
            <w:tcW w:w="0" w:type="dxa"/>
            <w:vAlign w:val="bottom"/>
          </w:tcPr>
          <w:p>
            <w:pPr>
              <w:spacing w:after="0"/>
              <w:rPr>
                <w:sz w:val="1"/>
                <w:szCs w:val="1"/>
                <w:color w:val="auto"/>
              </w:rPr>
            </w:pPr>
          </w:p>
        </w:tc>
      </w:tr>
      <w:tr>
        <w:trPr>
          <w:trHeight w:val="288"/>
        </w:trPr>
        <w:tc>
          <w:tcPr>
            <w:tcW w:w="4280" w:type="dxa"/>
            <w:vAlign w:val="bottom"/>
          </w:tcPr>
          <w:p>
            <w:pPr>
              <w:ind w:left="80"/>
              <w:spacing w:after="0"/>
              <w:rPr>
                <w:sz w:val="20"/>
                <w:szCs w:val="20"/>
                <w:color w:val="auto"/>
              </w:rPr>
            </w:pPr>
            <w:r>
              <w:rPr>
                <w:rFonts w:ascii="Arial" w:cs="Arial" w:eastAsia="Arial" w:hAnsi="Arial"/>
                <w:sz w:val="14"/>
                <w:szCs w:val="14"/>
                <w:color w:val="092E44"/>
              </w:rPr>
              <w:t>Chief Revenue Officer</w:t>
            </w:r>
          </w:p>
        </w:tc>
        <w:tc>
          <w:tcPr>
            <w:tcW w:w="600" w:type="dxa"/>
            <w:vAlign w:val="bottom"/>
          </w:tcPr>
          <w:p>
            <w:pPr>
              <w:jc w:val="right"/>
              <w:spacing w:after="0"/>
              <w:rPr>
                <w:sz w:val="20"/>
                <w:szCs w:val="20"/>
                <w:color w:val="auto"/>
              </w:rPr>
            </w:pPr>
            <w:r>
              <w:rPr>
                <w:rFonts w:ascii="Arial" w:cs="Arial" w:eastAsia="Arial" w:hAnsi="Arial"/>
                <w:sz w:val="14"/>
                <w:szCs w:val="14"/>
                <w:color w:val="092E44"/>
              </w:rPr>
              <w:t>2021</w:t>
            </w:r>
          </w:p>
        </w:tc>
        <w:tc>
          <w:tcPr>
            <w:tcW w:w="920" w:type="dxa"/>
            <w:vAlign w:val="bottom"/>
          </w:tcPr>
          <w:p>
            <w:pPr>
              <w:jc w:val="right"/>
              <w:ind w:right="70"/>
              <w:spacing w:after="0"/>
              <w:rPr>
                <w:sz w:val="20"/>
                <w:szCs w:val="20"/>
                <w:color w:val="auto"/>
              </w:rPr>
            </w:pPr>
            <w:r>
              <w:rPr>
                <w:rFonts w:ascii="Arial" w:cs="Arial" w:eastAsia="Arial" w:hAnsi="Arial"/>
                <w:sz w:val="14"/>
                <w:szCs w:val="14"/>
                <w:color w:val="092E44"/>
              </w:rPr>
              <w:t>416,654</w:t>
            </w:r>
          </w:p>
        </w:tc>
        <w:tc>
          <w:tcPr>
            <w:tcW w:w="1000" w:type="dxa"/>
            <w:vAlign w:val="bottom"/>
          </w:tcPr>
          <w:p>
            <w:pPr>
              <w:jc w:val="right"/>
              <w:ind w:right="250"/>
              <w:spacing w:after="0"/>
              <w:rPr>
                <w:sz w:val="20"/>
                <w:szCs w:val="20"/>
                <w:color w:val="auto"/>
              </w:rPr>
            </w:pPr>
            <w:r>
              <w:rPr>
                <w:rFonts w:ascii="Arial" w:cs="Arial" w:eastAsia="Arial" w:hAnsi="Arial"/>
                <w:sz w:val="14"/>
                <w:szCs w:val="14"/>
                <w:color w:val="092E44"/>
              </w:rPr>
              <w:t>—</w:t>
            </w:r>
          </w:p>
        </w:tc>
        <w:tc>
          <w:tcPr>
            <w:tcW w:w="920" w:type="dxa"/>
            <w:vAlign w:val="bottom"/>
          </w:tcPr>
          <w:p>
            <w:pPr>
              <w:jc w:val="right"/>
              <w:ind w:right="51"/>
              <w:spacing w:after="0"/>
              <w:rPr>
                <w:sz w:val="20"/>
                <w:szCs w:val="20"/>
                <w:color w:val="auto"/>
              </w:rPr>
            </w:pPr>
            <w:r>
              <w:rPr>
                <w:rFonts w:ascii="Arial" w:cs="Arial" w:eastAsia="Arial" w:hAnsi="Arial"/>
                <w:sz w:val="14"/>
                <w:szCs w:val="14"/>
                <w:color w:val="092E44"/>
              </w:rPr>
              <w:t>1,530,963</w:t>
            </w:r>
          </w:p>
        </w:tc>
        <w:tc>
          <w:tcPr>
            <w:tcW w:w="1080" w:type="dxa"/>
            <w:vAlign w:val="bottom"/>
          </w:tcPr>
          <w:p>
            <w:pPr>
              <w:jc w:val="right"/>
              <w:ind w:right="71"/>
              <w:spacing w:after="0"/>
              <w:rPr>
                <w:sz w:val="20"/>
                <w:szCs w:val="20"/>
                <w:color w:val="auto"/>
              </w:rPr>
            </w:pPr>
            <w:r>
              <w:rPr>
                <w:rFonts w:ascii="Arial" w:cs="Arial" w:eastAsia="Arial" w:hAnsi="Arial"/>
                <w:sz w:val="14"/>
                <w:szCs w:val="14"/>
                <w:color w:val="092E44"/>
              </w:rPr>
              <w:t>577,539</w:t>
            </w:r>
          </w:p>
        </w:tc>
        <w:tc>
          <w:tcPr>
            <w:tcW w:w="1200" w:type="dxa"/>
            <w:vAlign w:val="bottom"/>
          </w:tcPr>
          <w:p>
            <w:pPr>
              <w:jc w:val="right"/>
              <w:ind w:right="191"/>
              <w:spacing w:after="0"/>
              <w:rPr>
                <w:sz w:val="20"/>
                <w:szCs w:val="20"/>
                <w:color w:val="auto"/>
              </w:rPr>
            </w:pPr>
            <w:r>
              <w:rPr>
                <w:rFonts w:ascii="Arial" w:cs="Arial" w:eastAsia="Arial" w:hAnsi="Arial"/>
                <w:sz w:val="14"/>
                <w:szCs w:val="14"/>
                <w:color w:val="092E44"/>
              </w:rPr>
              <w:t>5,438</w:t>
            </w:r>
          </w:p>
        </w:tc>
        <w:tc>
          <w:tcPr>
            <w:tcW w:w="920" w:type="dxa"/>
            <w:vAlign w:val="bottom"/>
          </w:tcPr>
          <w:p>
            <w:pPr>
              <w:jc w:val="right"/>
              <w:ind w:right="30"/>
              <w:spacing w:after="0"/>
              <w:rPr>
                <w:sz w:val="20"/>
                <w:szCs w:val="20"/>
                <w:color w:val="auto"/>
              </w:rPr>
            </w:pPr>
            <w:r>
              <w:rPr>
                <w:rFonts w:ascii="Arial" w:cs="Arial" w:eastAsia="Arial" w:hAnsi="Arial"/>
                <w:sz w:val="14"/>
                <w:szCs w:val="14"/>
                <w:color w:val="092E44"/>
              </w:rPr>
              <w:t>2,530,594</w:t>
            </w:r>
          </w:p>
        </w:tc>
        <w:tc>
          <w:tcPr>
            <w:tcW w:w="0" w:type="dxa"/>
            <w:vAlign w:val="bottom"/>
          </w:tcPr>
          <w:p>
            <w:pPr>
              <w:spacing w:after="0"/>
              <w:rPr>
                <w:sz w:val="1"/>
                <w:szCs w:val="1"/>
                <w:color w:val="auto"/>
              </w:rPr>
            </w:pPr>
          </w:p>
        </w:tc>
      </w:tr>
      <w:tr>
        <w:trPr>
          <w:trHeight w:val="294"/>
        </w:trPr>
        <w:tc>
          <w:tcPr>
            <w:tcW w:w="4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092E44"/>
              </w:rPr>
              <w:t>2020</w:t>
            </w:r>
          </w:p>
        </w:tc>
        <w:tc>
          <w:tcPr>
            <w:tcW w:w="920" w:type="dxa"/>
            <w:vAlign w:val="bottom"/>
          </w:tcPr>
          <w:p>
            <w:pPr>
              <w:jc w:val="right"/>
              <w:ind w:right="70"/>
              <w:spacing w:after="0"/>
              <w:rPr>
                <w:sz w:val="20"/>
                <w:szCs w:val="20"/>
                <w:color w:val="auto"/>
              </w:rPr>
            </w:pPr>
            <w:r>
              <w:rPr>
                <w:rFonts w:ascii="Arial" w:cs="Arial" w:eastAsia="Arial" w:hAnsi="Arial"/>
                <w:sz w:val="14"/>
                <w:szCs w:val="14"/>
                <w:color w:val="092E44"/>
              </w:rPr>
              <w:t>380,385</w:t>
            </w:r>
          </w:p>
        </w:tc>
        <w:tc>
          <w:tcPr>
            <w:tcW w:w="1000" w:type="dxa"/>
            <w:vAlign w:val="bottom"/>
          </w:tcPr>
          <w:p>
            <w:pPr>
              <w:jc w:val="right"/>
              <w:ind w:right="70"/>
              <w:spacing w:after="0"/>
              <w:rPr>
                <w:sz w:val="20"/>
                <w:szCs w:val="20"/>
                <w:color w:val="auto"/>
              </w:rPr>
            </w:pPr>
            <w:r>
              <w:rPr>
                <w:rFonts w:ascii="Arial" w:cs="Arial" w:eastAsia="Arial" w:hAnsi="Arial"/>
                <w:sz w:val="14"/>
                <w:szCs w:val="14"/>
                <w:color w:val="092E44"/>
              </w:rPr>
              <w:t>100,000(2)</w:t>
            </w:r>
          </w:p>
        </w:tc>
        <w:tc>
          <w:tcPr>
            <w:tcW w:w="920" w:type="dxa"/>
            <w:vAlign w:val="bottom"/>
          </w:tcPr>
          <w:p>
            <w:pPr>
              <w:jc w:val="right"/>
              <w:ind w:right="51"/>
              <w:spacing w:after="0"/>
              <w:rPr>
                <w:sz w:val="20"/>
                <w:szCs w:val="20"/>
                <w:color w:val="auto"/>
              </w:rPr>
            </w:pPr>
            <w:r>
              <w:rPr>
                <w:rFonts w:ascii="Arial" w:cs="Arial" w:eastAsia="Arial" w:hAnsi="Arial"/>
                <w:sz w:val="14"/>
                <w:szCs w:val="14"/>
                <w:color w:val="092E44"/>
              </w:rPr>
              <w:t>1,459,584</w:t>
            </w:r>
          </w:p>
        </w:tc>
        <w:tc>
          <w:tcPr>
            <w:tcW w:w="1080" w:type="dxa"/>
            <w:vAlign w:val="bottom"/>
          </w:tcPr>
          <w:p>
            <w:pPr>
              <w:jc w:val="right"/>
              <w:ind w:right="71"/>
              <w:spacing w:after="0"/>
              <w:rPr>
                <w:sz w:val="20"/>
                <w:szCs w:val="20"/>
                <w:color w:val="auto"/>
              </w:rPr>
            </w:pPr>
            <w:r>
              <w:rPr>
                <w:rFonts w:ascii="Arial" w:cs="Arial" w:eastAsia="Arial" w:hAnsi="Arial"/>
                <w:sz w:val="14"/>
                <w:szCs w:val="14"/>
                <w:color w:val="092E44"/>
              </w:rPr>
              <w:t>231,000</w:t>
            </w:r>
          </w:p>
        </w:tc>
        <w:tc>
          <w:tcPr>
            <w:tcW w:w="1200" w:type="dxa"/>
            <w:vAlign w:val="bottom"/>
          </w:tcPr>
          <w:p>
            <w:pPr>
              <w:jc w:val="right"/>
              <w:ind w:right="191"/>
              <w:spacing w:after="0"/>
              <w:rPr>
                <w:sz w:val="20"/>
                <w:szCs w:val="20"/>
                <w:color w:val="auto"/>
              </w:rPr>
            </w:pPr>
            <w:r>
              <w:rPr>
                <w:rFonts w:ascii="Arial" w:cs="Arial" w:eastAsia="Arial" w:hAnsi="Arial"/>
                <w:sz w:val="14"/>
                <w:szCs w:val="14"/>
                <w:color w:val="092E44"/>
              </w:rPr>
              <w:t>5,292</w:t>
            </w:r>
          </w:p>
        </w:tc>
        <w:tc>
          <w:tcPr>
            <w:tcW w:w="920" w:type="dxa"/>
            <w:vAlign w:val="bottom"/>
          </w:tcPr>
          <w:p>
            <w:pPr>
              <w:jc w:val="right"/>
              <w:ind w:right="30"/>
              <w:spacing w:after="0"/>
              <w:rPr>
                <w:sz w:val="20"/>
                <w:szCs w:val="20"/>
                <w:color w:val="auto"/>
              </w:rPr>
            </w:pPr>
            <w:r>
              <w:rPr>
                <w:rFonts w:ascii="Arial" w:cs="Arial" w:eastAsia="Arial" w:hAnsi="Arial"/>
                <w:sz w:val="14"/>
                <w:szCs w:val="14"/>
                <w:color w:val="092E44"/>
              </w:rPr>
              <w:t>2,176,259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30480</wp:posOffset>
            </wp:positionV>
            <wp:extent cx="69297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0" w:lineRule="exact"/>
        <w:rPr>
          <w:sz w:val="20"/>
          <w:szCs w:val="20"/>
          <w:color w:val="auto"/>
        </w:rPr>
      </w:pPr>
    </w:p>
    <w:p>
      <w:pPr>
        <w:ind w:left="480" w:hanging="313"/>
        <w:spacing w:after="0"/>
        <w:tabs>
          <w:tab w:leader="none" w:pos="480" w:val="left"/>
        </w:tabs>
        <w:numPr>
          <w:ilvl w:val="0"/>
          <w:numId w:val="19"/>
        </w:numPr>
        <w:rPr>
          <w:rFonts w:ascii="Arial" w:cs="Arial" w:eastAsia="Arial" w:hAnsi="Arial"/>
          <w:sz w:val="12"/>
          <w:szCs w:val="12"/>
          <w:color w:val="092E44"/>
        </w:rPr>
      </w:pPr>
      <w:r>
        <w:rPr>
          <w:rFonts w:ascii="Arial" w:cs="Arial" w:eastAsia="Arial" w:hAnsi="Arial"/>
          <w:sz w:val="12"/>
          <w:szCs w:val="12"/>
          <w:color w:val="092E44"/>
        </w:rPr>
        <w:t>This amount represents the guaranteed bonus due to Mr. Mirchandani as described in his February 2019 employment agreement, limited to fiscal years 2019 and 2020.</w:t>
      </w:r>
    </w:p>
    <w:p>
      <w:pPr>
        <w:spacing w:after="0" w:line="7" w:lineRule="exact"/>
        <w:rPr>
          <w:rFonts w:ascii="Arial" w:cs="Arial" w:eastAsia="Arial" w:hAnsi="Arial"/>
          <w:sz w:val="12"/>
          <w:szCs w:val="12"/>
          <w:color w:val="092E44"/>
        </w:rPr>
      </w:pPr>
    </w:p>
    <w:p>
      <w:pPr>
        <w:ind w:left="480" w:hanging="313"/>
        <w:spacing w:after="0" w:line="232" w:lineRule="auto"/>
        <w:tabs>
          <w:tab w:leader="none" w:pos="480" w:val="left"/>
        </w:tabs>
        <w:numPr>
          <w:ilvl w:val="0"/>
          <w:numId w:val="19"/>
        </w:numPr>
        <w:rPr>
          <w:rFonts w:ascii="Arial" w:cs="Arial" w:eastAsia="Arial" w:hAnsi="Arial"/>
          <w:sz w:val="12"/>
          <w:szCs w:val="12"/>
          <w:color w:val="092E44"/>
        </w:rPr>
      </w:pPr>
      <w:r>
        <w:rPr>
          <w:rFonts w:ascii="Arial" w:cs="Arial" w:eastAsia="Arial" w:hAnsi="Arial"/>
          <w:sz w:val="12"/>
          <w:szCs w:val="12"/>
          <w:color w:val="092E44"/>
        </w:rPr>
        <w:t>This amount represents Mr. Di Blasio’s one-time cash sign-on bonus.</w:t>
      </w:r>
    </w:p>
    <w:p>
      <w:pPr>
        <w:ind w:left="480" w:right="220" w:hanging="313"/>
        <w:spacing w:after="0" w:line="232" w:lineRule="auto"/>
        <w:tabs>
          <w:tab w:leader="none" w:pos="480" w:val="left"/>
        </w:tabs>
        <w:numPr>
          <w:ilvl w:val="0"/>
          <w:numId w:val="19"/>
        </w:numPr>
        <w:rPr>
          <w:rFonts w:ascii="Arial" w:cs="Arial" w:eastAsia="Arial" w:hAnsi="Arial"/>
          <w:sz w:val="12"/>
          <w:szCs w:val="12"/>
          <w:color w:val="092E44"/>
        </w:rPr>
      </w:pPr>
      <w:r>
        <w:rPr>
          <w:rFonts w:ascii="Arial" w:cs="Arial" w:eastAsia="Arial" w:hAnsi="Arial"/>
          <w:sz w:val="12"/>
          <w:szCs w:val="12"/>
          <w:color w:val="092E44"/>
        </w:rPr>
        <w:t>The amounts reported in this column represent the grant date fair value of the restricted stock unit awards and performance stock unit awards granted during the fiscal year indicated as computed in accordance with FASB ASC Topic 718. The amounts shown disregard estimated forfeitures related to service-based vesting conditions and assume performance stock units at target (100%). If the performance stock unit awards are achieved at the maximum (generally 200%, but 210% in the case of Mr. Di Blasio), this would result in stock award values of $14,421,770 (for Mr. Mirchandani), $3,393,092 (for Mr. Carolan), and $4,306,495 (for Mr. Di Blasio). See Note 10 of our consolidated financial statements contained in our Annual Report on Form 10-K for the year ended March 31, 2022, for a discussion of the assumptions we made in determining the grant date fair value of such awards.</w:t>
      </w:r>
    </w:p>
    <w:p>
      <w:pPr>
        <w:spacing w:after="0" w:line="1" w:lineRule="exact"/>
        <w:rPr>
          <w:rFonts w:ascii="Arial" w:cs="Arial" w:eastAsia="Arial" w:hAnsi="Arial"/>
          <w:sz w:val="12"/>
          <w:szCs w:val="12"/>
          <w:color w:val="092E44"/>
        </w:rPr>
      </w:pPr>
    </w:p>
    <w:p>
      <w:pPr>
        <w:ind w:left="480" w:right="400" w:hanging="313"/>
        <w:spacing w:after="0" w:line="232" w:lineRule="auto"/>
        <w:tabs>
          <w:tab w:leader="none" w:pos="480" w:val="left"/>
        </w:tabs>
        <w:numPr>
          <w:ilvl w:val="0"/>
          <w:numId w:val="19"/>
        </w:numPr>
        <w:rPr>
          <w:rFonts w:ascii="Arial" w:cs="Arial" w:eastAsia="Arial" w:hAnsi="Arial"/>
          <w:sz w:val="12"/>
          <w:szCs w:val="12"/>
          <w:color w:val="092E44"/>
        </w:rPr>
      </w:pPr>
      <w:r>
        <w:rPr>
          <w:rFonts w:ascii="Arial" w:cs="Arial" w:eastAsia="Arial" w:hAnsi="Arial"/>
          <w:sz w:val="12"/>
          <w:szCs w:val="12"/>
          <w:color w:val="092E44"/>
        </w:rPr>
        <w:t>The amounts reported in this column consist of annual cash incentive bonuses earned in fiscal 2022 and are more fully described above under the heading “Annual Incentive Plan” in the Compensation Discussion and Analysis.</w:t>
      </w:r>
    </w:p>
    <w:p>
      <w:pPr>
        <w:ind w:left="480" w:right="200" w:hanging="313"/>
        <w:spacing w:after="0" w:line="232" w:lineRule="auto"/>
        <w:tabs>
          <w:tab w:leader="none" w:pos="480" w:val="left"/>
        </w:tabs>
        <w:numPr>
          <w:ilvl w:val="0"/>
          <w:numId w:val="19"/>
        </w:numPr>
        <w:rPr>
          <w:rFonts w:ascii="Arial" w:cs="Arial" w:eastAsia="Arial" w:hAnsi="Arial"/>
          <w:sz w:val="12"/>
          <w:szCs w:val="12"/>
          <w:color w:val="092E44"/>
        </w:rPr>
      </w:pPr>
      <w:r>
        <w:rPr>
          <w:rFonts w:ascii="Arial" w:cs="Arial" w:eastAsia="Arial" w:hAnsi="Arial"/>
          <w:sz w:val="12"/>
          <w:szCs w:val="12"/>
          <w:color w:val="092E44"/>
        </w:rPr>
        <w:t>Mr. Mirchandani’ s other annual compensation in fiscal 2022 included a monthly housing and travel allowance of $15,000 per month for three months for a total of $45,000 for the fiscal year, relocation reimbursement of $6,745, and $8,823 related to his 401(k) plan company matching contributions.</w:t>
      </w:r>
    </w:p>
    <w:p>
      <w:pPr>
        <w:ind w:left="480" w:hanging="313"/>
        <w:spacing w:after="0" w:line="232" w:lineRule="auto"/>
        <w:tabs>
          <w:tab w:leader="none" w:pos="480" w:val="left"/>
        </w:tabs>
        <w:numPr>
          <w:ilvl w:val="0"/>
          <w:numId w:val="19"/>
        </w:numPr>
        <w:rPr>
          <w:rFonts w:ascii="Arial" w:cs="Arial" w:eastAsia="Arial" w:hAnsi="Arial"/>
          <w:sz w:val="12"/>
          <w:szCs w:val="12"/>
          <w:color w:val="092E44"/>
        </w:rPr>
      </w:pPr>
      <w:r>
        <w:rPr>
          <w:rFonts w:ascii="Arial" w:cs="Arial" w:eastAsia="Arial" w:hAnsi="Arial"/>
          <w:sz w:val="12"/>
          <w:szCs w:val="12"/>
          <w:color w:val="092E44"/>
        </w:rPr>
        <w:t>Mr. Carolan’s other annual compensation in fiscal 2022 included his 401(k) plan company matching contributions of $8,263.</w:t>
      </w:r>
    </w:p>
    <w:p>
      <w:pPr>
        <w:ind w:left="480" w:hanging="313"/>
        <w:spacing w:after="0"/>
        <w:tabs>
          <w:tab w:leader="none" w:pos="480" w:val="left"/>
        </w:tabs>
        <w:numPr>
          <w:ilvl w:val="0"/>
          <w:numId w:val="19"/>
        </w:numPr>
        <w:rPr>
          <w:rFonts w:ascii="Arial" w:cs="Arial" w:eastAsia="Arial" w:hAnsi="Arial"/>
          <w:sz w:val="12"/>
          <w:szCs w:val="12"/>
          <w:color w:val="092E44"/>
        </w:rPr>
      </w:pPr>
      <w:r>
        <w:rPr>
          <w:rFonts w:ascii="Arial" w:cs="Arial" w:eastAsia="Arial" w:hAnsi="Arial"/>
          <w:sz w:val="12"/>
          <w:szCs w:val="12"/>
          <w:color w:val="092E44"/>
        </w:rPr>
        <w:t>Mr. Di Blasio’s other annual compensation in fiscal 2022 included his 401(k) plan company matching contributions of $8,185.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247650</wp:posOffset>
            </wp:positionV>
            <wp:extent cx="220980" cy="2120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41</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80"/>
          </w:cols>
          <w:pgMar w:left="320" w:top="454"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COMPENSATION TABLES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FISCAL 2022 GRANTS OF PLAN BASED AWARDS TABLE</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Fiscal 2022 Grants of Plan Based Awards Table</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The following table sets forth information as to grants of plan-based awards to our named executive officers in fiscal 2022.</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40" w:type="dxa"/>
        <w:tblCellMar>
          <w:top w:w="0" w:type="dxa"/>
          <w:left w:w="0" w:type="dxa"/>
          <w:bottom w:w="0" w:type="dxa"/>
          <w:right w:w="0" w:type="dxa"/>
        </w:tblCellMar>
      </w:tblPr>
      <w:tr>
        <w:trPr>
          <w:trHeight w:val="138"/>
        </w:trPr>
        <w:tc>
          <w:tcPr>
            <w:tcW w:w="15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40" w:type="dxa"/>
            <w:vAlign w:val="bottom"/>
            <w:gridSpan w:val="4"/>
          </w:tcPr>
          <w:p>
            <w:pPr>
              <w:jc w:val="center"/>
              <w:ind w:right="240"/>
              <w:spacing w:after="0"/>
              <w:rPr>
                <w:sz w:val="20"/>
                <w:szCs w:val="20"/>
                <w:color w:val="auto"/>
              </w:rPr>
            </w:pPr>
            <w:r>
              <w:rPr>
                <w:rFonts w:ascii="Arial" w:cs="Arial" w:eastAsia="Arial" w:hAnsi="Arial"/>
                <w:sz w:val="12"/>
                <w:szCs w:val="12"/>
                <w:color w:val="092E44"/>
              </w:rPr>
              <w:t>Estimated future payouts under non-equity</w:t>
            </w:r>
          </w:p>
        </w:tc>
        <w:tc>
          <w:tcPr>
            <w:tcW w:w="2580" w:type="dxa"/>
            <w:vAlign w:val="bottom"/>
            <w:gridSpan w:val="3"/>
          </w:tcPr>
          <w:p>
            <w:pPr>
              <w:ind w:left="420"/>
              <w:spacing w:after="0"/>
              <w:rPr>
                <w:sz w:val="20"/>
                <w:szCs w:val="20"/>
                <w:color w:val="auto"/>
              </w:rPr>
            </w:pPr>
            <w:r>
              <w:rPr>
                <w:rFonts w:ascii="Arial" w:cs="Arial" w:eastAsia="Arial" w:hAnsi="Arial"/>
                <w:sz w:val="12"/>
                <w:szCs w:val="12"/>
                <w:color w:val="092E44"/>
              </w:rPr>
              <w:t>Estimated future payouts under</w:t>
            </w:r>
          </w:p>
        </w:tc>
        <w:tc>
          <w:tcPr>
            <w:tcW w:w="0" w:type="dxa"/>
            <w:vAlign w:val="bottom"/>
          </w:tcPr>
          <w:p>
            <w:pPr>
              <w:spacing w:after="0"/>
              <w:rPr>
                <w:sz w:val="1"/>
                <w:szCs w:val="1"/>
                <w:color w:val="auto"/>
              </w:rPr>
            </w:pPr>
          </w:p>
        </w:tc>
      </w:tr>
      <w:tr>
        <w:trPr>
          <w:trHeight w:val="152"/>
        </w:trPr>
        <w:tc>
          <w:tcPr>
            <w:tcW w:w="1520" w:type="dxa"/>
            <w:vAlign w:val="bottom"/>
          </w:tcPr>
          <w:p>
            <w:pPr>
              <w:spacing w:after="0"/>
              <w:rPr>
                <w:sz w:val="13"/>
                <w:szCs w:val="13"/>
                <w:color w:val="auto"/>
              </w:rPr>
            </w:pPr>
          </w:p>
        </w:tc>
        <w:tc>
          <w:tcPr>
            <w:tcW w:w="1940" w:type="dxa"/>
            <w:vAlign w:val="bottom"/>
            <w:vMerge w:val="restart"/>
          </w:tcPr>
          <w:p>
            <w:pPr>
              <w:jc w:val="right"/>
              <w:ind w:right="178"/>
              <w:spacing w:after="0"/>
              <w:rPr>
                <w:sz w:val="20"/>
                <w:szCs w:val="20"/>
                <w:color w:val="auto"/>
              </w:rPr>
            </w:pPr>
            <w:r>
              <w:rPr>
                <w:rFonts w:ascii="Arial" w:cs="Arial" w:eastAsia="Arial" w:hAnsi="Arial"/>
                <w:sz w:val="12"/>
                <w:szCs w:val="12"/>
                <w:color w:val="092E44"/>
              </w:rPr>
              <w:t>Grant &amp;</w:t>
            </w:r>
          </w:p>
        </w:tc>
        <w:tc>
          <w:tcPr>
            <w:tcW w:w="2100" w:type="dxa"/>
            <w:vAlign w:val="bottom"/>
            <w:tcBorders>
              <w:bottom w:val="single" w:sz="8" w:color="092E44"/>
            </w:tcBorders>
            <w:gridSpan w:val="2"/>
          </w:tcPr>
          <w:p>
            <w:pPr>
              <w:jc w:val="center"/>
              <w:ind w:left="638"/>
              <w:spacing w:after="0"/>
              <w:rPr>
                <w:sz w:val="20"/>
                <w:szCs w:val="20"/>
                <w:color w:val="auto"/>
              </w:rPr>
            </w:pPr>
            <w:r>
              <w:rPr>
                <w:rFonts w:ascii="Arial" w:cs="Arial" w:eastAsia="Arial" w:hAnsi="Arial"/>
                <w:sz w:val="12"/>
                <w:szCs w:val="12"/>
                <w:color w:val="092E44"/>
              </w:rPr>
              <w:t>incentive plan awards ($)</w:t>
            </w:r>
          </w:p>
        </w:tc>
        <w:tc>
          <w:tcPr>
            <w:tcW w:w="700" w:type="dxa"/>
            <w:vAlign w:val="bottom"/>
            <w:tcBorders>
              <w:bottom w:val="single" w:sz="8" w:color="092E44"/>
            </w:tcBorders>
          </w:tcPr>
          <w:p>
            <w:pPr>
              <w:spacing w:after="0"/>
              <w:rPr>
                <w:sz w:val="13"/>
                <w:szCs w:val="13"/>
                <w:color w:val="auto"/>
              </w:rPr>
            </w:pPr>
          </w:p>
        </w:tc>
        <w:tc>
          <w:tcPr>
            <w:tcW w:w="240" w:type="dxa"/>
            <w:vAlign w:val="bottom"/>
          </w:tcPr>
          <w:p>
            <w:pPr>
              <w:spacing w:after="0"/>
              <w:rPr>
                <w:sz w:val="13"/>
                <w:szCs w:val="13"/>
                <w:color w:val="auto"/>
              </w:rPr>
            </w:pPr>
          </w:p>
        </w:tc>
        <w:tc>
          <w:tcPr>
            <w:tcW w:w="2580" w:type="dxa"/>
            <w:vAlign w:val="bottom"/>
            <w:tcBorders>
              <w:bottom w:val="single" w:sz="8" w:color="092E44"/>
            </w:tcBorders>
            <w:gridSpan w:val="3"/>
          </w:tcPr>
          <w:p>
            <w:pPr>
              <w:ind w:left="420"/>
              <w:spacing w:after="0"/>
              <w:rPr>
                <w:sz w:val="20"/>
                <w:szCs w:val="20"/>
                <w:color w:val="auto"/>
              </w:rPr>
            </w:pPr>
            <w:r>
              <w:rPr>
                <w:rFonts w:ascii="Arial" w:cs="Arial" w:eastAsia="Arial" w:hAnsi="Arial"/>
                <w:sz w:val="12"/>
                <w:szCs w:val="12"/>
                <w:color w:val="092E44"/>
              </w:rPr>
              <w:t>equity incentive plan awards (#)</w:t>
            </w:r>
          </w:p>
        </w:tc>
        <w:tc>
          <w:tcPr>
            <w:tcW w:w="0" w:type="dxa"/>
            <w:vAlign w:val="bottom"/>
          </w:tcPr>
          <w:p>
            <w:pPr>
              <w:spacing w:after="0"/>
              <w:rPr>
                <w:sz w:val="1"/>
                <w:szCs w:val="1"/>
                <w:color w:val="auto"/>
              </w:rPr>
            </w:pPr>
          </w:p>
        </w:tc>
      </w:tr>
      <w:tr>
        <w:trPr>
          <w:trHeight w:val="123"/>
        </w:trPr>
        <w:tc>
          <w:tcPr>
            <w:tcW w:w="152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520" w:type="dxa"/>
            <w:vAlign w:val="bottom"/>
          </w:tcPr>
          <w:p>
            <w:pPr>
              <w:spacing w:after="0"/>
              <w:rPr>
                <w:sz w:val="11"/>
                <w:szCs w:val="11"/>
                <w:color w:val="auto"/>
              </w:rPr>
            </w:pPr>
          </w:p>
        </w:tc>
        <w:tc>
          <w:tcPr>
            <w:tcW w:w="1940" w:type="dxa"/>
            <w:vAlign w:val="bottom"/>
          </w:tcPr>
          <w:p>
            <w:pPr>
              <w:jc w:val="right"/>
              <w:ind w:right="178"/>
              <w:spacing w:after="0" w:line="134" w:lineRule="exact"/>
              <w:rPr>
                <w:sz w:val="20"/>
                <w:szCs w:val="20"/>
                <w:color w:val="auto"/>
              </w:rPr>
            </w:pPr>
            <w:r>
              <w:rPr>
                <w:rFonts w:ascii="Arial" w:cs="Arial" w:eastAsia="Arial" w:hAnsi="Arial"/>
                <w:sz w:val="12"/>
                <w:szCs w:val="12"/>
                <w:color w:val="092E44"/>
              </w:rPr>
              <w:t>Approval</w:t>
            </w:r>
          </w:p>
        </w:tc>
        <w:tc>
          <w:tcPr>
            <w:tcW w:w="1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520" w:type="dxa"/>
            <w:vAlign w:val="bottom"/>
          </w:tcPr>
          <w:p>
            <w:pPr>
              <w:spacing w:after="0"/>
              <w:rPr>
                <w:sz w:val="20"/>
                <w:szCs w:val="20"/>
                <w:color w:val="auto"/>
              </w:rPr>
            </w:pPr>
            <w:r>
              <w:rPr>
                <w:rFonts w:ascii="Arial" w:cs="Arial" w:eastAsia="Arial" w:hAnsi="Arial"/>
                <w:sz w:val="12"/>
                <w:szCs w:val="12"/>
                <w:color w:val="092E44"/>
              </w:rPr>
              <w:t>Name</w:t>
            </w:r>
          </w:p>
        </w:tc>
        <w:tc>
          <w:tcPr>
            <w:tcW w:w="1940" w:type="dxa"/>
            <w:vAlign w:val="bottom"/>
          </w:tcPr>
          <w:p>
            <w:pPr>
              <w:jc w:val="right"/>
              <w:ind w:right="178"/>
              <w:spacing w:after="0"/>
              <w:rPr>
                <w:sz w:val="20"/>
                <w:szCs w:val="20"/>
                <w:color w:val="auto"/>
              </w:rPr>
            </w:pPr>
            <w:r>
              <w:rPr>
                <w:rFonts w:ascii="Arial" w:cs="Arial" w:eastAsia="Arial" w:hAnsi="Arial"/>
                <w:sz w:val="12"/>
                <w:szCs w:val="12"/>
                <w:color w:val="092E44"/>
              </w:rPr>
              <w:t>Date</w:t>
            </w:r>
          </w:p>
        </w:tc>
        <w:tc>
          <w:tcPr>
            <w:tcW w:w="1120" w:type="dxa"/>
            <w:vAlign w:val="bottom"/>
          </w:tcPr>
          <w:p>
            <w:pPr>
              <w:ind w:left="140"/>
              <w:spacing w:after="0"/>
              <w:rPr>
                <w:sz w:val="20"/>
                <w:szCs w:val="20"/>
                <w:color w:val="auto"/>
              </w:rPr>
            </w:pPr>
            <w:r>
              <w:rPr>
                <w:rFonts w:ascii="Arial" w:cs="Arial" w:eastAsia="Arial" w:hAnsi="Arial"/>
                <w:sz w:val="12"/>
                <w:szCs w:val="12"/>
                <w:color w:val="092E44"/>
              </w:rPr>
              <w:t>Threshold(1)</w:t>
            </w:r>
          </w:p>
        </w:tc>
        <w:tc>
          <w:tcPr>
            <w:tcW w:w="980" w:type="dxa"/>
            <w:vAlign w:val="bottom"/>
          </w:tcPr>
          <w:p>
            <w:pPr>
              <w:ind w:left="260"/>
              <w:spacing w:after="0"/>
              <w:rPr>
                <w:sz w:val="20"/>
                <w:szCs w:val="20"/>
                <w:color w:val="auto"/>
              </w:rPr>
            </w:pPr>
            <w:r>
              <w:rPr>
                <w:rFonts w:ascii="Arial" w:cs="Arial" w:eastAsia="Arial" w:hAnsi="Arial"/>
                <w:sz w:val="12"/>
                <w:szCs w:val="12"/>
                <w:color w:val="092E44"/>
              </w:rPr>
              <w:t>Target(2)</w:t>
            </w:r>
          </w:p>
        </w:tc>
        <w:tc>
          <w:tcPr>
            <w:tcW w:w="940" w:type="dxa"/>
            <w:vAlign w:val="bottom"/>
            <w:gridSpan w:val="2"/>
          </w:tcPr>
          <w:p>
            <w:pPr>
              <w:ind w:left="20"/>
              <w:spacing w:after="0"/>
              <w:rPr>
                <w:sz w:val="20"/>
                <w:szCs w:val="20"/>
                <w:color w:val="auto"/>
              </w:rPr>
            </w:pPr>
            <w:r>
              <w:rPr>
                <w:rFonts w:ascii="Arial" w:cs="Arial" w:eastAsia="Arial" w:hAnsi="Arial"/>
                <w:sz w:val="12"/>
                <w:szCs w:val="12"/>
                <w:color w:val="092E44"/>
              </w:rPr>
              <w:t>Maximum(3)</w:t>
            </w:r>
          </w:p>
        </w:tc>
        <w:tc>
          <w:tcPr>
            <w:tcW w:w="1020" w:type="dxa"/>
            <w:vAlign w:val="bottom"/>
          </w:tcPr>
          <w:p>
            <w:pPr>
              <w:ind w:left="180"/>
              <w:spacing w:after="0"/>
              <w:rPr>
                <w:sz w:val="20"/>
                <w:szCs w:val="20"/>
                <w:color w:val="auto"/>
              </w:rPr>
            </w:pPr>
            <w:r>
              <w:rPr>
                <w:rFonts w:ascii="Arial" w:cs="Arial" w:eastAsia="Arial" w:hAnsi="Arial"/>
                <w:sz w:val="12"/>
                <w:szCs w:val="12"/>
                <w:color w:val="092E44"/>
              </w:rPr>
              <w:t>Threshold(4)</w:t>
            </w:r>
          </w:p>
        </w:tc>
        <w:tc>
          <w:tcPr>
            <w:tcW w:w="740" w:type="dxa"/>
            <w:vAlign w:val="bottom"/>
          </w:tcPr>
          <w:p>
            <w:pPr>
              <w:ind w:left="120"/>
              <w:spacing w:after="0"/>
              <w:rPr>
                <w:sz w:val="20"/>
                <w:szCs w:val="20"/>
                <w:color w:val="auto"/>
              </w:rPr>
            </w:pPr>
            <w:r>
              <w:rPr>
                <w:rFonts w:ascii="Arial" w:cs="Arial" w:eastAsia="Arial" w:hAnsi="Arial"/>
                <w:sz w:val="12"/>
                <w:szCs w:val="12"/>
                <w:color w:val="092E44"/>
              </w:rPr>
              <w:t>Target(5)</w:t>
            </w:r>
          </w:p>
        </w:tc>
        <w:tc>
          <w:tcPr>
            <w:tcW w:w="820" w:type="dxa"/>
            <w:vAlign w:val="bottom"/>
          </w:tcPr>
          <w:p>
            <w:pPr>
              <w:ind w:left="120"/>
              <w:spacing w:after="0"/>
              <w:rPr>
                <w:sz w:val="20"/>
                <w:szCs w:val="20"/>
                <w:color w:val="auto"/>
              </w:rPr>
            </w:pPr>
            <w:r>
              <w:rPr>
                <w:rFonts w:ascii="Arial" w:cs="Arial" w:eastAsia="Arial" w:hAnsi="Arial"/>
                <w:sz w:val="12"/>
                <w:szCs w:val="12"/>
                <w:color w:val="092E44"/>
              </w:rPr>
              <w:t>Maximum(6)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34290</wp:posOffset>
            </wp:positionV>
            <wp:extent cx="69297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jc w:val="right"/>
              <w:ind w:right="58"/>
              <w:spacing w:after="0"/>
              <w:rPr>
                <w:sz w:val="20"/>
                <w:szCs w:val="20"/>
                <w:color w:val="auto"/>
              </w:rPr>
            </w:pPr>
            <w:r>
              <w:rPr>
                <w:rFonts w:ascii="Arial" w:cs="Arial" w:eastAsia="Arial" w:hAnsi="Arial"/>
                <w:sz w:val="12"/>
                <w:szCs w:val="12"/>
                <w:color w:val="092E44"/>
              </w:rPr>
              <w:t>All Other</w:t>
            </w:r>
          </w:p>
        </w:tc>
        <w:tc>
          <w:tcPr>
            <w:tcW w:w="720" w:type="dxa"/>
            <w:vAlign w:val="bottom"/>
          </w:tcPr>
          <w:p>
            <w:pPr>
              <w:spacing w:after="0"/>
              <w:rPr>
                <w:sz w:val="12"/>
                <w:szCs w:val="12"/>
                <w:color w:val="auto"/>
              </w:rPr>
            </w:pPr>
          </w:p>
        </w:tc>
      </w:tr>
      <w:tr>
        <w:trPr>
          <w:trHeight w:val="134"/>
        </w:trPr>
        <w:tc>
          <w:tcPr>
            <w:tcW w:w="700" w:type="dxa"/>
            <w:vAlign w:val="bottom"/>
          </w:tcPr>
          <w:p>
            <w:pPr>
              <w:jc w:val="right"/>
              <w:ind w:right="58"/>
              <w:spacing w:after="0" w:line="134" w:lineRule="exact"/>
              <w:rPr>
                <w:sz w:val="20"/>
                <w:szCs w:val="20"/>
                <w:color w:val="auto"/>
              </w:rPr>
            </w:pPr>
            <w:r>
              <w:rPr>
                <w:rFonts w:ascii="Arial" w:cs="Arial" w:eastAsia="Arial" w:hAnsi="Arial"/>
                <w:sz w:val="12"/>
                <w:szCs w:val="12"/>
                <w:color w:val="092E44"/>
              </w:rPr>
              <w:t>Stock</w:t>
            </w:r>
          </w:p>
        </w:tc>
        <w:tc>
          <w:tcPr>
            <w:tcW w:w="720" w:type="dxa"/>
            <w:vAlign w:val="bottom"/>
          </w:tcPr>
          <w:p>
            <w:pPr>
              <w:spacing w:after="0"/>
              <w:rPr>
                <w:sz w:val="11"/>
                <w:szCs w:val="11"/>
                <w:color w:val="auto"/>
              </w:rPr>
            </w:pPr>
          </w:p>
        </w:tc>
      </w:tr>
      <w:tr>
        <w:trPr>
          <w:trHeight w:val="134"/>
        </w:trPr>
        <w:tc>
          <w:tcPr>
            <w:tcW w:w="700" w:type="dxa"/>
            <w:vAlign w:val="bottom"/>
          </w:tcPr>
          <w:p>
            <w:pPr>
              <w:jc w:val="right"/>
              <w:ind w:right="58"/>
              <w:spacing w:after="0" w:line="134" w:lineRule="exact"/>
              <w:rPr>
                <w:sz w:val="20"/>
                <w:szCs w:val="20"/>
                <w:color w:val="auto"/>
              </w:rPr>
            </w:pPr>
            <w:r>
              <w:rPr>
                <w:rFonts w:ascii="Arial" w:cs="Arial" w:eastAsia="Arial" w:hAnsi="Arial"/>
                <w:sz w:val="12"/>
                <w:szCs w:val="12"/>
                <w:color w:val="092E44"/>
              </w:rPr>
              <w:t>Awards:</w:t>
            </w:r>
          </w:p>
        </w:tc>
        <w:tc>
          <w:tcPr>
            <w:tcW w:w="720" w:type="dxa"/>
            <w:vAlign w:val="bottom"/>
          </w:tcPr>
          <w:p>
            <w:pPr>
              <w:jc w:val="right"/>
              <w:spacing w:after="0" w:line="134" w:lineRule="exact"/>
              <w:rPr>
                <w:sz w:val="20"/>
                <w:szCs w:val="20"/>
                <w:color w:val="auto"/>
              </w:rPr>
            </w:pPr>
            <w:r>
              <w:rPr>
                <w:rFonts w:ascii="Arial" w:cs="Arial" w:eastAsia="Arial" w:hAnsi="Arial"/>
                <w:sz w:val="12"/>
                <w:szCs w:val="12"/>
                <w:color w:val="092E44"/>
              </w:rPr>
              <w:t>Grant Date</w:t>
            </w:r>
          </w:p>
        </w:tc>
      </w:tr>
      <w:tr>
        <w:trPr>
          <w:trHeight w:val="134"/>
        </w:trPr>
        <w:tc>
          <w:tcPr>
            <w:tcW w:w="700" w:type="dxa"/>
            <w:vAlign w:val="bottom"/>
          </w:tcPr>
          <w:p>
            <w:pPr>
              <w:jc w:val="right"/>
              <w:ind w:right="58"/>
              <w:spacing w:after="0" w:line="134" w:lineRule="exact"/>
              <w:rPr>
                <w:sz w:val="20"/>
                <w:szCs w:val="20"/>
                <w:color w:val="auto"/>
              </w:rPr>
            </w:pPr>
            <w:r>
              <w:rPr>
                <w:rFonts w:ascii="Arial" w:cs="Arial" w:eastAsia="Arial" w:hAnsi="Arial"/>
                <w:sz w:val="12"/>
                <w:szCs w:val="12"/>
                <w:color w:val="092E44"/>
                <w:w w:val="99"/>
              </w:rPr>
              <w:t>Number of</w:t>
            </w:r>
          </w:p>
        </w:tc>
        <w:tc>
          <w:tcPr>
            <w:tcW w:w="720" w:type="dxa"/>
            <w:vAlign w:val="bottom"/>
          </w:tcPr>
          <w:p>
            <w:pPr>
              <w:jc w:val="right"/>
              <w:spacing w:after="0" w:line="134" w:lineRule="exact"/>
              <w:rPr>
                <w:sz w:val="20"/>
                <w:szCs w:val="20"/>
                <w:color w:val="auto"/>
              </w:rPr>
            </w:pPr>
            <w:r>
              <w:rPr>
                <w:rFonts w:ascii="Arial" w:cs="Arial" w:eastAsia="Arial" w:hAnsi="Arial"/>
                <w:sz w:val="12"/>
                <w:szCs w:val="12"/>
                <w:color w:val="092E44"/>
              </w:rPr>
              <w:t>Fair Value</w:t>
            </w:r>
          </w:p>
        </w:tc>
      </w:tr>
      <w:tr>
        <w:trPr>
          <w:trHeight w:val="134"/>
        </w:trPr>
        <w:tc>
          <w:tcPr>
            <w:tcW w:w="700" w:type="dxa"/>
            <w:vAlign w:val="bottom"/>
          </w:tcPr>
          <w:p>
            <w:pPr>
              <w:jc w:val="right"/>
              <w:ind w:right="58"/>
              <w:spacing w:after="0" w:line="134" w:lineRule="exact"/>
              <w:rPr>
                <w:sz w:val="20"/>
                <w:szCs w:val="20"/>
                <w:color w:val="auto"/>
              </w:rPr>
            </w:pPr>
            <w:r>
              <w:rPr>
                <w:rFonts w:ascii="Arial" w:cs="Arial" w:eastAsia="Arial" w:hAnsi="Arial"/>
                <w:sz w:val="12"/>
                <w:szCs w:val="12"/>
                <w:color w:val="092E44"/>
              </w:rPr>
              <w:t>Shares of</w:t>
            </w:r>
          </w:p>
        </w:tc>
        <w:tc>
          <w:tcPr>
            <w:tcW w:w="720" w:type="dxa"/>
            <w:vAlign w:val="bottom"/>
          </w:tcPr>
          <w:p>
            <w:pPr>
              <w:jc w:val="right"/>
              <w:spacing w:after="0" w:line="134" w:lineRule="exact"/>
              <w:rPr>
                <w:sz w:val="20"/>
                <w:szCs w:val="20"/>
                <w:color w:val="auto"/>
              </w:rPr>
            </w:pPr>
            <w:r>
              <w:rPr>
                <w:rFonts w:ascii="Arial" w:cs="Arial" w:eastAsia="Arial" w:hAnsi="Arial"/>
                <w:sz w:val="12"/>
                <w:szCs w:val="12"/>
                <w:color w:val="092E44"/>
              </w:rPr>
              <w:t>of Stock</w:t>
            </w:r>
          </w:p>
        </w:tc>
      </w:tr>
      <w:tr>
        <w:trPr>
          <w:trHeight w:val="134"/>
        </w:trPr>
        <w:tc>
          <w:tcPr>
            <w:tcW w:w="700" w:type="dxa"/>
            <w:vAlign w:val="bottom"/>
          </w:tcPr>
          <w:p>
            <w:pPr>
              <w:jc w:val="right"/>
              <w:ind w:right="58"/>
              <w:spacing w:after="0" w:line="134" w:lineRule="exact"/>
              <w:rPr>
                <w:sz w:val="20"/>
                <w:szCs w:val="20"/>
                <w:color w:val="auto"/>
              </w:rPr>
            </w:pPr>
            <w:r>
              <w:rPr>
                <w:rFonts w:ascii="Arial" w:cs="Arial" w:eastAsia="Arial" w:hAnsi="Arial"/>
                <w:sz w:val="12"/>
                <w:szCs w:val="12"/>
                <w:color w:val="092E44"/>
              </w:rPr>
              <w:t>Stock or</w:t>
            </w:r>
          </w:p>
        </w:tc>
        <w:tc>
          <w:tcPr>
            <w:tcW w:w="720" w:type="dxa"/>
            <w:vAlign w:val="bottom"/>
          </w:tcPr>
          <w:p>
            <w:pPr>
              <w:jc w:val="right"/>
              <w:spacing w:after="0" w:line="134" w:lineRule="exact"/>
              <w:rPr>
                <w:sz w:val="20"/>
                <w:szCs w:val="20"/>
                <w:color w:val="auto"/>
              </w:rPr>
            </w:pPr>
            <w:r>
              <w:rPr>
                <w:rFonts w:ascii="Arial" w:cs="Arial" w:eastAsia="Arial" w:hAnsi="Arial"/>
                <w:sz w:val="12"/>
                <w:szCs w:val="12"/>
                <w:color w:val="092E44"/>
              </w:rPr>
              <w:t>and Option</w:t>
            </w:r>
          </w:p>
        </w:tc>
      </w:tr>
      <w:tr>
        <w:trPr>
          <w:trHeight w:val="134"/>
        </w:trPr>
        <w:tc>
          <w:tcPr>
            <w:tcW w:w="700" w:type="dxa"/>
            <w:vAlign w:val="bottom"/>
          </w:tcPr>
          <w:p>
            <w:pPr>
              <w:jc w:val="right"/>
              <w:ind w:right="58"/>
              <w:spacing w:after="0" w:line="134" w:lineRule="exact"/>
              <w:rPr>
                <w:sz w:val="20"/>
                <w:szCs w:val="20"/>
                <w:color w:val="auto"/>
              </w:rPr>
            </w:pPr>
            <w:r>
              <w:rPr>
                <w:rFonts w:ascii="Arial" w:cs="Arial" w:eastAsia="Arial" w:hAnsi="Arial"/>
                <w:sz w:val="12"/>
                <w:szCs w:val="12"/>
                <w:color w:val="092E44"/>
              </w:rPr>
              <w:t>Units</w:t>
            </w:r>
          </w:p>
        </w:tc>
        <w:tc>
          <w:tcPr>
            <w:tcW w:w="720" w:type="dxa"/>
            <w:vAlign w:val="bottom"/>
          </w:tcPr>
          <w:p>
            <w:pPr>
              <w:jc w:val="right"/>
              <w:spacing w:after="0" w:line="134" w:lineRule="exact"/>
              <w:rPr>
                <w:sz w:val="20"/>
                <w:szCs w:val="20"/>
                <w:color w:val="auto"/>
              </w:rPr>
            </w:pPr>
            <w:r>
              <w:rPr>
                <w:rFonts w:ascii="Arial" w:cs="Arial" w:eastAsia="Arial" w:hAnsi="Arial"/>
                <w:sz w:val="12"/>
                <w:szCs w:val="12"/>
                <w:color w:val="092E44"/>
              </w:rPr>
              <w:t>Awards</w:t>
            </w:r>
          </w:p>
        </w:tc>
      </w:tr>
      <w:tr>
        <w:trPr>
          <w:trHeight w:val="165"/>
        </w:trPr>
        <w:tc>
          <w:tcPr>
            <w:tcW w:w="700" w:type="dxa"/>
            <w:vAlign w:val="bottom"/>
          </w:tcPr>
          <w:p>
            <w:pPr>
              <w:jc w:val="right"/>
              <w:ind w:right="58"/>
              <w:spacing w:after="0"/>
              <w:rPr>
                <w:sz w:val="20"/>
                <w:szCs w:val="20"/>
                <w:color w:val="auto"/>
              </w:rPr>
            </w:pPr>
            <w:r>
              <w:rPr>
                <w:rFonts w:ascii="Arial" w:cs="Arial" w:eastAsia="Arial" w:hAnsi="Arial"/>
                <w:sz w:val="12"/>
                <w:szCs w:val="12"/>
                <w:color w:val="092E44"/>
              </w:rPr>
              <w:t>(#)(7)</w:t>
            </w:r>
          </w:p>
        </w:tc>
        <w:tc>
          <w:tcPr>
            <w:tcW w:w="720" w:type="dxa"/>
            <w:vAlign w:val="bottom"/>
          </w:tcPr>
          <w:p>
            <w:pPr>
              <w:jc w:val="right"/>
              <w:spacing w:after="0"/>
              <w:rPr>
                <w:sz w:val="20"/>
                <w:szCs w:val="20"/>
                <w:color w:val="auto"/>
              </w:rPr>
            </w:pPr>
            <w:r>
              <w:rPr>
                <w:rFonts w:ascii="Arial" w:cs="Arial" w:eastAsia="Arial" w:hAnsi="Arial"/>
                <w:sz w:val="12"/>
                <w:szCs w:val="12"/>
                <w:color w:val="092E44"/>
              </w:rPr>
              <w:t>($)(8)</w:t>
            </w:r>
          </w:p>
        </w:tc>
      </w:tr>
    </w:tbl>
    <w:p>
      <w:pPr>
        <w:spacing w:after="0" w:line="137" w:lineRule="exact"/>
        <w:rPr>
          <w:sz w:val="20"/>
          <w:szCs w:val="20"/>
          <w:color w:val="auto"/>
        </w:rPr>
      </w:pPr>
    </w:p>
    <w:p>
      <w:pPr>
        <w:sectPr>
          <w:pgSz w:w="11900" w:h="16838" w:orient="portrait"/>
          <w:cols w:equalWidth="0" w:num="2">
            <w:col w:w="9320" w:space="240"/>
            <w:col w:w="1520"/>
          </w:cols>
          <w:pgMar w:left="320" w:top="454" w:right="499" w:bottom="1440" w:gutter="0" w:footer="0" w:header="0"/>
        </w:sectPr>
      </w:pPr>
    </w:p>
    <w:tbl>
      <w:tblPr>
        <w:tblLayout w:type="fixed"/>
        <w:tblInd w:w="160" w:type="dxa"/>
        <w:tblCellMar>
          <w:top w:w="0" w:type="dxa"/>
          <w:left w:w="0" w:type="dxa"/>
          <w:bottom w:w="0" w:type="dxa"/>
          <w:right w:w="0" w:type="dxa"/>
        </w:tblCellMar>
      </w:tblPr>
      <w:tr>
        <w:trPr>
          <w:trHeight w:val="195"/>
        </w:trPr>
        <w:tc>
          <w:tcPr>
            <w:tcW w:w="2500" w:type="dxa"/>
            <w:vAlign w:val="bottom"/>
          </w:tcPr>
          <w:p>
            <w:pPr>
              <w:ind w:left="80"/>
              <w:spacing w:after="0"/>
              <w:rPr>
                <w:sz w:val="20"/>
                <w:szCs w:val="20"/>
                <w:color w:val="auto"/>
              </w:rPr>
            </w:pPr>
            <w:r>
              <w:rPr>
                <w:rFonts w:ascii="Arial" w:cs="Arial" w:eastAsia="Arial" w:hAnsi="Arial"/>
                <w:sz w:val="14"/>
                <w:szCs w:val="14"/>
                <w:b w:val="1"/>
                <w:bCs w:val="1"/>
                <w:color w:val="092E44"/>
              </w:rPr>
              <w:t>Sanjay Mirchandani</w:t>
            </w:r>
          </w:p>
        </w:tc>
        <w:tc>
          <w:tcPr>
            <w:tcW w:w="840" w:type="dxa"/>
            <w:vAlign w:val="bottom"/>
          </w:tcPr>
          <w:p>
            <w:pPr>
              <w:jc w:val="right"/>
              <w:spacing w:after="0"/>
              <w:rPr>
                <w:sz w:val="20"/>
                <w:szCs w:val="20"/>
                <w:color w:val="auto"/>
              </w:rPr>
            </w:pPr>
            <w:r>
              <w:rPr>
                <w:rFonts w:ascii="Arial" w:cs="Arial" w:eastAsia="Arial" w:hAnsi="Arial"/>
                <w:sz w:val="14"/>
                <w:szCs w:val="14"/>
                <w:color w:val="092E44"/>
              </w:rPr>
              <w:t>—</w:t>
            </w:r>
          </w:p>
        </w:tc>
        <w:tc>
          <w:tcPr>
            <w:tcW w:w="1300" w:type="dxa"/>
            <w:vAlign w:val="bottom"/>
          </w:tcPr>
          <w:p>
            <w:pPr>
              <w:jc w:val="right"/>
              <w:ind w:right="169"/>
              <w:spacing w:after="0"/>
              <w:rPr>
                <w:sz w:val="20"/>
                <w:szCs w:val="20"/>
                <w:color w:val="auto"/>
              </w:rPr>
            </w:pPr>
            <w:r>
              <w:rPr>
                <w:rFonts w:ascii="Arial" w:cs="Arial" w:eastAsia="Arial" w:hAnsi="Arial"/>
                <w:sz w:val="14"/>
                <w:szCs w:val="14"/>
                <w:color w:val="092E44"/>
              </w:rPr>
              <w:t>322,500</w:t>
            </w:r>
          </w:p>
        </w:tc>
        <w:tc>
          <w:tcPr>
            <w:tcW w:w="920" w:type="dxa"/>
            <w:vAlign w:val="bottom"/>
          </w:tcPr>
          <w:p>
            <w:pPr>
              <w:jc w:val="right"/>
              <w:ind w:right="69"/>
              <w:spacing w:after="0"/>
              <w:rPr>
                <w:sz w:val="20"/>
                <w:szCs w:val="20"/>
                <w:color w:val="auto"/>
              </w:rPr>
            </w:pPr>
            <w:r>
              <w:rPr>
                <w:rFonts w:ascii="Arial" w:cs="Arial" w:eastAsia="Arial" w:hAnsi="Arial"/>
                <w:sz w:val="14"/>
                <w:szCs w:val="14"/>
                <w:color w:val="092E44"/>
              </w:rPr>
              <w:t>645,000</w:t>
            </w:r>
          </w:p>
        </w:tc>
        <w:tc>
          <w:tcPr>
            <w:tcW w:w="1140" w:type="dxa"/>
            <w:vAlign w:val="bottom"/>
          </w:tcPr>
          <w:p>
            <w:pPr>
              <w:jc w:val="right"/>
              <w:ind w:right="289"/>
              <w:spacing w:after="0"/>
              <w:rPr>
                <w:sz w:val="20"/>
                <w:szCs w:val="20"/>
                <w:color w:val="auto"/>
              </w:rPr>
            </w:pPr>
            <w:r>
              <w:rPr>
                <w:rFonts w:ascii="Arial" w:cs="Arial" w:eastAsia="Arial" w:hAnsi="Arial"/>
                <w:sz w:val="14"/>
                <w:szCs w:val="14"/>
                <w:color w:val="092E44"/>
              </w:rPr>
              <w:t>1,290,000</w:t>
            </w:r>
          </w:p>
        </w:tc>
        <w:tc>
          <w:tcPr>
            <w:tcW w:w="920" w:type="dxa"/>
            <w:vAlign w:val="bottom"/>
          </w:tcPr>
          <w:p>
            <w:pPr>
              <w:jc w:val="right"/>
              <w:ind w:right="69"/>
              <w:spacing w:after="0"/>
              <w:rPr>
                <w:sz w:val="20"/>
                <w:szCs w:val="20"/>
                <w:color w:val="auto"/>
              </w:rPr>
            </w:pPr>
            <w:r>
              <w:rPr>
                <w:rFonts w:ascii="Arial" w:cs="Arial" w:eastAsia="Arial" w:hAnsi="Arial"/>
                <w:sz w:val="14"/>
                <w:szCs w:val="14"/>
                <w:color w:val="092E44"/>
              </w:rPr>
              <w:t>—</w:t>
            </w:r>
          </w:p>
        </w:tc>
        <w:tc>
          <w:tcPr>
            <w:tcW w:w="840" w:type="dxa"/>
            <w:vAlign w:val="bottom"/>
          </w:tcPr>
          <w:p>
            <w:pPr>
              <w:jc w:val="right"/>
              <w:ind w:right="169"/>
              <w:spacing w:after="0"/>
              <w:rPr>
                <w:sz w:val="20"/>
                <w:szCs w:val="20"/>
                <w:color w:val="auto"/>
              </w:rPr>
            </w:pPr>
            <w:r>
              <w:rPr>
                <w:rFonts w:ascii="Arial" w:cs="Arial" w:eastAsia="Arial" w:hAnsi="Arial"/>
                <w:sz w:val="14"/>
                <w:szCs w:val="14"/>
                <w:color w:val="092E44"/>
              </w:rPr>
              <w:t>—</w:t>
            </w:r>
          </w:p>
        </w:tc>
        <w:tc>
          <w:tcPr>
            <w:tcW w:w="900" w:type="dxa"/>
            <w:vAlign w:val="bottom"/>
          </w:tcPr>
          <w:p>
            <w:pPr>
              <w:jc w:val="right"/>
              <w:ind w:right="129"/>
              <w:spacing w:after="0"/>
              <w:rPr>
                <w:sz w:val="20"/>
                <w:szCs w:val="20"/>
                <w:color w:val="auto"/>
              </w:rPr>
            </w:pPr>
            <w:r>
              <w:rPr>
                <w:rFonts w:ascii="Arial" w:cs="Arial" w:eastAsia="Arial" w:hAnsi="Arial"/>
                <w:sz w:val="14"/>
                <w:szCs w:val="14"/>
                <w:color w:val="092E44"/>
              </w:rPr>
              <w:t>—</w:t>
            </w:r>
          </w:p>
        </w:tc>
        <w:tc>
          <w:tcPr>
            <w:tcW w:w="720" w:type="dxa"/>
            <w:vAlign w:val="bottom"/>
          </w:tcPr>
          <w:p>
            <w:pPr>
              <w:jc w:val="right"/>
              <w:ind w:right="29"/>
              <w:spacing w:after="0"/>
              <w:rPr>
                <w:sz w:val="20"/>
                <w:szCs w:val="20"/>
                <w:color w:val="auto"/>
              </w:rPr>
            </w:pPr>
            <w:r>
              <w:rPr>
                <w:rFonts w:ascii="Arial" w:cs="Arial" w:eastAsia="Arial" w:hAnsi="Arial"/>
                <w:sz w:val="14"/>
                <w:szCs w:val="14"/>
                <w:color w:val="092E44"/>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092E44"/>
              </w:rPr>
              <w:t>—</w:t>
            </w:r>
          </w:p>
        </w:tc>
      </w:tr>
      <w:tr>
        <w:trPr>
          <w:trHeight w:val="221"/>
        </w:trPr>
        <w:tc>
          <w:tcPr>
            <w:tcW w:w="2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092E44"/>
              </w:rPr>
              <w:t>05/17/21</w:t>
            </w:r>
          </w:p>
        </w:tc>
        <w:tc>
          <w:tcPr>
            <w:tcW w:w="1300" w:type="dxa"/>
            <w:vAlign w:val="bottom"/>
          </w:tcPr>
          <w:p>
            <w:pPr>
              <w:jc w:val="right"/>
              <w:ind w:right="169"/>
              <w:spacing w:after="0"/>
              <w:rPr>
                <w:sz w:val="20"/>
                <w:szCs w:val="20"/>
                <w:color w:val="auto"/>
              </w:rPr>
            </w:pPr>
            <w:r>
              <w:rPr>
                <w:rFonts w:ascii="Arial" w:cs="Arial" w:eastAsia="Arial" w:hAnsi="Arial"/>
                <w:sz w:val="14"/>
                <w:szCs w:val="14"/>
                <w:color w:val="092E44"/>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092E44"/>
              </w:rPr>
              <w:t>—</w:t>
            </w:r>
          </w:p>
        </w:tc>
        <w:tc>
          <w:tcPr>
            <w:tcW w:w="1140" w:type="dxa"/>
            <w:vAlign w:val="bottom"/>
          </w:tcPr>
          <w:p>
            <w:pPr>
              <w:jc w:val="right"/>
              <w:ind w:right="289"/>
              <w:spacing w:after="0"/>
              <w:rPr>
                <w:sz w:val="20"/>
                <w:szCs w:val="20"/>
                <w:color w:val="auto"/>
              </w:rPr>
            </w:pPr>
            <w:r>
              <w:rPr>
                <w:rFonts w:ascii="Arial" w:cs="Arial" w:eastAsia="Arial" w:hAnsi="Arial"/>
                <w:sz w:val="14"/>
                <w:szCs w:val="14"/>
                <w:color w:val="092E44"/>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092E44"/>
              </w:rPr>
              <w:t>—</w:t>
            </w:r>
          </w:p>
        </w:tc>
        <w:tc>
          <w:tcPr>
            <w:tcW w:w="840" w:type="dxa"/>
            <w:vAlign w:val="bottom"/>
          </w:tcPr>
          <w:p>
            <w:pPr>
              <w:jc w:val="right"/>
              <w:ind w:right="169"/>
              <w:spacing w:after="0"/>
              <w:rPr>
                <w:sz w:val="20"/>
                <w:szCs w:val="20"/>
                <w:color w:val="auto"/>
              </w:rPr>
            </w:pPr>
            <w:r>
              <w:rPr>
                <w:rFonts w:ascii="Arial" w:cs="Arial" w:eastAsia="Arial" w:hAnsi="Arial"/>
                <w:sz w:val="14"/>
                <w:szCs w:val="14"/>
                <w:color w:val="092E44"/>
              </w:rPr>
              <w:t>—</w:t>
            </w:r>
          </w:p>
        </w:tc>
        <w:tc>
          <w:tcPr>
            <w:tcW w:w="900" w:type="dxa"/>
            <w:vAlign w:val="bottom"/>
          </w:tcPr>
          <w:p>
            <w:pPr>
              <w:jc w:val="right"/>
              <w:ind w:right="129"/>
              <w:spacing w:after="0"/>
              <w:rPr>
                <w:sz w:val="20"/>
                <w:szCs w:val="20"/>
                <w:color w:val="auto"/>
              </w:rPr>
            </w:pPr>
            <w:r>
              <w:rPr>
                <w:rFonts w:ascii="Arial" w:cs="Arial" w:eastAsia="Arial" w:hAnsi="Arial"/>
                <w:sz w:val="14"/>
                <w:szCs w:val="14"/>
                <w:color w:val="092E44"/>
              </w:rPr>
              <w:t>—</w:t>
            </w:r>
          </w:p>
        </w:tc>
        <w:tc>
          <w:tcPr>
            <w:tcW w:w="720" w:type="dxa"/>
            <w:vAlign w:val="bottom"/>
          </w:tcPr>
          <w:p>
            <w:pPr>
              <w:jc w:val="right"/>
              <w:ind w:right="29"/>
              <w:spacing w:after="0"/>
              <w:rPr>
                <w:sz w:val="20"/>
                <w:szCs w:val="20"/>
                <w:color w:val="auto"/>
              </w:rPr>
            </w:pPr>
            <w:r>
              <w:rPr>
                <w:rFonts w:ascii="Arial" w:cs="Arial" w:eastAsia="Arial" w:hAnsi="Arial"/>
                <w:sz w:val="14"/>
                <w:szCs w:val="14"/>
                <w:color w:val="092E44"/>
              </w:rPr>
              <w:t>63,961</w:t>
            </w:r>
          </w:p>
        </w:tc>
        <w:tc>
          <w:tcPr>
            <w:tcW w:w="840" w:type="dxa"/>
            <w:vAlign w:val="bottom"/>
          </w:tcPr>
          <w:p>
            <w:pPr>
              <w:jc w:val="right"/>
              <w:ind w:right="29"/>
              <w:spacing w:after="0"/>
              <w:rPr>
                <w:sz w:val="20"/>
                <w:szCs w:val="20"/>
                <w:color w:val="auto"/>
              </w:rPr>
            </w:pPr>
            <w:r>
              <w:rPr>
                <w:rFonts w:ascii="Arial" w:cs="Arial" w:eastAsia="Arial" w:hAnsi="Arial"/>
                <w:sz w:val="14"/>
                <w:szCs w:val="14"/>
                <w:color w:val="092E44"/>
              </w:rPr>
              <w:t>4,404,994</w:t>
            </w:r>
          </w:p>
        </w:tc>
      </w:tr>
      <w:tr>
        <w:trPr>
          <w:trHeight w:val="227"/>
        </w:trPr>
        <w:tc>
          <w:tcPr>
            <w:tcW w:w="2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092E44"/>
              </w:rPr>
              <w:t>05/17/21</w:t>
            </w:r>
          </w:p>
        </w:tc>
        <w:tc>
          <w:tcPr>
            <w:tcW w:w="1300" w:type="dxa"/>
            <w:vAlign w:val="bottom"/>
          </w:tcPr>
          <w:p>
            <w:pPr>
              <w:jc w:val="right"/>
              <w:ind w:right="169"/>
              <w:spacing w:after="0"/>
              <w:rPr>
                <w:sz w:val="20"/>
                <w:szCs w:val="20"/>
                <w:color w:val="auto"/>
              </w:rPr>
            </w:pPr>
            <w:r>
              <w:rPr>
                <w:rFonts w:ascii="Arial" w:cs="Arial" w:eastAsia="Arial" w:hAnsi="Arial"/>
                <w:sz w:val="14"/>
                <w:szCs w:val="14"/>
                <w:color w:val="092E44"/>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092E44"/>
              </w:rPr>
              <w:t>—</w:t>
            </w:r>
          </w:p>
        </w:tc>
        <w:tc>
          <w:tcPr>
            <w:tcW w:w="1140" w:type="dxa"/>
            <w:vAlign w:val="bottom"/>
          </w:tcPr>
          <w:p>
            <w:pPr>
              <w:jc w:val="right"/>
              <w:ind w:right="289"/>
              <w:spacing w:after="0"/>
              <w:rPr>
                <w:sz w:val="20"/>
                <w:szCs w:val="20"/>
                <w:color w:val="auto"/>
              </w:rPr>
            </w:pPr>
            <w:r>
              <w:rPr>
                <w:rFonts w:ascii="Arial" w:cs="Arial" w:eastAsia="Arial" w:hAnsi="Arial"/>
                <w:sz w:val="14"/>
                <w:szCs w:val="14"/>
                <w:color w:val="092E44"/>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092E44"/>
              </w:rPr>
              <w:t>15,990</w:t>
            </w:r>
          </w:p>
        </w:tc>
        <w:tc>
          <w:tcPr>
            <w:tcW w:w="840" w:type="dxa"/>
            <w:vAlign w:val="bottom"/>
          </w:tcPr>
          <w:p>
            <w:pPr>
              <w:jc w:val="right"/>
              <w:ind w:right="169"/>
              <w:spacing w:after="0"/>
              <w:rPr>
                <w:sz w:val="20"/>
                <w:szCs w:val="20"/>
                <w:color w:val="auto"/>
              </w:rPr>
            </w:pPr>
            <w:r>
              <w:rPr>
                <w:rFonts w:ascii="Arial" w:cs="Arial" w:eastAsia="Arial" w:hAnsi="Arial"/>
                <w:sz w:val="14"/>
                <w:szCs w:val="14"/>
                <w:color w:val="092E44"/>
              </w:rPr>
              <w:t>31,980</w:t>
            </w:r>
          </w:p>
        </w:tc>
        <w:tc>
          <w:tcPr>
            <w:tcW w:w="900" w:type="dxa"/>
            <w:vAlign w:val="bottom"/>
          </w:tcPr>
          <w:p>
            <w:pPr>
              <w:jc w:val="right"/>
              <w:ind w:right="129"/>
              <w:spacing w:after="0"/>
              <w:rPr>
                <w:sz w:val="20"/>
                <w:szCs w:val="20"/>
                <w:color w:val="auto"/>
              </w:rPr>
            </w:pPr>
            <w:r>
              <w:rPr>
                <w:rFonts w:ascii="Arial" w:cs="Arial" w:eastAsia="Arial" w:hAnsi="Arial"/>
                <w:sz w:val="14"/>
                <w:szCs w:val="14"/>
                <w:color w:val="092E44"/>
              </w:rPr>
              <w:t>63,960</w:t>
            </w:r>
          </w:p>
        </w:tc>
        <w:tc>
          <w:tcPr>
            <w:tcW w:w="720" w:type="dxa"/>
            <w:vAlign w:val="bottom"/>
          </w:tcPr>
          <w:p>
            <w:pPr>
              <w:jc w:val="right"/>
              <w:ind w:right="29"/>
              <w:spacing w:after="0"/>
              <w:rPr>
                <w:sz w:val="20"/>
                <w:szCs w:val="20"/>
                <w:color w:val="auto"/>
              </w:rPr>
            </w:pPr>
            <w:r>
              <w:rPr>
                <w:rFonts w:ascii="Arial" w:cs="Arial" w:eastAsia="Arial" w:hAnsi="Arial"/>
                <w:sz w:val="14"/>
                <w:szCs w:val="14"/>
                <w:color w:val="092E44"/>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092E44"/>
              </w:rPr>
              <w:t>2,805,925</w:t>
            </w:r>
          </w:p>
        </w:tc>
      </w:tr>
      <w:tr>
        <w:trPr>
          <w:trHeight w:val="294"/>
        </w:trPr>
        <w:tc>
          <w:tcPr>
            <w:tcW w:w="2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092E44"/>
              </w:rPr>
              <w:t>05/17/21</w:t>
            </w:r>
          </w:p>
        </w:tc>
        <w:tc>
          <w:tcPr>
            <w:tcW w:w="1300" w:type="dxa"/>
            <w:vAlign w:val="bottom"/>
          </w:tcPr>
          <w:p>
            <w:pPr>
              <w:jc w:val="right"/>
              <w:ind w:right="169"/>
              <w:spacing w:after="0"/>
              <w:rPr>
                <w:sz w:val="20"/>
                <w:szCs w:val="20"/>
                <w:color w:val="auto"/>
              </w:rPr>
            </w:pPr>
            <w:r>
              <w:rPr>
                <w:rFonts w:ascii="Arial" w:cs="Arial" w:eastAsia="Arial" w:hAnsi="Arial"/>
                <w:sz w:val="14"/>
                <w:szCs w:val="14"/>
                <w:color w:val="092E44"/>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092E44"/>
              </w:rPr>
              <w:t>—</w:t>
            </w:r>
          </w:p>
        </w:tc>
        <w:tc>
          <w:tcPr>
            <w:tcW w:w="1140" w:type="dxa"/>
            <w:vAlign w:val="bottom"/>
          </w:tcPr>
          <w:p>
            <w:pPr>
              <w:jc w:val="right"/>
              <w:ind w:right="289"/>
              <w:spacing w:after="0"/>
              <w:rPr>
                <w:sz w:val="20"/>
                <w:szCs w:val="20"/>
                <w:color w:val="auto"/>
              </w:rPr>
            </w:pPr>
            <w:r>
              <w:rPr>
                <w:rFonts w:ascii="Arial" w:cs="Arial" w:eastAsia="Arial" w:hAnsi="Arial"/>
                <w:sz w:val="14"/>
                <w:szCs w:val="14"/>
                <w:color w:val="092E44"/>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092E44"/>
              </w:rPr>
              <w:t>15,990</w:t>
            </w:r>
          </w:p>
        </w:tc>
        <w:tc>
          <w:tcPr>
            <w:tcW w:w="840" w:type="dxa"/>
            <w:vAlign w:val="bottom"/>
          </w:tcPr>
          <w:p>
            <w:pPr>
              <w:jc w:val="right"/>
              <w:ind w:right="169"/>
              <w:spacing w:after="0"/>
              <w:rPr>
                <w:sz w:val="20"/>
                <w:szCs w:val="20"/>
                <w:color w:val="auto"/>
              </w:rPr>
            </w:pPr>
            <w:r>
              <w:rPr>
                <w:rFonts w:ascii="Arial" w:cs="Arial" w:eastAsia="Arial" w:hAnsi="Arial"/>
                <w:sz w:val="14"/>
                <w:szCs w:val="14"/>
                <w:color w:val="092E44"/>
              </w:rPr>
              <w:t>31,980</w:t>
            </w:r>
          </w:p>
        </w:tc>
        <w:tc>
          <w:tcPr>
            <w:tcW w:w="900" w:type="dxa"/>
            <w:vAlign w:val="bottom"/>
          </w:tcPr>
          <w:p>
            <w:pPr>
              <w:jc w:val="right"/>
              <w:ind w:right="129"/>
              <w:spacing w:after="0"/>
              <w:rPr>
                <w:sz w:val="20"/>
                <w:szCs w:val="20"/>
                <w:color w:val="auto"/>
              </w:rPr>
            </w:pPr>
            <w:r>
              <w:rPr>
                <w:rFonts w:ascii="Arial" w:cs="Arial" w:eastAsia="Arial" w:hAnsi="Arial"/>
                <w:sz w:val="14"/>
                <w:szCs w:val="14"/>
                <w:color w:val="092E44"/>
              </w:rPr>
              <w:t>63,960</w:t>
            </w:r>
          </w:p>
        </w:tc>
        <w:tc>
          <w:tcPr>
            <w:tcW w:w="720" w:type="dxa"/>
            <w:vAlign w:val="bottom"/>
          </w:tcPr>
          <w:p>
            <w:pPr>
              <w:jc w:val="right"/>
              <w:ind w:right="29"/>
              <w:spacing w:after="0"/>
              <w:rPr>
                <w:sz w:val="20"/>
                <w:szCs w:val="20"/>
                <w:color w:val="auto"/>
              </w:rPr>
            </w:pPr>
            <w:r>
              <w:rPr>
                <w:rFonts w:ascii="Arial" w:cs="Arial" w:eastAsia="Arial" w:hAnsi="Arial"/>
                <w:sz w:val="14"/>
                <w:szCs w:val="14"/>
                <w:color w:val="092E44"/>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092E44"/>
              </w:rPr>
              <w:t>2,202,463</w:t>
            </w:r>
          </w:p>
        </w:tc>
      </w:tr>
      <w:tr>
        <w:trPr>
          <w:trHeight w:val="48"/>
        </w:trPr>
        <w:tc>
          <w:tcPr>
            <w:tcW w:w="2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53"/>
        </w:trPr>
        <w:tc>
          <w:tcPr>
            <w:tcW w:w="2500" w:type="dxa"/>
            <w:vAlign w:val="bottom"/>
            <w:shd w:val="clear" w:color="auto" w:fill="DDE9F2"/>
          </w:tcPr>
          <w:p>
            <w:pPr>
              <w:ind w:left="80"/>
              <w:spacing w:after="0"/>
              <w:rPr>
                <w:sz w:val="20"/>
                <w:szCs w:val="20"/>
                <w:color w:val="auto"/>
              </w:rPr>
            </w:pPr>
            <w:r>
              <w:rPr>
                <w:rFonts w:ascii="Arial" w:cs="Arial" w:eastAsia="Arial" w:hAnsi="Arial"/>
                <w:sz w:val="14"/>
                <w:szCs w:val="14"/>
                <w:b w:val="1"/>
                <w:bCs w:val="1"/>
                <w:color w:val="092E44"/>
              </w:rPr>
              <w:t>Brian Carolan</w:t>
            </w:r>
          </w:p>
        </w:tc>
        <w:tc>
          <w:tcPr>
            <w:tcW w:w="840" w:type="dxa"/>
            <w:vAlign w:val="bottom"/>
            <w:shd w:val="clear" w:color="auto" w:fill="DDE9F2"/>
          </w:tcPr>
          <w:p>
            <w:pPr>
              <w:jc w:val="right"/>
              <w:spacing w:after="0"/>
              <w:rPr>
                <w:sz w:val="20"/>
                <w:szCs w:val="20"/>
                <w:color w:val="auto"/>
              </w:rPr>
            </w:pPr>
            <w:r>
              <w:rPr>
                <w:rFonts w:ascii="Arial" w:cs="Arial" w:eastAsia="Arial" w:hAnsi="Arial"/>
                <w:sz w:val="14"/>
                <w:szCs w:val="14"/>
                <w:color w:val="092E44"/>
              </w:rPr>
              <w:t>—</w:t>
            </w:r>
          </w:p>
        </w:tc>
        <w:tc>
          <w:tcPr>
            <w:tcW w:w="1300" w:type="dxa"/>
            <w:vAlign w:val="bottom"/>
            <w:shd w:val="clear" w:color="auto" w:fill="DDE9F2"/>
          </w:tcPr>
          <w:p>
            <w:pPr>
              <w:jc w:val="right"/>
              <w:ind w:right="169"/>
              <w:spacing w:after="0"/>
              <w:rPr>
                <w:sz w:val="20"/>
                <w:szCs w:val="20"/>
                <w:color w:val="auto"/>
              </w:rPr>
            </w:pPr>
            <w:r>
              <w:rPr>
                <w:rFonts w:ascii="Arial" w:cs="Arial" w:eastAsia="Arial" w:hAnsi="Arial"/>
                <w:sz w:val="14"/>
                <w:szCs w:val="14"/>
                <w:color w:val="092E44"/>
              </w:rPr>
              <w:t>123,000</w:t>
            </w:r>
          </w:p>
        </w:tc>
        <w:tc>
          <w:tcPr>
            <w:tcW w:w="920" w:type="dxa"/>
            <w:vAlign w:val="bottom"/>
            <w:shd w:val="clear" w:color="auto" w:fill="DDE9F2"/>
          </w:tcPr>
          <w:p>
            <w:pPr>
              <w:jc w:val="right"/>
              <w:ind w:right="69"/>
              <w:spacing w:after="0"/>
              <w:rPr>
                <w:sz w:val="20"/>
                <w:szCs w:val="20"/>
                <w:color w:val="auto"/>
              </w:rPr>
            </w:pPr>
            <w:r>
              <w:rPr>
                <w:rFonts w:ascii="Arial" w:cs="Arial" w:eastAsia="Arial" w:hAnsi="Arial"/>
                <w:sz w:val="14"/>
                <w:szCs w:val="14"/>
                <w:color w:val="092E44"/>
              </w:rPr>
              <w:t>246,000</w:t>
            </w:r>
          </w:p>
        </w:tc>
        <w:tc>
          <w:tcPr>
            <w:tcW w:w="1140" w:type="dxa"/>
            <w:vAlign w:val="bottom"/>
            <w:shd w:val="clear" w:color="auto" w:fill="DDE9F2"/>
          </w:tcPr>
          <w:p>
            <w:pPr>
              <w:jc w:val="right"/>
              <w:ind w:right="289"/>
              <w:spacing w:after="0"/>
              <w:rPr>
                <w:sz w:val="20"/>
                <w:szCs w:val="20"/>
                <w:color w:val="auto"/>
              </w:rPr>
            </w:pPr>
            <w:r>
              <w:rPr>
                <w:rFonts w:ascii="Arial" w:cs="Arial" w:eastAsia="Arial" w:hAnsi="Arial"/>
                <w:sz w:val="14"/>
                <w:szCs w:val="14"/>
                <w:color w:val="092E44"/>
              </w:rPr>
              <w:t>492,000</w:t>
            </w:r>
          </w:p>
        </w:tc>
        <w:tc>
          <w:tcPr>
            <w:tcW w:w="920" w:type="dxa"/>
            <w:vAlign w:val="bottom"/>
            <w:shd w:val="clear" w:color="auto" w:fill="DDE9F2"/>
          </w:tcPr>
          <w:p>
            <w:pPr>
              <w:jc w:val="right"/>
              <w:ind w:right="69"/>
              <w:spacing w:after="0"/>
              <w:rPr>
                <w:sz w:val="20"/>
                <w:szCs w:val="20"/>
                <w:color w:val="auto"/>
              </w:rPr>
            </w:pPr>
            <w:r>
              <w:rPr>
                <w:rFonts w:ascii="Arial" w:cs="Arial" w:eastAsia="Arial" w:hAnsi="Arial"/>
                <w:sz w:val="14"/>
                <w:szCs w:val="14"/>
                <w:color w:val="092E44"/>
              </w:rPr>
              <w:t>—</w:t>
            </w:r>
          </w:p>
        </w:tc>
        <w:tc>
          <w:tcPr>
            <w:tcW w:w="840" w:type="dxa"/>
            <w:vAlign w:val="bottom"/>
            <w:shd w:val="clear" w:color="auto" w:fill="DDE9F2"/>
          </w:tcPr>
          <w:p>
            <w:pPr>
              <w:jc w:val="right"/>
              <w:ind w:right="169"/>
              <w:spacing w:after="0"/>
              <w:rPr>
                <w:sz w:val="20"/>
                <w:szCs w:val="20"/>
                <w:color w:val="auto"/>
              </w:rPr>
            </w:pPr>
            <w:r>
              <w:rPr>
                <w:rFonts w:ascii="Arial" w:cs="Arial" w:eastAsia="Arial" w:hAnsi="Arial"/>
                <w:sz w:val="14"/>
                <w:szCs w:val="14"/>
                <w:color w:val="092E44"/>
              </w:rPr>
              <w:t>—</w:t>
            </w:r>
          </w:p>
        </w:tc>
        <w:tc>
          <w:tcPr>
            <w:tcW w:w="900" w:type="dxa"/>
            <w:vAlign w:val="bottom"/>
            <w:shd w:val="clear" w:color="auto" w:fill="DDE9F2"/>
          </w:tcPr>
          <w:p>
            <w:pPr>
              <w:jc w:val="right"/>
              <w:ind w:right="129"/>
              <w:spacing w:after="0"/>
              <w:rPr>
                <w:sz w:val="20"/>
                <w:szCs w:val="20"/>
                <w:color w:val="auto"/>
              </w:rPr>
            </w:pPr>
            <w:r>
              <w:rPr>
                <w:rFonts w:ascii="Arial" w:cs="Arial" w:eastAsia="Arial" w:hAnsi="Arial"/>
                <w:sz w:val="14"/>
                <w:szCs w:val="14"/>
                <w:color w:val="092E44"/>
              </w:rPr>
              <w:t>—</w:t>
            </w:r>
          </w:p>
        </w:tc>
        <w:tc>
          <w:tcPr>
            <w:tcW w:w="720" w:type="dxa"/>
            <w:vAlign w:val="bottom"/>
            <w:shd w:val="clear" w:color="auto" w:fill="DDE9F2"/>
          </w:tcPr>
          <w:p>
            <w:pPr>
              <w:jc w:val="right"/>
              <w:ind w:right="29"/>
              <w:spacing w:after="0"/>
              <w:rPr>
                <w:sz w:val="20"/>
                <w:szCs w:val="20"/>
                <w:color w:val="auto"/>
              </w:rPr>
            </w:pPr>
            <w:r>
              <w:rPr>
                <w:rFonts w:ascii="Arial" w:cs="Arial" w:eastAsia="Arial" w:hAnsi="Arial"/>
                <w:sz w:val="14"/>
                <w:szCs w:val="14"/>
                <w:color w:val="092E44"/>
              </w:rPr>
              <w:t>—</w:t>
            </w:r>
          </w:p>
        </w:tc>
        <w:tc>
          <w:tcPr>
            <w:tcW w:w="840" w:type="dxa"/>
            <w:vAlign w:val="bottom"/>
            <w:shd w:val="clear" w:color="auto" w:fill="DDE9F2"/>
          </w:tcPr>
          <w:p>
            <w:pPr>
              <w:jc w:val="right"/>
              <w:ind w:right="29"/>
              <w:spacing w:after="0"/>
              <w:rPr>
                <w:sz w:val="20"/>
                <w:szCs w:val="20"/>
                <w:color w:val="auto"/>
              </w:rPr>
            </w:pPr>
            <w:r>
              <w:rPr>
                <w:rFonts w:ascii="Arial" w:cs="Arial" w:eastAsia="Arial" w:hAnsi="Arial"/>
                <w:sz w:val="14"/>
                <w:szCs w:val="14"/>
                <w:color w:val="092E44"/>
              </w:rPr>
              <w:t>—</w:t>
            </w:r>
          </w:p>
        </w:tc>
      </w:tr>
      <w:tr>
        <w:trPr>
          <w:trHeight w:val="288"/>
        </w:trPr>
        <w:tc>
          <w:tcPr>
            <w:tcW w:w="2500" w:type="dxa"/>
            <w:vAlign w:val="bottom"/>
            <w:shd w:val="clear" w:color="auto" w:fill="DDE9F2"/>
          </w:tcPr>
          <w:p>
            <w:pPr>
              <w:spacing w:after="0"/>
              <w:rPr>
                <w:sz w:val="24"/>
                <w:szCs w:val="24"/>
                <w:color w:val="auto"/>
              </w:rPr>
            </w:pPr>
          </w:p>
        </w:tc>
        <w:tc>
          <w:tcPr>
            <w:tcW w:w="840" w:type="dxa"/>
            <w:vAlign w:val="bottom"/>
            <w:shd w:val="clear" w:color="auto" w:fill="DDE9F2"/>
          </w:tcPr>
          <w:p>
            <w:pPr>
              <w:jc w:val="right"/>
              <w:spacing w:after="0"/>
              <w:rPr>
                <w:sz w:val="20"/>
                <w:szCs w:val="20"/>
                <w:color w:val="auto"/>
              </w:rPr>
            </w:pPr>
            <w:r>
              <w:rPr>
                <w:rFonts w:ascii="Arial" w:cs="Arial" w:eastAsia="Arial" w:hAnsi="Arial"/>
                <w:sz w:val="14"/>
                <w:szCs w:val="14"/>
                <w:color w:val="092E44"/>
              </w:rPr>
              <w:t>05/17/21</w:t>
            </w:r>
          </w:p>
        </w:tc>
        <w:tc>
          <w:tcPr>
            <w:tcW w:w="1300" w:type="dxa"/>
            <w:vAlign w:val="bottom"/>
            <w:shd w:val="clear" w:color="auto" w:fill="DDE9F2"/>
          </w:tcPr>
          <w:p>
            <w:pPr>
              <w:jc w:val="right"/>
              <w:ind w:right="169"/>
              <w:spacing w:after="0"/>
              <w:rPr>
                <w:sz w:val="20"/>
                <w:szCs w:val="20"/>
                <w:color w:val="auto"/>
              </w:rPr>
            </w:pPr>
            <w:r>
              <w:rPr>
                <w:rFonts w:ascii="Arial" w:cs="Arial" w:eastAsia="Arial" w:hAnsi="Arial"/>
                <w:sz w:val="14"/>
                <w:szCs w:val="14"/>
                <w:color w:val="092E44"/>
              </w:rPr>
              <w:t>—</w:t>
            </w:r>
          </w:p>
        </w:tc>
        <w:tc>
          <w:tcPr>
            <w:tcW w:w="920" w:type="dxa"/>
            <w:vAlign w:val="bottom"/>
            <w:shd w:val="clear" w:color="auto" w:fill="DDE9F2"/>
          </w:tcPr>
          <w:p>
            <w:pPr>
              <w:jc w:val="right"/>
              <w:ind w:right="69"/>
              <w:spacing w:after="0"/>
              <w:rPr>
                <w:sz w:val="20"/>
                <w:szCs w:val="20"/>
                <w:color w:val="auto"/>
              </w:rPr>
            </w:pPr>
            <w:r>
              <w:rPr>
                <w:rFonts w:ascii="Arial" w:cs="Arial" w:eastAsia="Arial" w:hAnsi="Arial"/>
                <w:sz w:val="14"/>
                <w:szCs w:val="14"/>
                <w:color w:val="092E44"/>
              </w:rPr>
              <w:t>—</w:t>
            </w:r>
          </w:p>
        </w:tc>
        <w:tc>
          <w:tcPr>
            <w:tcW w:w="1140" w:type="dxa"/>
            <w:vAlign w:val="bottom"/>
            <w:shd w:val="clear" w:color="auto" w:fill="DDE9F2"/>
          </w:tcPr>
          <w:p>
            <w:pPr>
              <w:jc w:val="right"/>
              <w:ind w:right="289"/>
              <w:spacing w:after="0"/>
              <w:rPr>
                <w:sz w:val="20"/>
                <w:szCs w:val="20"/>
                <w:color w:val="auto"/>
              </w:rPr>
            </w:pPr>
            <w:r>
              <w:rPr>
                <w:rFonts w:ascii="Arial" w:cs="Arial" w:eastAsia="Arial" w:hAnsi="Arial"/>
                <w:sz w:val="14"/>
                <w:szCs w:val="14"/>
                <w:color w:val="092E44"/>
              </w:rPr>
              <w:t>—</w:t>
            </w:r>
          </w:p>
        </w:tc>
        <w:tc>
          <w:tcPr>
            <w:tcW w:w="920" w:type="dxa"/>
            <w:vAlign w:val="bottom"/>
            <w:shd w:val="clear" w:color="auto" w:fill="DDE9F2"/>
          </w:tcPr>
          <w:p>
            <w:pPr>
              <w:jc w:val="right"/>
              <w:ind w:right="69"/>
              <w:spacing w:after="0"/>
              <w:rPr>
                <w:sz w:val="20"/>
                <w:szCs w:val="20"/>
                <w:color w:val="auto"/>
              </w:rPr>
            </w:pPr>
            <w:r>
              <w:rPr>
                <w:rFonts w:ascii="Arial" w:cs="Arial" w:eastAsia="Arial" w:hAnsi="Arial"/>
                <w:sz w:val="14"/>
                <w:szCs w:val="14"/>
                <w:color w:val="092E44"/>
              </w:rPr>
              <w:t>—</w:t>
            </w:r>
          </w:p>
        </w:tc>
        <w:tc>
          <w:tcPr>
            <w:tcW w:w="840" w:type="dxa"/>
            <w:vAlign w:val="bottom"/>
            <w:shd w:val="clear" w:color="auto" w:fill="DDE9F2"/>
          </w:tcPr>
          <w:p>
            <w:pPr>
              <w:jc w:val="right"/>
              <w:ind w:right="169"/>
              <w:spacing w:after="0"/>
              <w:rPr>
                <w:sz w:val="20"/>
                <w:szCs w:val="20"/>
                <w:color w:val="auto"/>
              </w:rPr>
            </w:pPr>
            <w:r>
              <w:rPr>
                <w:rFonts w:ascii="Arial" w:cs="Arial" w:eastAsia="Arial" w:hAnsi="Arial"/>
                <w:sz w:val="14"/>
                <w:szCs w:val="14"/>
                <w:color w:val="092E44"/>
              </w:rPr>
              <w:t>—</w:t>
            </w:r>
          </w:p>
        </w:tc>
        <w:tc>
          <w:tcPr>
            <w:tcW w:w="900" w:type="dxa"/>
            <w:vAlign w:val="bottom"/>
            <w:shd w:val="clear" w:color="auto" w:fill="DDE9F2"/>
          </w:tcPr>
          <w:p>
            <w:pPr>
              <w:jc w:val="right"/>
              <w:ind w:right="129"/>
              <w:spacing w:after="0"/>
              <w:rPr>
                <w:sz w:val="20"/>
                <w:szCs w:val="20"/>
                <w:color w:val="auto"/>
              </w:rPr>
            </w:pPr>
            <w:r>
              <w:rPr>
                <w:rFonts w:ascii="Arial" w:cs="Arial" w:eastAsia="Arial" w:hAnsi="Arial"/>
                <w:sz w:val="14"/>
                <w:szCs w:val="14"/>
                <w:color w:val="092E44"/>
              </w:rPr>
              <w:t>—</w:t>
            </w:r>
          </w:p>
        </w:tc>
        <w:tc>
          <w:tcPr>
            <w:tcW w:w="720" w:type="dxa"/>
            <w:vAlign w:val="bottom"/>
            <w:shd w:val="clear" w:color="auto" w:fill="DDE9F2"/>
          </w:tcPr>
          <w:p>
            <w:pPr>
              <w:jc w:val="right"/>
              <w:ind w:right="29"/>
              <w:spacing w:after="0"/>
              <w:rPr>
                <w:sz w:val="20"/>
                <w:szCs w:val="20"/>
                <w:color w:val="auto"/>
              </w:rPr>
            </w:pPr>
            <w:r>
              <w:rPr>
                <w:rFonts w:ascii="Arial" w:cs="Arial" w:eastAsia="Arial" w:hAnsi="Arial"/>
                <w:sz w:val="14"/>
                <w:szCs w:val="14"/>
                <w:color w:val="092E44"/>
              </w:rPr>
              <w:t>15,049</w:t>
            </w:r>
          </w:p>
        </w:tc>
        <w:tc>
          <w:tcPr>
            <w:tcW w:w="840" w:type="dxa"/>
            <w:vAlign w:val="bottom"/>
            <w:shd w:val="clear" w:color="auto" w:fill="DDE9F2"/>
          </w:tcPr>
          <w:p>
            <w:pPr>
              <w:jc w:val="right"/>
              <w:ind w:right="29"/>
              <w:spacing w:after="0"/>
              <w:rPr>
                <w:sz w:val="20"/>
                <w:szCs w:val="20"/>
                <w:color w:val="auto"/>
              </w:rPr>
            </w:pPr>
            <w:r>
              <w:rPr>
                <w:rFonts w:ascii="Arial" w:cs="Arial" w:eastAsia="Arial" w:hAnsi="Arial"/>
                <w:sz w:val="14"/>
                <w:szCs w:val="14"/>
                <w:color w:val="092E44"/>
              </w:rPr>
              <w:t>1,036,425</w:t>
            </w:r>
          </w:p>
        </w:tc>
      </w:tr>
      <w:tr>
        <w:trPr>
          <w:trHeight w:val="294"/>
        </w:trPr>
        <w:tc>
          <w:tcPr>
            <w:tcW w:w="2500" w:type="dxa"/>
            <w:vAlign w:val="bottom"/>
            <w:shd w:val="clear" w:color="auto" w:fill="DDE9F2"/>
          </w:tcPr>
          <w:p>
            <w:pPr>
              <w:spacing w:after="0"/>
              <w:rPr>
                <w:sz w:val="24"/>
                <w:szCs w:val="24"/>
                <w:color w:val="auto"/>
              </w:rPr>
            </w:pPr>
          </w:p>
        </w:tc>
        <w:tc>
          <w:tcPr>
            <w:tcW w:w="840" w:type="dxa"/>
            <w:vAlign w:val="bottom"/>
            <w:shd w:val="clear" w:color="auto" w:fill="DDE9F2"/>
          </w:tcPr>
          <w:p>
            <w:pPr>
              <w:jc w:val="right"/>
              <w:spacing w:after="0"/>
              <w:rPr>
                <w:sz w:val="20"/>
                <w:szCs w:val="20"/>
                <w:color w:val="auto"/>
              </w:rPr>
            </w:pPr>
            <w:r>
              <w:rPr>
                <w:rFonts w:ascii="Arial" w:cs="Arial" w:eastAsia="Arial" w:hAnsi="Arial"/>
                <w:sz w:val="14"/>
                <w:szCs w:val="14"/>
                <w:color w:val="092E44"/>
              </w:rPr>
              <w:t>05/17/21</w:t>
            </w:r>
          </w:p>
        </w:tc>
        <w:tc>
          <w:tcPr>
            <w:tcW w:w="1300" w:type="dxa"/>
            <w:vAlign w:val="bottom"/>
            <w:shd w:val="clear" w:color="auto" w:fill="DDE9F2"/>
          </w:tcPr>
          <w:p>
            <w:pPr>
              <w:jc w:val="right"/>
              <w:ind w:right="169"/>
              <w:spacing w:after="0"/>
              <w:rPr>
                <w:sz w:val="20"/>
                <w:szCs w:val="20"/>
                <w:color w:val="auto"/>
              </w:rPr>
            </w:pPr>
            <w:r>
              <w:rPr>
                <w:rFonts w:ascii="Arial" w:cs="Arial" w:eastAsia="Arial" w:hAnsi="Arial"/>
                <w:sz w:val="14"/>
                <w:szCs w:val="14"/>
                <w:color w:val="092E44"/>
              </w:rPr>
              <w:t>—</w:t>
            </w:r>
          </w:p>
        </w:tc>
        <w:tc>
          <w:tcPr>
            <w:tcW w:w="920" w:type="dxa"/>
            <w:vAlign w:val="bottom"/>
            <w:shd w:val="clear" w:color="auto" w:fill="DDE9F2"/>
          </w:tcPr>
          <w:p>
            <w:pPr>
              <w:jc w:val="right"/>
              <w:ind w:right="69"/>
              <w:spacing w:after="0"/>
              <w:rPr>
                <w:sz w:val="20"/>
                <w:szCs w:val="20"/>
                <w:color w:val="auto"/>
              </w:rPr>
            </w:pPr>
            <w:r>
              <w:rPr>
                <w:rFonts w:ascii="Arial" w:cs="Arial" w:eastAsia="Arial" w:hAnsi="Arial"/>
                <w:sz w:val="14"/>
                <w:szCs w:val="14"/>
                <w:color w:val="092E44"/>
              </w:rPr>
              <w:t>—</w:t>
            </w:r>
          </w:p>
        </w:tc>
        <w:tc>
          <w:tcPr>
            <w:tcW w:w="1140" w:type="dxa"/>
            <w:vAlign w:val="bottom"/>
            <w:shd w:val="clear" w:color="auto" w:fill="DDE9F2"/>
          </w:tcPr>
          <w:p>
            <w:pPr>
              <w:jc w:val="right"/>
              <w:ind w:right="289"/>
              <w:spacing w:after="0"/>
              <w:rPr>
                <w:sz w:val="20"/>
                <w:szCs w:val="20"/>
                <w:color w:val="auto"/>
              </w:rPr>
            </w:pPr>
            <w:r>
              <w:rPr>
                <w:rFonts w:ascii="Arial" w:cs="Arial" w:eastAsia="Arial" w:hAnsi="Arial"/>
                <w:sz w:val="14"/>
                <w:szCs w:val="14"/>
                <w:color w:val="092E44"/>
              </w:rPr>
              <w:t>—</w:t>
            </w:r>
          </w:p>
        </w:tc>
        <w:tc>
          <w:tcPr>
            <w:tcW w:w="920" w:type="dxa"/>
            <w:vAlign w:val="bottom"/>
            <w:shd w:val="clear" w:color="auto" w:fill="DDE9F2"/>
          </w:tcPr>
          <w:p>
            <w:pPr>
              <w:jc w:val="right"/>
              <w:ind w:right="69"/>
              <w:spacing w:after="0"/>
              <w:rPr>
                <w:sz w:val="20"/>
                <w:szCs w:val="20"/>
                <w:color w:val="auto"/>
              </w:rPr>
            </w:pPr>
            <w:r>
              <w:rPr>
                <w:rFonts w:ascii="Arial" w:cs="Arial" w:eastAsia="Arial" w:hAnsi="Arial"/>
                <w:sz w:val="14"/>
                <w:szCs w:val="14"/>
                <w:color w:val="092E44"/>
              </w:rPr>
              <w:t>3,762</w:t>
            </w:r>
          </w:p>
        </w:tc>
        <w:tc>
          <w:tcPr>
            <w:tcW w:w="840" w:type="dxa"/>
            <w:vAlign w:val="bottom"/>
            <w:shd w:val="clear" w:color="auto" w:fill="DDE9F2"/>
          </w:tcPr>
          <w:p>
            <w:pPr>
              <w:jc w:val="right"/>
              <w:ind w:right="169"/>
              <w:spacing w:after="0"/>
              <w:rPr>
                <w:sz w:val="20"/>
                <w:szCs w:val="20"/>
                <w:color w:val="auto"/>
              </w:rPr>
            </w:pPr>
            <w:r>
              <w:rPr>
                <w:rFonts w:ascii="Arial" w:cs="Arial" w:eastAsia="Arial" w:hAnsi="Arial"/>
                <w:sz w:val="14"/>
                <w:szCs w:val="14"/>
                <w:color w:val="092E44"/>
              </w:rPr>
              <w:t>7,524</w:t>
            </w:r>
          </w:p>
        </w:tc>
        <w:tc>
          <w:tcPr>
            <w:tcW w:w="900" w:type="dxa"/>
            <w:vAlign w:val="bottom"/>
            <w:shd w:val="clear" w:color="auto" w:fill="DDE9F2"/>
          </w:tcPr>
          <w:p>
            <w:pPr>
              <w:jc w:val="right"/>
              <w:ind w:right="129"/>
              <w:spacing w:after="0"/>
              <w:rPr>
                <w:sz w:val="20"/>
                <w:szCs w:val="20"/>
                <w:color w:val="auto"/>
              </w:rPr>
            </w:pPr>
            <w:r>
              <w:rPr>
                <w:rFonts w:ascii="Arial" w:cs="Arial" w:eastAsia="Arial" w:hAnsi="Arial"/>
                <w:sz w:val="14"/>
                <w:szCs w:val="14"/>
                <w:color w:val="092E44"/>
              </w:rPr>
              <w:t>15,048</w:t>
            </w:r>
          </w:p>
        </w:tc>
        <w:tc>
          <w:tcPr>
            <w:tcW w:w="720" w:type="dxa"/>
            <w:vAlign w:val="bottom"/>
            <w:shd w:val="clear" w:color="auto" w:fill="DDE9F2"/>
          </w:tcPr>
          <w:p>
            <w:pPr>
              <w:jc w:val="right"/>
              <w:ind w:right="29"/>
              <w:spacing w:after="0"/>
              <w:rPr>
                <w:sz w:val="20"/>
                <w:szCs w:val="20"/>
                <w:color w:val="auto"/>
              </w:rPr>
            </w:pPr>
            <w:r>
              <w:rPr>
                <w:rFonts w:ascii="Arial" w:cs="Arial" w:eastAsia="Arial" w:hAnsi="Arial"/>
                <w:sz w:val="14"/>
                <w:szCs w:val="14"/>
                <w:color w:val="092E44"/>
              </w:rPr>
              <w:t>—</w:t>
            </w:r>
          </w:p>
        </w:tc>
        <w:tc>
          <w:tcPr>
            <w:tcW w:w="840" w:type="dxa"/>
            <w:vAlign w:val="bottom"/>
            <w:shd w:val="clear" w:color="auto" w:fill="DDE9F2"/>
          </w:tcPr>
          <w:p>
            <w:pPr>
              <w:jc w:val="right"/>
              <w:ind w:right="29"/>
              <w:spacing w:after="0"/>
              <w:rPr>
                <w:sz w:val="20"/>
                <w:szCs w:val="20"/>
                <w:color w:val="auto"/>
              </w:rPr>
            </w:pPr>
            <w:r>
              <w:rPr>
                <w:rFonts w:ascii="Arial" w:cs="Arial" w:eastAsia="Arial" w:hAnsi="Arial"/>
                <w:sz w:val="14"/>
                <w:szCs w:val="14"/>
                <w:color w:val="092E44"/>
              </w:rPr>
              <w:t>660,156</w:t>
            </w:r>
          </w:p>
        </w:tc>
      </w:tr>
      <w:tr>
        <w:trPr>
          <w:trHeight w:val="322"/>
        </w:trPr>
        <w:tc>
          <w:tcPr>
            <w:tcW w:w="2500" w:type="dxa"/>
            <w:vAlign w:val="bottom"/>
            <w:tcBorders>
              <w:bottom w:val="single" w:sz="8" w:color="DDE9F2"/>
            </w:tcBorders>
            <w:shd w:val="clear" w:color="auto" w:fill="DDE9F2"/>
          </w:tcPr>
          <w:p>
            <w:pPr>
              <w:spacing w:after="0"/>
              <w:rPr>
                <w:sz w:val="24"/>
                <w:szCs w:val="24"/>
                <w:color w:val="auto"/>
              </w:rPr>
            </w:pPr>
          </w:p>
        </w:tc>
        <w:tc>
          <w:tcPr>
            <w:tcW w:w="840" w:type="dxa"/>
            <w:vAlign w:val="bottom"/>
            <w:tcBorders>
              <w:bottom w:val="single" w:sz="8" w:color="DDE9F2"/>
            </w:tcBorders>
            <w:shd w:val="clear" w:color="auto" w:fill="DDE9F2"/>
          </w:tcPr>
          <w:p>
            <w:pPr>
              <w:jc w:val="right"/>
              <w:spacing w:after="0"/>
              <w:rPr>
                <w:sz w:val="20"/>
                <w:szCs w:val="20"/>
                <w:color w:val="auto"/>
              </w:rPr>
            </w:pPr>
            <w:r>
              <w:rPr>
                <w:rFonts w:ascii="Arial" w:cs="Arial" w:eastAsia="Arial" w:hAnsi="Arial"/>
                <w:sz w:val="14"/>
                <w:szCs w:val="14"/>
                <w:color w:val="092E44"/>
              </w:rPr>
              <w:t>05/17/21</w:t>
            </w:r>
          </w:p>
        </w:tc>
        <w:tc>
          <w:tcPr>
            <w:tcW w:w="1300" w:type="dxa"/>
            <w:vAlign w:val="bottom"/>
            <w:tcBorders>
              <w:bottom w:val="single" w:sz="8" w:color="DDE9F2"/>
            </w:tcBorders>
            <w:shd w:val="clear" w:color="auto" w:fill="DDE9F2"/>
          </w:tcPr>
          <w:p>
            <w:pPr>
              <w:jc w:val="right"/>
              <w:ind w:right="169"/>
              <w:spacing w:after="0"/>
              <w:rPr>
                <w:sz w:val="20"/>
                <w:szCs w:val="20"/>
                <w:color w:val="auto"/>
              </w:rPr>
            </w:pPr>
            <w:r>
              <w:rPr>
                <w:rFonts w:ascii="Arial" w:cs="Arial" w:eastAsia="Arial" w:hAnsi="Arial"/>
                <w:sz w:val="14"/>
                <w:szCs w:val="14"/>
                <w:color w:val="092E44"/>
              </w:rPr>
              <w:t>—</w:t>
            </w:r>
          </w:p>
        </w:tc>
        <w:tc>
          <w:tcPr>
            <w:tcW w:w="920" w:type="dxa"/>
            <w:vAlign w:val="bottom"/>
            <w:tcBorders>
              <w:bottom w:val="single" w:sz="8" w:color="DDE9F2"/>
            </w:tcBorders>
            <w:shd w:val="clear" w:color="auto" w:fill="DDE9F2"/>
          </w:tcPr>
          <w:p>
            <w:pPr>
              <w:jc w:val="right"/>
              <w:ind w:right="69"/>
              <w:spacing w:after="0"/>
              <w:rPr>
                <w:sz w:val="20"/>
                <w:szCs w:val="20"/>
                <w:color w:val="auto"/>
              </w:rPr>
            </w:pPr>
            <w:r>
              <w:rPr>
                <w:rFonts w:ascii="Arial" w:cs="Arial" w:eastAsia="Arial" w:hAnsi="Arial"/>
                <w:sz w:val="14"/>
                <w:szCs w:val="14"/>
                <w:color w:val="092E44"/>
              </w:rPr>
              <w:t>—</w:t>
            </w:r>
          </w:p>
        </w:tc>
        <w:tc>
          <w:tcPr>
            <w:tcW w:w="1140" w:type="dxa"/>
            <w:vAlign w:val="bottom"/>
            <w:tcBorders>
              <w:bottom w:val="single" w:sz="8" w:color="DDE9F2"/>
            </w:tcBorders>
            <w:shd w:val="clear" w:color="auto" w:fill="DDE9F2"/>
          </w:tcPr>
          <w:p>
            <w:pPr>
              <w:jc w:val="right"/>
              <w:ind w:right="289"/>
              <w:spacing w:after="0"/>
              <w:rPr>
                <w:sz w:val="20"/>
                <w:szCs w:val="20"/>
                <w:color w:val="auto"/>
              </w:rPr>
            </w:pPr>
            <w:r>
              <w:rPr>
                <w:rFonts w:ascii="Arial" w:cs="Arial" w:eastAsia="Arial" w:hAnsi="Arial"/>
                <w:sz w:val="14"/>
                <w:szCs w:val="14"/>
                <w:color w:val="092E44"/>
              </w:rPr>
              <w:t>—</w:t>
            </w:r>
          </w:p>
        </w:tc>
        <w:tc>
          <w:tcPr>
            <w:tcW w:w="920" w:type="dxa"/>
            <w:vAlign w:val="bottom"/>
            <w:tcBorders>
              <w:bottom w:val="single" w:sz="8" w:color="DDE9F2"/>
            </w:tcBorders>
            <w:shd w:val="clear" w:color="auto" w:fill="DDE9F2"/>
          </w:tcPr>
          <w:p>
            <w:pPr>
              <w:jc w:val="right"/>
              <w:ind w:right="69"/>
              <w:spacing w:after="0"/>
              <w:rPr>
                <w:sz w:val="20"/>
                <w:szCs w:val="20"/>
                <w:color w:val="auto"/>
              </w:rPr>
            </w:pPr>
            <w:r>
              <w:rPr>
                <w:rFonts w:ascii="Arial" w:cs="Arial" w:eastAsia="Arial" w:hAnsi="Arial"/>
                <w:sz w:val="14"/>
                <w:szCs w:val="14"/>
                <w:color w:val="092E44"/>
              </w:rPr>
              <w:t>3,762</w:t>
            </w:r>
          </w:p>
        </w:tc>
        <w:tc>
          <w:tcPr>
            <w:tcW w:w="840" w:type="dxa"/>
            <w:vAlign w:val="bottom"/>
            <w:tcBorders>
              <w:bottom w:val="single" w:sz="8" w:color="DDE9F2"/>
            </w:tcBorders>
            <w:shd w:val="clear" w:color="auto" w:fill="DDE9F2"/>
          </w:tcPr>
          <w:p>
            <w:pPr>
              <w:jc w:val="right"/>
              <w:ind w:right="169"/>
              <w:spacing w:after="0"/>
              <w:rPr>
                <w:sz w:val="20"/>
                <w:szCs w:val="20"/>
                <w:color w:val="auto"/>
              </w:rPr>
            </w:pPr>
            <w:r>
              <w:rPr>
                <w:rFonts w:ascii="Arial" w:cs="Arial" w:eastAsia="Arial" w:hAnsi="Arial"/>
                <w:sz w:val="14"/>
                <w:szCs w:val="14"/>
                <w:color w:val="092E44"/>
              </w:rPr>
              <w:t>7,524</w:t>
            </w:r>
          </w:p>
        </w:tc>
        <w:tc>
          <w:tcPr>
            <w:tcW w:w="900" w:type="dxa"/>
            <w:vAlign w:val="bottom"/>
            <w:tcBorders>
              <w:bottom w:val="single" w:sz="8" w:color="DDE9F2"/>
            </w:tcBorders>
            <w:shd w:val="clear" w:color="auto" w:fill="DDE9F2"/>
          </w:tcPr>
          <w:p>
            <w:pPr>
              <w:jc w:val="right"/>
              <w:ind w:right="129"/>
              <w:spacing w:after="0"/>
              <w:rPr>
                <w:sz w:val="20"/>
                <w:szCs w:val="20"/>
                <w:color w:val="auto"/>
              </w:rPr>
            </w:pPr>
            <w:r>
              <w:rPr>
                <w:rFonts w:ascii="Arial" w:cs="Arial" w:eastAsia="Arial" w:hAnsi="Arial"/>
                <w:sz w:val="14"/>
                <w:szCs w:val="14"/>
                <w:color w:val="092E44"/>
              </w:rPr>
              <w:t>15,048</w:t>
            </w:r>
          </w:p>
        </w:tc>
        <w:tc>
          <w:tcPr>
            <w:tcW w:w="720" w:type="dxa"/>
            <w:vAlign w:val="bottom"/>
            <w:tcBorders>
              <w:bottom w:val="single" w:sz="8" w:color="DDE9F2"/>
            </w:tcBorders>
            <w:shd w:val="clear" w:color="auto" w:fill="DDE9F2"/>
          </w:tcPr>
          <w:p>
            <w:pPr>
              <w:jc w:val="right"/>
              <w:ind w:right="29"/>
              <w:spacing w:after="0"/>
              <w:rPr>
                <w:sz w:val="20"/>
                <w:szCs w:val="20"/>
                <w:color w:val="auto"/>
              </w:rPr>
            </w:pPr>
            <w:r>
              <w:rPr>
                <w:rFonts w:ascii="Arial" w:cs="Arial" w:eastAsia="Arial" w:hAnsi="Arial"/>
                <w:sz w:val="14"/>
                <w:szCs w:val="14"/>
                <w:color w:val="092E44"/>
              </w:rPr>
              <w:t>—</w:t>
            </w:r>
          </w:p>
        </w:tc>
        <w:tc>
          <w:tcPr>
            <w:tcW w:w="840" w:type="dxa"/>
            <w:vAlign w:val="bottom"/>
            <w:tcBorders>
              <w:bottom w:val="single" w:sz="8" w:color="DDE9F2"/>
            </w:tcBorders>
            <w:shd w:val="clear" w:color="auto" w:fill="DDE9F2"/>
          </w:tcPr>
          <w:p>
            <w:pPr>
              <w:jc w:val="right"/>
              <w:ind w:right="29"/>
              <w:spacing w:after="0"/>
              <w:rPr>
                <w:sz w:val="20"/>
                <w:szCs w:val="20"/>
                <w:color w:val="auto"/>
              </w:rPr>
            </w:pPr>
            <w:r>
              <w:rPr>
                <w:rFonts w:ascii="Arial" w:cs="Arial" w:eastAsia="Arial" w:hAnsi="Arial"/>
                <w:sz w:val="14"/>
                <w:szCs w:val="14"/>
                <w:color w:val="092E44"/>
              </w:rPr>
              <w:t>518,178</w:t>
            </w:r>
          </w:p>
        </w:tc>
      </w:tr>
      <w:tr>
        <w:trPr>
          <w:trHeight w:val="253"/>
        </w:trPr>
        <w:tc>
          <w:tcPr>
            <w:tcW w:w="2500" w:type="dxa"/>
            <w:vAlign w:val="bottom"/>
          </w:tcPr>
          <w:p>
            <w:pPr>
              <w:ind w:left="80"/>
              <w:spacing w:after="0"/>
              <w:rPr>
                <w:sz w:val="20"/>
                <w:szCs w:val="20"/>
                <w:color w:val="auto"/>
              </w:rPr>
            </w:pPr>
            <w:r>
              <w:rPr>
                <w:rFonts w:ascii="Arial" w:cs="Arial" w:eastAsia="Arial" w:hAnsi="Arial"/>
                <w:sz w:val="14"/>
                <w:szCs w:val="14"/>
                <w:b w:val="1"/>
                <w:bCs w:val="1"/>
                <w:color w:val="092E44"/>
              </w:rPr>
              <w:t>Riccardo Di Blasio</w:t>
            </w:r>
          </w:p>
        </w:tc>
        <w:tc>
          <w:tcPr>
            <w:tcW w:w="840" w:type="dxa"/>
            <w:vAlign w:val="bottom"/>
          </w:tcPr>
          <w:p>
            <w:pPr>
              <w:jc w:val="right"/>
              <w:spacing w:after="0"/>
              <w:rPr>
                <w:sz w:val="20"/>
                <w:szCs w:val="20"/>
                <w:color w:val="auto"/>
              </w:rPr>
            </w:pPr>
            <w:r>
              <w:rPr>
                <w:rFonts w:ascii="Arial" w:cs="Arial" w:eastAsia="Arial" w:hAnsi="Arial"/>
                <w:sz w:val="14"/>
                <w:szCs w:val="14"/>
                <w:color w:val="092E44"/>
              </w:rPr>
              <w:t>—</w:t>
            </w:r>
          </w:p>
        </w:tc>
        <w:tc>
          <w:tcPr>
            <w:tcW w:w="1300" w:type="dxa"/>
            <w:vAlign w:val="bottom"/>
          </w:tcPr>
          <w:p>
            <w:pPr>
              <w:jc w:val="right"/>
              <w:ind w:right="169"/>
              <w:spacing w:after="0"/>
              <w:rPr>
                <w:sz w:val="20"/>
                <w:szCs w:val="20"/>
                <w:color w:val="auto"/>
              </w:rPr>
            </w:pPr>
            <w:r>
              <w:rPr>
                <w:rFonts w:ascii="Arial" w:cs="Arial" w:eastAsia="Arial" w:hAnsi="Arial"/>
                <w:sz w:val="14"/>
                <w:szCs w:val="14"/>
                <w:color w:val="092E44"/>
              </w:rPr>
              <w:t>180,000</w:t>
            </w:r>
          </w:p>
        </w:tc>
        <w:tc>
          <w:tcPr>
            <w:tcW w:w="920" w:type="dxa"/>
            <w:vAlign w:val="bottom"/>
          </w:tcPr>
          <w:p>
            <w:pPr>
              <w:jc w:val="right"/>
              <w:ind w:right="69"/>
              <w:spacing w:after="0"/>
              <w:rPr>
                <w:sz w:val="20"/>
                <w:szCs w:val="20"/>
                <w:color w:val="auto"/>
              </w:rPr>
            </w:pPr>
            <w:r>
              <w:rPr>
                <w:rFonts w:ascii="Arial" w:cs="Arial" w:eastAsia="Arial" w:hAnsi="Arial"/>
                <w:sz w:val="14"/>
                <w:szCs w:val="14"/>
                <w:color w:val="092E44"/>
              </w:rPr>
              <w:t>450,000</w:t>
            </w:r>
          </w:p>
        </w:tc>
        <w:tc>
          <w:tcPr>
            <w:tcW w:w="1140" w:type="dxa"/>
            <w:vAlign w:val="bottom"/>
          </w:tcPr>
          <w:p>
            <w:pPr>
              <w:jc w:val="right"/>
              <w:ind w:right="289"/>
              <w:spacing w:after="0"/>
              <w:rPr>
                <w:sz w:val="20"/>
                <w:szCs w:val="20"/>
                <w:color w:val="auto"/>
              </w:rPr>
            </w:pPr>
            <w:r>
              <w:rPr>
                <w:rFonts w:ascii="Arial" w:cs="Arial" w:eastAsia="Arial" w:hAnsi="Arial"/>
                <w:sz w:val="14"/>
                <w:szCs w:val="14"/>
                <w:color w:val="092E44"/>
              </w:rPr>
              <w:t>1,008,000</w:t>
            </w:r>
          </w:p>
        </w:tc>
        <w:tc>
          <w:tcPr>
            <w:tcW w:w="920" w:type="dxa"/>
            <w:vAlign w:val="bottom"/>
          </w:tcPr>
          <w:p>
            <w:pPr>
              <w:jc w:val="right"/>
              <w:ind w:right="69"/>
              <w:spacing w:after="0"/>
              <w:rPr>
                <w:sz w:val="20"/>
                <w:szCs w:val="20"/>
                <w:color w:val="auto"/>
              </w:rPr>
            </w:pPr>
            <w:r>
              <w:rPr>
                <w:rFonts w:ascii="Arial" w:cs="Arial" w:eastAsia="Arial" w:hAnsi="Arial"/>
                <w:sz w:val="14"/>
                <w:szCs w:val="14"/>
                <w:color w:val="092E44"/>
              </w:rPr>
              <w:t>—</w:t>
            </w:r>
          </w:p>
        </w:tc>
        <w:tc>
          <w:tcPr>
            <w:tcW w:w="840" w:type="dxa"/>
            <w:vAlign w:val="bottom"/>
          </w:tcPr>
          <w:p>
            <w:pPr>
              <w:jc w:val="right"/>
              <w:ind w:right="169"/>
              <w:spacing w:after="0"/>
              <w:rPr>
                <w:sz w:val="20"/>
                <w:szCs w:val="20"/>
                <w:color w:val="auto"/>
              </w:rPr>
            </w:pPr>
            <w:r>
              <w:rPr>
                <w:rFonts w:ascii="Arial" w:cs="Arial" w:eastAsia="Arial" w:hAnsi="Arial"/>
                <w:sz w:val="14"/>
                <w:szCs w:val="14"/>
                <w:color w:val="092E44"/>
              </w:rPr>
              <w:t>—</w:t>
            </w:r>
          </w:p>
        </w:tc>
        <w:tc>
          <w:tcPr>
            <w:tcW w:w="900" w:type="dxa"/>
            <w:vAlign w:val="bottom"/>
          </w:tcPr>
          <w:p>
            <w:pPr>
              <w:jc w:val="right"/>
              <w:ind w:right="129"/>
              <w:spacing w:after="0"/>
              <w:rPr>
                <w:sz w:val="20"/>
                <w:szCs w:val="20"/>
                <w:color w:val="auto"/>
              </w:rPr>
            </w:pPr>
            <w:r>
              <w:rPr>
                <w:rFonts w:ascii="Arial" w:cs="Arial" w:eastAsia="Arial" w:hAnsi="Arial"/>
                <w:sz w:val="14"/>
                <w:szCs w:val="14"/>
                <w:color w:val="092E44"/>
              </w:rPr>
              <w:t>—</w:t>
            </w:r>
          </w:p>
        </w:tc>
        <w:tc>
          <w:tcPr>
            <w:tcW w:w="720" w:type="dxa"/>
            <w:vAlign w:val="bottom"/>
          </w:tcPr>
          <w:p>
            <w:pPr>
              <w:jc w:val="right"/>
              <w:ind w:right="29"/>
              <w:spacing w:after="0"/>
              <w:rPr>
                <w:sz w:val="20"/>
                <w:szCs w:val="20"/>
                <w:color w:val="auto"/>
              </w:rPr>
            </w:pPr>
            <w:r>
              <w:rPr>
                <w:rFonts w:ascii="Arial" w:cs="Arial" w:eastAsia="Arial" w:hAnsi="Arial"/>
                <w:sz w:val="14"/>
                <w:szCs w:val="14"/>
                <w:color w:val="092E44"/>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092E44"/>
              </w:rPr>
              <w:t>—</w:t>
            </w:r>
          </w:p>
        </w:tc>
      </w:tr>
      <w:tr>
        <w:trPr>
          <w:trHeight w:val="288"/>
        </w:trPr>
        <w:tc>
          <w:tcPr>
            <w:tcW w:w="2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092E44"/>
              </w:rPr>
              <w:t>05/17/21</w:t>
            </w:r>
          </w:p>
        </w:tc>
        <w:tc>
          <w:tcPr>
            <w:tcW w:w="1300" w:type="dxa"/>
            <w:vAlign w:val="bottom"/>
          </w:tcPr>
          <w:p>
            <w:pPr>
              <w:jc w:val="right"/>
              <w:ind w:right="169"/>
              <w:spacing w:after="0"/>
              <w:rPr>
                <w:sz w:val="20"/>
                <w:szCs w:val="20"/>
                <w:color w:val="auto"/>
              </w:rPr>
            </w:pPr>
            <w:r>
              <w:rPr>
                <w:rFonts w:ascii="Arial" w:cs="Arial" w:eastAsia="Arial" w:hAnsi="Arial"/>
                <w:sz w:val="14"/>
                <w:szCs w:val="14"/>
                <w:color w:val="092E44"/>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092E44"/>
              </w:rPr>
              <w:t>—</w:t>
            </w:r>
          </w:p>
        </w:tc>
        <w:tc>
          <w:tcPr>
            <w:tcW w:w="1140" w:type="dxa"/>
            <w:vAlign w:val="bottom"/>
          </w:tcPr>
          <w:p>
            <w:pPr>
              <w:jc w:val="right"/>
              <w:ind w:right="289"/>
              <w:spacing w:after="0"/>
              <w:rPr>
                <w:sz w:val="20"/>
                <w:szCs w:val="20"/>
                <w:color w:val="auto"/>
              </w:rPr>
            </w:pPr>
            <w:r>
              <w:rPr>
                <w:rFonts w:ascii="Arial" w:cs="Arial" w:eastAsia="Arial" w:hAnsi="Arial"/>
                <w:sz w:val="14"/>
                <w:szCs w:val="14"/>
                <w:color w:val="092E44"/>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092E44"/>
              </w:rPr>
              <w:t>—</w:t>
            </w:r>
          </w:p>
        </w:tc>
        <w:tc>
          <w:tcPr>
            <w:tcW w:w="840" w:type="dxa"/>
            <w:vAlign w:val="bottom"/>
          </w:tcPr>
          <w:p>
            <w:pPr>
              <w:jc w:val="right"/>
              <w:ind w:right="169"/>
              <w:spacing w:after="0"/>
              <w:rPr>
                <w:sz w:val="20"/>
                <w:szCs w:val="20"/>
                <w:color w:val="auto"/>
              </w:rPr>
            </w:pPr>
            <w:r>
              <w:rPr>
                <w:rFonts w:ascii="Arial" w:cs="Arial" w:eastAsia="Arial" w:hAnsi="Arial"/>
                <w:sz w:val="14"/>
                <w:szCs w:val="14"/>
                <w:color w:val="092E44"/>
              </w:rPr>
              <w:t>—</w:t>
            </w:r>
          </w:p>
        </w:tc>
        <w:tc>
          <w:tcPr>
            <w:tcW w:w="900" w:type="dxa"/>
            <w:vAlign w:val="bottom"/>
          </w:tcPr>
          <w:p>
            <w:pPr>
              <w:jc w:val="right"/>
              <w:ind w:right="129"/>
              <w:spacing w:after="0"/>
              <w:rPr>
                <w:sz w:val="20"/>
                <w:szCs w:val="20"/>
                <w:color w:val="auto"/>
              </w:rPr>
            </w:pPr>
            <w:r>
              <w:rPr>
                <w:rFonts w:ascii="Arial" w:cs="Arial" w:eastAsia="Arial" w:hAnsi="Arial"/>
                <w:sz w:val="14"/>
                <w:szCs w:val="14"/>
                <w:color w:val="092E44"/>
              </w:rPr>
              <w:t>—</w:t>
            </w:r>
          </w:p>
        </w:tc>
        <w:tc>
          <w:tcPr>
            <w:tcW w:w="720" w:type="dxa"/>
            <w:vAlign w:val="bottom"/>
          </w:tcPr>
          <w:p>
            <w:pPr>
              <w:jc w:val="right"/>
              <w:ind w:right="29"/>
              <w:spacing w:after="0"/>
              <w:rPr>
                <w:sz w:val="20"/>
                <w:szCs w:val="20"/>
                <w:color w:val="auto"/>
              </w:rPr>
            </w:pPr>
            <w:r>
              <w:rPr>
                <w:rFonts w:ascii="Arial" w:cs="Arial" w:eastAsia="Arial" w:hAnsi="Arial"/>
                <w:sz w:val="14"/>
                <w:szCs w:val="14"/>
                <w:color w:val="092E44"/>
              </w:rPr>
              <w:t>18,812</w:t>
            </w:r>
          </w:p>
        </w:tc>
        <w:tc>
          <w:tcPr>
            <w:tcW w:w="840" w:type="dxa"/>
            <w:vAlign w:val="bottom"/>
          </w:tcPr>
          <w:p>
            <w:pPr>
              <w:jc w:val="right"/>
              <w:ind w:right="29"/>
              <w:spacing w:after="0"/>
              <w:rPr>
                <w:sz w:val="20"/>
                <w:szCs w:val="20"/>
                <w:color w:val="auto"/>
              </w:rPr>
            </w:pPr>
            <w:r>
              <w:rPr>
                <w:rFonts w:ascii="Arial" w:cs="Arial" w:eastAsia="Arial" w:hAnsi="Arial"/>
                <w:sz w:val="14"/>
                <w:szCs w:val="14"/>
                <w:color w:val="092E44"/>
              </w:rPr>
              <w:t>1,295,582</w:t>
            </w:r>
          </w:p>
        </w:tc>
      </w:tr>
      <w:tr>
        <w:trPr>
          <w:trHeight w:val="294"/>
        </w:trPr>
        <w:tc>
          <w:tcPr>
            <w:tcW w:w="2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092E44"/>
              </w:rPr>
              <w:t>05/17/21</w:t>
            </w:r>
          </w:p>
        </w:tc>
        <w:tc>
          <w:tcPr>
            <w:tcW w:w="1300" w:type="dxa"/>
            <w:vAlign w:val="bottom"/>
          </w:tcPr>
          <w:p>
            <w:pPr>
              <w:jc w:val="right"/>
              <w:ind w:right="169"/>
              <w:spacing w:after="0"/>
              <w:rPr>
                <w:sz w:val="20"/>
                <w:szCs w:val="20"/>
                <w:color w:val="auto"/>
              </w:rPr>
            </w:pPr>
            <w:r>
              <w:rPr>
                <w:rFonts w:ascii="Arial" w:cs="Arial" w:eastAsia="Arial" w:hAnsi="Arial"/>
                <w:sz w:val="14"/>
                <w:szCs w:val="14"/>
                <w:color w:val="092E44"/>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092E44"/>
              </w:rPr>
              <w:t>—</w:t>
            </w:r>
          </w:p>
        </w:tc>
        <w:tc>
          <w:tcPr>
            <w:tcW w:w="1140" w:type="dxa"/>
            <w:vAlign w:val="bottom"/>
          </w:tcPr>
          <w:p>
            <w:pPr>
              <w:jc w:val="right"/>
              <w:ind w:right="289"/>
              <w:spacing w:after="0"/>
              <w:rPr>
                <w:sz w:val="20"/>
                <w:szCs w:val="20"/>
                <w:color w:val="auto"/>
              </w:rPr>
            </w:pPr>
            <w:r>
              <w:rPr>
                <w:rFonts w:ascii="Arial" w:cs="Arial" w:eastAsia="Arial" w:hAnsi="Arial"/>
                <w:sz w:val="14"/>
                <w:szCs w:val="14"/>
                <w:color w:val="092E44"/>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092E44"/>
              </w:rPr>
              <w:t>4,703</w:t>
            </w:r>
          </w:p>
        </w:tc>
        <w:tc>
          <w:tcPr>
            <w:tcW w:w="840" w:type="dxa"/>
            <w:vAlign w:val="bottom"/>
          </w:tcPr>
          <w:p>
            <w:pPr>
              <w:jc w:val="right"/>
              <w:ind w:right="169"/>
              <w:spacing w:after="0"/>
              <w:rPr>
                <w:sz w:val="20"/>
                <w:szCs w:val="20"/>
                <w:color w:val="auto"/>
              </w:rPr>
            </w:pPr>
            <w:r>
              <w:rPr>
                <w:rFonts w:ascii="Arial" w:cs="Arial" w:eastAsia="Arial" w:hAnsi="Arial"/>
                <w:sz w:val="14"/>
                <w:szCs w:val="14"/>
                <w:color w:val="092E44"/>
              </w:rPr>
              <w:t>9,406</w:t>
            </w:r>
          </w:p>
        </w:tc>
        <w:tc>
          <w:tcPr>
            <w:tcW w:w="900" w:type="dxa"/>
            <w:vAlign w:val="bottom"/>
          </w:tcPr>
          <w:p>
            <w:pPr>
              <w:jc w:val="right"/>
              <w:ind w:right="129"/>
              <w:spacing w:after="0"/>
              <w:rPr>
                <w:sz w:val="20"/>
                <w:szCs w:val="20"/>
                <w:color w:val="auto"/>
              </w:rPr>
            </w:pPr>
            <w:r>
              <w:rPr>
                <w:rFonts w:ascii="Arial" w:cs="Arial" w:eastAsia="Arial" w:hAnsi="Arial"/>
                <w:sz w:val="14"/>
                <w:szCs w:val="14"/>
                <w:color w:val="092E44"/>
              </w:rPr>
              <w:t>18,812</w:t>
            </w:r>
          </w:p>
        </w:tc>
        <w:tc>
          <w:tcPr>
            <w:tcW w:w="720" w:type="dxa"/>
            <w:vAlign w:val="bottom"/>
          </w:tcPr>
          <w:p>
            <w:pPr>
              <w:jc w:val="right"/>
              <w:ind w:right="29"/>
              <w:spacing w:after="0"/>
              <w:rPr>
                <w:sz w:val="20"/>
                <w:szCs w:val="20"/>
                <w:color w:val="auto"/>
              </w:rPr>
            </w:pPr>
            <w:r>
              <w:rPr>
                <w:rFonts w:ascii="Arial" w:cs="Arial" w:eastAsia="Arial" w:hAnsi="Arial"/>
                <w:sz w:val="14"/>
                <w:szCs w:val="14"/>
                <w:color w:val="092E44"/>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092E44"/>
              </w:rPr>
              <w:t>825,282</w:t>
            </w:r>
          </w:p>
        </w:tc>
      </w:tr>
      <w:tr>
        <w:trPr>
          <w:trHeight w:val="294"/>
        </w:trPr>
        <w:tc>
          <w:tcPr>
            <w:tcW w:w="2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092E44"/>
              </w:rPr>
              <w:t>05/17/21</w:t>
            </w:r>
          </w:p>
        </w:tc>
        <w:tc>
          <w:tcPr>
            <w:tcW w:w="1300" w:type="dxa"/>
            <w:vAlign w:val="bottom"/>
          </w:tcPr>
          <w:p>
            <w:pPr>
              <w:jc w:val="right"/>
              <w:ind w:right="169"/>
              <w:spacing w:after="0"/>
              <w:rPr>
                <w:sz w:val="20"/>
                <w:szCs w:val="20"/>
                <w:color w:val="auto"/>
              </w:rPr>
            </w:pPr>
            <w:r>
              <w:rPr>
                <w:rFonts w:ascii="Arial" w:cs="Arial" w:eastAsia="Arial" w:hAnsi="Arial"/>
                <w:sz w:val="14"/>
                <w:szCs w:val="14"/>
                <w:color w:val="092E44"/>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092E44"/>
              </w:rPr>
              <w:t>—</w:t>
            </w:r>
          </w:p>
        </w:tc>
        <w:tc>
          <w:tcPr>
            <w:tcW w:w="1140" w:type="dxa"/>
            <w:vAlign w:val="bottom"/>
          </w:tcPr>
          <w:p>
            <w:pPr>
              <w:jc w:val="right"/>
              <w:ind w:right="289"/>
              <w:spacing w:after="0"/>
              <w:rPr>
                <w:sz w:val="20"/>
                <w:szCs w:val="20"/>
                <w:color w:val="auto"/>
              </w:rPr>
            </w:pPr>
            <w:r>
              <w:rPr>
                <w:rFonts w:ascii="Arial" w:cs="Arial" w:eastAsia="Arial" w:hAnsi="Arial"/>
                <w:sz w:val="14"/>
                <w:szCs w:val="14"/>
                <w:color w:val="092E44"/>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092E44"/>
              </w:rPr>
              <w:t>3,528</w:t>
            </w:r>
          </w:p>
        </w:tc>
        <w:tc>
          <w:tcPr>
            <w:tcW w:w="840" w:type="dxa"/>
            <w:vAlign w:val="bottom"/>
          </w:tcPr>
          <w:p>
            <w:pPr>
              <w:jc w:val="right"/>
              <w:ind w:right="169"/>
              <w:spacing w:after="0"/>
              <w:rPr>
                <w:sz w:val="20"/>
                <w:szCs w:val="20"/>
                <w:color w:val="auto"/>
              </w:rPr>
            </w:pPr>
            <w:r>
              <w:rPr>
                <w:rFonts w:ascii="Arial" w:cs="Arial" w:eastAsia="Arial" w:hAnsi="Arial"/>
                <w:sz w:val="14"/>
                <w:szCs w:val="14"/>
                <w:color w:val="092E44"/>
              </w:rPr>
              <w:t>7,055</w:t>
            </w:r>
          </w:p>
        </w:tc>
        <w:tc>
          <w:tcPr>
            <w:tcW w:w="900" w:type="dxa"/>
            <w:vAlign w:val="bottom"/>
          </w:tcPr>
          <w:p>
            <w:pPr>
              <w:jc w:val="right"/>
              <w:ind w:right="129"/>
              <w:spacing w:after="0"/>
              <w:rPr>
                <w:sz w:val="20"/>
                <w:szCs w:val="20"/>
                <w:color w:val="auto"/>
              </w:rPr>
            </w:pPr>
            <w:r>
              <w:rPr>
                <w:rFonts w:ascii="Arial" w:cs="Arial" w:eastAsia="Arial" w:hAnsi="Arial"/>
                <w:sz w:val="14"/>
                <w:szCs w:val="14"/>
                <w:color w:val="092E44"/>
              </w:rPr>
              <w:t>14,110</w:t>
            </w:r>
          </w:p>
        </w:tc>
        <w:tc>
          <w:tcPr>
            <w:tcW w:w="720" w:type="dxa"/>
            <w:vAlign w:val="bottom"/>
          </w:tcPr>
          <w:p>
            <w:pPr>
              <w:jc w:val="right"/>
              <w:ind w:right="29"/>
              <w:spacing w:after="0"/>
              <w:rPr>
                <w:sz w:val="20"/>
                <w:szCs w:val="20"/>
                <w:color w:val="auto"/>
              </w:rPr>
            </w:pPr>
            <w:r>
              <w:rPr>
                <w:rFonts w:ascii="Arial" w:cs="Arial" w:eastAsia="Arial" w:hAnsi="Arial"/>
                <w:sz w:val="14"/>
                <w:szCs w:val="14"/>
                <w:color w:val="092E44"/>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092E44"/>
              </w:rPr>
              <w:t>485,878</w:t>
            </w:r>
          </w:p>
        </w:tc>
      </w:tr>
      <w:tr>
        <w:trPr>
          <w:trHeight w:val="294"/>
        </w:trPr>
        <w:tc>
          <w:tcPr>
            <w:tcW w:w="2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092E44"/>
              </w:rPr>
              <w:t>05/17/21</w:t>
            </w:r>
          </w:p>
        </w:tc>
        <w:tc>
          <w:tcPr>
            <w:tcW w:w="1300" w:type="dxa"/>
            <w:vAlign w:val="bottom"/>
          </w:tcPr>
          <w:p>
            <w:pPr>
              <w:jc w:val="right"/>
              <w:ind w:right="169"/>
              <w:spacing w:after="0"/>
              <w:rPr>
                <w:sz w:val="20"/>
                <w:szCs w:val="20"/>
                <w:color w:val="auto"/>
              </w:rPr>
            </w:pPr>
            <w:r>
              <w:rPr>
                <w:rFonts w:ascii="Arial" w:cs="Arial" w:eastAsia="Arial" w:hAnsi="Arial"/>
                <w:sz w:val="14"/>
                <w:szCs w:val="14"/>
                <w:color w:val="092E44"/>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092E44"/>
              </w:rPr>
              <w:t>—</w:t>
            </w:r>
          </w:p>
        </w:tc>
        <w:tc>
          <w:tcPr>
            <w:tcW w:w="1140" w:type="dxa"/>
            <w:vAlign w:val="bottom"/>
          </w:tcPr>
          <w:p>
            <w:pPr>
              <w:jc w:val="right"/>
              <w:ind w:right="289"/>
              <w:spacing w:after="0"/>
              <w:rPr>
                <w:sz w:val="20"/>
                <w:szCs w:val="20"/>
                <w:color w:val="auto"/>
              </w:rPr>
            </w:pPr>
            <w:r>
              <w:rPr>
                <w:rFonts w:ascii="Arial" w:cs="Arial" w:eastAsia="Arial" w:hAnsi="Arial"/>
                <w:sz w:val="14"/>
                <w:szCs w:val="14"/>
                <w:color w:val="092E44"/>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092E44"/>
              </w:rPr>
              <w:t>1,176</w:t>
            </w:r>
          </w:p>
        </w:tc>
        <w:tc>
          <w:tcPr>
            <w:tcW w:w="840" w:type="dxa"/>
            <w:vAlign w:val="bottom"/>
          </w:tcPr>
          <w:p>
            <w:pPr>
              <w:jc w:val="right"/>
              <w:ind w:right="169"/>
              <w:spacing w:after="0"/>
              <w:rPr>
                <w:sz w:val="20"/>
                <w:szCs w:val="20"/>
                <w:color w:val="auto"/>
              </w:rPr>
            </w:pPr>
            <w:r>
              <w:rPr>
                <w:rFonts w:ascii="Arial" w:cs="Arial" w:eastAsia="Arial" w:hAnsi="Arial"/>
                <w:sz w:val="14"/>
                <w:szCs w:val="14"/>
                <w:color w:val="092E44"/>
              </w:rPr>
              <w:t>2, 351</w:t>
            </w:r>
          </w:p>
        </w:tc>
        <w:tc>
          <w:tcPr>
            <w:tcW w:w="900" w:type="dxa"/>
            <w:vAlign w:val="bottom"/>
          </w:tcPr>
          <w:p>
            <w:pPr>
              <w:jc w:val="right"/>
              <w:ind w:right="129"/>
              <w:spacing w:after="0"/>
              <w:rPr>
                <w:sz w:val="20"/>
                <w:szCs w:val="20"/>
                <w:color w:val="auto"/>
              </w:rPr>
            </w:pPr>
            <w:r>
              <w:rPr>
                <w:rFonts w:ascii="Arial" w:cs="Arial" w:eastAsia="Arial" w:hAnsi="Arial"/>
                <w:sz w:val="14"/>
                <w:szCs w:val="14"/>
                <w:color w:val="092E44"/>
              </w:rPr>
              <w:t>5,642</w:t>
            </w:r>
          </w:p>
        </w:tc>
        <w:tc>
          <w:tcPr>
            <w:tcW w:w="720" w:type="dxa"/>
            <w:vAlign w:val="bottom"/>
          </w:tcPr>
          <w:p>
            <w:pPr>
              <w:jc w:val="right"/>
              <w:ind w:right="29"/>
              <w:spacing w:after="0"/>
              <w:rPr>
                <w:sz w:val="20"/>
                <w:szCs w:val="20"/>
                <w:color w:val="auto"/>
              </w:rPr>
            </w:pPr>
            <w:r>
              <w:rPr>
                <w:rFonts w:ascii="Arial" w:cs="Arial" w:eastAsia="Arial" w:hAnsi="Arial"/>
                <w:sz w:val="14"/>
                <w:szCs w:val="14"/>
                <w:color w:val="092E44"/>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092E44"/>
              </w:rPr>
              <w:t>161,913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30480</wp:posOffset>
            </wp:positionV>
            <wp:extent cx="69297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0" w:lineRule="exact"/>
        <w:rPr>
          <w:sz w:val="20"/>
          <w:szCs w:val="20"/>
          <w:color w:val="auto"/>
        </w:rPr>
      </w:pPr>
    </w:p>
    <w:p>
      <w:pPr>
        <w:ind w:left="480" w:right="260" w:hanging="313"/>
        <w:spacing w:after="0" w:line="239" w:lineRule="auto"/>
        <w:tabs>
          <w:tab w:leader="none" w:pos="480" w:val="left"/>
        </w:tabs>
        <w:numPr>
          <w:ilvl w:val="0"/>
          <w:numId w:val="20"/>
        </w:numPr>
        <w:rPr>
          <w:rFonts w:ascii="Arial" w:cs="Arial" w:eastAsia="Arial" w:hAnsi="Arial"/>
          <w:sz w:val="12"/>
          <w:szCs w:val="12"/>
          <w:color w:val="092E44"/>
        </w:rPr>
      </w:pPr>
      <w:r>
        <w:rPr>
          <w:rFonts w:ascii="Arial" w:cs="Arial" w:eastAsia="Arial" w:hAnsi="Arial"/>
          <w:sz w:val="12"/>
          <w:szCs w:val="12"/>
          <w:color w:val="092E44"/>
        </w:rPr>
        <w:t>Represents the threshold amount with respect to each applicable metric under the Fiscal 2022 AIP for each named executive officer. Actual total payouts may be less than the threshold amounts shown if threshold performance goals are not attained. See “Annual Incentive Plan” above for more information on the Fiscal 2022 AIP and performance objectives for each of our named executive officers.</w:t>
      </w:r>
    </w:p>
    <w:p>
      <w:pPr>
        <w:ind w:left="480" w:hanging="313"/>
        <w:spacing w:after="0" w:line="232" w:lineRule="auto"/>
        <w:tabs>
          <w:tab w:leader="none" w:pos="480" w:val="left"/>
        </w:tabs>
        <w:numPr>
          <w:ilvl w:val="0"/>
          <w:numId w:val="20"/>
        </w:numPr>
        <w:rPr>
          <w:rFonts w:ascii="Arial" w:cs="Arial" w:eastAsia="Arial" w:hAnsi="Arial"/>
          <w:sz w:val="12"/>
          <w:szCs w:val="12"/>
          <w:color w:val="092E44"/>
        </w:rPr>
      </w:pPr>
      <w:r>
        <w:rPr>
          <w:rFonts w:ascii="Arial" w:cs="Arial" w:eastAsia="Arial" w:hAnsi="Arial"/>
          <w:sz w:val="12"/>
          <w:szCs w:val="12"/>
          <w:color w:val="092E44"/>
        </w:rPr>
        <w:t>Represents the total target amount with respect to each applicable metric under the Fiscal 2022 AIP for each named executive officer. See “Annual Incentive Plan” above for more information.</w:t>
      </w:r>
    </w:p>
    <w:p>
      <w:pPr>
        <w:ind w:left="480" w:hanging="313"/>
        <w:spacing w:after="0" w:line="232" w:lineRule="auto"/>
        <w:tabs>
          <w:tab w:leader="none" w:pos="480" w:val="left"/>
        </w:tabs>
        <w:numPr>
          <w:ilvl w:val="0"/>
          <w:numId w:val="20"/>
        </w:numPr>
        <w:rPr>
          <w:rFonts w:ascii="Arial" w:cs="Arial" w:eastAsia="Arial" w:hAnsi="Arial"/>
          <w:sz w:val="12"/>
          <w:szCs w:val="12"/>
          <w:color w:val="092E44"/>
        </w:rPr>
      </w:pPr>
      <w:r>
        <w:rPr>
          <w:rFonts w:ascii="Arial" w:cs="Arial" w:eastAsia="Arial" w:hAnsi="Arial"/>
          <w:sz w:val="12"/>
          <w:szCs w:val="12"/>
          <w:color w:val="092E44"/>
        </w:rPr>
        <w:t>Represents the maximum amount with respect to each applicable metric under the Fiscal 2022 AIP for each named executive officer. See “Annual Incentive Plan” above for more information.</w:t>
      </w:r>
    </w:p>
    <w:p>
      <w:pPr>
        <w:ind w:left="480" w:right="80" w:hanging="313"/>
        <w:spacing w:after="0" w:line="232" w:lineRule="auto"/>
        <w:tabs>
          <w:tab w:leader="none" w:pos="480" w:val="left"/>
        </w:tabs>
        <w:numPr>
          <w:ilvl w:val="0"/>
          <w:numId w:val="20"/>
        </w:numPr>
        <w:rPr>
          <w:rFonts w:ascii="Arial" w:cs="Arial" w:eastAsia="Arial" w:hAnsi="Arial"/>
          <w:sz w:val="12"/>
          <w:szCs w:val="12"/>
          <w:color w:val="092E44"/>
        </w:rPr>
      </w:pPr>
      <w:r>
        <w:rPr>
          <w:rFonts w:ascii="Arial" w:cs="Arial" w:eastAsia="Arial" w:hAnsi="Arial"/>
          <w:sz w:val="12"/>
          <w:szCs w:val="12"/>
          <w:color w:val="092E44"/>
        </w:rPr>
        <w:t>Represents the threshold amount for performance stock units granted, or 50% of the target amount, for each named executive officer under our 2016 Incentive Plan. If the threshold conditions for these awards are not met, the award value will be zero. See “Long-Term Equity Incentive Awards” above for more information on the plan and the related performance objectives.</w:t>
      </w:r>
    </w:p>
    <w:p>
      <w:pPr>
        <w:ind w:left="480" w:right="160" w:hanging="313"/>
        <w:spacing w:after="0" w:line="232" w:lineRule="auto"/>
        <w:tabs>
          <w:tab w:leader="none" w:pos="480" w:val="left"/>
        </w:tabs>
        <w:numPr>
          <w:ilvl w:val="0"/>
          <w:numId w:val="20"/>
        </w:numPr>
        <w:rPr>
          <w:rFonts w:ascii="Arial" w:cs="Arial" w:eastAsia="Arial" w:hAnsi="Arial"/>
          <w:sz w:val="12"/>
          <w:szCs w:val="12"/>
          <w:color w:val="092E44"/>
        </w:rPr>
      </w:pPr>
      <w:r>
        <w:rPr>
          <w:rFonts w:ascii="Arial" w:cs="Arial" w:eastAsia="Arial" w:hAnsi="Arial"/>
          <w:sz w:val="12"/>
          <w:szCs w:val="12"/>
          <w:color w:val="092E44"/>
        </w:rPr>
        <w:t>Represents the target amount for performance stock units granted for each named executive officer under our 2016 Incentive Plan. See “Long-Term Equity Incentive Awards” above for more information.</w:t>
      </w:r>
    </w:p>
    <w:p>
      <w:pPr>
        <w:jc w:val="both"/>
        <w:ind w:left="480" w:right="320" w:hanging="313"/>
        <w:spacing w:after="0" w:line="232" w:lineRule="auto"/>
        <w:tabs>
          <w:tab w:leader="none" w:pos="480" w:val="left"/>
        </w:tabs>
        <w:numPr>
          <w:ilvl w:val="0"/>
          <w:numId w:val="20"/>
        </w:numPr>
        <w:rPr>
          <w:rFonts w:ascii="Arial" w:cs="Arial" w:eastAsia="Arial" w:hAnsi="Arial"/>
          <w:sz w:val="12"/>
          <w:szCs w:val="12"/>
          <w:color w:val="092E44"/>
        </w:rPr>
      </w:pPr>
      <w:r>
        <w:rPr>
          <w:rFonts w:ascii="Arial" w:cs="Arial" w:eastAsia="Arial" w:hAnsi="Arial"/>
          <w:sz w:val="12"/>
          <w:szCs w:val="12"/>
          <w:color w:val="092E44"/>
        </w:rPr>
        <w:t>Represents the maximum amount for performance stock units granted. The maximum payout opportunity for the financial PSUs is 200% of the target amount for Messrs. Mirchandani and Carolan, and 210% for Mr. Di Blasio. The maximum payout opportunity for the Relative TSR PSUs is 200% for all the named executive officers. See “Long-Term Equity Incentive Awards” above for more information.</w:t>
      </w:r>
    </w:p>
    <w:p>
      <w:pPr>
        <w:spacing w:after="0" w:line="1" w:lineRule="exact"/>
        <w:rPr>
          <w:rFonts w:ascii="Arial" w:cs="Arial" w:eastAsia="Arial" w:hAnsi="Arial"/>
          <w:sz w:val="12"/>
          <w:szCs w:val="12"/>
          <w:color w:val="092E44"/>
        </w:rPr>
      </w:pPr>
    </w:p>
    <w:p>
      <w:pPr>
        <w:ind w:left="480" w:hanging="313"/>
        <w:spacing w:after="0" w:line="232" w:lineRule="auto"/>
        <w:tabs>
          <w:tab w:leader="none" w:pos="480" w:val="left"/>
        </w:tabs>
        <w:numPr>
          <w:ilvl w:val="0"/>
          <w:numId w:val="20"/>
        </w:numPr>
        <w:rPr>
          <w:rFonts w:ascii="Arial" w:cs="Arial" w:eastAsia="Arial" w:hAnsi="Arial"/>
          <w:sz w:val="12"/>
          <w:szCs w:val="12"/>
          <w:color w:val="092E44"/>
        </w:rPr>
      </w:pPr>
      <w:r>
        <w:rPr>
          <w:rFonts w:ascii="Arial" w:cs="Arial" w:eastAsia="Arial" w:hAnsi="Arial"/>
          <w:sz w:val="12"/>
          <w:szCs w:val="12"/>
          <w:color w:val="092E44"/>
        </w:rPr>
        <w:t>Amounts in this column reflect time-based restricted stock unit awards granted during fiscal 2022 to our named executive officers under our 2016 Incentive Plan.</w:t>
      </w:r>
    </w:p>
    <w:p>
      <w:pPr>
        <w:ind w:left="480" w:right="80" w:hanging="313"/>
        <w:spacing w:after="0" w:line="241" w:lineRule="auto"/>
        <w:tabs>
          <w:tab w:leader="none" w:pos="480" w:val="left"/>
        </w:tabs>
        <w:numPr>
          <w:ilvl w:val="0"/>
          <w:numId w:val="20"/>
        </w:numPr>
        <w:rPr>
          <w:rFonts w:ascii="Arial" w:cs="Arial" w:eastAsia="Arial" w:hAnsi="Arial"/>
          <w:sz w:val="12"/>
          <w:szCs w:val="12"/>
          <w:color w:val="092E44"/>
        </w:rPr>
      </w:pPr>
      <w:r>
        <w:rPr>
          <w:rFonts w:ascii="Arial" w:cs="Arial" w:eastAsia="Arial" w:hAnsi="Arial"/>
          <w:sz w:val="12"/>
          <w:szCs w:val="12"/>
          <w:color w:val="092E44"/>
        </w:rPr>
        <w:t>The amounts reported in this column represent the grant date fair value of the restricted stock unit awards and performance stock unit awards (shown at target) granted during the fiscal year indicated as computed in accordance with FASB ASC Topic 718. The amounts shown disregard estimated forfeitures related to service-based vesting conditions. See Note 10 of our consolidated financial statements contained in our Annual Report on Form 10-K for the year ended March 31, 2022, for a discussion of the assumptions we made in determining the grant date fair value of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237490</wp:posOffset>
            </wp:positionV>
            <wp:extent cx="220980" cy="2120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42</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80"/>
          </w:cols>
          <w:pgMar w:left="320" w:top="454" w:right="4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COMPENSATION TABLES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FISCAL 2022 OUTSTANDING EQUITY AWARDS AT FISCAL YEAR END TABLE</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Fiscal 2022 Outstanding Equity Awards at Fiscal Year End Table</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The following table reflects all outstanding equity awards held by our named executive officers as of March 31, 2022.</w:t>
      </w:r>
    </w:p>
    <w:p>
      <w:pPr>
        <w:spacing w:after="0" w:line="240" w:lineRule="exact"/>
        <w:rPr>
          <w:sz w:val="20"/>
          <w:szCs w:val="20"/>
          <w:color w:val="auto"/>
        </w:rPr>
      </w:pPr>
    </w:p>
    <w:tbl>
      <w:tblPr>
        <w:tblLayout w:type="fixed"/>
        <w:tblInd w:w="160" w:type="dxa"/>
        <w:tblCellMar>
          <w:top w:w="0" w:type="dxa"/>
          <w:left w:w="0" w:type="dxa"/>
          <w:bottom w:w="0" w:type="dxa"/>
          <w:right w:w="0" w:type="dxa"/>
        </w:tblCellMar>
      </w:tblPr>
      <w:tr>
        <w:trPr>
          <w:trHeight w:val="152"/>
        </w:trPr>
        <w:tc>
          <w:tcPr>
            <w:tcW w:w="3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Borders>
              <w:bottom w:val="single" w:sz="8" w:color="092E44"/>
            </w:tcBorders>
            <w:gridSpan w:val="2"/>
          </w:tcPr>
          <w:p>
            <w:pPr>
              <w:jc w:val="right"/>
              <w:ind w:right="10"/>
              <w:spacing w:after="0"/>
              <w:rPr>
                <w:sz w:val="20"/>
                <w:szCs w:val="20"/>
                <w:color w:val="auto"/>
              </w:rPr>
            </w:pPr>
            <w:r>
              <w:rPr>
                <w:rFonts w:ascii="Arial" w:cs="Arial" w:eastAsia="Arial" w:hAnsi="Arial"/>
                <w:sz w:val="12"/>
                <w:szCs w:val="12"/>
                <w:color w:val="092E44"/>
              </w:rPr>
              <w:t>Option Awards</w:t>
            </w:r>
          </w:p>
        </w:tc>
        <w:tc>
          <w:tcPr>
            <w:tcW w:w="640" w:type="dxa"/>
            <w:vAlign w:val="bottom"/>
            <w:tcBorders>
              <w:bottom w:val="single" w:sz="8" w:color="092E44"/>
            </w:tcBorders>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Borders>
              <w:bottom w:val="single" w:sz="8" w:color="092E44"/>
            </w:tcBorders>
          </w:tcPr>
          <w:p>
            <w:pPr>
              <w:spacing w:after="0"/>
              <w:rPr>
                <w:sz w:val="13"/>
                <w:szCs w:val="13"/>
                <w:color w:val="auto"/>
              </w:rPr>
            </w:pPr>
          </w:p>
        </w:tc>
        <w:tc>
          <w:tcPr>
            <w:tcW w:w="2040" w:type="dxa"/>
            <w:vAlign w:val="bottom"/>
            <w:tcBorders>
              <w:bottom w:val="single" w:sz="8" w:color="092E44"/>
            </w:tcBorders>
            <w:gridSpan w:val="2"/>
          </w:tcPr>
          <w:p>
            <w:pPr>
              <w:jc w:val="right"/>
              <w:ind w:right="552"/>
              <w:spacing w:after="0"/>
              <w:rPr>
                <w:sz w:val="20"/>
                <w:szCs w:val="20"/>
                <w:color w:val="auto"/>
              </w:rPr>
            </w:pPr>
            <w:r>
              <w:rPr>
                <w:rFonts w:ascii="Arial" w:cs="Arial" w:eastAsia="Arial" w:hAnsi="Arial"/>
                <w:sz w:val="12"/>
                <w:szCs w:val="12"/>
                <w:color w:val="092E44"/>
              </w:rPr>
              <w:t>Stock Awards</w:t>
            </w:r>
          </w:p>
        </w:tc>
        <w:tc>
          <w:tcPr>
            <w:tcW w:w="980" w:type="dxa"/>
            <w:vAlign w:val="bottom"/>
            <w:tcBorders>
              <w:bottom w:val="single" w:sz="8" w:color="092E44"/>
            </w:tcBorders>
          </w:tcPr>
          <w:p>
            <w:pPr>
              <w:spacing w:after="0"/>
              <w:rPr>
                <w:sz w:val="13"/>
                <w:szCs w:val="13"/>
                <w:color w:val="auto"/>
              </w:rPr>
            </w:pPr>
          </w:p>
        </w:tc>
        <w:tc>
          <w:tcPr>
            <w:tcW w:w="100" w:type="dxa"/>
            <w:vAlign w:val="bottom"/>
          </w:tcPr>
          <w:p>
            <w:pPr>
              <w:spacing w:after="0"/>
              <w:rPr>
                <w:sz w:val="13"/>
                <w:szCs w:val="13"/>
                <w:color w:val="auto"/>
              </w:rPr>
            </w:pPr>
          </w:p>
        </w:tc>
      </w:tr>
      <w:tr>
        <w:trPr>
          <w:trHeight w:val="109"/>
        </w:trPr>
        <w:tc>
          <w:tcPr>
            <w:tcW w:w="3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80" w:type="dxa"/>
            <w:vAlign w:val="bottom"/>
          </w:tcPr>
          <w:p>
            <w:pPr>
              <w:jc w:val="right"/>
              <w:spacing w:after="0" w:line="109" w:lineRule="exact"/>
              <w:rPr>
                <w:sz w:val="20"/>
                <w:szCs w:val="20"/>
                <w:color w:val="auto"/>
              </w:rPr>
            </w:pPr>
            <w:r>
              <w:rPr>
                <w:rFonts w:ascii="Arial" w:cs="Arial" w:eastAsia="Arial" w:hAnsi="Arial"/>
                <w:sz w:val="12"/>
                <w:szCs w:val="12"/>
                <w:color w:val="092E44"/>
              </w:rPr>
              <w:t>Equity Incentive</w:t>
            </w:r>
          </w:p>
        </w:tc>
        <w:tc>
          <w:tcPr>
            <w:tcW w:w="100" w:type="dxa"/>
            <w:vAlign w:val="bottom"/>
          </w:tcPr>
          <w:p>
            <w:pPr>
              <w:spacing w:after="0"/>
              <w:rPr>
                <w:sz w:val="9"/>
                <w:szCs w:val="9"/>
                <w:color w:val="auto"/>
              </w:rPr>
            </w:pPr>
          </w:p>
        </w:tc>
      </w:tr>
      <w:tr>
        <w:trPr>
          <w:trHeight w:val="134"/>
        </w:trPr>
        <w:tc>
          <w:tcPr>
            <w:tcW w:w="3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Arial" w:cs="Arial" w:eastAsia="Arial" w:hAnsi="Arial"/>
                <w:sz w:val="12"/>
                <w:szCs w:val="12"/>
                <w:color w:val="092E44"/>
              </w:rPr>
              <w:t>Equity Incentive</w:t>
            </w:r>
          </w:p>
        </w:tc>
        <w:tc>
          <w:tcPr>
            <w:tcW w:w="108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092E44"/>
              </w:rPr>
              <w:t>Plan Awards:</w:t>
            </w:r>
          </w:p>
        </w:tc>
      </w:tr>
      <w:tr>
        <w:trPr>
          <w:trHeight w:val="134"/>
        </w:trPr>
        <w:tc>
          <w:tcPr>
            <w:tcW w:w="3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ind w:right="52"/>
              <w:spacing w:after="0" w:line="134" w:lineRule="exact"/>
              <w:rPr>
                <w:sz w:val="20"/>
                <w:szCs w:val="20"/>
                <w:color w:val="auto"/>
              </w:rPr>
            </w:pPr>
            <w:r>
              <w:rPr>
                <w:rFonts w:ascii="Arial" w:cs="Arial" w:eastAsia="Arial" w:hAnsi="Arial"/>
                <w:sz w:val="12"/>
                <w:szCs w:val="12"/>
                <w:color w:val="092E44"/>
              </w:rPr>
              <w:t>Number of</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jc w:val="right"/>
              <w:ind w:right="52"/>
              <w:spacing w:after="0" w:line="134" w:lineRule="exact"/>
              <w:rPr>
                <w:sz w:val="20"/>
                <w:szCs w:val="20"/>
                <w:color w:val="auto"/>
              </w:rPr>
            </w:pPr>
            <w:r>
              <w:rPr>
                <w:rFonts w:ascii="Arial" w:cs="Arial" w:eastAsia="Arial" w:hAnsi="Arial"/>
                <w:sz w:val="12"/>
                <w:szCs w:val="12"/>
                <w:color w:val="092E44"/>
              </w:rPr>
              <w:t>Market Value</w:t>
            </w:r>
          </w:p>
        </w:tc>
        <w:tc>
          <w:tcPr>
            <w:tcW w:w="1080" w:type="dxa"/>
            <w:vAlign w:val="bottom"/>
          </w:tcPr>
          <w:p>
            <w:pPr>
              <w:jc w:val="right"/>
              <w:spacing w:after="0" w:line="134" w:lineRule="exact"/>
              <w:rPr>
                <w:sz w:val="20"/>
                <w:szCs w:val="20"/>
                <w:color w:val="auto"/>
              </w:rPr>
            </w:pPr>
            <w:r>
              <w:rPr>
                <w:rFonts w:ascii="Arial" w:cs="Arial" w:eastAsia="Arial" w:hAnsi="Arial"/>
                <w:sz w:val="12"/>
                <w:szCs w:val="12"/>
                <w:color w:val="092E44"/>
              </w:rPr>
              <w:t>Plan Awards:</w:t>
            </w:r>
          </w:p>
        </w:tc>
        <w:tc>
          <w:tcPr>
            <w:tcW w:w="108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092E44"/>
              </w:rPr>
              <w:t>Market or</w:t>
            </w:r>
          </w:p>
        </w:tc>
      </w:tr>
      <w:tr>
        <w:trPr>
          <w:trHeight w:val="134"/>
        </w:trPr>
        <w:tc>
          <w:tcPr>
            <w:tcW w:w="3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ind w:right="52"/>
              <w:spacing w:after="0" w:line="134" w:lineRule="exact"/>
              <w:rPr>
                <w:sz w:val="20"/>
                <w:szCs w:val="20"/>
                <w:color w:val="auto"/>
              </w:rPr>
            </w:pPr>
            <w:r>
              <w:rPr>
                <w:rFonts w:ascii="Arial" w:cs="Arial" w:eastAsia="Arial" w:hAnsi="Arial"/>
                <w:sz w:val="12"/>
                <w:szCs w:val="12"/>
                <w:color w:val="092E44"/>
              </w:rPr>
              <w:t>Securities</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jc w:val="right"/>
              <w:ind w:right="52"/>
              <w:spacing w:after="0" w:line="134" w:lineRule="exact"/>
              <w:rPr>
                <w:sz w:val="20"/>
                <w:szCs w:val="20"/>
                <w:color w:val="auto"/>
              </w:rPr>
            </w:pPr>
            <w:r>
              <w:rPr>
                <w:rFonts w:ascii="Arial" w:cs="Arial" w:eastAsia="Arial" w:hAnsi="Arial"/>
                <w:sz w:val="12"/>
                <w:szCs w:val="12"/>
                <w:color w:val="092E44"/>
              </w:rPr>
              <w:t>of Unearned</w:t>
            </w:r>
          </w:p>
        </w:tc>
        <w:tc>
          <w:tcPr>
            <w:tcW w:w="1080" w:type="dxa"/>
            <w:vAlign w:val="bottom"/>
          </w:tcPr>
          <w:p>
            <w:pPr>
              <w:jc w:val="right"/>
              <w:spacing w:after="0" w:line="134" w:lineRule="exact"/>
              <w:rPr>
                <w:sz w:val="20"/>
                <w:szCs w:val="20"/>
                <w:color w:val="auto"/>
              </w:rPr>
            </w:pPr>
            <w:r>
              <w:rPr>
                <w:rFonts w:ascii="Arial" w:cs="Arial" w:eastAsia="Arial" w:hAnsi="Arial"/>
                <w:sz w:val="12"/>
                <w:szCs w:val="12"/>
                <w:color w:val="092E44"/>
              </w:rPr>
              <w:t>Number of</w:t>
            </w:r>
          </w:p>
        </w:tc>
        <w:tc>
          <w:tcPr>
            <w:tcW w:w="108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092E44"/>
              </w:rPr>
              <w:t>Payout Value of</w:t>
            </w:r>
          </w:p>
        </w:tc>
      </w:tr>
      <w:tr>
        <w:trPr>
          <w:trHeight w:val="134"/>
        </w:trPr>
        <w:tc>
          <w:tcPr>
            <w:tcW w:w="3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ind w:right="52"/>
              <w:spacing w:after="0" w:line="134" w:lineRule="exact"/>
              <w:rPr>
                <w:sz w:val="20"/>
                <w:szCs w:val="20"/>
                <w:color w:val="auto"/>
              </w:rPr>
            </w:pPr>
            <w:r>
              <w:rPr>
                <w:rFonts w:ascii="Arial" w:cs="Arial" w:eastAsia="Arial" w:hAnsi="Arial"/>
                <w:sz w:val="12"/>
                <w:szCs w:val="12"/>
                <w:color w:val="092E44"/>
              </w:rPr>
              <w:t>Underlying</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ind w:right="51"/>
              <w:spacing w:after="0" w:line="134" w:lineRule="exact"/>
              <w:rPr>
                <w:sz w:val="20"/>
                <w:szCs w:val="20"/>
                <w:color w:val="auto"/>
              </w:rPr>
            </w:pPr>
            <w:r>
              <w:rPr>
                <w:rFonts w:ascii="Arial" w:cs="Arial" w:eastAsia="Arial" w:hAnsi="Arial"/>
                <w:sz w:val="12"/>
                <w:szCs w:val="12"/>
                <w:color w:val="092E44"/>
              </w:rPr>
              <w:t>Number of</w:t>
            </w:r>
          </w:p>
        </w:tc>
        <w:tc>
          <w:tcPr>
            <w:tcW w:w="960" w:type="dxa"/>
            <w:vAlign w:val="bottom"/>
          </w:tcPr>
          <w:p>
            <w:pPr>
              <w:jc w:val="right"/>
              <w:ind w:right="52"/>
              <w:spacing w:after="0" w:line="134" w:lineRule="exact"/>
              <w:rPr>
                <w:sz w:val="20"/>
                <w:szCs w:val="20"/>
                <w:color w:val="auto"/>
              </w:rPr>
            </w:pPr>
            <w:r>
              <w:rPr>
                <w:rFonts w:ascii="Arial" w:cs="Arial" w:eastAsia="Arial" w:hAnsi="Arial"/>
                <w:sz w:val="12"/>
                <w:szCs w:val="12"/>
                <w:color w:val="092E44"/>
              </w:rPr>
              <w:t>Shares or</w:t>
            </w:r>
          </w:p>
        </w:tc>
        <w:tc>
          <w:tcPr>
            <w:tcW w:w="1080" w:type="dxa"/>
            <w:vAlign w:val="bottom"/>
          </w:tcPr>
          <w:p>
            <w:pPr>
              <w:jc w:val="right"/>
              <w:spacing w:after="0" w:line="134" w:lineRule="exact"/>
              <w:rPr>
                <w:sz w:val="20"/>
                <w:szCs w:val="20"/>
                <w:color w:val="auto"/>
              </w:rPr>
            </w:pPr>
            <w:r>
              <w:rPr>
                <w:rFonts w:ascii="Arial" w:cs="Arial" w:eastAsia="Arial" w:hAnsi="Arial"/>
                <w:sz w:val="12"/>
                <w:szCs w:val="12"/>
                <w:color w:val="092E44"/>
              </w:rPr>
              <w:t>Unearned</w:t>
            </w:r>
          </w:p>
        </w:tc>
        <w:tc>
          <w:tcPr>
            <w:tcW w:w="108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092E44"/>
              </w:rPr>
              <w:t>Unearned</w:t>
            </w:r>
          </w:p>
        </w:tc>
      </w:tr>
      <w:tr>
        <w:trPr>
          <w:trHeight w:val="134"/>
        </w:trPr>
        <w:tc>
          <w:tcPr>
            <w:tcW w:w="3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ind w:right="52"/>
              <w:spacing w:after="0" w:line="134" w:lineRule="exact"/>
              <w:rPr>
                <w:sz w:val="20"/>
                <w:szCs w:val="20"/>
                <w:color w:val="auto"/>
              </w:rPr>
            </w:pPr>
            <w:r>
              <w:rPr>
                <w:rFonts w:ascii="Arial" w:cs="Arial" w:eastAsia="Arial" w:hAnsi="Arial"/>
                <w:sz w:val="12"/>
                <w:szCs w:val="12"/>
                <w:color w:val="092E44"/>
              </w:rPr>
              <w:t>Unexercised</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ind w:right="51"/>
              <w:spacing w:after="0" w:line="134" w:lineRule="exact"/>
              <w:rPr>
                <w:sz w:val="20"/>
                <w:szCs w:val="20"/>
                <w:color w:val="auto"/>
              </w:rPr>
            </w:pPr>
            <w:r>
              <w:rPr>
                <w:rFonts w:ascii="Arial" w:cs="Arial" w:eastAsia="Arial" w:hAnsi="Arial"/>
                <w:sz w:val="12"/>
                <w:szCs w:val="12"/>
                <w:color w:val="092E44"/>
              </w:rPr>
              <w:t>Shares or</w:t>
            </w:r>
          </w:p>
        </w:tc>
        <w:tc>
          <w:tcPr>
            <w:tcW w:w="960" w:type="dxa"/>
            <w:vAlign w:val="bottom"/>
          </w:tcPr>
          <w:p>
            <w:pPr>
              <w:jc w:val="right"/>
              <w:ind w:right="52"/>
              <w:spacing w:after="0" w:line="134" w:lineRule="exact"/>
              <w:rPr>
                <w:sz w:val="20"/>
                <w:szCs w:val="20"/>
                <w:color w:val="auto"/>
              </w:rPr>
            </w:pPr>
            <w:r>
              <w:rPr>
                <w:rFonts w:ascii="Arial" w:cs="Arial" w:eastAsia="Arial" w:hAnsi="Arial"/>
                <w:sz w:val="12"/>
                <w:szCs w:val="12"/>
                <w:color w:val="092E44"/>
              </w:rPr>
              <w:t>Units of</w:t>
            </w:r>
          </w:p>
        </w:tc>
        <w:tc>
          <w:tcPr>
            <w:tcW w:w="1080" w:type="dxa"/>
            <w:vAlign w:val="bottom"/>
          </w:tcPr>
          <w:p>
            <w:pPr>
              <w:jc w:val="right"/>
              <w:spacing w:after="0" w:line="134" w:lineRule="exact"/>
              <w:rPr>
                <w:sz w:val="20"/>
                <w:szCs w:val="20"/>
                <w:color w:val="auto"/>
              </w:rPr>
            </w:pPr>
            <w:r>
              <w:rPr>
                <w:rFonts w:ascii="Arial" w:cs="Arial" w:eastAsia="Arial" w:hAnsi="Arial"/>
                <w:sz w:val="12"/>
                <w:szCs w:val="12"/>
                <w:color w:val="092E44"/>
              </w:rPr>
              <w:t>Shares, Units or</w:t>
            </w:r>
          </w:p>
        </w:tc>
        <w:tc>
          <w:tcPr>
            <w:tcW w:w="108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092E44"/>
              </w:rPr>
              <w:t>Shares, Units or</w:t>
            </w:r>
          </w:p>
        </w:tc>
      </w:tr>
      <w:tr>
        <w:trPr>
          <w:trHeight w:val="134"/>
        </w:trPr>
        <w:tc>
          <w:tcPr>
            <w:tcW w:w="3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ind w:right="52"/>
              <w:spacing w:after="0" w:line="134" w:lineRule="exact"/>
              <w:rPr>
                <w:sz w:val="20"/>
                <w:szCs w:val="20"/>
                <w:color w:val="auto"/>
              </w:rPr>
            </w:pPr>
            <w:r>
              <w:rPr>
                <w:rFonts w:ascii="Arial" w:cs="Arial" w:eastAsia="Arial" w:hAnsi="Arial"/>
                <w:sz w:val="12"/>
                <w:szCs w:val="12"/>
                <w:color w:val="092E44"/>
              </w:rPr>
              <w:t>Options</w:t>
            </w:r>
          </w:p>
        </w:tc>
        <w:tc>
          <w:tcPr>
            <w:tcW w:w="780" w:type="dxa"/>
            <w:vAlign w:val="bottom"/>
          </w:tcPr>
          <w:p>
            <w:pPr>
              <w:jc w:val="right"/>
              <w:ind w:right="110"/>
              <w:spacing w:after="0" w:line="134" w:lineRule="exact"/>
              <w:rPr>
                <w:sz w:val="20"/>
                <w:szCs w:val="20"/>
                <w:color w:val="auto"/>
              </w:rPr>
            </w:pPr>
            <w:r>
              <w:rPr>
                <w:rFonts w:ascii="Arial" w:cs="Arial" w:eastAsia="Arial" w:hAnsi="Arial"/>
                <w:sz w:val="12"/>
                <w:szCs w:val="12"/>
                <w:color w:val="092E44"/>
              </w:rPr>
              <w:t>Option</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092E44"/>
              </w:rPr>
              <w:t>Option</w:t>
            </w:r>
          </w:p>
        </w:tc>
        <w:tc>
          <w:tcPr>
            <w:tcW w:w="940" w:type="dxa"/>
            <w:vAlign w:val="bottom"/>
          </w:tcPr>
          <w:p>
            <w:pPr>
              <w:jc w:val="right"/>
              <w:ind w:right="51"/>
              <w:spacing w:after="0" w:line="134" w:lineRule="exact"/>
              <w:rPr>
                <w:sz w:val="20"/>
                <w:szCs w:val="20"/>
                <w:color w:val="auto"/>
              </w:rPr>
            </w:pPr>
            <w:r>
              <w:rPr>
                <w:rFonts w:ascii="Arial" w:cs="Arial" w:eastAsia="Arial" w:hAnsi="Arial"/>
                <w:sz w:val="12"/>
                <w:szCs w:val="12"/>
                <w:color w:val="092E44"/>
              </w:rPr>
              <w:t>Units of Stock</w:t>
            </w:r>
          </w:p>
        </w:tc>
        <w:tc>
          <w:tcPr>
            <w:tcW w:w="960" w:type="dxa"/>
            <w:vAlign w:val="bottom"/>
          </w:tcPr>
          <w:p>
            <w:pPr>
              <w:jc w:val="right"/>
              <w:ind w:right="52"/>
              <w:spacing w:after="0" w:line="134" w:lineRule="exact"/>
              <w:rPr>
                <w:sz w:val="20"/>
                <w:szCs w:val="20"/>
                <w:color w:val="auto"/>
              </w:rPr>
            </w:pPr>
            <w:r>
              <w:rPr>
                <w:rFonts w:ascii="Arial" w:cs="Arial" w:eastAsia="Arial" w:hAnsi="Arial"/>
                <w:sz w:val="12"/>
                <w:szCs w:val="12"/>
                <w:color w:val="092E44"/>
              </w:rPr>
              <w:t>Stock That</w:t>
            </w:r>
          </w:p>
        </w:tc>
        <w:tc>
          <w:tcPr>
            <w:tcW w:w="1080" w:type="dxa"/>
            <w:vAlign w:val="bottom"/>
          </w:tcPr>
          <w:p>
            <w:pPr>
              <w:jc w:val="right"/>
              <w:spacing w:after="0" w:line="134" w:lineRule="exact"/>
              <w:rPr>
                <w:sz w:val="20"/>
                <w:szCs w:val="20"/>
                <w:color w:val="auto"/>
              </w:rPr>
            </w:pPr>
            <w:r>
              <w:rPr>
                <w:rFonts w:ascii="Arial" w:cs="Arial" w:eastAsia="Arial" w:hAnsi="Arial"/>
                <w:sz w:val="12"/>
                <w:szCs w:val="12"/>
                <w:color w:val="092E44"/>
              </w:rPr>
              <w:t>Other Rights</w:t>
            </w:r>
          </w:p>
        </w:tc>
        <w:tc>
          <w:tcPr>
            <w:tcW w:w="108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092E44"/>
              </w:rPr>
              <w:t>Other Rights</w:t>
            </w:r>
          </w:p>
        </w:tc>
      </w:tr>
      <w:tr>
        <w:trPr>
          <w:trHeight w:val="134"/>
        </w:trPr>
        <w:tc>
          <w:tcPr>
            <w:tcW w:w="336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Arial" w:cs="Arial" w:eastAsia="Arial" w:hAnsi="Arial"/>
                <w:sz w:val="12"/>
                <w:szCs w:val="12"/>
                <w:color w:val="092E44"/>
              </w:rPr>
              <w:t>Grant</w:t>
            </w:r>
          </w:p>
        </w:tc>
        <w:tc>
          <w:tcPr>
            <w:tcW w:w="180" w:type="dxa"/>
            <w:vAlign w:val="bottom"/>
          </w:tcPr>
          <w:p>
            <w:pPr>
              <w:spacing w:after="0"/>
              <w:rPr>
                <w:sz w:val="11"/>
                <w:szCs w:val="11"/>
                <w:color w:val="auto"/>
              </w:rPr>
            </w:pPr>
          </w:p>
        </w:tc>
        <w:tc>
          <w:tcPr>
            <w:tcW w:w="860" w:type="dxa"/>
            <w:vAlign w:val="bottom"/>
          </w:tcPr>
          <w:p>
            <w:pPr>
              <w:jc w:val="right"/>
              <w:ind w:right="52"/>
              <w:spacing w:after="0" w:line="134" w:lineRule="exact"/>
              <w:rPr>
                <w:sz w:val="20"/>
                <w:szCs w:val="20"/>
                <w:color w:val="auto"/>
              </w:rPr>
            </w:pPr>
            <w:r>
              <w:rPr>
                <w:rFonts w:ascii="Arial" w:cs="Arial" w:eastAsia="Arial" w:hAnsi="Arial"/>
                <w:sz w:val="12"/>
                <w:szCs w:val="12"/>
                <w:color w:val="092E44"/>
              </w:rPr>
              <w:t>(Exercisable)</w:t>
            </w:r>
          </w:p>
        </w:tc>
        <w:tc>
          <w:tcPr>
            <w:tcW w:w="780" w:type="dxa"/>
            <w:vAlign w:val="bottom"/>
          </w:tcPr>
          <w:p>
            <w:pPr>
              <w:jc w:val="right"/>
              <w:ind w:right="110"/>
              <w:spacing w:after="0" w:line="134" w:lineRule="exact"/>
              <w:rPr>
                <w:sz w:val="20"/>
                <w:szCs w:val="20"/>
                <w:color w:val="auto"/>
              </w:rPr>
            </w:pPr>
            <w:r>
              <w:rPr>
                <w:rFonts w:ascii="Arial" w:cs="Arial" w:eastAsia="Arial" w:hAnsi="Arial"/>
                <w:sz w:val="12"/>
                <w:szCs w:val="12"/>
                <w:color w:val="092E44"/>
              </w:rPr>
              <w:t>Exercise</w:t>
            </w:r>
          </w:p>
        </w:tc>
        <w:tc>
          <w:tcPr>
            <w:tcW w:w="86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092E44"/>
              </w:rPr>
              <w:t>Expiration</w:t>
            </w:r>
          </w:p>
        </w:tc>
        <w:tc>
          <w:tcPr>
            <w:tcW w:w="940" w:type="dxa"/>
            <w:vAlign w:val="bottom"/>
          </w:tcPr>
          <w:p>
            <w:pPr>
              <w:jc w:val="right"/>
              <w:ind w:right="51"/>
              <w:spacing w:after="0" w:line="134" w:lineRule="exact"/>
              <w:rPr>
                <w:sz w:val="20"/>
                <w:szCs w:val="20"/>
                <w:color w:val="auto"/>
              </w:rPr>
            </w:pPr>
            <w:r>
              <w:rPr>
                <w:rFonts w:ascii="Arial" w:cs="Arial" w:eastAsia="Arial" w:hAnsi="Arial"/>
                <w:sz w:val="12"/>
                <w:szCs w:val="12"/>
                <w:color w:val="092E44"/>
              </w:rPr>
              <w:t>That Have Not</w:t>
            </w:r>
          </w:p>
        </w:tc>
        <w:tc>
          <w:tcPr>
            <w:tcW w:w="960" w:type="dxa"/>
            <w:vAlign w:val="bottom"/>
          </w:tcPr>
          <w:p>
            <w:pPr>
              <w:jc w:val="right"/>
              <w:ind w:right="52"/>
              <w:spacing w:after="0" w:line="134" w:lineRule="exact"/>
              <w:rPr>
                <w:sz w:val="20"/>
                <w:szCs w:val="20"/>
                <w:color w:val="auto"/>
              </w:rPr>
            </w:pPr>
            <w:r>
              <w:rPr>
                <w:rFonts w:ascii="Arial" w:cs="Arial" w:eastAsia="Arial" w:hAnsi="Arial"/>
                <w:sz w:val="12"/>
                <w:szCs w:val="12"/>
                <w:color w:val="092E44"/>
              </w:rPr>
              <w:t>Have Not</w:t>
            </w:r>
          </w:p>
        </w:tc>
        <w:tc>
          <w:tcPr>
            <w:tcW w:w="1080" w:type="dxa"/>
            <w:vAlign w:val="bottom"/>
          </w:tcPr>
          <w:p>
            <w:pPr>
              <w:jc w:val="right"/>
              <w:spacing w:after="0" w:line="134" w:lineRule="exact"/>
              <w:rPr>
                <w:sz w:val="20"/>
                <w:szCs w:val="20"/>
                <w:color w:val="auto"/>
              </w:rPr>
            </w:pPr>
            <w:r>
              <w:rPr>
                <w:rFonts w:ascii="Arial" w:cs="Arial" w:eastAsia="Arial" w:hAnsi="Arial"/>
                <w:sz w:val="12"/>
                <w:szCs w:val="12"/>
                <w:color w:val="092E44"/>
              </w:rPr>
              <w:t>That Have Not</w:t>
            </w:r>
          </w:p>
        </w:tc>
        <w:tc>
          <w:tcPr>
            <w:tcW w:w="108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092E44"/>
              </w:rPr>
              <w:t>That Have Not</w:t>
            </w:r>
          </w:p>
        </w:tc>
      </w:tr>
      <w:tr>
        <w:trPr>
          <w:trHeight w:val="178"/>
        </w:trPr>
        <w:tc>
          <w:tcPr>
            <w:tcW w:w="3360" w:type="dxa"/>
            <w:vAlign w:val="bottom"/>
          </w:tcPr>
          <w:p>
            <w:pPr>
              <w:ind w:left="80"/>
              <w:spacing w:after="0"/>
              <w:rPr>
                <w:sz w:val="20"/>
                <w:szCs w:val="20"/>
                <w:color w:val="auto"/>
              </w:rPr>
            </w:pPr>
            <w:r>
              <w:rPr>
                <w:rFonts w:ascii="Arial" w:cs="Arial" w:eastAsia="Arial" w:hAnsi="Arial"/>
                <w:sz w:val="12"/>
                <w:szCs w:val="12"/>
                <w:color w:val="092E44"/>
              </w:rPr>
              <w:t>Name</w:t>
            </w:r>
          </w:p>
        </w:tc>
        <w:tc>
          <w:tcPr>
            <w:tcW w:w="820" w:type="dxa"/>
            <w:vAlign w:val="bottom"/>
          </w:tcPr>
          <w:p>
            <w:pPr>
              <w:jc w:val="right"/>
              <w:spacing w:after="0"/>
              <w:rPr>
                <w:sz w:val="20"/>
                <w:szCs w:val="20"/>
                <w:color w:val="auto"/>
              </w:rPr>
            </w:pPr>
            <w:r>
              <w:rPr>
                <w:rFonts w:ascii="Arial" w:cs="Arial" w:eastAsia="Arial" w:hAnsi="Arial"/>
                <w:sz w:val="12"/>
                <w:szCs w:val="12"/>
                <w:color w:val="092E44"/>
              </w:rPr>
              <w:t>Date(1)</w:t>
            </w:r>
          </w:p>
        </w:tc>
        <w:tc>
          <w:tcPr>
            <w:tcW w:w="1040" w:type="dxa"/>
            <w:vAlign w:val="bottom"/>
            <w:gridSpan w:val="2"/>
          </w:tcPr>
          <w:p>
            <w:pPr>
              <w:jc w:val="right"/>
              <w:ind w:right="52"/>
              <w:spacing w:after="0"/>
              <w:rPr>
                <w:sz w:val="20"/>
                <w:szCs w:val="20"/>
                <w:color w:val="auto"/>
              </w:rPr>
            </w:pPr>
            <w:r>
              <w:rPr>
                <w:rFonts w:ascii="Arial" w:cs="Arial" w:eastAsia="Arial" w:hAnsi="Arial"/>
                <w:sz w:val="12"/>
                <w:szCs w:val="12"/>
                <w:color w:val="092E44"/>
              </w:rPr>
              <w:t>(#)</w:t>
            </w:r>
          </w:p>
        </w:tc>
        <w:tc>
          <w:tcPr>
            <w:tcW w:w="780" w:type="dxa"/>
            <w:vAlign w:val="bottom"/>
          </w:tcPr>
          <w:p>
            <w:pPr>
              <w:jc w:val="right"/>
              <w:ind w:right="110"/>
              <w:spacing w:after="0"/>
              <w:rPr>
                <w:sz w:val="20"/>
                <w:szCs w:val="20"/>
                <w:color w:val="auto"/>
              </w:rPr>
            </w:pPr>
            <w:r>
              <w:rPr>
                <w:rFonts w:ascii="Arial" w:cs="Arial" w:eastAsia="Arial" w:hAnsi="Arial"/>
                <w:sz w:val="12"/>
                <w:szCs w:val="12"/>
                <w:color w:val="092E44"/>
              </w:rPr>
              <w:t>Price($)</w:t>
            </w: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092E44"/>
              </w:rPr>
              <w:t>Date</w:t>
            </w:r>
          </w:p>
        </w:tc>
        <w:tc>
          <w:tcPr>
            <w:tcW w:w="940" w:type="dxa"/>
            <w:vAlign w:val="bottom"/>
          </w:tcPr>
          <w:p>
            <w:pPr>
              <w:jc w:val="right"/>
              <w:ind w:right="51"/>
              <w:spacing w:after="0"/>
              <w:rPr>
                <w:sz w:val="20"/>
                <w:szCs w:val="20"/>
                <w:color w:val="auto"/>
              </w:rPr>
            </w:pPr>
            <w:r>
              <w:rPr>
                <w:rFonts w:ascii="Arial" w:cs="Arial" w:eastAsia="Arial" w:hAnsi="Arial"/>
                <w:sz w:val="12"/>
                <w:szCs w:val="12"/>
                <w:color w:val="092E44"/>
              </w:rPr>
              <w:t>Vested(#)(2)</w:t>
            </w:r>
          </w:p>
        </w:tc>
        <w:tc>
          <w:tcPr>
            <w:tcW w:w="960" w:type="dxa"/>
            <w:vAlign w:val="bottom"/>
          </w:tcPr>
          <w:p>
            <w:pPr>
              <w:jc w:val="right"/>
              <w:ind w:right="52"/>
              <w:spacing w:after="0"/>
              <w:rPr>
                <w:sz w:val="20"/>
                <w:szCs w:val="20"/>
                <w:color w:val="auto"/>
              </w:rPr>
            </w:pPr>
            <w:r>
              <w:rPr>
                <w:rFonts w:ascii="Arial" w:cs="Arial" w:eastAsia="Arial" w:hAnsi="Arial"/>
                <w:sz w:val="12"/>
                <w:szCs w:val="12"/>
                <w:color w:val="092E44"/>
              </w:rPr>
              <w:t>Vested($)</w:t>
            </w:r>
          </w:p>
        </w:tc>
        <w:tc>
          <w:tcPr>
            <w:tcW w:w="1080" w:type="dxa"/>
            <w:vAlign w:val="bottom"/>
          </w:tcPr>
          <w:p>
            <w:pPr>
              <w:jc w:val="right"/>
              <w:spacing w:after="0"/>
              <w:rPr>
                <w:sz w:val="20"/>
                <w:szCs w:val="20"/>
                <w:color w:val="auto"/>
              </w:rPr>
            </w:pPr>
            <w:r>
              <w:rPr>
                <w:rFonts w:ascii="Arial" w:cs="Arial" w:eastAsia="Arial" w:hAnsi="Arial"/>
                <w:sz w:val="12"/>
                <w:szCs w:val="12"/>
                <w:color w:val="092E44"/>
              </w:rPr>
              <w:t>Vested(#)(3)</w:t>
            </w: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092E44"/>
              </w:rPr>
              <w:t>Vested($)</w:t>
            </w:r>
          </w:p>
        </w:tc>
      </w:tr>
      <w:tr>
        <w:trPr>
          <w:trHeight w:val="67"/>
        </w:trPr>
        <w:tc>
          <w:tcPr>
            <w:tcW w:w="3360" w:type="dxa"/>
            <w:vAlign w:val="bottom"/>
            <w:tcBorders>
              <w:bottom w:val="single" w:sz="8" w:color="E14A6A"/>
            </w:tcBorders>
          </w:tcPr>
          <w:p>
            <w:pPr>
              <w:spacing w:after="0"/>
              <w:rPr>
                <w:sz w:val="5"/>
                <w:szCs w:val="5"/>
                <w:color w:val="auto"/>
              </w:rPr>
            </w:pPr>
          </w:p>
        </w:tc>
        <w:tc>
          <w:tcPr>
            <w:tcW w:w="820" w:type="dxa"/>
            <w:vAlign w:val="bottom"/>
            <w:tcBorders>
              <w:bottom w:val="single" w:sz="8" w:color="E14A6A"/>
            </w:tcBorders>
          </w:tcPr>
          <w:p>
            <w:pPr>
              <w:spacing w:after="0"/>
              <w:rPr>
                <w:sz w:val="5"/>
                <w:szCs w:val="5"/>
                <w:color w:val="auto"/>
              </w:rPr>
            </w:pPr>
          </w:p>
        </w:tc>
        <w:tc>
          <w:tcPr>
            <w:tcW w:w="180" w:type="dxa"/>
            <w:vAlign w:val="bottom"/>
            <w:tcBorders>
              <w:bottom w:val="single" w:sz="8" w:color="E14A6A"/>
            </w:tcBorders>
          </w:tcPr>
          <w:p>
            <w:pPr>
              <w:spacing w:after="0"/>
              <w:rPr>
                <w:sz w:val="5"/>
                <w:szCs w:val="5"/>
                <w:color w:val="auto"/>
              </w:rPr>
            </w:pPr>
          </w:p>
        </w:tc>
        <w:tc>
          <w:tcPr>
            <w:tcW w:w="860" w:type="dxa"/>
            <w:vAlign w:val="bottom"/>
            <w:tcBorders>
              <w:bottom w:val="single" w:sz="8" w:color="E14A6A"/>
            </w:tcBorders>
          </w:tcPr>
          <w:p>
            <w:pPr>
              <w:spacing w:after="0"/>
              <w:rPr>
                <w:sz w:val="5"/>
                <w:szCs w:val="5"/>
                <w:color w:val="auto"/>
              </w:rPr>
            </w:pPr>
          </w:p>
        </w:tc>
        <w:tc>
          <w:tcPr>
            <w:tcW w:w="780" w:type="dxa"/>
            <w:vAlign w:val="bottom"/>
            <w:tcBorders>
              <w:bottom w:val="single" w:sz="8" w:color="E14A6A"/>
            </w:tcBorders>
          </w:tcPr>
          <w:p>
            <w:pPr>
              <w:spacing w:after="0"/>
              <w:rPr>
                <w:sz w:val="5"/>
                <w:szCs w:val="5"/>
                <w:color w:val="auto"/>
              </w:rPr>
            </w:pPr>
          </w:p>
        </w:tc>
        <w:tc>
          <w:tcPr>
            <w:tcW w:w="640" w:type="dxa"/>
            <w:vAlign w:val="bottom"/>
            <w:tcBorders>
              <w:bottom w:val="single" w:sz="8" w:color="E14A6A"/>
            </w:tcBorders>
          </w:tcPr>
          <w:p>
            <w:pPr>
              <w:spacing w:after="0"/>
              <w:rPr>
                <w:sz w:val="5"/>
                <w:szCs w:val="5"/>
                <w:color w:val="auto"/>
              </w:rPr>
            </w:pPr>
          </w:p>
        </w:tc>
        <w:tc>
          <w:tcPr>
            <w:tcW w:w="220" w:type="dxa"/>
            <w:vAlign w:val="bottom"/>
            <w:tcBorders>
              <w:bottom w:val="single" w:sz="8" w:color="E14A6A"/>
            </w:tcBorders>
          </w:tcPr>
          <w:p>
            <w:pPr>
              <w:spacing w:after="0"/>
              <w:rPr>
                <w:sz w:val="5"/>
                <w:szCs w:val="5"/>
                <w:color w:val="auto"/>
              </w:rPr>
            </w:pPr>
          </w:p>
        </w:tc>
        <w:tc>
          <w:tcPr>
            <w:tcW w:w="940" w:type="dxa"/>
            <w:vAlign w:val="bottom"/>
            <w:tcBorders>
              <w:bottom w:val="single" w:sz="8" w:color="E14A6A"/>
            </w:tcBorders>
          </w:tcPr>
          <w:p>
            <w:pPr>
              <w:spacing w:after="0"/>
              <w:rPr>
                <w:sz w:val="5"/>
                <w:szCs w:val="5"/>
                <w:color w:val="auto"/>
              </w:rPr>
            </w:pPr>
          </w:p>
        </w:tc>
        <w:tc>
          <w:tcPr>
            <w:tcW w:w="960" w:type="dxa"/>
            <w:vAlign w:val="bottom"/>
            <w:tcBorders>
              <w:bottom w:val="single" w:sz="8" w:color="E14A6A"/>
            </w:tcBorders>
          </w:tcPr>
          <w:p>
            <w:pPr>
              <w:spacing w:after="0"/>
              <w:rPr>
                <w:sz w:val="5"/>
                <w:szCs w:val="5"/>
                <w:color w:val="auto"/>
              </w:rPr>
            </w:pPr>
          </w:p>
        </w:tc>
        <w:tc>
          <w:tcPr>
            <w:tcW w:w="1080" w:type="dxa"/>
            <w:vAlign w:val="bottom"/>
            <w:tcBorders>
              <w:bottom w:val="single" w:sz="8" w:color="E14A6A"/>
            </w:tcBorders>
          </w:tcPr>
          <w:p>
            <w:pPr>
              <w:spacing w:after="0"/>
              <w:rPr>
                <w:sz w:val="5"/>
                <w:szCs w:val="5"/>
                <w:color w:val="auto"/>
              </w:rPr>
            </w:pPr>
          </w:p>
        </w:tc>
        <w:tc>
          <w:tcPr>
            <w:tcW w:w="980" w:type="dxa"/>
            <w:vAlign w:val="bottom"/>
            <w:tcBorders>
              <w:bottom w:val="single" w:sz="8" w:color="E14A6A"/>
            </w:tcBorders>
          </w:tcPr>
          <w:p>
            <w:pPr>
              <w:spacing w:after="0"/>
              <w:rPr>
                <w:sz w:val="5"/>
                <w:szCs w:val="5"/>
                <w:color w:val="auto"/>
              </w:rPr>
            </w:pPr>
          </w:p>
        </w:tc>
        <w:tc>
          <w:tcPr>
            <w:tcW w:w="100" w:type="dxa"/>
            <w:vAlign w:val="bottom"/>
            <w:tcBorders>
              <w:bottom w:val="single" w:sz="8" w:color="E14A6A"/>
            </w:tcBorders>
          </w:tcPr>
          <w:p>
            <w:pPr>
              <w:spacing w:after="0"/>
              <w:rPr>
                <w:sz w:val="5"/>
                <w:szCs w:val="5"/>
                <w:color w:val="auto"/>
              </w:rPr>
            </w:pPr>
          </w:p>
        </w:tc>
      </w:tr>
      <w:tr>
        <w:trPr>
          <w:trHeight w:val="233"/>
        </w:trPr>
        <w:tc>
          <w:tcPr>
            <w:tcW w:w="3360" w:type="dxa"/>
            <w:vAlign w:val="bottom"/>
          </w:tcPr>
          <w:p>
            <w:pPr>
              <w:ind w:left="80"/>
              <w:spacing w:after="0"/>
              <w:rPr>
                <w:sz w:val="20"/>
                <w:szCs w:val="20"/>
                <w:color w:val="auto"/>
              </w:rPr>
            </w:pPr>
            <w:r>
              <w:rPr>
                <w:rFonts w:ascii="Arial" w:cs="Arial" w:eastAsia="Arial" w:hAnsi="Arial"/>
                <w:sz w:val="14"/>
                <w:szCs w:val="14"/>
                <w:b w:val="1"/>
                <w:bCs w:val="1"/>
                <w:color w:val="092E44"/>
              </w:rPr>
              <w:t>Sanjay Mirchandani</w:t>
            </w:r>
          </w:p>
        </w:tc>
        <w:tc>
          <w:tcPr>
            <w:tcW w:w="820" w:type="dxa"/>
            <w:vAlign w:val="bottom"/>
          </w:tcPr>
          <w:p>
            <w:pPr>
              <w:jc w:val="right"/>
              <w:spacing w:after="0"/>
              <w:rPr>
                <w:sz w:val="20"/>
                <w:szCs w:val="20"/>
                <w:color w:val="auto"/>
              </w:rPr>
            </w:pPr>
            <w:r>
              <w:rPr>
                <w:rFonts w:ascii="Arial" w:cs="Arial" w:eastAsia="Arial" w:hAnsi="Arial"/>
                <w:sz w:val="14"/>
                <w:szCs w:val="14"/>
                <w:color w:val="092E44"/>
              </w:rPr>
              <w:t>05/15/19</w:t>
            </w:r>
          </w:p>
        </w:tc>
        <w:tc>
          <w:tcPr>
            <w:tcW w:w="18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092E44"/>
              </w:rPr>
              <w:t>—</w:t>
            </w:r>
          </w:p>
        </w:tc>
        <w:tc>
          <w:tcPr>
            <w:tcW w:w="780" w:type="dxa"/>
            <w:vAlign w:val="bottom"/>
          </w:tcPr>
          <w:p>
            <w:pPr>
              <w:jc w:val="right"/>
              <w:ind w:right="110"/>
              <w:spacing w:after="0"/>
              <w:rPr>
                <w:sz w:val="20"/>
                <w:szCs w:val="20"/>
                <w:color w:val="auto"/>
              </w:rPr>
            </w:pPr>
            <w:r>
              <w:rPr>
                <w:rFonts w:ascii="Arial" w:cs="Arial" w:eastAsia="Arial" w:hAnsi="Arial"/>
                <w:sz w:val="14"/>
                <w:szCs w:val="14"/>
                <w:color w:val="092E44"/>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092E44"/>
              </w:rPr>
              <w:t>—</w:t>
            </w:r>
          </w:p>
        </w:tc>
        <w:tc>
          <w:tcPr>
            <w:tcW w:w="940" w:type="dxa"/>
            <w:vAlign w:val="bottom"/>
          </w:tcPr>
          <w:p>
            <w:pPr>
              <w:jc w:val="right"/>
              <w:ind w:right="51"/>
              <w:spacing w:after="0"/>
              <w:rPr>
                <w:sz w:val="20"/>
                <w:szCs w:val="20"/>
                <w:color w:val="auto"/>
              </w:rPr>
            </w:pPr>
            <w:r>
              <w:rPr>
                <w:rFonts w:ascii="Arial" w:cs="Arial" w:eastAsia="Arial" w:hAnsi="Arial"/>
                <w:sz w:val="14"/>
                <w:szCs w:val="14"/>
                <w:color w:val="092E44"/>
              </w:rPr>
              <w:t>2,847</w:t>
            </w:r>
          </w:p>
        </w:tc>
        <w:tc>
          <w:tcPr>
            <w:tcW w:w="960" w:type="dxa"/>
            <w:vAlign w:val="bottom"/>
          </w:tcPr>
          <w:p>
            <w:pPr>
              <w:jc w:val="right"/>
              <w:ind w:right="52"/>
              <w:spacing w:after="0"/>
              <w:rPr>
                <w:sz w:val="20"/>
                <w:szCs w:val="20"/>
                <w:color w:val="auto"/>
              </w:rPr>
            </w:pPr>
            <w:r>
              <w:rPr>
                <w:rFonts w:ascii="Arial" w:cs="Arial" w:eastAsia="Arial" w:hAnsi="Arial"/>
                <w:sz w:val="14"/>
                <w:szCs w:val="14"/>
                <w:color w:val="092E44"/>
              </w:rPr>
              <w:t>188,898</w:t>
            </w:r>
          </w:p>
        </w:tc>
        <w:tc>
          <w:tcPr>
            <w:tcW w:w="1080" w:type="dxa"/>
            <w:vAlign w:val="bottom"/>
          </w:tcPr>
          <w:p>
            <w:pPr>
              <w:jc w:val="right"/>
              <w:spacing w:after="0"/>
              <w:rPr>
                <w:sz w:val="20"/>
                <w:szCs w:val="20"/>
                <w:color w:val="auto"/>
              </w:rPr>
            </w:pPr>
            <w:r>
              <w:rPr>
                <w:rFonts w:ascii="Arial" w:cs="Arial" w:eastAsia="Arial" w:hAnsi="Arial"/>
                <w:sz w:val="14"/>
                <w:szCs w:val="14"/>
                <w:color w:val="092E44"/>
              </w:rPr>
              <w:t>11,050</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092E44"/>
              </w:rPr>
              <w:t>733,168</w:t>
            </w:r>
          </w:p>
        </w:tc>
      </w:tr>
      <w:tr>
        <w:trPr>
          <w:trHeight w:val="288"/>
        </w:trPr>
        <w:tc>
          <w:tcPr>
            <w:tcW w:w="3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092E44"/>
              </w:rPr>
              <w:t>05/22/20</w:t>
            </w:r>
          </w:p>
        </w:tc>
        <w:tc>
          <w:tcPr>
            <w:tcW w:w="180" w:type="dxa"/>
            <w:vAlign w:val="bottom"/>
          </w:tcPr>
          <w:p>
            <w:pPr>
              <w:spacing w:after="0"/>
              <w:rPr>
                <w:sz w:val="24"/>
                <w:szCs w:val="24"/>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092E44"/>
              </w:rPr>
              <w:t>—</w:t>
            </w:r>
          </w:p>
        </w:tc>
        <w:tc>
          <w:tcPr>
            <w:tcW w:w="780" w:type="dxa"/>
            <w:vAlign w:val="bottom"/>
          </w:tcPr>
          <w:p>
            <w:pPr>
              <w:jc w:val="right"/>
              <w:ind w:right="110"/>
              <w:spacing w:after="0"/>
              <w:rPr>
                <w:sz w:val="20"/>
                <w:szCs w:val="20"/>
                <w:color w:val="auto"/>
              </w:rPr>
            </w:pPr>
            <w:r>
              <w:rPr>
                <w:rFonts w:ascii="Arial" w:cs="Arial" w:eastAsia="Arial" w:hAnsi="Arial"/>
                <w:sz w:val="14"/>
                <w:szCs w:val="14"/>
                <w:color w:val="092E44"/>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092E44"/>
              </w:rPr>
              <w:t>—</w:t>
            </w:r>
          </w:p>
        </w:tc>
        <w:tc>
          <w:tcPr>
            <w:tcW w:w="940" w:type="dxa"/>
            <w:vAlign w:val="bottom"/>
          </w:tcPr>
          <w:p>
            <w:pPr>
              <w:jc w:val="right"/>
              <w:ind w:right="51"/>
              <w:spacing w:after="0"/>
              <w:rPr>
                <w:sz w:val="20"/>
                <w:szCs w:val="20"/>
                <w:color w:val="auto"/>
              </w:rPr>
            </w:pPr>
            <w:r>
              <w:rPr>
                <w:rFonts w:ascii="Arial" w:cs="Arial" w:eastAsia="Arial" w:hAnsi="Arial"/>
                <w:sz w:val="14"/>
                <w:szCs w:val="14"/>
                <w:color w:val="092E44"/>
              </w:rPr>
              <w:t>36,402</w:t>
            </w:r>
          </w:p>
        </w:tc>
        <w:tc>
          <w:tcPr>
            <w:tcW w:w="960" w:type="dxa"/>
            <w:vAlign w:val="bottom"/>
          </w:tcPr>
          <w:p>
            <w:pPr>
              <w:jc w:val="right"/>
              <w:ind w:right="52"/>
              <w:spacing w:after="0"/>
              <w:rPr>
                <w:sz w:val="20"/>
                <w:szCs w:val="20"/>
                <w:color w:val="auto"/>
              </w:rPr>
            </w:pPr>
            <w:r>
              <w:rPr>
                <w:rFonts w:ascii="Arial" w:cs="Arial" w:eastAsia="Arial" w:hAnsi="Arial"/>
                <w:sz w:val="14"/>
                <w:szCs w:val="14"/>
                <w:color w:val="092E44"/>
              </w:rPr>
              <w:t>2,415,273</w:t>
            </w:r>
          </w:p>
        </w:tc>
        <w:tc>
          <w:tcPr>
            <w:tcW w:w="1080" w:type="dxa"/>
            <w:vAlign w:val="bottom"/>
          </w:tcPr>
          <w:p>
            <w:pPr>
              <w:jc w:val="right"/>
              <w:spacing w:after="0"/>
              <w:rPr>
                <w:sz w:val="20"/>
                <w:szCs w:val="20"/>
                <w:color w:val="auto"/>
              </w:rPr>
            </w:pPr>
            <w:r>
              <w:rPr>
                <w:rFonts w:ascii="Arial" w:cs="Arial" w:eastAsia="Arial" w:hAnsi="Arial"/>
                <w:sz w:val="14"/>
                <w:szCs w:val="14"/>
                <w:color w:val="092E44"/>
              </w:rPr>
              <w:t>58,242</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092E44"/>
              </w:rPr>
              <w:t>3,864,357</w:t>
            </w:r>
          </w:p>
        </w:tc>
      </w:tr>
      <w:tr>
        <w:trPr>
          <w:trHeight w:val="294"/>
        </w:trPr>
        <w:tc>
          <w:tcPr>
            <w:tcW w:w="3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092E44"/>
              </w:rPr>
              <w:t>05/17/21</w:t>
            </w:r>
          </w:p>
        </w:tc>
        <w:tc>
          <w:tcPr>
            <w:tcW w:w="180" w:type="dxa"/>
            <w:vAlign w:val="bottom"/>
          </w:tcPr>
          <w:p>
            <w:pPr>
              <w:spacing w:after="0"/>
              <w:rPr>
                <w:sz w:val="24"/>
                <w:szCs w:val="24"/>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092E44"/>
              </w:rPr>
              <w:t>—</w:t>
            </w:r>
          </w:p>
        </w:tc>
        <w:tc>
          <w:tcPr>
            <w:tcW w:w="780" w:type="dxa"/>
            <w:vAlign w:val="bottom"/>
          </w:tcPr>
          <w:p>
            <w:pPr>
              <w:jc w:val="right"/>
              <w:ind w:right="110"/>
              <w:spacing w:after="0"/>
              <w:rPr>
                <w:sz w:val="20"/>
                <w:szCs w:val="20"/>
                <w:color w:val="auto"/>
              </w:rPr>
            </w:pPr>
            <w:r>
              <w:rPr>
                <w:rFonts w:ascii="Arial" w:cs="Arial" w:eastAsia="Arial" w:hAnsi="Arial"/>
                <w:sz w:val="14"/>
                <w:szCs w:val="14"/>
                <w:color w:val="092E44"/>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092E44"/>
              </w:rPr>
              <w:t>—</w:t>
            </w:r>
          </w:p>
        </w:tc>
        <w:tc>
          <w:tcPr>
            <w:tcW w:w="940" w:type="dxa"/>
            <w:vAlign w:val="bottom"/>
          </w:tcPr>
          <w:p>
            <w:pPr>
              <w:jc w:val="right"/>
              <w:ind w:right="51"/>
              <w:spacing w:after="0"/>
              <w:rPr>
                <w:sz w:val="20"/>
                <w:szCs w:val="20"/>
                <w:color w:val="auto"/>
              </w:rPr>
            </w:pPr>
            <w:r>
              <w:rPr>
                <w:rFonts w:ascii="Arial" w:cs="Arial" w:eastAsia="Arial" w:hAnsi="Arial"/>
                <w:sz w:val="14"/>
                <w:szCs w:val="14"/>
                <w:color w:val="092E44"/>
              </w:rPr>
              <w:t>111,931</w:t>
            </w:r>
          </w:p>
        </w:tc>
        <w:tc>
          <w:tcPr>
            <w:tcW w:w="960" w:type="dxa"/>
            <w:vAlign w:val="bottom"/>
          </w:tcPr>
          <w:p>
            <w:pPr>
              <w:jc w:val="right"/>
              <w:ind w:right="52"/>
              <w:spacing w:after="0"/>
              <w:rPr>
                <w:sz w:val="20"/>
                <w:szCs w:val="20"/>
                <w:color w:val="auto"/>
              </w:rPr>
            </w:pPr>
            <w:r>
              <w:rPr>
                <w:rFonts w:ascii="Arial" w:cs="Arial" w:eastAsia="Arial" w:hAnsi="Arial"/>
                <w:sz w:val="14"/>
                <w:szCs w:val="14"/>
                <w:color w:val="092E44"/>
              </w:rPr>
              <w:t>7,426,622</w:t>
            </w:r>
          </w:p>
        </w:tc>
        <w:tc>
          <w:tcPr>
            <w:tcW w:w="1080" w:type="dxa"/>
            <w:vAlign w:val="bottom"/>
          </w:tcPr>
          <w:p>
            <w:pPr>
              <w:jc w:val="right"/>
              <w:spacing w:after="0"/>
              <w:rPr>
                <w:sz w:val="20"/>
                <w:szCs w:val="20"/>
                <w:color w:val="auto"/>
              </w:rPr>
            </w:pPr>
            <w:r>
              <w:rPr>
                <w:rFonts w:ascii="Arial" w:cs="Arial" w:eastAsia="Arial" w:hAnsi="Arial"/>
                <w:sz w:val="14"/>
                <w:szCs w:val="14"/>
                <w:color w:val="092E44"/>
              </w:rPr>
              <w:t>31,980</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092E44"/>
              </w:rPr>
              <w:t>2,121,873</w:t>
            </w:r>
          </w:p>
        </w:tc>
      </w:tr>
      <w:tr>
        <w:trPr>
          <w:trHeight w:val="48"/>
        </w:trPr>
        <w:tc>
          <w:tcPr>
            <w:tcW w:w="3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3"/>
        </w:trPr>
        <w:tc>
          <w:tcPr>
            <w:tcW w:w="3360" w:type="dxa"/>
            <w:vAlign w:val="bottom"/>
            <w:shd w:val="clear" w:color="auto" w:fill="DDE9F2"/>
          </w:tcPr>
          <w:p>
            <w:pPr>
              <w:ind w:left="80"/>
              <w:spacing w:after="0"/>
              <w:rPr>
                <w:sz w:val="20"/>
                <w:szCs w:val="20"/>
                <w:color w:val="auto"/>
              </w:rPr>
            </w:pPr>
            <w:r>
              <w:rPr>
                <w:rFonts w:ascii="Arial" w:cs="Arial" w:eastAsia="Arial" w:hAnsi="Arial"/>
                <w:sz w:val="14"/>
                <w:szCs w:val="14"/>
                <w:b w:val="1"/>
                <w:bCs w:val="1"/>
                <w:color w:val="092E44"/>
              </w:rPr>
              <w:t>Brian Carolan</w:t>
            </w:r>
          </w:p>
        </w:tc>
        <w:tc>
          <w:tcPr>
            <w:tcW w:w="820" w:type="dxa"/>
            <w:vAlign w:val="bottom"/>
            <w:shd w:val="clear" w:color="auto" w:fill="DDE9F2"/>
          </w:tcPr>
          <w:p>
            <w:pPr>
              <w:jc w:val="right"/>
              <w:spacing w:after="0"/>
              <w:rPr>
                <w:sz w:val="20"/>
                <w:szCs w:val="20"/>
                <w:color w:val="auto"/>
              </w:rPr>
            </w:pPr>
            <w:r>
              <w:rPr>
                <w:rFonts w:ascii="Arial" w:cs="Arial" w:eastAsia="Arial" w:hAnsi="Arial"/>
                <w:sz w:val="14"/>
                <w:szCs w:val="14"/>
                <w:color w:val="092E44"/>
              </w:rPr>
              <w:t>03/14/13</w:t>
            </w:r>
          </w:p>
        </w:tc>
        <w:tc>
          <w:tcPr>
            <w:tcW w:w="1040" w:type="dxa"/>
            <w:vAlign w:val="bottom"/>
            <w:gridSpan w:val="2"/>
            <w:shd w:val="clear" w:color="auto" w:fill="DDE9F2"/>
          </w:tcPr>
          <w:p>
            <w:pPr>
              <w:jc w:val="right"/>
              <w:ind w:right="52"/>
              <w:spacing w:after="0"/>
              <w:rPr>
                <w:sz w:val="20"/>
                <w:szCs w:val="20"/>
                <w:color w:val="auto"/>
              </w:rPr>
            </w:pPr>
            <w:r>
              <w:rPr>
                <w:rFonts w:ascii="Arial" w:cs="Arial" w:eastAsia="Arial" w:hAnsi="Arial"/>
                <w:sz w:val="14"/>
                <w:szCs w:val="14"/>
                <w:color w:val="092E44"/>
              </w:rPr>
              <w:t>12,000</w:t>
            </w:r>
          </w:p>
        </w:tc>
        <w:tc>
          <w:tcPr>
            <w:tcW w:w="780" w:type="dxa"/>
            <w:vAlign w:val="bottom"/>
            <w:shd w:val="clear" w:color="auto" w:fill="DDE9F2"/>
          </w:tcPr>
          <w:p>
            <w:pPr>
              <w:jc w:val="right"/>
              <w:ind w:right="110"/>
              <w:spacing w:after="0"/>
              <w:rPr>
                <w:sz w:val="20"/>
                <w:szCs w:val="20"/>
                <w:color w:val="auto"/>
              </w:rPr>
            </w:pPr>
            <w:r>
              <w:rPr>
                <w:rFonts w:ascii="Arial" w:cs="Arial" w:eastAsia="Arial" w:hAnsi="Arial"/>
                <w:sz w:val="14"/>
                <w:szCs w:val="14"/>
                <w:color w:val="092E44"/>
              </w:rPr>
              <w:t>77.57</w:t>
            </w:r>
          </w:p>
        </w:tc>
        <w:tc>
          <w:tcPr>
            <w:tcW w:w="860" w:type="dxa"/>
            <w:vAlign w:val="bottom"/>
            <w:gridSpan w:val="2"/>
            <w:shd w:val="clear" w:color="auto" w:fill="DDE9F2"/>
          </w:tcPr>
          <w:p>
            <w:pPr>
              <w:jc w:val="right"/>
              <w:ind w:right="220"/>
              <w:spacing w:after="0"/>
              <w:rPr>
                <w:sz w:val="20"/>
                <w:szCs w:val="20"/>
                <w:color w:val="auto"/>
              </w:rPr>
            </w:pPr>
            <w:r>
              <w:rPr>
                <w:rFonts w:ascii="Arial" w:cs="Arial" w:eastAsia="Arial" w:hAnsi="Arial"/>
                <w:sz w:val="14"/>
                <w:szCs w:val="14"/>
                <w:color w:val="092E44"/>
              </w:rPr>
              <w:t>03/14/23</w:t>
            </w:r>
          </w:p>
        </w:tc>
        <w:tc>
          <w:tcPr>
            <w:tcW w:w="940" w:type="dxa"/>
            <w:vAlign w:val="bottom"/>
            <w:shd w:val="clear" w:color="auto" w:fill="DDE9F2"/>
          </w:tcPr>
          <w:p>
            <w:pPr>
              <w:jc w:val="right"/>
              <w:ind w:right="51"/>
              <w:spacing w:after="0"/>
              <w:rPr>
                <w:sz w:val="20"/>
                <w:szCs w:val="20"/>
                <w:color w:val="auto"/>
              </w:rPr>
            </w:pPr>
            <w:r>
              <w:rPr>
                <w:rFonts w:ascii="Arial" w:cs="Arial" w:eastAsia="Arial" w:hAnsi="Arial"/>
                <w:sz w:val="14"/>
                <w:szCs w:val="14"/>
                <w:color w:val="092E44"/>
              </w:rPr>
              <w:t>—</w:t>
            </w:r>
          </w:p>
        </w:tc>
        <w:tc>
          <w:tcPr>
            <w:tcW w:w="960" w:type="dxa"/>
            <w:vAlign w:val="bottom"/>
            <w:shd w:val="clear" w:color="auto" w:fill="DDE9F2"/>
          </w:tcPr>
          <w:p>
            <w:pPr>
              <w:jc w:val="right"/>
              <w:ind w:right="52"/>
              <w:spacing w:after="0"/>
              <w:rPr>
                <w:sz w:val="20"/>
                <w:szCs w:val="20"/>
                <w:color w:val="auto"/>
              </w:rPr>
            </w:pPr>
            <w:r>
              <w:rPr>
                <w:rFonts w:ascii="Arial" w:cs="Arial" w:eastAsia="Arial" w:hAnsi="Arial"/>
                <w:sz w:val="14"/>
                <w:szCs w:val="14"/>
                <w:color w:val="092E44"/>
              </w:rPr>
              <w:t>—</w:t>
            </w:r>
          </w:p>
        </w:tc>
        <w:tc>
          <w:tcPr>
            <w:tcW w:w="1080" w:type="dxa"/>
            <w:vAlign w:val="bottom"/>
            <w:shd w:val="clear" w:color="auto" w:fill="DDE9F2"/>
          </w:tcPr>
          <w:p>
            <w:pPr>
              <w:jc w:val="right"/>
              <w:spacing w:after="0"/>
              <w:rPr>
                <w:sz w:val="20"/>
                <w:szCs w:val="20"/>
                <w:color w:val="auto"/>
              </w:rPr>
            </w:pPr>
            <w:r>
              <w:rPr>
                <w:rFonts w:ascii="Arial" w:cs="Arial" w:eastAsia="Arial" w:hAnsi="Arial"/>
                <w:sz w:val="14"/>
                <w:szCs w:val="14"/>
                <w:color w:val="092E44"/>
              </w:rPr>
              <w:t>—</w:t>
            </w:r>
          </w:p>
        </w:tc>
        <w:tc>
          <w:tcPr>
            <w:tcW w:w="1080" w:type="dxa"/>
            <w:vAlign w:val="bottom"/>
            <w:gridSpan w:val="2"/>
            <w:shd w:val="clear" w:color="auto" w:fill="DDE9F2"/>
          </w:tcPr>
          <w:p>
            <w:pPr>
              <w:jc w:val="right"/>
              <w:ind w:right="100"/>
              <w:spacing w:after="0"/>
              <w:rPr>
                <w:sz w:val="20"/>
                <w:szCs w:val="20"/>
                <w:color w:val="auto"/>
              </w:rPr>
            </w:pPr>
            <w:r>
              <w:rPr>
                <w:rFonts w:ascii="Arial" w:cs="Arial" w:eastAsia="Arial" w:hAnsi="Arial"/>
                <w:sz w:val="14"/>
                <w:szCs w:val="14"/>
                <w:color w:val="092E44"/>
              </w:rPr>
              <w:t>—</w:t>
            </w:r>
          </w:p>
        </w:tc>
      </w:tr>
      <w:tr>
        <w:trPr>
          <w:trHeight w:val="288"/>
        </w:trPr>
        <w:tc>
          <w:tcPr>
            <w:tcW w:w="3360" w:type="dxa"/>
            <w:vAlign w:val="bottom"/>
            <w:shd w:val="clear" w:color="auto" w:fill="DDE9F2"/>
          </w:tcPr>
          <w:p>
            <w:pPr>
              <w:spacing w:after="0"/>
              <w:rPr>
                <w:sz w:val="24"/>
                <w:szCs w:val="24"/>
                <w:color w:val="auto"/>
              </w:rPr>
            </w:pPr>
          </w:p>
        </w:tc>
        <w:tc>
          <w:tcPr>
            <w:tcW w:w="820" w:type="dxa"/>
            <w:vAlign w:val="bottom"/>
            <w:shd w:val="clear" w:color="auto" w:fill="DDE9F2"/>
          </w:tcPr>
          <w:p>
            <w:pPr>
              <w:jc w:val="right"/>
              <w:spacing w:after="0"/>
              <w:rPr>
                <w:sz w:val="20"/>
                <w:szCs w:val="20"/>
                <w:color w:val="auto"/>
              </w:rPr>
            </w:pPr>
            <w:r>
              <w:rPr>
                <w:rFonts w:ascii="Arial" w:cs="Arial" w:eastAsia="Arial" w:hAnsi="Arial"/>
                <w:sz w:val="14"/>
                <w:szCs w:val="14"/>
                <w:color w:val="092E44"/>
              </w:rPr>
              <w:t>10/14/13</w:t>
            </w:r>
          </w:p>
        </w:tc>
        <w:tc>
          <w:tcPr>
            <w:tcW w:w="1040" w:type="dxa"/>
            <w:vAlign w:val="bottom"/>
            <w:gridSpan w:val="2"/>
            <w:shd w:val="clear" w:color="auto" w:fill="DDE9F2"/>
          </w:tcPr>
          <w:p>
            <w:pPr>
              <w:jc w:val="right"/>
              <w:ind w:right="52"/>
              <w:spacing w:after="0"/>
              <w:rPr>
                <w:sz w:val="20"/>
                <w:szCs w:val="20"/>
                <w:color w:val="auto"/>
              </w:rPr>
            </w:pPr>
            <w:r>
              <w:rPr>
                <w:rFonts w:ascii="Arial" w:cs="Arial" w:eastAsia="Arial" w:hAnsi="Arial"/>
                <w:sz w:val="14"/>
                <w:szCs w:val="14"/>
                <w:color w:val="092E44"/>
              </w:rPr>
              <w:t>45,132</w:t>
            </w:r>
          </w:p>
        </w:tc>
        <w:tc>
          <w:tcPr>
            <w:tcW w:w="780" w:type="dxa"/>
            <w:vAlign w:val="bottom"/>
            <w:shd w:val="clear" w:color="auto" w:fill="DDE9F2"/>
          </w:tcPr>
          <w:p>
            <w:pPr>
              <w:jc w:val="right"/>
              <w:ind w:right="110"/>
              <w:spacing w:after="0"/>
              <w:rPr>
                <w:sz w:val="20"/>
                <w:szCs w:val="20"/>
                <w:color w:val="auto"/>
              </w:rPr>
            </w:pPr>
            <w:r>
              <w:rPr>
                <w:rFonts w:ascii="Arial" w:cs="Arial" w:eastAsia="Arial" w:hAnsi="Arial"/>
                <w:sz w:val="14"/>
                <w:szCs w:val="14"/>
                <w:color w:val="092E44"/>
              </w:rPr>
              <w:t>87.20</w:t>
            </w:r>
          </w:p>
        </w:tc>
        <w:tc>
          <w:tcPr>
            <w:tcW w:w="860" w:type="dxa"/>
            <w:vAlign w:val="bottom"/>
            <w:gridSpan w:val="2"/>
            <w:shd w:val="clear" w:color="auto" w:fill="DDE9F2"/>
          </w:tcPr>
          <w:p>
            <w:pPr>
              <w:jc w:val="right"/>
              <w:ind w:right="220"/>
              <w:spacing w:after="0"/>
              <w:rPr>
                <w:sz w:val="20"/>
                <w:szCs w:val="20"/>
                <w:color w:val="auto"/>
              </w:rPr>
            </w:pPr>
            <w:r>
              <w:rPr>
                <w:rFonts w:ascii="Arial" w:cs="Arial" w:eastAsia="Arial" w:hAnsi="Arial"/>
                <w:sz w:val="14"/>
                <w:szCs w:val="14"/>
                <w:color w:val="092E44"/>
              </w:rPr>
              <w:t>10/14/23</w:t>
            </w:r>
          </w:p>
        </w:tc>
        <w:tc>
          <w:tcPr>
            <w:tcW w:w="940" w:type="dxa"/>
            <w:vAlign w:val="bottom"/>
            <w:shd w:val="clear" w:color="auto" w:fill="DDE9F2"/>
          </w:tcPr>
          <w:p>
            <w:pPr>
              <w:jc w:val="right"/>
              <w:ind w:right="51"/>
              <w:spacing w:after="0"/>
              <w:rPr>
                <w:sz w:val="20"/>
                <w:szCs w:val="20"/>
                <w:color w:val="auto"/>
              </w:rPr>
            </w:pPr>
            <w:r>
              <w:rPr>
                <w:rFonts w:ascii="Arial" w:cs="Arial" w:eastAsia="Arial" w:hAnsi="Arial"/>
                <w:sz w:val="14"/>
                <w:szCs w:val="14"/>
                <w:color w:val="092E44"/>
              </w:rPr>
              <w:t>—</w:t>
            </w:r>
          </w:p>
        </w:tc>
        <w:tc>
          <w:tcPr>
            <w:tcW w:w="960" w:type="dxa"/>
            <w:vAlign w:val="bottom"/>
            <w:shd w:val="clear" w:color="auto" w:fill="DDE9F2"/>
          </w:tcPr>
          <w:p>
            <w:pPr>
              <w:jc w:val="right"/>
              <w:ind w:right="52"/>
              <w:spacing w:after="0"/>
              <w:rPr>
                <w:sz w:val="20"/>
                <w:szCs w:val="20"/>
                <w:color w:val="auto"/>
              </w:rPr>
            </w:pPr>
            <w:r>
              <w:rPr>
                <w:rFonts w:ascii="Arial" w:cs="Arial" w:eastAsia="Arial" w:hAnsi="Arial"/>
                <w:sz w:val="14"/>
                <w:szCs w:val="14"/>
                <w:color w:val="092E44"/>
              </w:rPr>
              <w:t>—</w:t>
            </w:r>
          </w:p>
        </w:tc>
        <w:tc>
          <w:tcPr>
            <w:tcW w:w="1080" w:type="dxa"/>
            <w:vAlign w:val="bottom"/>
            <w:shd w:val="clear" w:color="auto" w:fill="DDE9F2"/>
          </w:tcPr>
          <w:p>
            <w:pPr>
              <w:jc w:val="right"/>
              <w:spacing w:after="0"/>
              <w:rPr>
                <w:sz w:val="20"/>
                <w:szCs w:val="20"/>
                <w:color w:val="auto"/>
              </w:rPr>
            </w:pPr>
            <w:r>
              <w:rPr>
                <w:rFonts w:ascii="Arial" w:cs="Arial" w:eastAsia="Arial" w:hAnsi="Arial"/>
                <w:sz w:val="14"/>
                <w:szCs w:val="14"/>
                <w:color w:val="092E44"/>
              </w:rPr>
              <w:t>—</w:t>
            </w:r>
          </w:p>
        </w:tc>
        <w:tc>
          <w:tcPr>
            <w:tcW w:w="1080" w:type="dxa"/>
            <w:vAlign w:val="bottom"/>
            <w:gridSpan w:val="2"/>
            <w:shd w:val="clear" w:color="auto" w:fill="DDE9F2"/>
          </w:tcPr>
          <w:p>
            <w:pPr>
              <w:jc w:val="right"/>
              <w:ind w:right="100"/>
              <w:spacing w:after="0"/>
              <w:rPr>
                <w:sz w:val="20"/>
                <w:szCs w:val="20"/>
                <w:color w:val="auto"/>
              </w:rPr>
            </w:pPr>
            <w:r>
              <w:rPr>
                <w:rFonts w:ascii="Arial" w:cs="Arial" w:eastAsia="Arial" w:hAnsi="Arial"/>
                <w:sz w:val="14"/>
                <w:szCs w:val="14"/>
                <w:color w:val="092E44"/>
              </w:rPr>
              <w:t>—</w:t>
            </w:r>
          </w:p>
        </w:tc>
      </w:tr>
      <w:tr>
        <w:trPr>
          <w:trHeight w:val="294"/>
        </w:trPr>
        <w:tc>
          <w:tcPr>
            <w:tcW w:w="3360" w:type="dxa"/>
            <w:vAlign w:val="bottom"/>
            <w:shd w:val="clear" w:color="auto" w:fill="DDE9F2"/>
          </w:tcPr>
          <w:p>
            <w:pPr>
              <w:spacing w:after="0"/>
              <w:rPr>
                <w:sz w:val="24"/>
                <w:szCs w:val="24"/>
                <w:color w:val="auto"/>
              </w:rPr>
            </w:pPr>
          </w:p>
        </w:tc>
        <w:tc>
          <w:tcPr>
            <w:tcW w:w="820" w:type="dxa"/>
            <w:vAlign w:val="bottom"/>
            <w:shd w:val="clear" w:color="auto" w:fill="DDE9F2"/>
          </w:tcPr>
          <w:p>
            <w:pPr>
              <w:jc w:val="right"/>
              <w:spacing w:after="0"/>
              <w:rPr>
                <w:sz w:val="20"/>
                <w:szCs w:val="20"/>
                <w:color w:val="auto"/>
              </w:rPr>
            </w:pPr>
            <w:r>
              <w:rPr>
                <w:rFonts w:ascii="Arial" w:cs="Arial" w:eastAsia="Arial" w:hAnsi="Arial"/>
                <w:sz w:val="14"/>
                <w:szCs w:val="14"/>
                <w:color w:val="092E44"/>
              </w:rPr>
              <w:t>10/14/14</w:t>
            </w:r>
          </w:p>
        </w:tc>
        <w:tc>
          <w:tcPr>
            <w:tcW w:w="1040" w:type="dxa"/>
            <w:vAlign w:val="bottom"/>
            <w:gridSpan w:val="2"/>
            <w:shd w:val="clear" w:color="auto" w:fill="DDE9F2"/>
          </w:tcPr>
          <w:p>
            <w:pPr>
              <w:jc w:val="right"/>
              <w:ind w:right="52"/>
              <w:spacing w:after="0"/>
              <w:rPr>
                <w:sz w:val="20"/>
                <w:szCs w:val="20"/>
                <w:color w:val="auto"/>
              </w:rPr>
            </w:pPr>
            <w:r>
              <w:rPr>
                <w:rFonts w:ascii="Arial" w:cs="Arial" w:eastAsia="Arial" w:hAnsi="Arial"/>
                <w:sz w:val="14"/>
                <w:szCs w:val="14"/>
                <w:color w:val="092E44"/>
              </w:rPr>
              <w:t>22,649</w:t>
            </w:r>
          </w:p>
        </w:tc>
        <w:tc>
          <w:tcPr>
            <w:tcW w:w="780" w:type="dxa"/>
            <w:vAlign w:val="bottom"/>
            <w:shd w:val="clear" w:color="auto" w:fill="DDE9F2"/>
          </w:tcPr>
          <w:p>
            <w:pPr>
              <w:jc w:val="right"/>
              <w:ind w:right="110"/>
              <w:spacing w:after="0"/>
              <w:rPr>
                <w:sz w:val="20"/>
                <w:szCs w:val="20"/>
                <w:color w:val="auto"/>
              </w:rPr>
            </w:pPr>
            <w:r>
              <w:rPr>
                <w:rFonts w:ascii="Arial" w:cs="Arial" w:eastAsia="Arial" w:hAnsi="Arial"/>
                <w:sz w:val="14"/>
                <w:szCs w:val="14"/>
                <w:color w:val="092E44"/>
              </w:rPr>
              <w:t>45.44</w:t>
            </w:r>
          </w:p>
        </w:tc>
        <w:tc>
          <w:tcPr>
            <w:tcW w:w="860" w:type="dxa"/>
            <w:vAlign w:val="bottom"/>
            <w:gridSpan w:val="2"/>
            <w:shd w:val="clear" w:color="auto" w:fill="DDE9F2"/>
          </w:tcPr>
          <w:p>
            <w:pPr>
              <w:jc w:val="right"/>
              <w:ind w:right="220"/>
              <w:spacing w:after="0"/>
              <w:rPr>
                <w:sz w:val="20"/>
                <w:szCs w:val="20"/>
                <w:color w:val="auto"/>
              </w:rPr>
            </w:pPr>
            <w:r>
              <w:rPr>
                <w:rFonts w:ascii="Arial" w:cs="Arial" w:eastAsia="Arial" w:hAnsi="Arial"/>
                <w:sz w:val="14"/>
                <w:szCs w:val="14"/>
                <w:color w:val="092E44"/>
              </w:rPr>
              <w:t>10/14/24</w:t>
            </w:r>
          </w:p>
        </w:tc>
        <w:tc>
          <w:tcPr>
            <w:tcW w:w="940" w:type="dxa"/>
            <w:vAlign w:val="bottom"/>
            <w:shd w:val="clear" w:color="auto" w:fill="DDE9F2"/>
          </w:tcPr>
          <w:p>
            <w:pPr>
              <w:jc w:val="right"/>
              <w:ind w:right="51"/>
              <w:spacing w:after="0"/>
              <w:rPr>
                <w:sz w:val="20"/>
                <w:szCs w:val="20"/>
                <w:color w:val="auto"/>
              </w:rPr>
            </w:pPr>
            <w:r>
              <w:rPr>
                <w:rFonts w:ascii="Arial" w:cs="Arial" w:eastAsia="Arial" w:hAnsi="Arial"/>
                <w:sz w:val="14"/>
                <w:szCs w:val="14"/>
                <w:color w:val="092E44"/>
              </w:rPr>
              <w:t>—</w:t>
            </w:r>
          </w:p>
        </w:tc>
        <w:tc>
          <w:tcPr>
            <w:tcW w:w="960" w:type="dxa"/>
            <w:vAlign w:val="bottom"/>
            <w:shd w:val="clear" w:color="auto" w:fill="DDE9F2"/>
          </w:tcPr>
          <w:p>
            <w:pPr>
              <w:jc w:val="right"/>
              <w:ind w:right="52"/>
              <w:spacing w:after="0"/>
              <w:rPr>
                <w:sz w:val="20"/>
                <w:szCs w:val="20"/>
                <w:color w:val="auto"/>
              </w:rPr>
            </w:pPr>
            <w:r>
              <w:rPr>
                <w:rFonts w:ascii="Arial" w:cs="Arial" w:eastAsia="Arial" w:hAnsi="Arial"/>
                <w:sz w:val="14"/>
                <w:szCs w:val="14"/>
                <w:color w:val="092E44"/>
              </w:rPr>
              <w:t>—</w:t>
            </w:r>
          </w:p>
        </w:tc>
        <w:tc>
          <w:tcPr>
            <w:tcW w:w="1080" w:type="dxa"/>
            <w:vAlign w:val="bottom"/>
            <w:shd w:val="clear" w:color="auto" w:fill="DDE9F2"/>
          </w:tcPr>
          <w:p>
            <w:pPr>
              <w:jc w:val="right"/>
              <w:spacing w:after="0"/>
              <w:rPr>
                <w:sz w:val="20"/>
                <w:szCs w:val="20"/>
                <w:color w:val="auto"/>
              </w:rPr>
            </w:pPr>
            <w:r>
              <w:rPr>
                <w:rFonts w:ascii="Arial" w:cs="Arial" w:eastAsia="Arial" w:hAnsi="Arial"/>
                <w:sz w:val="14"/>
                <w:szCs w:val="14"/>
                <w:color w:val="092E44"/>
              </w:rPr>
              <w:t>—</w:t>
            </w:r>
          </w:p>
        </w:tc>
        <w:tc>
          <w:tcPr>
            <w:tcW w:w="1080" w:type="dxa"/>
            <w:vAlign w:val="bottom"/>
            <w:gridSpan w:val="2"/>
            <w:shd w:val="clear" w:color="auto" w:fill="DDE9F2"/>
          </w:tcPr>
          <w:p>
            <w:pPr>
              <w:jc w:val="right"/>
              <w:ind w:right="100"/>
              <w:spacing w:after="0"/>
              <w:rPr>
                <w:sz w:val="20"/>
                <w:szCs w:val="20"/>
                <w:color w:val="auto"/>
              </w:rPr>
            </w:pPr>
            <w:r>
              <w:rPr>
                <w:rFonts w:ascii="Arial" w:cs="Arial" w:eastAsia="Arial" w:hAnsi="Arial"/>
                <w:sz w:val="14"/>
                <w:szCs w:val="14"/>
                <w:color w:val="092E44"/>
              </w:rPr>
              <w:t>—</w:t>
            </w:r>
          </w:p>
        </w:tc>
      </w:tr>
      <w:tr>
        <w:trPr>
          <w:trHeight w:val="294"/>
        </w:trPr>
        <w:tc>
          <w:tcPr>
            <w:tcW w:w="3360" w:type="dxa"/>
            <w:vAlign w:val="bottom"/>
            <w:shd w:val="clear" w:color="auto" w:fill="DDE9F2"/>
          </w:tcPr>
          <w:p>
            <w:pPr>
              <w:spacing w:after="0"/>
              <w:rPr>
                <w:sz w:val="24"/>
                <w:szCs w:val="24"/>
                <w:color w:val="auto"/>
              </w:rPr>
            </w:pPr>
          </w:p>
        </w:tc>
        <w:tc>
          <w:tcPr>
            <w:tcW w:w="820" w:type="dxa"/>
            <w:vAlign w:val="bottom"/>
            <w:shd w:val="clear" w:color="auto" w:fill="DDE9F2"/>
          </w:tcPr>
          <w:p>
            <w:pPr>
              <w:jc w:val="right"/>
              <w:spacing w:after="0"/>
              <w:rPr>
                <w:sz w:val="20"/>
                <w:szCs w:val="20"/>
                <w:color w:val="auto"/>
              </w:rPr>
            </w:pPr>
            <w:r>
              <w:rPr>
                <w:rFonts w:ascii="Arial" w:cs="Arial" w:eastAsia="Arial" w:hAnsi="Arial"/>
                <w:sz w:val="14"/>
                <w:szCs w:val="14"/>
                <w:color w:val="092E44"/>
              </w:rPr>
              <w:t>05/15/19</w:t>
            </w:r>
          </w:p>
        </w:tc>
        <w:tc>
          <w:tcPr>
            <w:tcW w:w="180" w:type="dxa"/>
            <w:vAlign w:val="bottom"/>
            <w:shd w:val="clear" w:color="auto" w:fill="DDE9F2"/>
          </w:tcPr>
          <w:p>
            <w:pPr>
              <w:spacing w:after="0"/>
              <w:rPr>
                <w:sz w:val="24"/>
                <w:szCs w:val="24"/>
                <w:color w:val="auto"/>
              </w:rPr>
            </w:pPr>
          </w:p>
        </w:tc>
        <w:tc>
          <w:tcPr>
            <w:tcW w:w="860" w:type="dxa"/>
            <w:vAlign w:val="bottom"/>
            <w:shd w:val="clear" w:color="auto" w:fill="DDE9F2"/>
          </w:tcPr>
          <w:p>
            <w:pPr>
              <w:jc w:val="right"/>
              <w:ind w:right="52"/>
              <w:spacing w:after="0"/>
              <w:rPr>
                <w:sz w:val="20"/>
                <w:szCs w:val="20"/>
                <w:color w:val="auto"/>
              </w:rPr>
            </w:pPr>
            <w:r>
              <w:rPr>
                <w:rFonts w:ascii="Arial" w:cs="Arial" w:eastAsia="Arial" w:hAnsi="Arial"/>
                <w:sz w:val="14"/>
                <w:szCs w:val="14"/>
                <w:color w:val="092E44"/>
              </w:rPr>
              <w:t>—</w:t>
            </w:r>
          </w:p>
        </w:tc>
        <w:tc>
          <w:tcPr>
            <w:tcW w:w="780" w:type="dxa"/>
            <w:vAlign w:val="bottom"/>
            <w:shd w:val="clear" w:color="auto" w:fill="DDE9F2"/>
          </w:tcPr>
          <w:p>
            <w:pPr>
              <w:jc w:val="right"/>
              <w:ind w:right="110"/>
              <w:spacing w:after="0"/>
              <w:rPr>
                <w:sz w:val="20"/>
                <w:szCs w:val="20"/>
                <w:color w:val="auto"/>
              </w:rPr>
            </w:pPr>
            <w:r>
              <w:rPr>
                <w:rFonts w:ascii="Arial" w:cs="Arial" w:eastAsia="Arial" w:hAnsi="Arial"/>
                <w:sz w:val="14"/>
                <w:szCs w:val="14"/>
                <w:color w:val="092E44"/>
              </w:rPr>
              <w:t>—</w:t>
            </w:r>
          </w:p>
        </w:tc>
        <w:tc>
          <w:tcPr>
            <w:tcW w:w="860" w:type="dxa"/>
            <w:vAlign w:val="bottom"/>
            <w:gridSpan w:val="2"/>
            <w:shd w:val="clear" w:color="auto" w:fill="DDE9F2"/>
          </w:tcPr>
          <w:p>
            <w:pPr>
              <w:jc w:val="right"/>
              <w:ind w:right="220"/>
              <w:spacing w:after="0"/>
              <w:rPr>
                <w:sz w:val="20"/>
                <w:szCs w:val="20"/>
                <w:color w:val="auto"/>
              </w:rPr>
            </w:pPr>
            <w:r>
              <w:rPr>
                <w:rFonts w:ascii="Arial" w:cs="Arial" w:eastAsia="Arial" w:hAnsi="Arial"/>
                <w:sz w:val="14"/>
                <w:szCs w:val="14"/>
                <w:color w:val="092E44"/>
              </w:rPr>
              <w:t>—</w:t>
            </w:r>
          </w:p>
        </w:tc>
        <w:tc>
          <w:tcPr>
            <w:tcW w:w="940" w:type="dxa"/>
            <w:vAlign w:val="bottom"/>
            <w:shd w:val="clear" w:color="auto" w:fill="DDE9F2"/>
          </w:tcPr>
          <w:p>
            <w:pPr>
              <w:jc w:val="right"/>
              <w:ind w:right="51"/>
              <w:spacing w:after="0"/>
              <w:rPr>
                <w:sz w:val="20"/>
                <w:szCs w:val="20"/>
                <w:color w:val="auto"/>
              </w:rPr>
            </w:pPr>
            <w:r>
              <w:rPr>
                <w:rFonts w:ascii="Arial" w:cs="Arial" w:eastAsia="Arial" w:hAnsi="Arial"/>
                <w:sz w:val="14"/>
                <w:szCs w:val="14"/>
                <w:color w:val="092E44"/>
              </w:rPr>
              <w:t>1,608</w:t>
            </w:r>
          </w:p>
        </w:tc>
        <w:tc>
          <w:tcPr>
            <w:tcW w:w="960" w:type="dxa"/>
            <w:vAlign w:val="bottom"/>
            <w:shd w:val="clear" w:color="auto" w:fill="DDE9F2"/>
          </w:tcPr>
          <w:p>
            <w:pPr>
              <w:jc w:val="right"/>
              <w:ind w:right="52"/>
              <w:spacing w:after="0"/>
              <w:rPr>
                <w:sz w:val="20"/>
                <w:szCs w:val="20"/>
                <w:color w:val="auto"/>
              </w:rPr>
            </w:pPr>
            <w:r>
              <w:rPr>
                <w:rFonts w:ascii="Arial" w:cs="Arial" w:eastAsia="Arial" w:hAnsi="Arial"/>
                <w:sz w:val="14"/>
                <w:szCs w:val="14"/>
                <w:color w:val="092E44"/>
              </w:rPr>
              <w:t>106,691</w:t>
            </w:r>
          </w:p>
        </w:tc>
        <w:tc>
          <w:tcPr>
            <w:tcW w:w="1080" w:type="dxa"/>
            <w:vAlign w:val="bottom"/>
            <w:shd w:val="clear" w:color="auto" w:fill="DDE9F2"/>
          </w:tcPr>
          <w:p>
            <w:pPr>
              <w:jc w:val="right"/>
              <w:spacing w:after="0"/>
              <w:rPr>
                <w:sz w:val="20"/>
                <w:szCs w:val="20"/>
                <w:color w:val="auto"/>
              </w:rPr>
            </w:pPr>
            <w:r>
              <w:rPr>
                <w:rFonts w:ascii="Arial" w:cs="Arial" w:eastAsia="Arial" w:hAnsi="Arial"/>
                <w:sz w:val="14"/>
                <w:szCs w:val="14"/>
                <w:color w:val="092E44"/>
              </w:rPr>
              <w:t>3,013</w:t>
            </w:r>
          </w:p>
        </w:tc>
        <w:tc>
          <w:tcPr>
            <w:tcW w:w="1080" w:type="dxa"/>
            <w:vAlign w:val="bottom"/>
            <w:gridSpan w:val="2"/>
            <w:shd w:val="clear" w:color="auto" w:fill="DDE9F2"/>
          </w:tcPr>
          <w:p>
            <w:pPr>
              <w:jc w:val="right"/>
              <w:ind w:right="100"/>
              <w:spacing w:after="0"/>
              <w:rPr>
                <w:sz w:val="20"/>
                <w:szCs w:val="20"/>
                <w:color w:val="auto"/>
              </w:rPr>
            </w:pPr>
            <w:r>
              <w:rPr>
                <w:rFonts w:ascii="Arial" w:cs="Arial" w:eastAsia="Arial" w:hAnsi="Arial"/>
                <w:sz w:val="14"/>
                <w:szCs w:val="14"/>
                <w:color w:val="092E44"/>
              </w:rPr>
              <w:t>199,913</w:t>
            </w:r>
          </w:p>
        </w:tc>
      </w:tr>
      <w:tr>
        <w:trPr>
          <w:trHeight w:val="294"/>
        </w:trPr>
        <w:tc>
          <w:tcPr>
            <w:tcW w:w="3360" w:type="dxa"/>
            <w:vAlign w:val="bottom"/>
            <w:shd w:val="clear" w:color="auto" w:fill="DDE9F2"/>
          </w:tcPr>
          <w:p>
            <w:pPr>
              <w:spacing w:after="0"/>
              <w:rPr>
                <w:sz w:val="24"/>
                <w:szCs w:val="24"/>
                <w:color w:val="auto"/>
              </w:rPr>
            </w:pPr>
          </w:p>
        </w:tc>
        <w:tc>
          <w:tcPr>
            <w:tcW w:w="820" w:type="dxa"/>
            <w:vAlign w:val="bottom"/>
            <w:shd w:val="clear" w:color="auto" w:fill="DDE9F2"/>
          </w:tcPr>
          <w:p>
            <w:pPr>
              <w:jc w:val="right"/>
              <w:spacing w:after="0"/>
              <w:rPr>
                <w:sz w:val="20"/>
                <w:szCs w:val="20"/>
                <w:color w:val="auto"/>
              </w:rPr>
            </w:pPr>
            <w:r>
              <w:rPr>
                <w:rFonts w:ascii="Arial" w:cs="Arial" w:eastAsia="Arial" w:hAnsi="Arial"/>
                <w:sz w:val="14"/>
                <w:szCs w:val="14"/>
                <w:color w:val="092E44"/>
              </w:rPr>
              <w:t>11/15/19</w:t>
            </w:r>
          </w:p>
        </w:tc>
        <w:tc>
          <w:tcPr>
            <w:tcW w:w="180" w:type="dxa"/>
            <w:vAlign w:val="bottom"/>
            <w:shd w:val="clear" w:color="auto" w:fill="DDE9F2"/>
          </w:tcPr>
          <w:p>
            <w:pPr>
              <w:spacing w:after="0"/>
              <w:rPr>
                <w:sz w:val="24"/>
                <w:szCs w:val="24"/>
                <w:color w:val="auto"/>
              </w:rPr>
            </w:pPr>
          </w:p>
        </w:tc>
        <w:tc>
          <w:tcPr>
            <w:tcW w:w="860" w:type="dxa"/>
            <w:vAlign w:val="bottom"/>
            <w:shd w:val="clear" w:color="auto" w:fill="DDE9F2"/>
          </w:tcPr>
          <w:p>
            <w:pPr>
              <w:jc w:val="right"/>
              <w:ind w:right="52"/>
              <w:spacing w:after="0"/>
              <w:rPr>
                <w:sz w:val="20"/>
                <w:szCs w:val="20"/>
                <w:color w:val="auto"/>
              </w:rPr>
            </w:pPr>
            <w:r>
              <w:rPr>
                <w:rFonts w:ascii="Arial" w:cs="Arial" w:eastAsia="Arial" w:hAnsi="Arial"/>
                <w:sz w:val="14"/>
                <w:szCs w:val="14"/>
                <w:color w:val="092E44"/>
              </w:rPr>
              <w:t>—</w:t>
            </w:r>
          </w:p>
        </w:tc>
        <w:tc>
          <w:tcPr>
            <w:tcW w:w="780" w:type="dxa"/>
            <w:vAlign w:val="bottom"/>
            <w:shd w:val="clear" w:color="auto" w:fill="DDE9F2"/>
          </w:tcPr>
          <w:p>
            <w:pPr>
              <w:jc w:val="right"/>
              <w:ind w:right="110"/>
              <w:spacing w:after="0"/>
              <w:rPr>
                <w:sz w:val="20"/>
                <w:szCs w:val="20"/>
                <w:color w:val="auto"/>
              </w:rPr>
            </w:pPr>
            <w:r>
              <w:rPr>
                <w:rFonts w:ascii="Arial" w:cs="Arial" w:eastAsia="Arial" w:hAnsi="Arial"/>
                <w:sz w:val="14"/>
                <w:szCs w:val="14"/>
                <w:color w:val="092E44"/>
              </w:rPr>
              <w:t>—</w:t>
            </w:r>
          </w:p>
        </w:tc>
        <w:tc>
          <w:tcPr>
            <w:tcW w:w="860" w:type="dxa"/>
            <w:vAlign w:val="bottom"/>
            <w:gridSpan w:val="2"/>
            <w:shd w:val="clear" w:color="auto" w:fill="DDE9F2"/>
          </w:tcPr>
          <w:p>
            <w:pPr>
              <w:jc w:val="right"/>
              <w:ind w:right="220"/>
              <w:spacing w:after="0"/>
              <w:rPr>
                <w:sz w:val="20"/>
                <w:szCs w:val="20"/>
                <w:color w:val="auto"/>
              </w:rPr>
            </w:pPr>
            <w:r>
              <w:rPr>
                <w:rFonts w:ascii="Arial" w:cs="Arial" w:eastAsia="Arial" w:hAnsi="Arial"/>
                <w:sz w:val="14"/>
                <w:szCs w:val="14"/>
                <w:color w:val="092E44"/>
              </w:rPr>
              <w:t>—</w:t>
            </w:r>
          </w:p>
        </w:tc>
        <w:tc>
          <w:tcPr>
            <w:tcW w:w="940" w:type="dxa"/>
            <w:vAlign w:val="bottom"/>
            <w:shd w:val="clear" w:color="auto" w:fill="DDE9F2"/>
          </w:tcPr>
          <w:p>
            <w:pPr>
              <w:jc w:val="right"/>
              <w:ind w:right="51"/>
              <w:spacing w:after="0"/>
              <w:rPr>
                <w:sz w:val="20"/>
                <w:szCs w:val="20"/>
                <w:color w:val="auto"/>
              </w:rPr>
            </w:pPr>
            <w:r>
              <w:rPr>
                <w:rFonts w:ascii="Arial" w:cs="Arial" w:eastAsia="Arial" w:hAnsi="Arial"/>
                <w:sz w:val="14"/>
                <w:szCs w:val="14"/>
                <w:color w:val="092E44"/>
              </w:rPr>
              <w:t>375</w:t>
            </w:r>
          </w:p>
        </w:tc>
        <w:tc>
          <w:tcPr>
            <w:tcW w:w="960" w:type="dxa"/>
            <w:vAlign w:val="bottom"/>
            <w:shd w:val="clear" w:color="auto" w:fill="DDE9F2"/>
          </w:tcPr>
          <w:p>
            <w:pPr>
              <w:jc w:val="right"/>
              <w:ind w:right="52"/>
              <w:spacing w:after="0"/>
              <w:rPr>
                <w:sz w:val="20"/>
                <w:szCs w:val="20"/>
                <w:color w:val="auto"/>
              </w:rPr>
            </w:pPr>
            <w:r>
              <w:rPr>
                <w:rFonts w:ascii="Arial" w:cs="Arial" w:eastAsia="Arial" w:hAnsi="Arial"/>
                <w:sz w:val="14"/>
                <w:szCs w:val="14"/>
                <w:color w:val="092E44"/>
              </w:rPr>
              <w:t>24,881</w:t>
            </w:r>
          </w:p>
        </w:tc>
        <w:tc>
          <w:tcPr>
            <w:tcW w:w="1080" w:type="dxa"/>
            <w:vAlign w:val="bottom"/>
            <w:shd w:val="clear" w:color="auto" w:fill="DDE9F2"/>
          </w:tcPr>
          <w:p>
            <w:pPr>
              <w:jc w:val="right"/>
              <w:spacing w:after="0"/>
              <w:rPr>
                <w:sz w:val="20"/>
                <w:szCs w:val="20"/>
                <w:color w:val="auto"/>
              </w:rPr>
            </w:pPr>
            <w:r>
              <w:rPr>
                <w:rFonts w:ascii="Arial" w:cs="Arial" w:eastAsia="Arial" w:hAnsi="Arial"/>
                <w:sz w:val="14"/>
                <w:szCs w:val="14"/>
                <w:color w:val="092E44"/>
              </w:rPr>
              <w:t>—</w:t>
            </w:r>
          </w:p>
        </w:tc>
        <w:tc>
          <w:tcPr>
            <w:tcW w:w="1080" w:type="dxa"/>
            <w:vAlign w:val="bottom"/>
            <w:gridSpan w:val="2"/>
            <w:shd w:val="clear" w:color="auto" w:fill="DDE9F2"/>
          </w:tcPr>
          <w:p>
            <w:pPr>
              <w:jc w:val="right"/>
              <w:ind w:right="100"/>
              <w:spacing w:after="0"/>
              <w:rPr>
                <w:sz w:val="20"/>
                <w:szCs w:val="20"/>
                <w:color w:val="auto"/>
              </w:rPr>
            </w:pPr>
            <w:r>
              <w:rPr>
                <w:rFonts w:ascii="Arial" w:cs="Arial" w:eastAsia="Arial" w:hAnsi="Arial"/>
                <w:sz w:val="14"/>
                <w:szCs w:val="14"/>
                <w:color w:val="092E44"/>
              </w:rPr>
              <w:t>—</w:t>
            </w:r>
          </w:p>
        </w:tc>
      </w:tr>
      <w:tr>
        <w:trPr>
          <w:trHeight w:val="294"/>
        </w:trPr>
        <w:tc>
          <w:tcPr>
            <w:tcW w:w="3360" w:type="dxa"/>
            <w:vAlign w:val="bottom"/>
            <w:shd w:val="clear" w:color="auto" w:fill="DDE9F2"/>
          </w:tcPr>
          <w:p>
            <w:pPr>
              <w:spacing w:after="0"/>
              <w:rPr>
                <w:sz w:val="24"/>
                <w:szCs w:val="24"/>
                <w:color w:val="auto"/>
              </w:rPr>
            </w:pPr>
          </w:p>
        </w:tc>
        <w:tc>
          <w:tcPr>
            <w:tcW w:w="820" w:type="dxa"/>
            <w:vAlign w:val="bottom"/>
            <w:shd w:val="clear" w:color="auto" w:fill="DDE9F2"/>
          </w:tcPr>
          <w:p>
            <w:pPr>
              <w:jc w:val="right"/>
              <w:spacing w:after="0"/>
              <w:rPr>
                <w:sz w:val="20"/>
                <w:szCs w:val="20"/>
                <w:color w:val="auto"/>
              </w:rPr>
            </w:pPr>
            <w:r>
              <w:rPr>
                <w:rFonts w:ascii="Arial" w:cs="Arial" w:eastAsia="Arial" w:hAnsi="Arial"/>
                <w:sz w:val="14"/>
                <w:szCs w:val="14"/>
                <w:color w:val="092E44"/>
              </w:rPr>
              <w:t>05/22/20</w:t>
            </w:r>
          </w:p>
        </w:tc>
        <w:tc>
          <w:tcPr>
            <w:tcW w:w="180" w:type="dxa"/>
            <w:vAlign w:val="bottom"/>
            <w:shd w:val="clear" w:color="auto" w:fill="DDE9F2"/>
          </w:tcPr>
          <w:p>
            <w:pPr>
              <w:spacing w:after="0"/>
              <w:rPr>
                <w:sz w:val="24"/>
                <w:szCs w:val="24"/>
                <w:color w:val="auto"/>
              </w:rPr>
            </w:pPr>
          </w:p>
        </w:tc>
        <w:tc>
          <w:tcPr>
            <w:tcW w:w="860" w:type="dxa"/>
            <w:vAlign w:val="bottom"/>
            <w:shd w:val="clear" w:color="auto" w:fill="DDE9F2"/>
          </w:tcPr>
          <w:p>
            <w:pPr>
              <w:jc w:val="right"/>
              <w:ind w:right="52"/>
              <w:spacing w:after="0"/>
              <w:rPr>
                <w:sz w:val="20"/>
                <w:szCs w:val="20"/>
                <w:color w:val="auto"/>
              </w:rPr>
            </w:pPr>
            <w:r>
              <w:rPr>
                <w:rFonts w:ascii="Arial" w:cs="Arial" w:eastAsia="Arial" w:hAnsi="Arial"/>
                <w:sz w:val="14"/>
                <w:szCs w:val="14"/>
                <w:color w:val="092E44"/>
              </w:rPr>
              <w:t>—</w:t>
            </w:r>
          </w:p>
        </w:tc>
        <w:tc>
          <w:tcPr>
            <w:tcW w:w="780" w:type="dxa"/>
            <w:vAlign w:val="bottom"/>
            <w:shd w:val="clear" w:color="auto" w:fill="DDE9F2"/>
          </w:tcPr>
          <w:p>
            <w:pPr>
              <w:jc w:val="right"/>
              <w:ind w:right="110"/>
              <w:spacing w:after="0"/>
              <w:rPr>
                <w:sz w:val="20"/>
                <w:szCs w:val="20"/>
                <w:color w:val="auto"/>
              </w:rPr>
            </w:pPr>
            <w:r>
              <w:rPr>
                <w:rFonts w:ascii="Arial" w:cs="Arial" w:eastAsia="Arial" w:hAnsi="Arial"/>
                <w:sz w:val="14"/>
                <w:szCs w:val="14"/>
                <w:color w:val="092E44"/>
              </w:rPr>
              <w:t>—</w:t>
            </w:r>
          </w:p>
        </w:tc>
        <w:tc>
          <w:tcPr>
            <w:tcW w:w="860" w:type="dxa"/>
            <w:vAlign w:val="bottom"/>
            <w:gridSpan w:val="2"/>
            <w:shd w:val="clear" w:color="auto" w:fill="DDE9F2"/>
          </w:tcPr>
          <w:p>
            <w:pPr>
              <w:jc w:val="right"/>
              <w:ind w:right="220"/>
              <w:spacing w:after="0"/>
              <w:rPr>
                <w:sz w:val="20"/>
                <w:szCs w:val="20"/>
                <w:color w:val="auto"/>
              </w:rPr>
            </w:pPr>
            <w:r>
              <w:rPr>
                <w:rFonts w:ascii="Arial" w:cs="Arial" w:eastAsia="Arial" w:hAnsi="Arial"/>
                <w:sz w:val="14"/>
                <w:szCs w:val="14"/>
                <w:color w:val="092E44"/>
              </w:rPr>
              <w:t>—</w:t>
            </w:r>
          </w:p>
        </w:tc>
        <w:tc>
          <w:tcPr>
            <w:tcW w:w="940" w:type="dxa"/>
            <w:vAlign w:val="bottom"/>
            <w:shd w:val="clear" w:color="auto" w:fill="DDE9F2"/>
          </w:tcPr>
          <w:p>
            <w:pPr>
              <w:jc w:val="right"/>
              <w:ind w:right="51"/>
              <w:spacing w:after="0"/>
              <w:rPr>
                <w:sz w:val="20"/>
                <w:szCs w:val="20"/>
                <w:color w:val="auto"/>
              </w:rPr>
            </w:pPr>
            <w:r>
              <w:rPr>
                <w:rFonts w:ascii="Arial" w:cs="Arial" w:eastAsia="Arial" w:hAnsi="Arial"/>
                <w:sz w:val="14"/>
                <w:szCs w:val="14"/>
                <w:color w:val="092E44"/>
              </w:rPr>
              <w:t>11,987</w:t>
            </w:r>
          </w:p>
        </w:tc>
        <w:tc>
          <w:tcPr>
            <w:tcW w:w="960" w:type="dxa"/>
            <w:vAlign w:val="bottom"/>
            <w:shd w:val="clear" w:color="auto" w:fill="DDE9F2"/>
          </w:tcPr>
          <w:p>
            <w:pPr>
              <w:jc w:val="right"/>
              <w:ind w:right="52"/>
              <w:spacing w:after="0"/>
              <w:rPr>
                <w:sz w:val="20"/>
                <w:szCs w:val="20"/>
                <w:color w:val="auto"/>
              </w:rPr>
            </w:pPr>
            <w:r>
              <w:rPr>
                <w:rFonts w:ascii="Arial" w:cs="Arial" w:eastAsia="Arial" w:hAnsi="Arial"/>
                <w:sz w:val="14"/>
                <w:szCs w:val="14"/>
                <w:color w:val="092E44"/>
              </w:rPr>
              <w:t>795,337</w:t>
            </w:r>
          </w:p>
        </w:tc>
        <w:tc>
          <w:tcPr>
            <w:tcW w:w="1080" w:type="dxa"/>
            <w:vAlign w:val="bottom"/>
            <w:shd w:val="clear" w:color="auto" w:fill="DDE9F2"/>
          </w:tcPr>
          <w:p>
            <w:pPr>
              <w:jc w:val="right"/>
              <w:spacing w:after="0"/>
              <w:rPr>
                <w:sz w:val="20"/>
                <w:szCs w:val="20"/>
                <w:color w:val="auto"/>
              </w:rPr>
            </w:pPr>
            <w:r>
              <w:rPr>
                <w:rFonts w:ascii="Arial" w:cs="Arial" w:eastAsia="Arial" w:hAnsi="Arial"/>
                <w:sz w:val="14"/>
                <w:szCs w:val="14"/>
                <w:color w:val="092E44"/>
              </w:rPr>
              <w:t>19,178</w:t>
            </w:r>
          </w:p>
        </w:tc>
        <w:tc>
          <w:tcPr>
            <w:tcW w:w="1080" w:type="dxa"/>
            <w:vAlign w:val="bottom"/>
            <w:gridSpan w:val="2"/>
            <w:shd w:val="clear" w:color="auto" w:fill="DDE9F2"/>
          </w:tcPr>
          <w:p>
            <w:pPr>
              <w:jc w:val="right"/>
              <w:ind w:right="100"/>
              <w:spacing w:after="0"/>
              <w:rPr>
                <w:sz w:val="20"/>
                <w:szCs w:val="20"/>
                <w:color w:val="auto"/>
              </w:rPr>
            </w:pPr>
            <w:r>
              <w:rPr>
                <w:rFonts w:ascii="Arial" w:cs="Arial" w:eastAsia="Arial" w:hAnsi="Arial"/>
                <w:sz w:val="14"/>
                <w:szCs w:val="14"/>
                <w:color w:val="092E44"/>
              </w:rPr>
              <w:t>1,272,460</w:t>
            </w:r>
          </w:p>
        </w:tc>
      </w:tr>
      <w:tr>
        <w:trPr>
          <w:trHeight w:val="322"/>
        </w:trPr>
        <w:tc>
          <w:tcPr>
            <w:tcW w:w="3360" w:type="dxa"/>
            <w:vAlign w:val="bottom"/>
            <w:tcBorders>
              <w:bottom w:val="single" w:sz="8" w:color="DDE9F2"/>
            </w:tcBorders>
            <w:shd w:val="clear" w:color="auto" w:fill="DDE9F2"/>
          </w:tcPr>
          <w:p>
            <w:pPr>
              <w:spacing w:after="0"/>
              <w:rPr>
                <w:sz w:val="24"/>
                <w:szCs w:val="24"/>
                <w:color w:val="auto"/>
              </w:rPr>
            </w:pPr>
          </w:p>
        </w:tc>
        <w:tc>
          <w:tcPr>
            <w:tcW w:w="820" w:type="dxa"/>
            <w:vAlign w:val="bottom"/>
            <w:tcBorders>
              <w:bottom w:val="single" w:sz="8" w:color="DDE9F2"/>
            </w:tcBorders>
            <w:shd w:val="clear" w:color="auto" w:fill="DDE9F2"/>
          </w:tcPr>
          <w:p>
            <w:pPr>
              <w:jc w:val="right"/>
              <w:spacing w:after="0"/>
              <w:rPr>
                <w:sz w:val="20"/>
                <w:szCs w:val="20"/>
                <w:color w:val="auto"/>
              </w:rPr>
            </w:pPr>
            <w:r>
              <w:rPr>
                <w:rFonts w:ascii="Arial" w:cs="Arial" w:eastAsia="Arial" w:hAnsi="Arial"/>
                <w:sz w:val="14"/>
                <w:szCs w:val="14"/>
                <w:color w:val="092E44"/>
              </w:rPr>
              <w:t>05/17/21</w:t>
            </w:r>
          </w:p>
        </w:tc>
        <w:tc>
          <w:tcPr>
            <w:tcW w:w="180" w:type="dxa"/>
            <w:vAlign w:val="bottom"/>
            <w:tcBorders>
              <w:bottom w:val="single" w:sz="8" w:color="DDE9F2"/>
            </w:tcBorders>
            <w:shd w:val="clear" w:color="auto" w:fill="DDE9F2"/>
          </w:tcPr>
          <w:p>
            <w:pPr>
              <w:spacing w:after="0"/>
              <w:rPr>
                <w:sz w:val="24"/>
                <w:szCs w:val="24"/>
                <w:color w:val="auto"/>
              </w:rPr>
            </w:pPr>
          </w:p>
        </w:tc>
        <w:tc>
          <w:tcPr>
            <w:tcW w:w="860" w:type="dxa"/>
            <w:vAlign w:val="bottom"/>
            <w:tcBorders>
              <w:bottom w:val="single" w:sz="8" w:color="DDE9F2"/>
            </w:tcBorders>
            <w:shd w:val="clear" w:color="auto" w:fill="DDE9F2"/>
          </w:tcPr>
          <w:p>
            <w:pPr>
              <w:jc w:val="right"/>
              <w:ind w:right="52"/>
              <w:spacing w:after="0"/>
              <w:rPr>
                <w:sz w:val="20"/>
                <w:szCs w:val="20"/>
                <w:color w:val="auto"/>
              </w:rPr>
            </w:pPr>
            <w:r>
              <w:rPr>
                <w:rFonts w:ascii="Arial" w:cs="Arial" w:eastAsia="Arial" w:hAnsi="Arial"/>
                <w:sz w:val="14"/>
                <w:szCs w:val="14"/>
                <w:color w:val="092E44"/>
              </w:rPr>
              <w:t>—</w:t>
            </w:r>
          </w:p>
        </w:tc>
        <w:tc>
          <w:tcPr>
            <w:tcW w:w="780" w:type="dxa"/>
            <w:vAlign w:val="bottom"/>
            <w:tcBorders>
              <w:bottom w:val="single" w:sz="8" w:color="DDE9F2"/>
            </w:tcBorders>
            <w:shd w:val="clear" w:color="auto" w:fill="DDE9F2"/>
          </w:tcPr>
          <w:p>
            <w:pPr>
              <w:jc w:val="right"/>
              <w:ind w:right="110"/>
              <w:spacing w:after="0"/>
              <w:rPr>
                <w:sz w:val="20"/>
                <w:szCs w:val="20"/>
                <w:color w:val="auto"/>
              </w:rPr>
            </w:pPr>
            <w:r>
              <w:rPr>
                <w:rFonts w:ascii="Arial" w:cs="Arial" w:eastAsia="Arial" w:hAnsi="Arial"/>
                <w:sz w:val="14"/>
                <w:szCs w:val="14"/>
                <w:color w:val="092E44"/>
              </w:rPr>
              <w:t>—</w:t>
            </w:r>
          </w:p>
        </w:tc>
        <w:tc>
          <w:tcPr>
            <w:tcW w:w="860" w:type="dxa"/>
            <w:vAlign w:val="bottom"/>
            <w:tcBorders>
              <w:bottom w:val="single" w:sz="8" w:color="DDE9F2"/>
            </w:tcBorders>
            <w:gridSpan w:val="2"/>
            <w:shd w:val="clear" w:color="auto" w:fill="DDE9F2"/>
          </w:tcPr>
          <w:p>
            <w:pPr>
              <w:jc w:val="right"/>
              <w:ind w:right="220"/>
              <w:spacing w:after="0"/>
              <w:rPr>
                <w:sz w:val="20"/>
                <w:szCs w:val="20"/>
                <w:color w:val="auto"/>
              </w:rPr>
            </w:pPr>
            <w:r>
              <w:rPr>
                <w:rFonts w:ascii="Arial" w:cs="Arial" w:eastAsia="Arial" w:hAnsi="Arial"/>
                <w:sz w:val="14"/>
                <w:szCs w:val="14"/>
                <w:color w:val="092E44"/>
              </w:rPr>
              <w:t>—</w:t>
            </w:r>
          </w:p>
        </w:tc>
        <w:tc>
          <w:tcPr>
            <w:tcW w:w="940" w:type="dxa"/>
            <w:vAlign w:val="bottom"/>
            <w:tcBorders>
              <w:bottom w:val="single" w:sz="8" w:color="DDE9F2"/>
            </w:tcBorders>
            <w:shd w:val="clear" w:color="auto" w:fill="DDE9F2"/>
          </w:tcPr>
          <w:p>
            <w:pPr>
              <w:jc w:val="right"/>
              <w:ind w:right="51"/>
              <w:spacing w:after="0"/>
              <w:rPr>
                <w:sz w:val="20"/>
                <w:szCs w:val="20"/>
                <w:color w:val="auto"/>
              </w:rPr>
            </w:pPr>
            <w:r>
              <w:rPr>
                <w:rFonts w:ascii="Arial" w:cs="Arial" w:eastAsia="Arial" w:hAnsi="Arial"/>
                <w:sz w:val="14"/>
                <w:szCs w:val="14"/>
                <w:color w:val="092E44"/>
              </w:rPr>
              <w:t>26,335</w:t>
            </w:r>
          </w:p>
        </w:tc>
        <w:tc>
          <w:tcPr>
            <w:tcW w:w="960" w:type="dxa"/>
            <w:vAlign w:val="bottom"/>
            <w:tcBorders>
              <w:bottom w:val="single" w:sz="8" w:color="DDE9F2"/>
            </w:tcBorders>
            <w:shd w:val="clear" w:color="auto" w:fill="DDE9F2"/>
          </w:tcPr>
          <w:p>
            <w:pPr>
              <w:jc w:val="right"/>
              <w:ind w:right="52"/>
              <w:spacing w:after="0"/>
              <w:rPr>
                <w:sz w:val="20"/>
                <w:szCs w:val="20"/>
                <w:color w:val="auto"/>
              </w:rPr>
            </w:pPr>
            <w:r>
              <w:rPr>
                <w:rFonts w:ascii="Arial" w:cs="Arial" w:eastAsia="Arial" w:hAnsi="Arial"/>
                <w:sz w:val="14"/>
                <w:szCs w:val="14"/>
                <w:color w:val="092E44"/>
              </w:rPr>
              <w:t>1,747,327</w:t>
            </w:r>
          </w:p>
        </w:tc>
        <w:tc>
          <w:tcPr>
            <w:tcW w:w="1080" w:type="dxa"/>
            <w:vAlign w:val="bottom"/>
            <w:tcBorders>
              <w:bottom w:val="single" w:sz="8" w:color="DDE9F2"/>
            </w:tcBorders>
            <w:shd w:val="clear" w:color="auto" w:fill="DDE9F2"/>
          </w:tcPr>
          <w:p>
            <w:pPr>
              <w:jc w:val="right"/>
              <w:spacing w:after="0"/>
              <w:rPr>
                <w:sz w:val="20"/>
                <w:szCs w:val="20"/>
                <w:color w:val="auto"/>
              </w:rPr>
            </w:pPr>
            <w:r>
              <w:rPr>
                <w:rFonts w:ascii="Arial" w:cs="Arial" w:eastAsia="Arial" w:hAnsi="Arial"/>
                <w:sz w:val="14"/>
                <w:szCs w:val="14"/>
                <w:color w:val="092E44"/>
              </w:rPr>
              <w:t>7,524</w:t>
            </w:r>
          </w:p>
        </w:tc>
        <w:tc>
          <w:tcPr>
            <w:tcW w:w="1080" w:type="dxa"/>
            <w:vAlign w:val="bottom"/>
            <w:tcBorders>
              <w:bottom w:val="single" w:sz="8" w:color="DDE9F2"/>
            </w:tcBorders>
            <w:gridSpan w:val="2"/>
            <w:shd w:val="clear" w:color="auto" w:fill="DDE9F2"/>
          </w:tcPr>
          <w:p>
            <w:pPr>
              <w:jc w:val="right"/>
              <w:ind w:right="100"/>
              <w:spacing w:after="0"/>
              <w:rPr>
                <w:sz w:val="20"/>
                <w:szCs w:val="20"/>
                <w:color w:val="auto"/>
              </w:rPr>
            </w:pPr>
            <w:r>
              <w:rPr>
                <w:rFonts w:ascii="Arial" w:cs="Arial" w:eastAsia="Arial" w:hAnsi="Arial"/>
                <w:sz w:val="14"/>
                <w:szCs w:val="14"/>
                <w:color w:val="092E44"/>
              </w:rPr>
              <w:t>499,217</w:t>
            </w:r>
          </w:p>
        </w:tc>
      </w:tr>
      <w:tr>
        <w:trPr>
          <w:trHeight w:val="253"/>
        </w:trPr>
        <w:tc>
          <w:tcPr>
            <w:tcW w:w="3360" w:type="dxa"/>
            <w:vAlign w:val="bottom"/>
          </w:tcPr>
          <w:p>
            <w:pPr>
              <w:ind w:left="80"/>
              <w:spacing w:after="0"/>
              <w:rPr>
                <w:sz w:val="20"/>
                <w:szCs w:val="20"/>
                <w:color w:val="auto"/>
              </w:rPr>
            </w:pPr>
            <w:r>
              <w:rPr>
                <w:rFonts w:ascii="Arial" w:cs="Arial" w:eastAsia="Arial" w:hAnsi="Arial"/>
                <w:sz w:val="14"/>
                <w:szCs w:val="14"/>
                <w:b w:val="1"/>
                <w:bCs w:val="1"/>
                <w:color w:val="092E44"/>
              </w:rPr>
              <w:t>Riccardo Di Blasio</w:t>
            </w:r>
          </w:p>
        </w:tc>
        <w:tc>
          <w:tcPr>
            <w:tcW w:w="820" w:type="dxa"/>
            <w:vAlign w:val="bottom"/>
          </w:tcPr>
          <w:p>
            <w:pPr>
              <w:jc w:val="right"/>
              <w:spacing w:after="0"/>
              <w:rPr>
                <w:sz w:val="20"/>
                <w:szCs w:val="20"/>
                <w:color w:val="auto"/>
              </w:rPr>
            </w:pPr>
            <w:r>
              <w:rPr>
                <w:rFonts w:ascii="Arial" w:cs="Arial" w:eastAsia="Arial" w:hAnsi="Arial"/>
                <w:sz w:val="14"/>
                <w:szCs w:val="14"/>
                <w:color w:val="092E44"/>
              </w:rPr>
              <w:t>05/15/19</w:t>
            </w:r>
          </w:p>
        </w:tc>
        <w:tc>
          <w:tcPr>
            <w:tcW w:w="18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092E44"/>
              </w:rPr>
              <w:t>—</w:t>
            </w:r>
          </w:p>
        </w:tc>
        <w:tc>
          <w:tcPr>
            <w:tcW w:w="780" w:type="dxa"/>
            <w:vAlign w:val="bottom"/>
          </w:tcPr>
          <w:p>
            <w:pPr>
              <w:jc w:val="right"/>
              <w:ind w:right="110"/>
              <w:spacing w:after="0"/>
              <w:rPr>
                <w:sz w:val="20"/>
                <w:szCs w:val="20"/>
                <w:color w:val="auto"/>
              </w:rPr>
            </w:pPr>
            <w:r>
              <w:rPr>
                <w:rFonts w:ascii="Arial" w:cs="Arial" w:eastAsia="Arial" w:hAnsi="Arial"/>
                <w:sz w:val="14"/>
                <w:szCs w:val="14"/>
                <w:color w:val="092E44"/>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092E44"/>
              </w:rPr>
              <w:t>—</w:t>
            </w:r>
          </w:p>
        </w:tc>
        <w:tc>
          <w:tcPr>
            <w:tcW w:w="940" w:type="dxa"/>
            <w:vAlign w:val="bottom"/>
          </w:tcPr>
          <w:p>
            <w:pPr>
              <w:jc w:val="right"/>
              <w:ind w:right="51"/>
              <w:spacing w:after="0"/>
              <w:rPr>
                <w:sz w:val="20"/>
                <w:szCs w:val="20"/>
                <w:color w:val="auto"/>
              </w:rPr>
            </w:pPr>
            <w:r>
              <w:rPr>
                <w:rFonts w:ascii="Arial" w:cs="Arial" w:eastAsia="Arial" w:hAnsi="Arial"/>
                <w:sz w:val="14"/>
                <w:szCs w:val="14"/>
                <w:color w:val="092E44"/>
              </w:rPr>
              <w:t>1,047</w:t>
            </w:r>
          </w:p>
        </w:tc>
        <w:tc>
          <w:tcPr>
            <w:tcW w:w="960" w:type="dxa"/>
            <w:vAlign w:val="bottom"/>
          </w:tcPr>
          <w:p>
            <w:pPr>
              <w:jc w:val="right"/>
              <w:ind w:right="52"/>
              <w:spacing w:after="0"/>
              <w:rPr>
                <w:sz w:val="20"/>
                <w:szCs w:val="20"/>
                <w:color w:val="auto"/>
              </w:rPr>
            </w:pPr>
            <w:r>
              <w:rPr>
                <w:rFonts w:ascii="Arial" w:cs="Arial" w:eastAsia="Arial" w:hAnsi="Arial"/>
                <w:sz w:val="14"/>
                <w:szCs w:val="14"/>
                <w:color w:val="092E44"/>
              </w:rPr>
              <w:t>69,468</w:t>
            </w:r>
          </w:p>
        </w:tc>
        <w:tc>
          <w:tcPr>
            <w:tcW w:w="1080" w:type="dxa"/>
            <w:vAlign w:val="bottom"/>
          </w:tcPr>
          <w:p>
            <w:pPr>
              <w:jc w:val="right"/>
              <w:spacing w:after="0"/>
              <w:rPr>
                <w:sz w:val="20"/>
                <w:szCs w:val="20"/>
                <w:color w:val="auto"/>
              </w:rPr>
            </w:pPr>
            <w:r>
              <w:rPr>
                <w:rFonts w:ascii="Arial" w:cs="Arial" w:eastAsia="Arial" w:hAnsi="Arial"/>
                <w:sz w:val="14"/>
                <w:szCs w:val="14"/>
                <w:color w:val="092E44"/>
              </w:rPr>
              <w:t>2,092</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092E44"/>
              </w:rPr>
              <w:t>138,804</w:t>
            </w:r>
          </w:p>
        </w:tc>
      </w:tr>
      <w:tr>
        <w:trPr>
          <w:trHeight w:val="288"/>
        </w:trPr>
        <w:tc>
          <w:tcPr>
            <w:tcW w:w="3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092E44"/>
              </w:rPr>
              <w:t>11/15/19</w:t>
            </w:r>
          </w:p>
        </w:tc>
        <w:tc>
          <w:tcPr>
            <w:tcW w:w="180" w:type="dxa"/>
            <w:vAlign w:val="bottom"/>
          </w:tcPr>
          <w:p>
            <w:pPr>
              <w:spacing w:after="0"/>
              <w:rPr>
                <w:sz w:val="24"/>
                <w:szCs w:val="24"/>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092E44"/>
              </w:rPr>
              <w:t>—</w:t>
            </w:r>
          </w:p>
        </w:tc>
        <w:tc>
          <w:tcPr>
            <w:tcW w:w="780" w:type="dxa"/>
            <w:vAlign w:val="bottom"/>
          </w:tcPr>
          <w:p>
            <w:pPr>
              <w:jc w:val="right"/>
              <w:ind w:right="110"/>
              <w:spacing w:after="0"/>
              <w:rPr>
                <w:sz w:val="20"/>
                <w:szCs w:val="20"/>
                <w:color w:val="auto"/>
              </w:rPr>
            </w:pPr>
            <w:r>
              <w:rPr>
                <w:rFonts w:ascii="Arial" w:cs="Arial" w:eastAsia="Arial" w:hAnsi="Arial"/>
                <w:sz w:val="14"/>
                <w:szCs w:val="14"/>
                <w:color w:val="092E44"/>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092E44"/>
              </w:rPr>
              <w:t>—</w:t>
            </w:r>
          </w:p>
        </w:tc>
        <w:tc>
          <w:tcPr>
            <w:tcW w:w="940" w:type="dxa"/>
            <w:vAlign w:val="bottom"/>
          </w:tcPr>
          <w:p>
            <w:pPr>
              <w:jc w:val="right"/>
              <w:ind w:right="51"/>
              <w:spacing w:after="0"/>
              <w:rPr>
                <w:sz w:val="20"/>
                <w:szCs w:val="20"/>
                <w:color w:val="auto"/>
              </w:rPr>
            </w:pPr>
            <w:r>
              <w:rPr>
                <w:rFonts w:ascii="Arial" w:cs="Arial" w:eastAsia="Arial" w:hAnsi="Arial"/>
                <w:sz w:val="14"/>
                <w:szCs w:val="14"/>
                <w:color w:val="092E44"/>
              </w:rPr>
              <w:t>261</w:t>
            </w:r>
          </w:p>
        </w:tc>
        <w:tc>
          <w:tcPr>
            <w:tcW w:w="960" w:type="dxa"/>
            <w:vAlign w:val="bottom"/>
          </w:tcPr>
          <w:p>
            <w:pPr>
              <w:jc w:val="right"/>
              <w:ind w:right="52"/>
              <w:spacing w:after="0"/>
              <w:rPr>
                <w:sz w:val="20"/>
                <w:szCs w:val="20"/>
                <w:color w:val="auto"/>
              </w:rPr>
            </w:pPr>
            <w:r>
              <w:rPr>
                <w:rFonts w:ascii="Arial" w:cs="Arial" w:eastAsia="Arial" w:hAnsi="Arial"/>
                <w:sz w:val="14"/>
                <w:szCs w:val="14"/>
                <w:color w:val="092E44"/>
              </w:rPr>
              <w:t>17,317</w:t>
            </w:r>
          </w:p>
        </w:tc>
        <w:tc>
          <w:tcPr>
            <w:tcW w:w="1080" w:type="dxa"/>
            <w:vAlign w:val="bottom"/>
          </w:tcPr>
          <w:p>
            <w:pPr>
              <w:jc w:val="right"/>
              <w:spacing w:after="0"/>
              <w:rPr>
                <w:sz w:val="20"/>
                <w:szCs w:val="20"/>
                <w:color w:val="auto"/>
              </w:rPr>
            </w:pPr>
            <w:r>
              <w:rPr>
                <w:rFonts w:ascii="Arial" w:cs="Arial" w:eastAsia="Arial" w:hAnsi="Arial"/>
                <w:sz w:val="14"/>
                <w:szCs w:val="14"/>
                <w:color w:val="092E44"/>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092E44"/>
              </w:rPr>
              <w:t>—</w:t>
            </w:r>
          </w:p>
        </w:tc>
      </w:tr>
      <w:tr>
        <w:trPr>
          <w:trHeight w:val="294"/>
        </w:trPr>
        <w:tc>
          <w:tcPr>
            <w:tcW w:w="3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092E44"/>
              </w:rPr>
              <w:t>05/22/20</w:t>
            </w:r>
          </w:p>
        </w:tc>
        <w:tc>
          <w:tcPr>
            <w:tcW w:w="180" w:type="dxa"/>
            <w:vAlign w:val="bottom"/>
          </w:tcPr>
          <w:p>
            <w:pPr>
              <w:spacing w:after="0"/>
              <w:rPr>
                <w:sz w:val="24"/>
                <w:szCs w:val="24"/>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092E44"/>
              </w:rPr>
              <w:t>—</w:t>
            </w:r>
          </w:p>
        </w:tc>
        <w:tc>
          <w:tcPr>
            <w:tcW w:w="780" w:type="dxa"/>
            <w:vAlign w:val="bottom"/>
          </w:tcPr>
          <w:p>
            <w:pPr>
              <w:jc w:val="right"/>
              <w:ind w:right="110"/>
              <w:spacing w:after="0"/>
              <w:rPr>
                <w:sz w:val="20"/>
                <w:szCs w:val="20"/>
                <w:color w:val="auto"/>
              </w:rPr>
            </w:pPr>
            <w:r>
              <w:rPr>
                <w:rFonts w:ascii="Arial" w:cs="Arial" w:eastAsia="Arial" w:hAnsi="Arial"/>
                <w:sz w:val="14"/>
                <w:szCs w:val="14"/>
                <w:color w:val="092E44"/>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092E44"/>
              </w:rPr>
              <w:t>—</w:t>
            </w:r>
          </w:p>
        </w:tc>
        <w:tc>
          <w:tcPr>
            <w:tcW w:w="940" w:type="dxa"/>
            <w:vAlign w:val="bottom"/>
          </w:tcPr>
          <w:p>
            <w:pPr>
              <w:jc w:val="right"/>
              <w:ind w:right="51"/>
              <w:spacing w:after="0"/>
              <w:rPr>
                <w:sz w:val="20"/>
                <w:szCs w:val="20"/>
                <w:color w:val="auto"/>
              </w:rPr>
            </w:pPr>
            <w:r>
              <w:rPr>
                <w:rFonts w:ascii="Arial" w:cs="Arial" w:eastAsia="Arial" w:hAnsi="Arial"/>
                <w:sz w:val="14"/>
                <w:szCs w:val="14"/>
                <w:color w:val="092E44"/>
              </w:rPr>
              <w:t>8,795</w:t>
            </w:r>
          </w:p>
        </w:tc>
        <w:tc>
          <w:tcPr>
            <w:tcW w:w="960" w:type="dxa"/>
            <w:vAlign w:val="bottom"/>
          </w:tcPr>
          <w:p>
            <w:pPr>
              <w:jc w:val="right"/>
              <w:ind w:right="52"/>
              <w:spacing w:after="0"/>
              <w:rPr>
                <w:sz w:val="20"/>
                <w:szCs w:val="20"/>
                <w:color w:val="auto"/>
              </w:rPr>
            </w:pPr>
            <w:r>
              <w:rPr>
                <w:rFonts w:ascii="Arial" w:cs="Arial" w:eastAsia="Arial" w:hAnsi="Arial"/>
                <w:sz w:val="14"/>
                <w:szCs w:val="14"/>
                <w:color w:val="092E44"/>
              </w:rPr>
              <w:t>583,548</w:t>
            </w:r>
          </w:p>
        </w:tc>
        <w:tc>
          <w:tcPr>
            <w:tcW w:w="1080" w:type="dxa"/>
            <w:vAlign w:val="bottom"/>
          </w:tcPr>
          <w:p>
            <w:pPr>
              <w:jc w:val="right"/>
              <w:spacing w:after="0"/>
              <w:rPr>
                <w:sz w:val="20"/>
                <w:szCs w:val="20"/>
                <w:color w:val="auto"/>
              </w:rPr>
            </w:pPr>
            <w:r>
              <w:rPr>
                <w:rFonts w:ascii="Arial" w:cs="Arial" w:eastAsia="Arial" w:hAnsi="Arial"/>
                <w:sz w:val="14"/>
                <w:szCs w:val="14"/>
                <w:color w:val="092E44"/>
              </w:rPr>
              <w:t>14,072</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092E44"/>
              </w:rPr>
              <w:t>933,677</w:t>
            </w:r>
          </w:p>
        </w:tc>
      </w:tr>
      <w:tr>
        <w:trPr>
          <w:trHeight w:val="294"/>
        </w:trPr>
        <w:tc>
          <w:tcPr>
            <w:tcW w:w="3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092E44"/>
              </w:rPr>
              <w:t>05/17/21</w:t>
            </w:r>
          </w:p>
        </w:tc>
        <w:tc>
          <w:tcPr>
            <w:tcW w:w="180" w:type="dxa"/>
            <w:vAlign w:val="bottom"/>
          </w:tcPr>
          <w:p>
            <w:pPr>
              <w:spacing w:after="0"/>
              <w:rPr>
                <w:sz w:val="24"/>
                <w:szCs w:val="24"/>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092E44"/>
              </w:rPr>
              <w:t>—</w:t>
            </w:r>
          </w:p>
        </w:tc>
        <w:tc>
          <w:tcPr>
            <w:tcW w:w="780" w:type="dxa"/>
            <w:vAlign w:val="bottom"/>
          </w:tcPr>
          <w:p>
            <w:pPr>
              <w:jc w:val="right"/>
              <w:ind w:right="110"/>
              <w:spacing w:after="0"/>
              <w:rPr>
                <w:sz w:val="20"/>
                <w:szCs w:val="20"/>
                <w:color w:val="auto"/>
              </w:rPr>
            </w:pPr>
            <w:r>
              <w:rPr>
                <w:rFonts w:ascii="Arial" w:cs="Arial" w:eastAsia="Arial" w:hAnsi="Arial"/>
                <w:sz w:val="14"/>
                <w:szCs w:val="14"/>
                <w:color w:val="092E44"/>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092E44"/>
              </w:rPr>
              <w:t>—</w:t>
            </w:r>
          </w:p>
        </w:tc>
        <w:tc>
          <w:tcPr>
            <w:tcW w:w="940" w:type="dxa"/>
            <w:vAlign w:val="bottom"/>
          </w:tcPr>
          <w:p>
            <w:pPr>
              <w:jc w:val="right"/>
              <w:ind w:right="51"/>
              <w:spacing w:after="0"/>
              <w:rPr>
                <w:sz w:val="20"/>
                <w:szCs w:val="20"/>
                <w:color w:val="auto"/>
              </w:rPr>
            </w:pPr>
            <w:r>
              <w:rPr>
                <w:rFonts w:ascii="Arial" w:cs="Arial" w:eastAsia="Arial" w:hAnsi="Arial"/>
                <w:sz w:val="14"/>
                <w:szCs w:val="14"/>
                <w:color w:val="092E44"/>
              </w:rPr>
              <w:t>32,945</w:t>
            </w:r>
          </w:p>
        </w:tc>
        <w:tc>
          <w:tcPr>
            <w:tcW w:w="960" w:type="dxa"/>
            <w:vAlign w:val="bottom"/>
          </w:tcPr>
          <w:p>
            <w:pPr>
              <w:jc w:val="right"/>
              <w:ind w:right="52"/>
              <w:spacing w:after="0"/>
              <w:rPr>
                <w:sz w:val="20"/>
                <w:szCs w:val="20"/>
                <w:color w:val="auto"/>
              </w:rPr>
            </w:pPr>
            <w:r>
              <w:rPr>
                <w:rFonts w:ascii="Arial" w:cs="Arial" w:eastAsia="Arial" w:hAnsi="Arial"/>
                <w:sz w:val="14"/>
                <w:szCs w:val="14"/>
                <w:color w:val="092E44"/>
              </w:rPr>
              <w:t>2,185,891</w:t>
            </w:r>
          </w:p>
        </w:tc>
        <w:tc>
          <w:tcPr>
            <w:tcW w:w="1080" w:type="dxa"/>
            <w:vAlign w:val="bottom"/>
          </w:tcPr>
          <w:p>
            <w:pPr>
              <w:jc w:val="right"/>
              <w:spacing w:after="0"/>
              <w:rPr>
                <w:sz w:val="20"/>
                <w:szCs w:val="20"/>
                <w:color w:val="auto"/>
              </w:rPr>
            </w:pPr>
            <w:r>
              <w:rPr>
                <w:rFonts w:ascii="Arial" w:cs="Arial" w:eastAsia="Arial" w:hAnsi="Arial"/>
                <w:sz w:val="14"/>
                <w:szCs w:val="14"/>
                <w:color w:val="092E44"/>
              </w:rPr>
              <w:t>9,406</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092E44"/>
              </w:rPr>
              <w:t>624,088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30480</wp:posOffset>
            </wp:positionV>
            <wp:extent cx="69297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0" w:lineRule="exact"/>
        <w:rPr>
          <w:sz w:val="20"/>
          <w:szCs w:val="20"/>
          <w:color w:val="auto"/>
        </w:rPr>
      </w:pPr>
    </w:p>
    <w:p>
      <w:pPr>
        <w:ind w:left="480" w:hanging="313"/>
        <w:spacing w:after="0"/>
        <w:tabs>
          <w:tab w:leader="none" w:pos="480" w:val="left"/>
        </w:tabs>
        <w:numPr>
          <w:ilvl w:val="0"/>
          <w:numId w:val="21"/>
        </w:numPr>
        <w:rPr>
          <w:rFonts w:ascii="Arial" w:cs="Arial" w:eastAsia="Arial" w:hAnsi="Arial"/>
          <w:sz w:val="12"/>
          <w:szCs w:val="12"/>
          <w:color w:val="092E44"/>
        </w:rPr>
      </w:pPr>
      <w:r>
        <w:rPr>
          <w:rFonts w:ascii="Arial" w:cs="Arial" w:eastAsia="Arial" w:hAnsi="Arial"/>
          <w:sz w:val="12"/>
          <w:szCs w:val="12"/>
          <w:color w:val="092E44"/>
        </w:rPr>
        <w:t>Unless otherwise indicated, all restricted stock unit awards granted to our named executive officers vest over three years, with 33.3% vesting on the first anniversary of the grant date and</w:t>
      </w:r>
    </w:p>
    <w:p>
      <w:pPr>
        <w:spacing w:after="0" w:line="7" w:lineRule="exact"/>
        <w:rPr>
          <w:rFonts w:ascii="Arial" w:cs="Arial" w:eastAsia="Arial" w:hAnsi="Arial"/>
          <w:sz w:val="12"/>
          <w:szCs w:val="12"/>
          <w:color w:val="092E44"/>
        </w:rPr>
      </w:pPr>
    </w:p>
    <w:p>
      <w:pPr>
        <w:jc w:val="both"/>
        <w:ind w:left="480" w:right="300"/>
        <w:spacing w:after="0" w:line="232" w:lineRule="auto"/>
        <w:rPr>
          <w:rFonts w:ascii="Arial" w:cs="Arial" w:eastAsia="Arial" w:hAnsi="Arial"/>
          <w:sz w:val="12"/>
          <w:szCs w:val="12"/>
          <w:color w:val="092E44"/>
        </w:rPr>
      </w:pPr>
      <w:r>
        <w:rPr>
          <w:rFonts w:ascii="Arial" w:cs="Arial" w:eastAsia="Arial" w:hAnsi="Arial"/>
          <w:sz w:val="12"/>
          <w:szCs w:val="12"/>
          <w:color w:val="092E44"/>
        </w:rPr>
        <w:t>8.375% vesting quarterly thereafter, subject, in each case, to continued employment or service through the applicable vesting date. Financial performance awards follow the same vesting schedule, but at their respective achievement rates. Relative TSR-based awards vest equally on an annual basis over three years, subject to continued employment or service through the applicable vesting date. The vesting commencement date for all restricted stock unit awards and performance stock unit awards is the grant date.</w:t>
      </w:r>
    </w:p>
    <w:p>
      <w:pPr>
        <w:spacing w:after="0" w:line="1" w:lineRule="exact"/>
        <w:rPr>
          <w:rFonts w:ascii="Arial" w:cs="Arial" w:eastAsia="Arial" w:hAnsi="Arial"/>
          <w:sz w:val="12"/>
          <w:szCs w:val="12"/>
          <w:color w:val="092E44"/>
        </w:rPr>
      </w:pPr>
    </w:p>
    <w:p>
      <w:pPr>
        <w:ind w:left="480" w:right="100" w:hanging="313"/>
        <w:spacing w:after="0" w:line="232" w:lineRule="auto"/>
        <w:tabs>
          <w:tab w:leader="none" w:pos="480" w:val="left"/>
        </w:tabs>
        <w:numPr>
          <w:ilvl w:val="0"/>
          <w:numId w:val="21"/>
        </w:numPr>
        <w:rPr>
          <w:rFonts w:ascii="Arial" w:cs="Arial" w:eastAsia="Arial" w:hAnsi="Arial"/>
          <w:sz w:val="12"/>
          <w:szCs w:val="12"/>
          <w:color w:val="092E44"/>
        </w:rPr>
      </w:pPr>
      <w:r>
        <w:rPr>
          <w:rFonts w:ascii="Arial" w:cs="Arial" w:eastAsia="Arial" w:hAnsi="Arial"/>
          <w:sz w:val="12"/>
          <w:szCs w:val="12"/>
          <w:color w:val="092E44"/>
        </w:rPr>
        <w:t>Time-based awards include time-vesting restricted stock unit awards and financial performance stock unit awards at the rate achieved for the respective fiscal year. The May 2019 financial performance stock unit awards achieved at 0%, the November 2019 financial performance stock unit awards achieved at 46%, and the May 2021 financial performance stock unit awards achieved at 150%. There were no financial performance stock unit awards granted in fiscal 2021. The value is computed based on the number of achieved unvested shares multiplied by the closing market price of our common stock at the end of fiscal 2022. The actual value (if any) to be realized by the named executive officer depends on whether the shares vest and the future performance of our common stock. On March 31, 2022, the closing price of our common stock was $66.35 per share. See “Long-Term Equity Incentive Awards” above for more information on the plan and the related performance objectives.</w:t>
      </w:r>
    </w:p>
    <w:p>
      <w:pPr>
        <w:spacing w:after="0" w:line="2" w:lineRule="exact"/>
        <w:rPr>
          <w:rFonts w:ascii="Arial" w:cs="Arial" w:eastAsia="Arial" w:hAnsi="Arial"/>
          <w:sz w:val="12"/>
          <w:szCs w:val="12"/>
          <w:color w:val="092E44"/>
        </w:rPr>
      </w:pPr>
    </w:p>
    <w:p>
      <w:pPr>
        <w:ind w:left="480" w:right="100" w:hanging="313"/>
        <w:spacing w:after="0" w:line="239" w:lineRule="auto"/>
        <w:tabs>
          <w:tab w:leader="none" w:pos="480" w:val="left"/>
        </w:tabs>
        <w:numPr>
          <w:ilvl w:val="0"/>
          <w:numId w:val="21"/>
        </w:numPr>
        <w:rPr>
          <w:rFonts w:ascii="Arial" w:cs="Arial" w:eastAsia="Arial" w:hAnsi="Arial"/>
          <w:sz w:val="12"/>
          <w:szCs w:val="12"/>
          <w:color w:val="092E44"/>
        </w:rPr>
      </w:pPr>
      <w:r>
        <w:rPr>
          <w:rFonts w:ascii="Arial" w:cs="Arial" w:eastAsia="Arial" w:hAnsi="Arial"/>
          <w:sz w:val="12"/>
          <w:szCs w:val="12"/>
          <w:color w:val="092E44"/>
        </w:rPr>
        <w:t>Performance-based awards include Relative TSR performance stock unit awards at the March 31, 2022, payout rate based on Commvault’s TSR measured relative to the components of the Russell 3000 Index. The May 2019, May 2020, and May 2021 awards are calculated at an estimated 100% payout (target). The value is computed based on the number of achieved unvested shares multiplied by the closing market price of our common stock at the end of fiscal 2022. The actual value (if any) to be realized by the named executive officer depends on whether the shares vest and the future performance of our common stock. On March 31, 2022, the closing price of our common stock was $66.35 per share. See “Long-Term Equity Incentive Awards” above for more information on the plan and the related performance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238125</wp:posOffset>
            </wp:positionV>
            <wp:extent cx="220980" cy="2120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43</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80"/>
          </w:cols>
          <w:pgMar w:left="320" w:top="454"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COMPENSATION TABLES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FISCAL 2022 STOCK VESTED TABLE</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Fiscal 2022 Stock Vested Table</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The following table sets forth information on the number and value of restricted stock units vested during fiscal 2022 for our named executive officers.</w:t>
      </w:r>
    </w:p>
    <w:p>
      <w:pPr>
        <w:spacing w:after="0" w:line="24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6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60" w:type="dxa"/>
            <w:vAlign w:val="bottom"/>
            <w:tcBorders>
              <w:bottom w:val="single" w:sz="8" w:color="092E44"/>
            </w:tcBorders>
          </w:tcPr>
          <w:p>
            <w:pPr>
              <w:jc w:val="right"/>
              <w:spacing w:after="0"/>
              <w:rPr>
                <w:sz w:val="20"/>
                <w:szCs w:val="20"/>
                <w:color w:val="auto"/>
              </w:rPr>
            </w:pPr>
            <w:r>
              <w:rPr>
                <w:rFonts w:ascii="Arial" w:cs="Arial" w:eastAsia="Arial" w:hAnsi="Arial"/>
                <w:sz w:val="14"/>
                <w:szCs w:val="14"/>
                <w:color w:val="092E44"/>
              </w:rPr>
              <w:t>Stock Awards</w:t>
            </w:r>
          </w:p>
        </w:tc>
        <w:tc>
          <w:tcPr>
            <w:tcW w:w="1080" w:type="dxa"/>
            <w:vAlign w:val="bottom"/>
            <w:tcBorders>
              <w:bottom w:val="single" w:sz="8" w:color="092E44"/>
            </w:tcBorders>
          </w:tcPr>
          <w:p>
            <w:pPr>
              <w:spacing w:after="0"/>
              <w:rPr>
                <w:sz w:val="14"/>
                <w:szCs w:val="14"/>
                <w:color w:val="auto"/>
              </w:rPr>
            </w:pPr>
          </w:p>
        </w:tc>
        <w:tc>
          <w:tcPr>
            <w:tcW w:w="300" w:type="dxa"/>
            <w:vAlign w:val="bottom"/>
          </w:tcPr>
          <w:p>
            <w:pPr>
              <w:spacing w:after="0"/>
              <w:rPr>
                <w:sz w:val="14"/>
                <w:szCs w:val="14"/>
                <w:color w:val="auto"/>
              </w:rPr>
            </w:pPr>
          </w:p>
        </w:tc>
      </w:tr>
      <w:tr>
        <w:trPr>
          <w:trHeight w:val="145"/>
        </w:trPr>
        <w:tc>
          <w:tcPr>
            <w:tcW w:w="6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60" w:type="dxa"/>
            <w:vAlign w:val="bottom"/>
          </w:tcPr>
          <w:p>
            <w:pPr>
              <w:jc w:val="right"/>
              <w:ind w:right="549"/>
              <w:spacing w:after="0" w:line="145" w:lineRule="exact"/>
              <w:rPr>
                <w:sz w:val="20"/>
                <w:szCs w:val="20"/>
                <w:color w:val="auto"/>
              </w:rPr>
            </w:pPr>
            <w:r>
              <w:rPr>
                <w:rFonts w:ascii="Arial" w:cs="Arial" w:eastAsia="Arial" w:hAnsi="Arial"/>
                <w:sz w:val="14"/>
                <w:szCs w:val="14"/>
                <w:color w:val="092E44"/>
              </w:rPr>
              <w:t>Number of Shares</w:t>
            </w:r>
          </w:p>
        </w:tc>
        <w:tc>
          <w:tcPr>
            <w:tcW w:w="1080" w:type="dxa"/>
            <w:vAlign w:val="bottom"/>
          </w:tcPr>
          <w:p>
            <w:pPr>
              <w:jc w:val="right"/>
              <w:spacing w:after="0" w:line="145" w:lineRule="exact"/>
              <w:rPr>
                <w:sz w:val="20"/>
                <w:szCs w:val="20"/>
                <w:color w:val="auto"/>
              </w:rPr>
            </w:pPr>
            <w:r>
              <w:rPr>
                <w:rFonts w:ascii="Arial" w:cs="Arial" w:eastAsia="Arial" w:hAnsi="Arial"/>
                <w:sz w:val="14"/>
                <w:szCs w:val="14"/>
                <w:color w:val="092E44"/>
              </w:rPr>
              <w:t>Value Realized</w:t>
            </w:r>
          </w:p>
        </w:tc>
        <w:tc>
          <w:tcPr>
            <w:tcW w:w="300" w:type="dxa"/>
            <w:vAlign w:val="bottom"/>
          </w:tcPr>
          <w:p>
            <w:pPr>
              <w:spacing w:after="0"/>
              <w:rPr>
                <w:sz w:val="12"/>
                <w:szCs w:val="12"/>
                <w:color w:val="auto"/>
              </w:rPr>
            </w:pPr>
          </w:p>
        </w:tc>
      </w:tr>
      <w:tr>
        <w:trPr>
          <w:trHeight w:val="202"/>
        </w:trPr>
        <w:tc>
          <w:tcPr>
            <w:tcW w:w="6580" w:type="dxa"/>
            <w:vAlign w:val="bottom"/>
          </w:tcPr>
          <w:p>
            <w:pPr>
              <w:ind w:left="80"/>
              <w:spacing w:after="0"/>
              <w:rPr>
                <w:sz w:val="20"/>
                <w:szCs w:val="20"/>
                <w:color w:val="auto"/>
              </w:rPr>
            </w:pPr>
            <w:r>
              <w:rPr>
                <w:rFonts w:ascii="Arial" w:cs="Arial" w:eastAsia="Arial" w:hAnsi="Arial"/>
                <w:sz w:val="14"/>
                <w:szCs w:val="14"/>
                <w:color w:val="092E44"/>
              </w:rPr>
              <w:t>Name</w:t>
            </w:r>
          </w:p>
        </w:tc>
        <w:tc>
          <w:tcPr>
            <w:tcW w:w="900" w:type="dxa"/>
            <w:vAlign w:val="bottom"/>
          </w:tcPr>
          <w:p>
            <w:pPr>
              <w:spacing w:after="0"/>
              <w:rPr>
                <w:sz w:val="17"/>
                <w:szCs w:val="17"/>
                <w:color w:val="auto"/>
              </w:rPr>
            </w:pPr>
          </w:p>
        </w:tc>
        <w:tc>
          <w:tcPr>
            <w:tcW w:w="2060" w:type="dxa"/>
            <w:vAlign w:val="bottom"/>
          </w:tcPr>
          <w:p>
            <w:pPr>
              <w:jc w:val="right"/>
              <w:ind w:right="549"/>
              <w:spacing w:after="0"/>
              <w:rPr>
                <w:sz w:val="20"/>
                <w:szCs w:val="20"/>
                <w:color w:val="auto"/>
              </w:rPr>
            </w:pPr>
            <w:r>
              <w:rPr>
                <w:rFonts w:ascii="Arial" w:cs="Arial" w:eastAsia="Arial" w:hAnsi="Arial"/>
                <w:sz w:val="14"/>
                <w:szCs w:val="14"/>
                <w:color w:val="092E44"/>
                <w:w w:val="99"/>
              </w:rPr>
              <w:t>Acquired on Vesting(#)</w:t>
            </w:r>
          </w:p>
        </w:tc>
        <w:tc>
          <w:tcPr>
            <w:tcW w:w="1380" w:type="dxa"/>
            <w:vAlign w:val="bottom"/>
            <w:gridSpan w:val="2"/>
          </w:tcPr>
          <w:p>
            <w:pPr>
              <w:jc w:val="right"/>
              <w:ind w:right="300"/>
              <w:spacing w:after="0"/>
              <w:rPr>
                <w:sz w:val="20"/>
                <w:szCs w:val="20"/>
                <w:color w:val="auto"/>
              </w:rPr>
            </w:pPr>
            <w:r>
              <w:rPr>
                <w:rFonts w:ascii="Arial" w:cs="Arial" w:eastAsia="Arial" w:hAnsi="Arial"/>
                <w:sz w:val="14"/>
                <w:szCs w:val="14"/>
                <w:color w:val="092E44"/>
              </w:rPr>
              <w:t>On Vesting($)(1)</w:t>
            </w:r>
          </w:p>
        </w:tc>
      </w:tr>
      <w:tr>
        <w:trPr>
          <w:trHeight w:val="61"/>
        </w:trPr>
        <w:tc>
          <w:tcPr>
            <w:tcW w:w="6580" w:type="dxa"/>
            <w:vAlign w:val="bottom"/>
            <w:tcBorders>
              <w:bottom w:val="single" w:sz="8" w:color="E14A6A"/>
            </w:tcBorders>
          </w:tcPr>
          <w:p>
            <w:pPr>
              <w:spacing w:after="0"/>
              <w:rPr>
                <w:sz w:val="5"/>
                <w:szCs w:val="5"/>
                <w:color w:val="auto"/>
              </w:rPr>
            </w:pPr>
          </w:p>
        </w:tc>
        <w:tc>
          <w:tcPr>
            <w:tcW w:w="900" w:type="dxa"/>
            <w:vAlign w:val="bottom"/>
            <w:tcBorders>
              <w:bottom w:val="single" w:sz="8" w:color="E14A6A"/>
            </w:tcBorders>
          </w:tcPr>
          <w:p>
            <w:pPr>
              <w:spacing w:after="0"/>
              <w:rPr>
                <w:sz w:val="5"/>
                <w:szCs w:val="5"/>
                <w:color w:val="auto"/>
              </w:rPr>
            </w:pPr>
          </w:p>
        </w:tc>
        <w:tc>
          <w:tcPr>
            <w:tcW w:w="2060" w:type="dxa"/>
            <w:vAlign w:val="bottom"/>
            <w:tcBorders>
              <w:bottom w:val="single" w:sz="8" w:color="E14A6A"/>
            </w:tcBorders>
          </w:tcPr>
          <w:p>
            <w:pPr>
              <w:spacing w:after="0"/>
              <w:rPr>
                <w:sz w:val="5"/>
                <w:szCs w:val="5"/>
                <w:color w:val="auto"/>
              </w:rPr>
            </w:pPr>
          </w:p>
        </w:tc>
        <w:tc>
          <w:tcPr>
            <w:tcW w:w="1080" w:type="dxa"/>
            <w:vAlign w:val="bottom"/>
            <w:tcBorders>
              <w:bottom w:val="single" w:sz="8" w:color="E14A6A"/>
            </w:tcBorders>
          </w:tcPr>
          <w:p>
            <w:pPr>
              <w:spacing w:after="0"/>
              <w:rPr>
                <w:sz w:val="5"/>
                <w:szCs w:val="5"/>
                <w:color w:val="auto"/>
              </w:rPr>
            </w:pPr>
          </w:p>
        </w:tc>
        <w:tc>
          <w:tcPr>
            <w:tcW w:w="300" w:type="dxa"/>
            <w:vAlign w:val="bottom"/>
            <w:tcBorders>
              <w:bottom w:val="single" w:sz="8" w:color="E14A6A"/>
            </w:tcBorders>
          </w:tcPr>
          <w:p>
            <w:pPr>
              <w:spacing w:after="0"/>
              <w:rPr>
                <w:sz w:val="5"/>
                <w:szCs w:val="5"/>
                <w:color w:val="auto"/>
              </w:rPr>
            </w:pPr>
          </w:p>
        </w:tc>
      </w:tr>
      <w:tr>
        <w:trPr>
          <w:trHeight w:val="254"/>
        </w:trPr>
        <w:tc>
          <w:tcPr>
            <w:tcW w:w="6580" w:type="dxa"/>
            <w:vAlign w:val="bottom"/>
          </w:tcPr>
          <w:p>
            <w:pPr>
              <w:ind w:left="80"/>
              <w:spacing w:after="0"/>
              <w:rPr>
                <w:sz w:val="20"/>
                <w:szCs w:val="20"/>
                <w:color w:val="auto"/>
              </w:rPr>
            </w:pPr>
            <w:r>
              <w:rPr>
                <w:rFonts w:ascii="Arial" w:cs="Arial" w:eastAsia="Arial" w:hAnsi="Arial"/>
                <w:sz w:val="16"/>
                <w:szCs w:val="16"/>
                <w:b w:val="1"/>
                <w:bCs w:val="1"/>
                <w:color w:val="092E44"/>
              </w:rPr>
              <w:t>Sanjay Mirchandani</w:t>
            </w:r>
          </w:p>
        </w:tc>
        <w:tc>
          <w:tcPr>
            <w:tcW w:w="2960" w:type="dxa"/>
            <w:vAlign w:val="bottom"/>
            <w:gridSpan w:val="2"/>
          </w:tcPr>
          <w:p>
            <w:pPr>
              <w:jc w:val="right"/>
              <w:ind w:right="549"/>
              <w:spacing w:after="0"/>
              <w:rPr>
                <w:sz w:val="20"/>
                <w:szCs w:val="20"/>
                <w:color w:val="auto"/>
              </w:rPr>
            </w:pPr>
            <w:r>
              <w:rPr>
                <w:rFonts w:ascii="Arial" w:cs="Arial" w:eastAsia="Arial" w:hAnsi="Arial"/>
                <w:sz w:val="16"/>
                <w:szCs w:val="16"/>
                <w:color w:val="092E44"/>
              </w:rPr>
              <w:t>134,244</w:t>
            </w:r>
          </w:p>
        </w:tc>
        <w:tc>
          <w:tcPr>
            <w:tcW w:w="1380" w:type="dxa"/>
            <w:vAlign w:val="bottom"/>
            <w:gridSpan w:val="2"/>
          </w:tcPr>
          <w:p>
            <w:pPr>
              <w:jc w:val="right"/>
              <w:ind w:right="300"/>
              <w:spacing w:after="0"/>
              <w:rPr>
                <w:sz w:val="20"/>
                <w:szCs w:val="20"/>
                <w:color w:val="auto"/>
              </w:rPr>
            </w:pPr>
            <w:r>
              <w:rPr>
                <w:rFonts w:ascii="Arial" w:cs="Arial" w:eastAsia="Arial" w:hAnsi="Arial"/>
                <w:sz w:val="16"/>
                <w:szCs w:val="16"/>
                <w:color w:val="092E44"/>
              </w:rPr>
              <w:t>9,271,073</w:t>
            </w:r>
          </w:p>
        </w:tc>
      </w:tr>
      <w:tr>
        <w:trPr>
          <w:trHeight w:val="47"/>
        </w:trPr>
        <w:tc>
          <w:tcPr>
            <w:tcW w:w="6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301"/>
        </w:trPr>
        <w:tc>
          <w:tcPr>
            <w:tcW w:w="6580" w:type="dxa"/>
            <w:vAlign w:val="bottom"/>
            <w:tcBorders>
              <w:bottom w:val="single" w:sz="8" w:color="DDE9F2"/>
            </w:tcBorders>
            <w:shd w:val="clear" w:color="auto" w:fill="DDE9F2"/>
          </w:tcPr>
          <w:p>
            <w:pPr>
              <w:ind w:left="80"/>
              <w:spacing w:after="0"/>
              <w:rPr>
                <w:sz w:val="20"/>
                <w:szCs w:val="20"/>
                <w:color w:val="auto"/>
              </w:rPr>
            </w:pPr>
            <w:r>
              <w:rPr>
                <w:rFonts w:ascii="Arial" w:cs="Arial" w:eastAsia="Arial" w:hAnsi="Arial"/>
                <w:sz w:val="16"/>
                <w:szCs w:val="16"/>
                <w:b w:val="1"/>
                <w:bCs w:val="1"/>
                <w:color w:val="092E44"/>
              </w:rPr>
              <w:t>Brian Carolan</w:t>
            </w:r>
          </w:p>
        </w:tc>
        <w:tc>
          <w:tcPr>
            <w:tcW w:w="2960" w:type="dxa"/>
            <w:vAlign w:val="bottom"/>
            <w:tcBorders>
              <w:bottom w:val="single" w:sz="8" w:color="DDE9F2"/>
            </w:tcBorders>
            <w:gridSpan w:val="2"/>
            <w:shd w:val="clear" w:color="auto" w:fill="DDE9F2"/>
          </w:tcPr>
          <w:p>
            <w:pPr>
              <w:jc w:val="right"/>
              <w:ind w:right="549"/>
              <w:spacing w:after="0"/>
              <w:rPr>
                <w:sz w:val="20"/>
                <w:szCs w:val="20"/>
                <w:color w:val="auto"/>
              </w:rPr>
            </w:pPr>
            <w:r>
              <w:rPr>
                <w:rFonts w:ascii="Arial" w:cs="Arial" w:eastAsia="Arial" w:hAnsi="Arial"/>
                <w:sz w:val="16"/>
                <w:szCs w:val="16"/>
                <w:color w:val="092E44"/>
              </w:rPr>
              <w:t>39,562</w:t>
            </w:r>
          </w:p>
        </w:tc>
        <w:tc>
          <w:tcPr>
            <w:tcW w:w="1380" w:type="dxa"/>
            <w:vAlign w:val="bottom"/>
            <w:tcBorders>
              <w:bottom w:val="single" w:sz="8" w:color="DDE9F2"/>
            </w:tcBorders>
            <w:gridSpan w:val="2"/>
            <w:shd w:val="clear" w:color="auto" w:fill="DDE9F2"/>
          </w:tcPr>
          <w:p>
            <w:pPr>
              <w:jc w:val="right"/>
              <w:ind w:right="300"/>
              <w:spacing w:after="0"/>
              <w:rPr>
                <w:sz w:val="20"/>
                <w:szCs w:val="20"/>
                <w:color w:val="auto"/>
              </w:rPr>
            </w:pPr>
            <w:r>
              <w:rPr>
                <w:rFonts w:ascii="Arial" w:cs="Arial" w:eastAsia="Arial" w:hAnsi="Arial"/>
                <w:sz w:val="16"/>
                <w:szCs w:val="16"/>
                <w:color w:val="092E44"/>
              </w:rPr>
              <w:t>2,748,462</w:t>
            </w:r>
          </w:p>
        </w:tc>
      </w:tr>
      <w:tr>
        <w:trPr>
          <w:trHeight w:val="274"/>
        </w:trPr>
        <w:tc>
          <w:tcPr>
            <w:tcW w:w="6580" w:type="dxa"/>
            <w:vAlign w:val="bottom"/>
          </w:tcPr>
          <w:p>
            <w:pPr>
              <w:ind w:left="80"/>
              <w:spacing w:after="0"/>
              <w:rPr>
                <w:sz w:val="20"/>
                <w:szCs w:val="20"/>
                <w:color w:val="auto"/>
              </w:rPr>
            </w:pPr>
            <w:r>
              <w:rPr>
                <w:rFonts w:ascii="Arial" w:cs="Arial" w:eastAsia="Arial" w:hAnsi="Arial"/>
                <w:sz w:val="16"/>
                <w:szCs w:val="16"/>
                <w:b w:val="1"/>
                <w:bCs w:val="1"/>
                <w:color w:val="092E44"/>
              </w:rPr>
              <w:t>Riccardo Di Blasio</w:t>
            </w:r>
          </w:p>
        </w:tc>
        <w:tc>
          <w:tcPr>
            <w:tcW w:w="2960" w:type="dxa"/>
            <w:vAlign w:val="bottom"/>
            <w:gridSpan w:val="2"/>
          </w:tcPr>
          <w:p>
            <w:pPr>
              <w:jc w:val="right"/>
              <w:ind w:right="549"/>
              <w:spacing w:after="0"/>
              <w:rPr>
                <w:sz w:val="20"/>
                <w:szCs w:val="20"/>
                <w:color w:val="auto"/>
              </w:rPr>
            </w:pPr>
            <w:r>
              <w:rPr>
                <w:rFonts w:ascii="Arial" w:cs="Arial" w:eastAsia="Arial" w:hAnsi="Arial"/>
                <w:sz w:val="16"/>
                <w:szCs w:val="16"/>
                <w:color w:val="092E44"/>
              </w:rPr>
              <w:t>26,218</w:t>
            </w:r>
          </w:p>
        </w:tc>
        <w:tc>
          <w:tcPr>
            <w:tcW w:w="1380" w:type="dxa"/>
            <w:vAlign w:val="bottom"/>
            <w:gridSpan w:val="2"/>
          </w:tcPr>
          <w:p>
            <w:pPr>
              <w:jc w:val="right"/>
              <w:ind w:right="300"/>
              <w:spacing w:after="0"/>
              <w:rPr>
                <w:sz w:val="20"/>
                <w:szCs w:val="20"/>
                <w:color w:val="auto"/>
              </w:rPr>
            </w:pPr>
            <w:r>
              <w:rPr>
                <w:rFonts w:ascii="Arial" w:cs="Arial" w:eastAsia="Arial" w:hAnsi="Arial"/>
                <w:sz w:val="16"/>
                <w:szCs w:val="16"/>
                <w:color w:val="092E44"/>
              </w:rPr>
              <w:t>1,822,725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29845</wp:posOffset>
            </wp:positionV>
            <wp:extent cx="69297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89" w:lineRule="exact"/>
        <w:rPr>
          <w:sz w:val="20"/>
          <w:szCs w:val="20"/>
          <w:color w:val="auto"/>
        </w:rPr>
      </w:pPr>
    </w:p>
    <w:p>
      <w:pPr>
        <w:ind w:left="480" w:right="60" w:hanging="313"/>
        <w:spacing w:after="0" w:line="279" w:lineRule="auto"/>
        <w:tabs>
          <w:tab w:leader="none" w:pos="480" w:val="left"/>
        </w:tabs>
        <w:numPr>
          <w:ilvl w:val="0"/>
          <w:numId w:val="22"/>
        </w:numPr>
        <w:rPr>
          <w:rFonts w:ascii="Arial" w:cs="Arial" w:eastAsia="Arial" w:hAnsi="Arial"/>
          <w:sz w:val="12"/>
          <w:szCs w:val="12"/>
          <w:color w:val="092E44"/>
        </w:rPr>
      </w:pPr>
      <w:r>
        <w:rPr>
          <w:rFonts w:ascii="Arial" w:cs="Arial" w:eastAsia="Arial" w:hAnsi="Arial"/>
          <w:sz w:val="12"/>
          <w:szCs w:val="12"/>
          <w:color w:val="092E44"/>
        </w:rPr>
        <w:t>The value realized on the vesting of the restricted stock unit awards is based on the market price of our common stock on the vesting date. See “Long-Term Equity Incentive Awards” above for more information on the plan and the related performance objectives.</w:t>
      </w:r>
    </w:p>
    <w:p>
      <w:pPr>
        <w:spacing w:after="0" w:line="26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Pension Benefits and Deferred Compensation</w:t>
      </w:r>
    </w:p>
    <w:p>
      <w:pPr>
        <w:spacing w:after="0" w:line="71" w:lineRule="exact"/>
        <w:rPr>
          <w:sz w:val="20"/>
          <w:szCs w:val="20"/>
          <w:color w:val="auto"/>
        </w:rPr>
      </w:pPr>
    </w:p>
    <w:p>
      <w:pPr>
        <w:ind w:left="160" w:right="620"/>
        <w:spacing w:after="0" w:line="279" w:lineRule="auto"/>
        <w:rPr>
          <w:sz w:val="20"/>
          <w:szCs w:val="20"/>
          <w:color w:val="auto"/>
        </w:rPr>
      </w:pPr>
      <w:r>
        <w:rPr>
          <w:rFonts w:ascii="Arial" w:cs="Arial" w:eastAsia="Arial" w:hAnsi="Arial"/>
          <w:sz w:val="16"/>
          <w:szCs w:val="16"/>
          <w:color w:val="092E44"/>
        </w:rPr>
        <w:t>None of our named executive officers during fiscal 2022 participated in or had account balances in qualified or non-qualified defined benefit plans sponsored by Commvault or in non-qualified defined contribution plans maintained by Commvault.</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Employment Agreements</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The following table summarizes the employment agreements between Commvault and the named executive officers.</w:t>
      </w:r>
    </w:p>
    <w:p>
      <w:pPr>
        <w:spacing w:after="0" w:line="249" w:lineRule="exact"/>
        <w:rPr>
          <w:sz w:val="20"/>
          <w:szCs w:val="20"/>
          <w:color w:val="auto"/>
        </w:rPr>
      </w:pPr>
    </w:p>
    <w:p>
      <w:pPr>
        <w:ind w:left="3000"/>
        <w:spacing w:after="0"/>
        <w:tabs>
          <w:tab w:leader="none" w:pos="5820" w:val="left"/>
          <w:tab w:leader="none" w:pos="8660" w:val="left"/>
        </w:tabs>
        <w:rPr>
          <w:sz w:val="20"/>
          <w:szCs w:val="20"/>
          <w:color w:val="auto"/>
        </w:rPr>
      </w:pPr>
      <w:r>
        <w:rPr>
          <w:rFonts w:ascii="Arial" w:cs="Arial" w:eastAsia="Arial" w:hAnsi="Arial"/>
          <w:sz w:val="14"/>
          <w:szCs w:val="14"/>
          <w:color w:val="092E44"/>
        </w:rPr>
        <w:t>Sanjay Mirchandani</w:t>
      </w:r>
      <w:r>
        <w:rPr>
          <w:sz w:val="20"/>
          <w:szCs w:val="20"/>
          <w:color w:val="auto"/>
        </w:rPr>
        <w:tab/>
      </w:r>
      <w:r>
        <w:rPr>
          <w:rFonts w:ascii="Arial" w:cs="Arial" w:eastAsia="Arial" w:hAnsi="Arial"/>
          <w:sz w:val="14"/>
          <w:szCs w:val="14"/>
          <w:color w:val="092E44"/>
        </w:rPr>
        <w:t>Riccardo Di Blasio</w:t>
      </w:r>
      <w:r>
        <w:rPr>
          <w:sz w:val="20"/>
          <w:szCs w:val="20"/>
          <w:color w:val="auto"/>
        </w:rPr>
        <w:tab/>
      </w:r>
      <w:r>
        <w:rPr>
          <w:rFonts w:ascii="Arial" w:cs="Arial" w:eastAsia="Arial" w:hAnsi="Arial"/>
          <w:sz w:val="14"/>
          <w:szCs w:val="14"/>
          <w:color w:val="092E44"/>
        </w:rPr>
        <w:t>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56515</wp:posOffset>
            </wp:positionV>
            <wp:extent cx="69297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142"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092E44"/>
        </w:rPr>
        <w:t>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1412240</wp:posOffset>
            </wp:positionV>
            <wp:extent cx="1732280" cy="14605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32280" cy="1460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
        <w:spacing w:after="0" w:line="256" w:lineRule="auto"/>
        <w:rPr>
          <w:sz w:val="20"/>
          <w:szCs w:val="20"/>
          <w:color w:val="auto"/>
        </w:rPr>
      </w:pPr>
      <w:r>
        <w:rPr>
          <w:rFonts w:ascii="Arial" w:cs="Arial" w:eastAsia="Arial" w:hAnsi="Arial"/>
          <w:sz w:val="16"/>
          <w:szCs w:val="16"/>
          <w:b w:val="1"/>
          <w:bCs w:val="1"/>
          <w:color w:val="092E44"/>
        </w:rPr>
        <w:t>Compensation in the event of a termination without “cause” or for “good reason” and other than within 24 months following a “change in control”</w:t>
      </w:r>
    </w:p>
    <w:p>
      <w:pPr>
        <w:spacing w:after="0" w:line="49" w:lineRule="exact"/>
        <w:rPr>
          <w:sz w:val="20"/>
          <w:szCs w:val="20"/>
          <w:color w:val="auto"/>
        </w:rPr>
      </w:pPr>
    </w:p>
    <w:p>
      <w:pPr>
        <w:ind w:left="240"/>
        <w:spacing w:after="0" w:line="328" w:lineRule="auto"/>
        <w:rPr>
          <w:sz w:val="20"/>
          <w:szCs w:val="20"/>
          <w:color w:val="auto"/>
        </w:rPr>
      </w:pPr>
      <w:r>
        <w:rPr>
          <w:rFonts w:ascii="Arial" w:cs="Arial" w:eastAsia="Arial" w:hAnsi="Arial"/>
          <w:sz w:val="15"/>
          <w:szCs w:val="15"/>
          <w:b w:val="1"/>
          <w:bCs w:val="1"/>
          <w:color w:val="092E44"/>
        </w:rPr>
        <w:t>(subject to execution of a release of claims in favor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720090</wp:posOffset>
            </wp:positionV>
            <wp:extent cx="220980" cy="2120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2800" w:type="dxa"/>
            <w:vAlign w:val="bottom"/>
          </w:tcPr>
          <w:p>
            <w:pPr>
              <w:ind w:left="10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annual base salary subject to</w:t>
            </w:r>
          </w:p>
        </w:tc>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annual base salary</w:t>
            </w:r>
          </w:p>
        </w:tc>
        <w:tc>
          <w:tcPr>
            <w:tcW w:w="2520" w:type="dxa"/>
            <w:vAlign w:val="bottom"/>
          </w:tcPr>
          <w:p>
            <w:pPr>
              <w:ind w:left="12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annual base salary</w:t>
            </w:r>
          </w:p>
        </w:tc>
        <w:tc>
          <w:tcPr>
            <w:tcW w:w="0" w:type="dxa"/>
            <w:vAlign w:val="bottom"/>
          </w:tcPr>
          <w:p>
            <w:pPr>
              <w:spacing w:after="0"/>
              <w:rPr>
                <w:sz w:val="1"/>
                <w:szCs w:val="1"/>
                <w:color w:val="auto"/>
              </w:rPr>
            </w:pPr>
          </w:p>
        </w:tc>
      </w:tr>
      <w:tr>
        <w:trPr>
          <w:trHeight w:val="187"/>
        </w:trPr>
        <w:tc>
          <w:tcPr>
            <w:tcW w:w="2800" w:type="dxa"/>
            <w:vAlign w:val="bottom"/>
          </w:tcPr>
          <w:p>
            <w:pPr>
              <w:ind w:left="260"/>
              <w:spacing w:after="0"/>
              <w:rPr>
                <w:sz w:val="20"/>
                <w:szCs w:val="20"/>
                <w:color w:val="auto"/>
              </w:rPr>
            </w:pPr>
            <w:r>
              <w:rPr>
                <w:rFonts w:ascii="Arial" w:cs="Arial" w:eastAsia="Arial" w:hAnsi="Arial"/>
                <w:sz w:val="16"/>
                <w:szCs w:val="16"/>
                <w:color w:val="092E44"/>
              </w:rPr>
              <w:t>annual review by our Board of</w:t>
            </w:r>
          </w:p>
        </w:tc>
        <w:tc>
          <w:tcPr>
            <w:tcW w:w="28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eligible to participate in a sales</w:t>
            </w:r>
          </w:p>
        </w:tc>
        <w:tc>
          <w:tcPr>
            <w:tcW w:w="25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eligible to participate in a sales</w:t>
            </w:r>
          </w:p>
        </w:tc>
        <w:tc>
          <w:tcPr>
            <w:tcW w:w="0" w:type="dxa"/>
            <w:vAlign w:val="bottom"/>
          </w:tcPr>
          <w:p>
            <w:pPr>
              <w:spacing w:after="0"/>
              <w:rPr>
                <w:sz w:val="1"/>
                <w:szCs w:val="1"/>
                <w:color w:val="auto"/>
              </w:rPr>
            </w:pPr>
          </w:p>
        </w:tc>
      </w:tr>
      <w:tr>
        <w:trPr>
          <w:trHeight w:val="80"/>
        </w:trPr>
        <w:tc>
          <w:tcPr>
            <w:tcW w:w="2800" w:type="dxa"/>
            <w:vAlign w:val="bottom"/>
            <w:vMerge w:val="restart"/>
          </w:tcPr>
          <w:p>
            <w:pPr>
              <w:ind w:left="260"/>
              <w:spacing w:after="0"/>
              <w:rPr>
                <w:sz w:val="20"/>
                <w:szCs w:val="20"/>
                <w:color w:val="auto"/>
              </w:rPr>
            </w:pPr>
            <w:r>
              <w:rPr>
                <w:rFonts w:ascii="Arial" w:cs="Arial" w:eastAsia="Arial" w:hAnsi="Arial"/>
                <w:sz w:val="16"/>
                <w:szCs w:val="16"/>
                <w:color w:val="092E44"/>
              </w:rPr>
              <w:t>Directors</w:t>
            </w:r>
          </w:p>
        </w:tc>
        <w:tc>
          <w:tcPr>
            <w:tcW w:w="2860" w:type="dxa"/>
            <w:vAlign w:val="bottom"/>
            <w:vMerge w:val="continue"/>
          </w:tcPr>
          <w:p>
            <w:pPr>
              <w:spacing w:after="0"/>
              <w:rPr>
                <w:sz w:val="6"/>
                <w:szCs w:val="6"/>
                <w:color w:val="auto"/>
              </w:rPr>
            </w:pPr>
          </w:p>
        </w:tc>
        <w:tc>
          <w:tcPr>
            <w:tcW w:w="2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2800" w:type="dxa"/>
            <w:vAlign w:val="bottom"/>
            <w:vMerge w:val="continue"/>
          </w:tcPr>
          <w:p>
            <w:pPr>
              <w:spacing w:after="0"/>
              <w:rPr>
                <w:sz w:val="11"/>
                <w:szCs w:val="11"/>
                <w:color w:val="auto"/>
              </w:rPr>
            </w:pPr>
          </w:p>
        </w:tc>
        <w:tc>
          <w:tcPr>
            <w:tcW w:w="2860" w:type="dxa"/>
            <w:vAlign w:val="bottom"/>
            <w:vMerge w:val="restart"/>
          </w:tcPr>
          <w:p>
            <w:pPr>
              <w:ind w:left="300"/>
              <w:spacing w:after="0"/>
              <w:rPr>
                <w:sz w:val="20"/>
                <w:szCs w:val="20"/>
                <w:color w:val="auto"/>
              </w:rPr>
            </w:pPr>
            <w:r>
              <w:rPr>
                <w:rFonts w:ascii="Arial" w:cs="Arial" w:eastAsia="Arial" w:hAnsi="Arial"/>
                <w:sz w:val="16"/>
                <w:szCs w:val="16"/>
                <w:color w:val="092E44"/>
              </w:rPr>
              <w:t>incentive compensation plan that</w:t>
            </w:r>
          </w:p>
        </w:tc>
        <w:tc>
          <w:tcPr>
            <w:tcW w:w="2520" w:type="dxa"/>
            <w:vAlign w:val="bottom"/>
            <w:vMerge w:val="restart"/>
          </w:tcPr>
          <w:p>
            <w:pPr>
              <w:ind w:left="280"/>
              <w:spacing w:after="0"/>
              <w:rPr>
                <w:sz w:val="20"/>
                <w:szCs w:val="20"/>
                <w:color w:val="auto"/>
              </w:rPr>
            </w:pPr>
            <w:r>
              <w:rPr>
                <w:rFonts w:ascii="Arial" w:cs="Arial" w:eastAsia="Arial" w:hAnsi="Arial"/>
                <w:sz w:val="16"/>
                <w:szCs w:val="16"/>
                <w:color w:val="092E44"/>
              </w:rPr>
              <w:t>incentive compensation plan</w:t>
            </w:r>
          </w:p>
        </w:tc>
        <w:tc>
          <w:tcPr>
            <w:tcW w:w="0" w:type="dxa"/>
            <w:vAlign w:val="bottom"/>
          </w:tcPr>
          <w:p>
            <w:pPr>
              <w:spacing w:after="0"/>
              <w:rPr>
                <w:sz w:val="1"/>
                <w:szCs w:val="1"/>
                <w:color w:val="auto"/>
              </w:rPr>
            </w:pPr>
          </w:p>
        </w:tc>
      </w:tr>
      <w:tr>
        <w:trPr>
          <w:trHeight w:val="56"/>
        </w:trPr>
        <w:tc>
          <w:tcPr>
            <w:tcW w:w="28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eligible for an annual cash bonus</w:t>
            </w:r>
          </w:p>
        </w:tc>
        <w:tc>
          <w:tcPr>
            <w:tcW w:w="2860" w:type="dxa"/>
            <w:vAlign w:val="bottom"/>
            <w:vMerge w:val="continue"/>
          </w:tcPr>
          <w:p>
            <w:pPr>
              <w:spacing w:after="0"/>
              <w:rPr>
                <w:sz w:val="4"/>
                <w:szCs w:val="4"/>
                <w:color w:val="auto"/>
              </w:rPr>
            </w:pPr>
          </w:p>
        </w:tc>
        <w:tc>
          <w:tcPr>
            <w:tcW w:w="2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800" w:type="dxa"/>
            <w:vAlign w:val="bottom"/>
            <w:vMerge w:val="continue"/>
          </w:tcPr>
          <w:p>
            <w:pPr>
              <w:spacing w:after="0"/>
              <w:rPr>
                <w:sz w:val="16"/>
                <w:szCs w:val="16"/>
                <w:color w:val="auto"/>
              </w:rPr>
            </w:pPr>
          </w:p>
        </w:tc>
        <w:tc>
          <w:tcPr>
            <w:tcW w:w="2860" w:type="dxa"/>
            <w:vAlign w:val="bottom"/>
          </w:tcPr>
          <w:p>
            <w:pPr>
              <w:ind w:left="300"/>
              <w:spacing w:after="0"/>
              <w:rPr>
                <w:sz w:val="20"/>
                <w:szCs w:val="20"/>
                <w:color w:val="auto"/>
              </w:rPr>
            </w:pPr>
            <w:r>
              <w:rPr>
                <w:rFonts w:ascii="Arial" w:cs="Arial" w:eastAsia="Arial" w:hAnsi="Arial"/>
                <w:sz w:val="16"/>
                <w:szCs w:val="16"/>
                <w:color w:val="092E44"/>
              </w:rPr>
              <w:t>provides a cash bonus opportunity</w:t>
            </w:r>
          </w:p>
        </w:tc>
        <w:tc>
          <w:tcPr>
            <w:tcW w:w="2520" w:type="dxa"/>
            <w:vAlign w:val="bottom"/>
          </w:tcPr>
          <w:p>
            <w:pPr>
              <w:ind w:left="280"/>
              <w:spacing w:after="0"/>
              <w:rPr>
                <w:sz w:val="20"/>
                <w:szCs w:val="20"/>
                <w:color w:val="auto"/>
              </w:rPr>
            </w:pPr>
            <w:r>
              <w:rPr>
                <w:rFonts w:ascii="Arial" w:cs="Arial" w:eastAsia="Arial" w:hAnsi="Arial"/>
                <w:sz w:val="16"/>
                <w:szCs w:val="16"/>
                <w:color w:val="092E44"/>
              </w:rPr>
              <w:t>that provides a cash bonus</w:t>
            </w:r>
          </w:p>
        </w:tc>
        <w:tc>
          <w:tcPr>
            <w:tcW w:w="0" w:type="dxa"/>
            <w:vAlign w:val="bottom"/>
          </w:tcPr>
          <w:p>
            <w:pPr>
              <w:spacing w:after="0"/>
              <w:rPr>
                <w:sz w:val="1"/>
                <w:szCs w:val="1"/>
                <w:color w:val="auto"/>
              </w:rPr>
            </w:pPr>
          </w:p>
        </w:tc>
      </w:tr>
      <w:tr>
        <w:trPr>
          <w:trHeight w:val="211"/>
        </w:trPr>
        <w:tc>
          <w:tcPr>
            <w:tcW w:w="28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entitled to participate in the</w:t>
            </w:r>
          </w:p>
        </w:tc>
        <w:tc>
          <w:tcPr>
            <w:tcW w:w="28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entitled to participate in the</w:t>
            </w:r>
          </w:p>
        </w:tc>
        <w:tc>
          <w:tcPr>
            <w:tcW w:w="2520" w:type="dxa"/>
            <w:vAlign w:val="bottom"/>
          </w:tcPr>
          <w:p>
            <w:pPr>
              <w:ind w:left="280"/>
              <w:spacing w:after="0"/>
              <w:rPr>
                <w:sz w:val="20"/>
                <w:szCs w:val="20"/>
                <w:color w:val="auto"/>
              </w:rPr>
            </w:pPr>
            <w:r>
              <w:rPr>
                <w:rFonts w:ascii="Arial" w:cs="Arial" w:eastAsia="Arial" w:hAnsi="Arial"/>
                <w:sz w:val="16"/>
                <w:szCs w:val="16"/>
                <w:color w:val="092E44"/>
              </w:rPr>
              <w:t>opportunity</w:t>
            </w:r>
          </w:p>
        </w:tc>
        <w:tc>
          <w:tcPr>
            <w:tcW w:w="0" w:type="dxa"/>
            <w:vAlign w:val="bottom"/>
          </w:tcPr>
          <w:p>
            <w:pPr>
              <w:spacing w:after="0"/>
              <w:rPr>
                <w:sz w:val="1"/>
                <w:szCs w:val="1"/>
                <w:color w:val="auto"/>
              </w:rPr>
            </w:pPr>
          </w:p>
        </w:tc>
      </w:tr>
      <w:tr>
        <w:trPr>
          <w:trHeight w:val="56"/>
        </w:trPr>
        <w:tc>
          <w:tcPr>
            <w:tcW w:w="2800" w:type="dxa"/>
            <w:vAlign w:val="bottom"/>
            <w:vMerge w:val="continue"/>
          </w:tcPr>
          <w:p>
            <w:pPr>
              <w:spacing w:after="0"/>
              <w:rPr>
                <w:sz w:val="4"/>
                <w:szCs w:val="4"/>
                <w:color w:val="auto"/>
              </w:rPr>
            </w:pPr>
          </w:p>
        </w:tc>
        <w:tc>
          <w:tcPr>
            <w:tcW w:w="2860" w:type="dxa"/>
            <w:vAlign w:val="bottom"/>
            <w:vMerge w:val="continue"/>
          </w:tcPr>
          <w:p>
            <w:pPr>
              <w:spacing w:after="0"/>
              <w:rPr>
                <w:sz w:val="4"/>
                <w:szCs w:val="4"/>
                <w:color w:val="auto"/>
              </w:rPr>
            </w:pPr>
          </w:p>
        </w:tc>
        <w:tc>
          <w:tcPr>
            <w:tcW w:w="25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entitled to participate in the</w:t>
            </w:r>
          </w:p>
        </w:tc>
        <w:tc>
          <w:tcPr>
            <w:tcW w:w="0" w:type="dxa"/>
            <w:vAlign w:val="bottom"/>
          </w:tcPr>
          <w:p>
            <w:pPr>
              <w:spacing w:after="0"/>
              <w:rPr>
                <w:sz w:val="1"/>
                <w:szCs w:val="1"/>
                <w:color w:val="auto"/>
              </w:rPr>
            </w:pPr>
          </w:p>
        </w:tc>
      </w:tr>
      <w:tr>
        <w:trPr>
          <w:trHeight w:val="187"/>
        </w:trPr>
        <w:tc>
          <w:tcPr>
            <w:tcW w:w="2800" w:type="dxa"/>
            <w:vAlign w:val="bottom"/>
          </w:tcPr>
          <w:p>
            <w:pPr>
              <w:ind w:left="260"/>
              <w:spacing w:after="0"/>
              <w:rPr>
                <w:sz w:val="20"/>
                <w:szCs w:val="20"/>
                <w:color w:val="auto"/>
              </w:rPr>
            </w:pPr>
            <w:r>
              <w:rPr>
                <w:rFonts w:ascii="Arial" w:cs="Arial" w:eastAsia="Arial" w:hAnsi="Arial"/>
                <w:sz w:val="16"/>
                <w:szCs w:val="16"/>
                <w:color w:val="092E44"/>
              </w:rPr>
              <w:t>employee benefits plans in which</w:t>
            </w:r>
          </w:p>
        </w:tc>
        <w:tc>
          <w:tcPr>
            <w:tcW w:w="2860" w:type="dxa"/>
            <w:vAlign w:val="bottom"/>
          </w:tcPr>
          <w:p>
            <w:pPr>
              <w:ind w:left="300"/>
              <w:spacing w:after="0"/>
              <w:rPr>
                <w:sz w:val="20"/>
                <w:szCs w:val="20"/>
                <w:color w:val="auto"/>
              </w:rPr>
            </w:pPr>
            <w:r>
              <w:rPr>
                <w:rFonts w:ascii="Arial" w:cs="Arial" w:eastAsia="Arial" w:hAnsi="Arial"/>
                <w:sz w:val="16"/>
                <w:szCs w:val="16"/>
                <w:color w:val="092E44"/>
              </w:rPr>
              <w:t>employee benefits plans in which</w:t>
            </w:r>
          </w:p>
        </w:tc>
        <w:tc>
          <w:tcPr>
            <w:tcW w:w="2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00" w:type="dxa"/>
            <w:vAlign w:val="bottom"/>
          </w:tcPr>
          <w:p>
            <w:pPr>
              <w:ind w:left="260"/>
              <w:spacing w:after="0"/>
              <w:rPr>
                <w:sz w:val="20"/>
                <w:szCs w:val="20"/>
                <w:color w:val="auto"/>
              </w:rPr>
            </w:pPr>
            <w:r>
              <w:rPr>
                <w:rFonts w:ascii="Arial" w:cs="Arial" w:eastAsia="Arial" w:hAnsi="Arial"/>
                <w:sz w:val="16"/>
                <w:szCs w:val="16"/>
                <w:color w:val="092E44"/>
              </w:rPr>
              <w:t>our other executives may</w:t>
            </w:r>
          </w:p>
        </w:tc>
        <w:tc>
          <w:tcPr>
            <w:tcW w:w="2860" w:type="dxa"/>
            <w:vAlign w:val="bottom"/>
          </w:tcPr>
          <w:p>
            <w:pPr>
              <w:ind w:left="300"/>
              <w:spacing w:after="0"/>
              <w:rPr>
                <w:sz w:val="20"/>
                <w:szCs w:val="20"/>
                <w:color w:val="auto"/>
              </w:rPr>
            </w:pPr>
            <w:r>
              <w:rPr>
                <w:rFonts w:ascii="Arial" w:cs="Arial" w:eastAsia="Arial" w:hAnsi="Arial"/>
                <w:sz w:val="16"/>
                <w:szCs w:val="16"/>
                <w:color w:val="092E44"/>
              </w:rPr>
              <w:t>our other executives may</w:t>
            </w:r>
          </w:p>
        </w:tc>
        <w:tc>
          <w:tcPr>
            <w:tcW w:w="2520" w:type="dxa"/>
            <w:vAlign w:val="bottom"/>
          </w:tcPr>
          <w:p>
            <w:pPr>
              <w:ind w:left="280"/>
              <w:spacing w:after="0"/>
              <w:rPr>
                <w:sz w:val="20"/>
                <w:szCs w:val="20"/>
                <w:color w:val="auto"/>
              </w:rPr>
            </w:pPr>
            <w:r>
              <w:rPr>
                <w:rFonts w:ascii="Arial" w:cs="Arial" w:eastAsia="Arial" w:hAnsi="Arial"/>
                <w:sz w:val="16"/>
                <w:szCs w:val="16"/>
                <w:color w:val="092E44"/>
              </w:rPr>
              <w:t>employee benefits plans in</w:t>
            </w:r>
          </w:p>
        </w:tc>
        <w:tc>
          <w:tcPr>
            <w:tcW w:w="0" w:type="dxa"/>
            <w:vAlign w:val="bottom"/>
          </w:tcPr>
          <w:p>
            <w:pPr>
              <w:spacing w:after="0"/>
              <w:rPr>
                <w:sz w:val="1"/>
                <w:szCs w:val="1"/>
                <w:color w:val="auto"/>
              </w:rPr>
            </w:pPr>
          </w:p>
        </w:tc>
      </w:tr>
      <w:tr>
        <w:trPr>
          <w:trHeight w:val="187"/>
        </w:trPr>
        <w:tc>
          <w:tcPr>
            <w:tcW w:w="2800" w:type="dxa"/>
            <w:vAlign w:val="bottom"/>
          </w:tcPr>
          <w:p>
            <w:pPr>
              <w:ind w:left="260"/>
              <w:spacing w:after="0"/>
              <w:rPr>
                <w:sz w:val="20"/>
                <w:szCs w:val="20"/>
                <w:color w:val="auto"/>
              </w:rPr>
            </w:pPr>
            <w:r>
              <w:rPr>
                <w:rFonts w:ascii="Arial" w:cs="Arial" w:eastAsia="Arial" w:hAnsi="Arial"/>
                <w:sz w:val="16"/>
                <w:szCs w:val="16"/>
                <w:color w:val="092E44"/>
              </w:rPr>
              <w:t>participate</w:t>
            </w:r>
          </w:p>
        </w:tc>
        <w:tc>
          <w:tcPr>
            <w:tcW w:w="2860" w:type="dxa"/>
            <w:vAlign w:val="bottom"/>
          </w:tcPr>
          <w:p>
            <w:pPr>
              <w:ind w:left="300"/>
              <w:spacing w:after="0"/>
              <w:rPr>
                <w:sz w:val="20"/>
                <w:szCs w:val="20"/>
                <w:color w:val="auto"/>
              </w:rPr>
            </w:pPr>
            <w:r>
              <w:rPr>
                <w:rFonts w:ascii="Arial" w:cs="Arial" w:eastAsia="Arial" w:hAnsi="Arial"/>
                <w:sz w:val="16"/>
                <w:szCs w:val="16"/>
                <w:color w:val="092E44"/>
              </w:rPr>
              <w:t>participate</w:t>
            </w:r>
          </w:p>
        </w:tc>
        <w:tc>
          <w:tcPr>
            <w:tcW w:w="2520" w:type="dxa"/>
            <w:vAlign w:val="bottom"/>
          </w:tcPr>
          <w:p>
            <w:pPr>
              <w:ind w:left="280"/>
              <w:spacing w:after="0"/>
              <w:rPr>
                <w:sz w:val="20"/>
                <w:szCs w:val="20"/>
                <w:color w:val="auto"/>
              </w:rPr>
            </w:pPr>
            <w:r>
              <w:rPr>
                <w:rFonts w:ascii="Arial" w:cs="Arial" w:eastAsia="Arial" w:hAnsi="Arial"/>
                <w:sz w:val="16"/>
                <w:szCs w:val="16"/>
                <w:color w:val="092E44"/>
              </w:rPr>
              <w:t>which our other executives</w:t>
            </w:r>
          </w:p>
        </w:tc>
        <w:tc>
          <w:tcPr>
            <w:tcW w:w="0" w:type="dxa"/>
            <w:vAlign w:val="bottom"/>
          </w:tcPr>
          <w:p>
            <w:pPr>
              <w:spacing w:after="0"/>
              <w:rPr>
                <w:sz w:val="1"/>
                <w:szCs w:val="1"/>
                <w:color w:val="auto"/>
              </w:rPr>
            </w:pPr>
          </w:p>
        </w:tc>
      </w:tr>
      <w:tr>
        <w:trPr>
          <w:trHeight w:val="211"/>
        </w:trPr>
        <w:tc>
          <w:tcPr>
            <w:tcW w:w="28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entitled to annual equity awards</w:t>
            </w:r>
          </w:p>
        </w:tc>
        <w:tc>
          <w:tcPr>
            <w:tcW w:w="28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entitled to annual equity awards</w:t>
            </w:r>
          </w:p>
        </w:tc>
        <w:tc>
          <w:tcPr>
            <w:tcW w:w="2520" w:type="dxa"/>
            <w:vAlign w:val="bottom"/>
          </w:tcPr>
          <w:p>
            <w:pPr>
              <w:ind w:left="280"/>
              <w:spacing w:after="0"/>
              <w:rPr>
                <w:sz w:val="20"/>
                <w:szCs w:val="20"/>
                <w:color w:val="auto"/>
              </w:rPr>
            </w:pPr>
            <w:r>
              <w:rPr>
                <w:rFonts w:ascii="Arial" w:cs="Arial" w:eastAsia="Arial" w:hAnsi="Arial"/>
                <w:sz w:val="16"/>
                <w:szCs w:val="16"/>
                <w:color w:val="092E44"/>
              </w:rPr>
              <w:t>may participate</w:t>
            </w:r>
          </w:p>
        </w:tc>
        <w:tc>
          <w:tcPr>
            <w:tcW w:w="0" w:type="dxa"/>
            <w:vAlign w:val="bottom"/>
          </w:tcPr>
          <w:p>
            <w:pPr>
              <w:spacing w:after="0"/>
              <w:rPr>
                <w:sz w:val="1"/>
                <w:szCs w:val="1"/>
                <w:color w:val="auto"/>
              </w:rPr>
            </w:pPr>
          </w:p>
        </w:tc>
      </w:tr>
      <w:tr>
        <w:trPr>
          <w:trHeight w:val="56"/>
        </w:trPr>
        <w:tc>
          <w:tcPr>
            <w:tcW w:w="2800" w:type="dxa"/>
            <w:vAlign w:val="bottom"/>
            <w:vMerge w:val="continue"/>
          </w:tcPr>
          <w:p>
            <w:pPr>
              <w:spacing w:after="0"/>
              <w:rPr>
                <w:sz w:val="4"/>
                <w:szCs w:val="4"/>
                <w:color w:val="auto"/>
              </w:rPr>
            </w:pPr>
          </w:p>
        </w:tc>
        <w:tc>
          <w:tcPr>
            <w:tcW w:w="2860" w:type="dxa"/>
            <w:vAlign w:val="bottom"/>
            <w:vMerge w:val="continue"/>
          </w:tcPr>
          <w:p>
            <w:pPr>
              <w:spacing w:after="0"/>
              <w:rPr>
                <w:sz w:val="4"/>
                <w:szCs w:val="4"/>
                <w:color w:val="auto"/>
              </w:rPr>
            </w:pPr>
          </w:p>
        </w:tc>
        <w:tc>
          <w:tcPr>
            <w:tcW w:w="25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entitled to annual equity</w:t>
            </w:r>
          </w:p>
        </w:tc>
        <w:tc>
          <w:tcPr>
            <w:tcW w:w="0" w:type="dxa"/>
            <w:vAlign w:val="bottom"/>
          </w:tcPr>
          <w:p>
            <w:pPr>
              <w:spacing w:after="0"/>
              <w:rPr>
                <w:sz w:val="1"/>
                <w:szCs w:val="1"/>
                <w:color w:val="auto"/>
              </w:rPr>
            </w:pPr>
          </w:p>
        </w:tc>
      </w:tr>
      <w:tr>
        <w:trPr>
          <w:trHeight w:val="187"/>
        </w:trPr>
        <w:tc>
          <w:tcPr>
            <w:tcW w:w="2800" w:type="dxa"/>
            <w:vAlign w:val="bottom"/>
          </w:tcPr>
          <w:p>
            <w:pPr>
              <w:ind w:left="260"/>
              <w:spacing w:after="0"/>
              <w:rPr>
                <w:sz w:val="20"/>
                <w:szCs w:val="20"/>
                <w:color w:val="auto"/>
              </w:rPr>
            </w:pPr>
            <w:r>
              <w:rPr>
                <w:rFonts w:ascii="Arial" w:cs="Arial" w:eastAsia="Arial" w:hAnsi="Arial"/>
                <w:sz w:val="16"/>
                <w:szCs w:val="16"/>
                <w:color w:val="092E44"/>
              </w:rPr>
              <w:t>and a one-time new hire award</w:t>
            </w:r>
          </w:p>
        </w:tc>
        <w:tc>
          <w:tcPr>
            <w:tcW w:w="2860" w:type="dxa"/>
            <w:vAlign w:val="bottom"/>
          </w:tcPr>
          <w:p>
            <w:pPr>
              <w:ind w:left="300"/>
              <w:spacing w:after="0"/>
              <w:rPr>
                <w:sz w:val="20"/>
                <w:szCs w:val="20"/>
                <w:color w:val="auto"/>
              </w:rPr>
            </w:pPr>
            <w:r>
              <w:rPr>
                <w:rFonts w:ascii="Arial" w:cs="Arial" w:eastAsia="Arial" w:hAnsi="Arial"/>
                <w:sz w:val="16"/>
                <w:szCs w:val="16"/>
                <w:color w:val="092E44"/>
              </w:rPr>
              <w:t>and a one-time new hire award</w:t>
            </w:r>
          </w:p>
        </w:tc>
        <w:tc>
          <w:tcPr>
            <w:tcW w:w="2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8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520" w:type="dxa"/>
            <w:vAlign w:val="bottom"/>
          </w:tcPr>
          <w:p>
            <w:pPr>
              <w:ind w:left="280"/>
              <w:spacing w:after="0"/>
              <w:rPr>
                <w:sz w:val="20"/>
                <w:szCs w:val="20"/>
                <w:color w:val="auto"/>
              </w:rPr>
            </w:pPr>
            <w:r>
              <w:rPr>
                <w:rFonts w:ascii="Arial" w:cs="Arial" w:eastAsia="Arial" w:hAnsi="Arial"/>
                <w:sz w:val="16"/>
                <w:szCs w:val="16"/>
                <w:color w:val="092E44"/>
              </w:rPr>
              <w:t>awards</w:t>
            </w:r>
          </w:p>
        </w:tc>
        <w:tc>
          <w:tcPr>
            <w:tcW w:w="0" w:type="dxa"/>
            <w:vAlign w:val="bottom"/>
          </w:tcPr>
          <w:p>
            <w:pPr>
              <w:spacing w:after="0"/>
              <w:rPr>
                <w:sz w:val="1"/>
                <w:szCs w:val="1"/>
                <w:color w:val="auto"/>
              </w:rPr>
            </w:pPr>
          </w:p>
        </w:tc>
      </w:tr>
      <w:tr>
        <w:trPr>
          <w:trHeight w:val="70"/>
        </w:trPr>
        <w:tc>
          <w:tcPr>
            <w:tcW w:w="2800" w:type="dxa"/>
            <w:vAlign w:val="bottom"/>
          </w:tcPr>
          <w:p>
            <w:pPr>
              <w:spacing w:after="0"/>
              <w:rPr>
                <w:sz w:val="6"/>
                <w:szCs w:val="6"/>
                <w:color w:val="auto"/>
              </w:rPr>
            </w:pPr>
          </w:p>
        </w:tc>
        <w:tc>
          <w:tcPr>
            <w:tcW w:w="538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800" w:type="dxa"/>
            <w:vAlign w:val="bottom"/>
            <w:shd w:val="clear" w:color="auto" w:fill="DDE9F2"/>
          </w:tcPr>
          <w:p>
            <w:pPr>
              <w:spacing w:after="0"/>
              <w:rPr>
                <w:sz w:val="5"/>
                <w:szCs w:val="5"/>
                <w:color w:val="auto"/>
              </w:rPr>
            </w:pPr>
          </w:p>
        </w:tc>
        <w:tc>
          <w:tcPr>
            <w:tcW w:w="5380" w:type="dxa"/>
            <w:vAlign w:val="bottom"/>
            <w:gridSpan w:val="2"/>
            <w:shd w:val="clear" w:color="auto" w:fill="DDE9F2"/>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2800" w:type="dxa"/>
            <w:vAlign w:val="bottom"/>
          </w:tcPr>
          <w:p>
            <w:pPr>
              <w:ind w:left="10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lump sum payment equal to (i) 12</w:t>
            </w:r>
          </w:p>
        </w:tc>
        <w:tc>
          <w:tcPr>
            <w:tcW w:w="5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12 months of his then-current base salary</w:t>
            </w:r>
          </w:p>
        </w:tc>
        <w:tc>
          <w:tcPr>
            <w:tcW w:w="0" w:type="dxa"/>
            <w:vAlign w:val="bottom"/>
          </w:tcPr>
          <w:p>
            <w:pPr>
              <w:spacing w:after="0"/>
              <w:rPr>
                <w:sz w:val="1"/>
                <w:szCs w:val="1"/>
                <w:color w:val="auto"/>
              </w:rPr>
            </w:pPr>
          </w:p>
        </w:tc>
      </w:tr>
      <w:tr>
        <w:trPr>
          <w:trHeight w:val="211"/>
        </w:trPr>
        <w:tc>
          <w:tcPr>
            <w:tcW w:w="2800" w:type="dxa"/>
            <w:vAlign w:val="bottom"/>
          </w:tcPr>
          <w:p>
            <w:pPr>
              <w:ind w:left="260"/>
              <w:spacing w:after="0"/>
              <w:rPr>
                <w:sz w:val="20"/>
                <w:szCs w:val="20"/>
                <w:color w:val="auto"/>
              </w:rPr>
            </w:pPr>
            <w:r>
              <w:rPr>
                <w:rFonts w:ascii="Arial" w:cs="Arial" w:eastAsia="Arial" w:hAnsi="Arial"/>
                <w:sz w:val="16"/>
                <w:szCs w:val="16"/>
                <w:color w:val="092E44"/>
              </w:rPr>
              <w:t>months of his then-current base</w:t>
            </w:r>
          </w:p>
        </w:tc>
        <w:tc>
          <w:tcPr>
            <w:tcW w:w="5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an immediate lump sum payment equal to the amount he would have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-252095</wp:posOffset>
            </wp:positionV>
            <wp:extent cx="5197475" cy="1417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97475" cy="1417955"/>
                    </a:xfrm>
                    <a:prstGeom prst="rect">
                      <a:avLst/>
                    </a:prstGeom>
                    <a:noFill/>
                  </pic:spPr>
                </pic:pic>
              </a:graphicData>
            </a:graphic>
          </wp:anchor>
        </w:drawing>
      </w:r>
    </w:p>
    <w:tbl>
      <w:tblPr>
        <w:tblLayout w:type="fixed"/>
        <w:tblInd w:w="100" w:type="dxa"/>
        <w:tblCellMar>
          <w:top w:w="0" w:type="dxa"/>
          <w:left w:w="0" w:type="dxa"/>
          <w:bottom w:w="0" w:type="dxa"/>
          <w:right w:w="0" w:type="dxa"/>
        </w:tblCellMar>
      </w:tblPr>
      <w:tr>
        <w:trPr>
          <w:trHeight w:val="171"/>
        </w:trPr>
        <w:tc>
          <w:tcPr>
            <w:tcW w:w="2840" w:type="dxa"/>
            <w:vAlign w:val="bottom"/>
          </w:tcPr>
          <w:p>
            <w:pPr>
              <w:ind w:left="160"/>
              <w:spacing w:after="0" w:line="171" w:lineRule="exact"/>
              <w:rPr>
                <w:sz w:val="20"/>
                <w:szCs w:val="20"/>
                <w:color w:val="auto"/>
              </w:rPr>
            </w:pPr>
            <w:r>
              <w:rPr>
                <w:rFonts w:ascii="Arial" w:cs="Arial" w:eastAsia="Arial" w:hAnsi="Arial"/>
                <w:sz w:val="16"/>
                <w:szCs w:val="16"/>
                <w:color w:val="092E44"/>
              </w:rPr>
              <w:t>salary and (ii) his target cash</w:t>
            </w:r>
          </w:p>
        </w:tc>
        <w:tc>
          <w:tcPr>
            <w:tcW w:w="5180" w:type="dxa"/>
            <w:vAlign w:val="bottom"/>
            <w:vMerge w:val="restart"/>
          </w:tcPr>
          <w:p>
            <w:pPr>
              <w:ind w:left="160"/>
              <w:spacing w:after="0"/>
              <w:rPr>
                <w:sz w:val="20"/>
                <w:szCs w:val="20"/>
                <w:color w:val="auto"/>
              </w:rPr>
            </w:pPr>
            <w:r>
              <w:rPr>
                <w:rFonts w:ascii="Arial" w:cs="Arial" w:eastAsia="Arial" w:hAnsi="Arial"/>
                <w:sz w:val="16"/>
                <w:szCs w:val="16"/>
                <w:color w:val="092E44"/>
                <w:w w:val="99"/>
              </w:rPr>
              <w:t>to pay for twelve months of continued group health coverage under the</w:t>
            </w:r>
          </w:p>
        </w:tc>
        <w:tc>
          <w:tcPr>
            <w:tcW w:w="0" w:type="dxa"/>
            <w:vAlign w:val="bottom"/>
          </w:tcPr>
          <w:p>
            <w:pPr>
              <w:spacing w:after="0"/>
              <w:rPr>
                <w:sz w:val="1"/>
                <w:szCs w:val="1"/>
                <w:color w:val="auto"/>
              </w:rPr>
            </w:pPr>
          </w:p>
        </w:tc>
      </w:tr>
      <w:tr>
        <w:trPr>
          <w:trHeight w:val="80"/>
        </w:trPr>
        <w:tc>
          <w:tcPr>
            <w:tcW w:w="2840" w:type="dxa"/>
            <w:vAlign w:val="bottom"/>
            <w:vMerge w:val="restart"/>
          </w:tcPr>
          <w:p>
            <w:pPr>
              <w:ind w:left="160"/>
              <w:spacing w:after="0"/>
              <w:rPr>
                <w:sz w:val="20"/>
                <w:szCs w:val="20"/>
                <w:color w:val="auto"/>
              </w:rPr>
            </w:pPr>
            <w:r>
              <w:rPr>
                <w:rFonts w:ascii="Arial" w:cs="Arial" w:eastAsia="Arial" w:hAnsi="Arial"/>
                <w:sz w:val="16"/>
                <w:szCs w:val="16"/>
                <w:color w:val="092E44"/>
              </w:rPr>
              <w:t>incentive bonus for the year in</w:t>
            </w:r>
          </w:p>
        </w:tc>
        <w:tc>
          <w:tcPr>
            <w:tcW w:w="5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840" w:type="dxa"/>
            <w:vAlign w:val="bottom"/>
            <w:vMerge w:val="continue"/>
          </w:tcPr>
          <w:p>
            <w:pPr>
              <w:spacing w:after="0"/>
              <w:rPr>
                <w:sz w:val="9"/>
                <w:szCs w:val="9"/>
                <w:color w:val="auto"/>
              </w:rPr>
            </w:pPr>
          </w:p>
        </w:tc>
        <w:tc>
          <w:tcPr>
            <w:tcW w:w="5180" w:type="dxa"/>
            <w:vAlign w:val="bottom"/>
            <w:vMerge w:val="restart"/>
          </w:tcPr>
          <w:p>
            <w:pPr>
              <w:ind w:left="160"/>
              <w:spacing w:after="0"/>
              <w:rPr>
                <w:sz w:val="20"/>
                <w:szCs w:val="20"/>
                <w:color w:val="auto"/>
              </w:rPr>
            </w:pPr>
            <w:r>
              <w:rPr>
                <w:rFonts w:ascii="Arial" w:cs="Arial" w:eastAsia="Arial" w:hAnsi="Arial"/>
                <w:sz w:val="16"/>
                <w:szCs w:val="16"/>
                <w:color w:val="092E44"/>
              </w:rPr>
              <w:t>Company’s group health plan as in effect for himself and his</w:t>
            </w:r>
          </w:p>
        </w:tc>
        <w:tc>
          <w:tcPr>
            <w:tcW w:w="0" w:type="dxa"/>
            <w:vAlign w:val="bottom"/>
          </w:tcPr>
          <w:p>
            <w:pPr>
              <w:spacing w:after="0"/>
              <w:rPr>
                <w:sz w:val="1"/>
                <w:szCs w:val="1"/>
                <w:color w:val="auto"/>
              </w:rPr>
            </w:pPr>
          </w:p>
        </w:tc>
      </w:tr>
      <w:tr>
        <w:trPr>
          <w:trHeight w:val="80"/>
        </w:trPr>
        <w:tc>
          <w:tcPr>
            <w:tcW w:w="2840" w:type="dxa"/>
            <w:vAlign w:val="bottom"/>
            <w:vMerge w:val="restart"/>
          </w:tcPr>
          <w:p>
            <w:pPr>
              <w:ind w:left="160"/>
              <w:spacing w:after="0"/>
              <w:rPr>
                <w:sz w:val="20"/>
                <w:szCs w:val="20"/>
                <w:color w:val="auto"/>
              </w:rPr>
            </w:pPr>
            <w:r>
              <w:rPr>
                <w:rFonts w:ascii="Arial" w:cs="Arial" w:eastAsia="Arial" w:hAnsi="Arial"/>
                <w:sz w:val="16"/>
                <w:szCs w:val="16"/>
                <w:color w:val="092E44"/>
              </w:rPr>
              <w:t>which termination of employment</w:t>
            </w:r>
          </w:p>
        </w:tc>
        <w:tc>
          <w:tcPr>
            <w:tcW w:w="5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840" w:type="dxa"/>
            <w:vAlign w:val="bottom"/>
            <w:vMerge w:val="continue"/>
          </w:tcPr>
          <w:p>
            <w:pPr>
              <w:spacing w:after="0"/>
              <w:rPr>
                <w:sz w:val="9"/>
                <w:szCs w:val="9"/>
                <w:color w:val="auto"/>
              </w:rPr>
            </w:pPr>
          </w:p>
        </w:tc>
        <w:tc>
          <w:tcPr>
            <w:tcW w:w="5180" w:type="dxa"/>
            <w:vAlign w:val="bottom"/>
            <w:vMerge w:val="restart"/>
          </w:tcPr>
          <w:p>
            <w:pPr>
              <w:ind w:left="160"/>
              <w:spacing w:after="0"/>
              <w:rPr>
                <w:sz w:val="20"/>
                <w:szCs w:val="20"/>
                <w:color w:val="auto"/>
              </w:rPr>
            </w:pPr>
            <w:r>
              <w:rPr>
                <w:rFonts w:ascii="Arial" w:cs="Arial" w:eastAsia="Arial" w:hAnsi="Arial"/>
                <w:sz w:val="16"/>
                <w:szCs w:val="16"/>
                <w:color w:val="092E44"/>
              </w:rPr>
              <w:t>dependents immediately prior to his termination of employment</w:t>
            </w:r>
          </w:p>
        </w:tc>
        <w:tc>
          <w:tcPr>
            <w:tcW w:w="0" w:type="dxa"/>
            <w:vAlign w:val="bottom"/>
          </w:tcPr>
          <w:p>
            <w:pPr>
              <w:spacing w:after="0"/>
              <w:rPr>
                <w:sz w:val="1"/>
                <w:szCs w:val="1"/>
                <w:color w:val="auto"/>
              </w:rPr>
            </w:pPr>
          </w:p>
        </w:tc>
      </w:tr>
      <w:tr>
        <w:trPr>
          <w:trHeight w:val="104"/>
        </w:trPr>
        <w:tc>
          <w:tcPr>
            <w:tcW w:w="2840" w:type="dxa"/>
            <w:vAlign w:val="bottom"/>
            <w:vMerge w:val="restart"/>
          </w:tcPr>
          <w:p>
            <w:pPr>
              <w:ind w:left="160"/>
              <w:spacing w:after="0"/>
              <w:rPr>
                <w:sz w:val="20"/>
                <w:szCs w:val="20"/>
                <w:color w:val="auto"/>
              </w:rPr>
            </w:pPr>
            <w:r>
              <w:rPr>
                <w:rFonts w:ascii="Arial" w:cs="Arial" w:eastAsia="Arial" w:hAnsi="Arial"/>
                <w:sz w:val="16"/>
                <w:szCs w:val="16"/>
                <w:color w:val="092E44"/>
              </w:rPr>
              <w:t>occurs</w:t>
            </w:r>
          </w:p>
        </w:tc>
        <w:tc>
          <w:tcPr>
            <w:tcW w:w="5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840" w:type="dxa"/>
            <w:vAlign w:val="bottom"/>
            <w:vMerge w:val="continue"/>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continued payment of premiums for</w:t>
            </w:r>
          </w:p>
        </w:tc>
        <w:tc>
          <w:tcPr>
            <w:tcW w:w="5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6"/>
                <w:szCs w:val="16"/>
                <w:color w:val="092E44"/>
              </w:rPr>
              <w:t>health insurance for</w:t>
            </w:r>
          </w:p>
        </w:tc>
        <w:tc>
          <w:tcPr>
            <w:tcW w:w="5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6"/>
                <w:szCs w:val="16"/>
                <w:color w:val="092E44"/>
              </w:rPr>
              <w:t>Mr. Mirchandani and his</w:t>
            </w:r>
          </w:p>
        </w:tc>
        <w:tc>
          <w:tcPr>
            <w:tcW w:w="5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6"/>
                <w:szCs w:val="16"/>
                <w:color w:val="092E44"/>
              </w:rPr>
              <w:t>dependents for a period of 18</w:t>
            </w:r>
          </w:p>
        </w:tc>
        <w:tc>
          <w:tcPr>
            <w:tcW w:w="5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840" w:type="dxa"/>
            <w:vAlign w:val="bottom"/>
          </w:tcPr>
          <w:p>
            <w:pPr>
              <w:ind w:left="160"/>
              <w:spacing w:after="0"/>
              <w:rPr>
                <w:sz w:val="20"/>
                <w:szCs w:val="20"/>
                <w:color w:val="auto"/>
              </w:rPr>
            </w:pPr>
            <w:r>
              <w:rPr>
                <w:rFonts w:ascii="Arial" w:cs="Arial" w:eastAsia="Arial" w:hAnsi="Arial"/>
                <w:sz w:val="16"/>
                <w:szCs w:val="16"/>
                <w:color w:val="092E44"/>
              </w:rPr>
              <w:t>months</w:t>
            </w: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860" w:space="40"/>
            <w:col w:w="8180"/>
          </w:cols>
          <w:pgMar w:left="320" w:top="454" w:right="499" w:bottom="1440" w:gutter="0" w:footer="0" w:header="0"/>
          <w:type w:val="continuous"/>
        </w:sectPr>
      </w:pPr>
    </w:p>
    <w:p>
      <w:pPr>
        <w:spacing w:after="0" w:line="365"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0"/>
          <w:szCs w:val="10"/>
          <w:color w:val="092E44"/>
        </w:rPr>
        <w:t>44</w:t>
      </w:r>
      <w:r>
        <w:rPr>
          <w:sz w:val="20"/>
          <w:szCs w:val="20"/>
          <w:color w:val="auto"/>
        </w:rPr>
        <w:tab/>
      </w:r>
      <w:r>
        <w:rPr>
          <w:rFonts w:ascii="Arial" w:cs="Arial" w:eastAsia="Arial" w:hAnsi="Arial"/>
          <w:sz w:val="10"/>
          <w:szCs w:val="10"/>
          <w:b w:val="1"/>
          <w:bCs w:val="1"/>
          <w:color w:val="092E44"/>
        </w:rPr>
        <w:t xml:space="preserve">COMMVAULT SYSTEMS, INC. </w:t>
      </w:r>
      <w:r>
        <w:rPr>
          <w:rFonts w:ascii="Arial" w:cs="Arial" w:eastAsia="Arial" w:hAnsi="Arial"/>
          <w:sz w:val="10"/>
          <w:szCs w:val="10"/>
          <w:color w:val="E14A6A"/>
        </w:rPr>
        <w:t>|</w:t>
      </w:r>
      <w:r>
        <w:rPr>
          <w:rFonts w:ascii="Arial" w:cs="Arial" w:eastAsia="Arial" w:hAnsi="Arial"/>
          <w:sz w:val="10"/>
          <w:szCs w:val="10"/>
          <w:b w:val="1"/>
          <w:bCs w:val="1"/>
          <w:color w:val="092E44"/>
        </w:rPr>
        <w:t xml:space="preserve"> </w:t>
      </w:r>
      <w:r>
        <w:rPr>
          <w:rFonts w:ascii="Arial" w:cs="Arial" w:eastAsia="Arial" w:hAnsi="Arial"/>
          <w:sz w:val="10"/>
          <w:szCs w:val="10"/>
          <w:color w:val="092E44"/>
        </w:rPr>
        <w:t>2022 PROXY STATEMENT</w:t>
      </w:r>
    </w:p>
    <w:p>
      <w:pPr>
        <w:sectPr>
          <w:pgSz w:w="11900" w:h="16838" w:orient="portrait"/>
          <w:cols w:equalWidth="0" w:num="1">
            <w:col w:w="11080"/>
          </w:cols>
          <w:pgMar w:left="320" w:top="454" w:right="49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COMPENSATION TABLES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EMPLOYMENT AGREEMENTS</w:t>
      </w:r>
    </w:p>
    <w:p>
      <w:pPr>
        <w:spacing w:after="0" w:line="145" w:lineRule="exact"/>
        <w:rPr>
          <w:sz w:val="20"/>
          <w:szCs w:val="20"/>
          <w:color w:val="auto"/>
        </w:rPr>
      </w:pPr>
    </w:p>
    <w:p>
      <w:pPr>
        <w:jc w:val="right"/>
        <w:ind w:right="1520"/>
        <w:spacing w:after="0"/>
        <w:tabs>
          <w:tab w:leader="none" w:pos="3640" w:val="left"/>
          <w:tab w:leader="none" w:pos="860" w:val="left"/>
        </w:tabs>
        <w:rPr>
          <w:sz w:val="20"/>
          <w:szCs w:val="20"/>
          <w:color w:val="auto"/>
        </w:rPr>
      </w:pPr>
      <w:r>
        <w:rPr>
          <w:rFonts w:ascii="Arial" w:cs="Arial" w:eastAsia="Arial" w:hAnsi="Arial"/>
          <w:sz w:val="14"/>
          <w:szCs w:val="14"/>
          <w:color w:val="092E44"/>
        </w:rPr>
        <w:t>Sanjay Mirchandani</w:t>
      </w:r>
      <w:r>
        <w:rPr>
          <w:sz w:val="20"/>
          <w:szCs w:val="20"/>
          <w:color w:val="auto"/>
        </w:rPr>
        <w:tab/>
      </w:r>
      <w:r>
        <w:rPr>
          <w:rFonts w:ascii="Arial" w:cs="Arial" w:eastAsia="Arial" w:hAnsi="Arial"/>
          <w:sz w:val="14"/>
          <w:szCs w:val="14"/>
          <w:color w:val="092E44"/>
        </w:rPr>
        <w:t>Riccardo Di Blasio</w:t>
      </w:r>
      <w:r>
        <w:rPr>
          <w:sz w:val="20"/>
          <w:szCs w:val="20"/>
          <w:color w:val="auto"/>
        </w:rPr>
        <w:tab/>
      </w:r>
      <w:r>
        <w:rPr>
          <w:rFonts w:ascii="Arial" w:cs="Arial" w:eastAsia="Arial" w:hAnsi="Arial"/>
          <w:sz w:val="14"/>
          <w:szCs w:val="14"/>
          <w:color w:val="092E44"/>
        </w:rPr>
        <w:t>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56515</wp:posOffset>
            </wp:positionV>
            <wp:extent cx="6929755" cy="679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29755" cy="67945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40"/>
        <w:spacing w:after="0" w:line="268" w:lineRule="auto"/>
        <w:rPr>
          <w:sz w:val="20"/>
          <w:szCs w:val="20"/>
          <w:color w:val="auto"/>
        </w:rPr>
      </w:pPr>
      <w:r>
        <w:rPr>
          <w:rFonts w:ascii="Arial" w:cs="Arial" w:eastAsia="Arial" w:hAnsi="Arial"/>
          <w:sz w:val="16"/>
          <w:szCs w:val="16"/>
          <w:b w:val="1"/>
          <w:bCs w:val="1"/>
          <w:color w:val="092E44"/>
        </w:rPr>
        <w:t>Compensation in the event of termination due to death or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1800225" cy="17919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800225" cy="17919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180" w:hanging="159"/>
        <w:spacing w:after="0" w:line="295" w:lineRule="auto"/>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entitled to any other amounts or benefits previously accrued under our then applicable employee benefit plans</w:t>
      </w:r>
      <w:r>
        <w:rPr>
          <w:rFonts w:ascii="Times New Roman" w:cs="Times New Roman" w:eastAsia="Times New Roman" w:hAnsi="Times New Roman"/>
          <w:sz w:val="16"/>
          <w:szCs w:val="16"/>
          <w:color w:val="E14A6A"/>
        </w:rPr>
        <w:t xml:space="preserve"> </w:t>
      </w:r>
      <w:r>
        <w:rPr>
          <w:rFonts w:ascii="Arial" w:cs="Arial" w:eastAsia="Arial" w:hAnsi="Arial"/>
          <w:sz w:val="16"/>
          <w:szCs w:val="16"/>
          <w:color w:val="092E44"/>
        </w:rPr>
        <w:t>or incentive plans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12 months acceleration for time-vesting equity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any stock awards with performance conditions not yet determined will be deemed earned at 100% of target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entitled to any compensation earned but not yet paid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any outstanding stock options or awards will immediately vest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any stock awards with performance conditions not yet determined will be deemed earned at 100%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69850</wp:posOffset>
            </wp:positionV>
            <wp:extent cx="512953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29530" cy="42545"/>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2480" w:space="620"/>
            <w:col w:w="7980"/>
          </w:cols>
          <w:pgMar w:left="320" w:top="454" w:right="499" w:bottom="1440" w:gutter="0" w:footer="0" w:header="0"/>
          <w:type w:val="continuous"/>
        </w:sectPr>
      </w:pPr>
    </w:p>
    <w:p>
      <w:pPr>
        <w:ind w:left="240"/>
        <w:spacing w:after="0"/>
        <w:rPr>
          <w:sz w:val="20"/>
          <w:szCs w:val="20"/>
          <w:color w:val="auto"/>
        </w:rPr>
      </w:pPr>
      <w:r>
        <w:rPr>
          <w:rFonts w:ascii="Arial" w:cs="Arial" w:eastAsia="Arial" w:hAnsi="Arial"/>
          <w:sz w:val="16"/>
          <w:szCs w:val="16"/>
          <w:b w:val="1"/>
          <w:bCs w:val="1"/>
          <w:color w:val="092E44"/>
        </w:rPr>
        <w:t>Restrictive covenants</w:t>
      </w:r>
    </w:p>
    <w:p>
      <w:pPr>
        <w:spacing w:after="0" w:line="20" w:lineRule="exact"/>
        <w:rPr>
          <w:sz w:val="20"/>
          <w:szCs w:val="20"/>
          <w:color w:val="auto"/>
        </w:rPr>
      </w:pPr>
      <w:r>
        <w:rPr>
          <w:sz w:val="20"/>
          <w:szCs w:val="20"/>
          <w:color w:val="auto"/>
        </w:rPr>
        <w:br w:type="column"/>
      </w:r>
    </w:p>
    <w:p>
      <w:pPr>
        <w:jc w:val="both"/>
        <w:spacing w:after="0" w:line="262" w:lineRule="auto"/>
        <w:rPr>
          <w:sz w:val="20"/>
          <w:szCs w:val="20"/>
          <w:color w:val="auto"/>
        </w:rPr>
      </w:pPr>
      <w:r>
        <w:rPr>
          <w:rFonts w:ascii="Arial" w:cs="Arial" w:eastAsia="Arial" w:hAnsi="Arial"/>
          <w:sz w:val="16"/>
          <w:szCs w:val="16"/>
          <w:color w:val="092E44"/>
        </w:rPr>
        <w:t>during his term of employment with us and for a period of one year following any termination, may not:</w:t>
      </w:r>
    </w:p>
    <w:p>
      <w:pPr>
        <w:spacing w:after="0" w:line="26" w:lineRule="exact"/>
        <w:rPr>
          <w:sz w:val="20"/>
          <w:szCs w:val="20"/>
          <w:color w:val="auto"/>
        </w:rPr>
      </w:pPr>
    </w:p>
    <w:p>
      <w:pPr>
        <w:ind w:left="180" w:right="140" w:hanging="159"/>
        <w:spacing w:after="0" w:line="252" w:lineRule="auto"/>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participate, directly or indirectly,</w:t>
      </w:r>
      <w:r>
        <w:rPr>
          <w:rFonts w:ascii="Times New Roman" w:cs="Times New Roman" w:eastAsia="Times New Roman" w:hAnsi="Times New Roman"/>
          <w:sz w:val="16"/>
          <w:szCs w:val="16"/>
          <w:color w:val="E14A6A"/>
        </w:rPr>
        <w:t xml:space="preserve"> </w:t>
      </w:r>
      <w:r>
        <w:rPr>
          <w:rFonts w:ascii="Arial" w:cs="Arial" w:eastAsia="Arial" w:hAnsi="Arial"/>
          <w:sz w:val="16"/>
          <w:szCs w:val="16"/>
          <w:color w:val="092E44"/>
        </w:rPr>
        <w:t>within the United States, in a business in competition with Commvault (other than beneficial ownership of up to one percent of the outstanding stock of a publicly held company)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solicit our employees or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-1861820</wp:posOffset>
            </wp:positionH>
            <wp:positionV relativeFrom="paragraph">
              <wp:posOffset>358775</wp:posOffset>
            </wp:positionV>
            <wp:extent cx="69297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60"/>
        <w:spacing w:after="0" w:line="279" w:lineRule="auto"/>
        <w:rPr>
          <w:sz w:val="20"/>
          <w:szCs w:val="20"/>
          <w:color w:val="auto"/>
        </w:rPr>
      </w:pPr>
      <w:r>
        <w:rPr>
          <w:rFonts w:ascii="Arial" w:cs="Arial" w:eastAsia="Arial" w:hAnsi="Arial"/>
          <w:sz w:val="16"/>
          <w:szCs w:val="16"/>
          <w:color w:val="092E44"/>
        </w:rPr>
        <w:t>during his term of employment with us and for a period of one year following any termination, the executive may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-1838960</wp:posOffset>
            </wp:positionH>
            <wp:positionV relativeFrom="paragraph">
              <wp:posOffset>-262255</wp:posOffset>
            </wp:positionV>
            <wp:extent cx="5129530" cy="17494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29530" cy="1749425"/>
                    </a:xfrm>
                    <a:prstGeom prst="rect">
                      <a:avLst/>
                    </a:prstGeom>
                    <a:noFill/>
                  </pic:spPr>
                </pic:pic>
              </a:graphicData>
            </a:graphic>
          </wp:anchor>
        </w:drawing>
      </w:r>
    </w:p>
    <w:p>
      <w:pPr>
        <w:ind w:left="160" w:right="40" w:hanging="160"/>
        <w:spacing w:after="0" w:line="256" w:lineRule="auto"/>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engage in, or have any interest in, or manage or operate any business</w:t>
      </w:r>
      <w:r>
        <w:rPr>
          <w:rFonts w:ascii="Times New Roman" w:cs="Times New Roman" w:eastAsia="Times New Roman" w:hAnsi="Times New Roman"/>
          <w:sz w:val="16"/>
          <w:szCs w:val="16"/>
          <w:color w:val="E14A6A"/>
        </w:rPr>
        <w:t xml:space="preserve"> </w:t>
      </w:r>
      <w:r>
        <w:rPr>
          <w:rFonts w:ascii="Arial" w:cs="Arial" w:eastAsia="Arial" w:hAnsi="Arial"/>
          <w:sz w:val="16"/>
          <w:szCs w:val="16"/>
          <w:color w:val="092E44"/>
        </w:rPr>
        <w:t>that engages in any activity that then competes with any business of the Company or any Commvault subsidiary anywhere in the world (each, a “Competitor”) (other than beneficial ownership of up to 5% of the outstanding voting stock of a publicly traded company)</w:t>
      </w:r>
    </w:p>
    <w:p>
      <w:pPr>
        <w:spacing w:after="0" w:line="34" w:lineRule="exact"/>
        <w:rPr>
          <w:sz w:val="20"/>
          <w:szCs w:val="20"/>
          <w:color w:val="auto"/>
        </w:rPr>
      </w:pPr>
    </w:p>
    <w:p>
      <w:pPr>
        <w:ind w:left="160" w:right="140" w:hanging="160"/>
        <w:spacing w:after="0" w:line="295" w:lineRule="auto"/>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induce any employee of the Company or its subsidiaries to terminate</w:t>
      </w:r>
      <w:r>
        <w:rPr>
          <w:rFonts w:ascii="Times New Roman" w:cs="Times New Roman" w:eastAsia="Times New Roman" w:hAnsi="Times New Roman"/>
          <w:sz w:val="16"/>
          <w:szCs w:val="16"/>
          <w:color w:val="E14A6A"/>
        </w:rPr>
        <w:t xml:space="preserve"> </w:t>
      </w:r>
      <w:r>
        <w:rPr>
          <w:rFonts w:ascii="Arial" w:cs="Arial" w:eastAsia="Arial" w:hAnsi="Arial"/>
          <w:sz w:val="16"/>
          <w:szCs w:val="16"/>
          <w:color w:val="092E44"/>
        </w:rPr>
        <w:t>such employment or to become employed by any Competitor</w:t>
      </w:r>
    </w:p>
    <w:p>
      <w:pPr>
        <w:spacing w:after="0" w:line="1" w:lineRule="exact"/>
        <w:rPr>
          <w:sz w:val="20"/>
          <w:szCs w:val="20"/>
          <w:color w:val="auto"/>
        </w:rPr>
      </w:pPr>
    </w:p>
    <w:p>
      <w:pPr>
        <w:ind w:left="160" w:right="160" w:hanging="160"/>
        <w:spacing w:after="0" w:line="261" w:lineRule="auto"/>
        <w:rPr>
          <w:sz w:val="20"/>
          <w:szCs w:val="20"/>
          <w:color w:val="auto"/>
        </w:rPr>
      </w:pPr>
      <w:r>
        <w:rPr>
          <w:rFonts w:ascii="Times New Roman" w:cs="Times New Roman" w:eastAsia="Times New Roman" w:hAnsi="Times New Roman"/>
          <w:sz w:val="16"/>
          <w:szCs w:val="16"/>
          <w:color w:val="E14A6A"/>
        </w:rPr>
        <w:t>•</w:t>
      </w:r>
      <w:r>
        <w:rPr>
          <w:rFonts w:ascii="Arial" w:cs="Arial" w:eastAsia="Arial" w:hAnsi="Arial"/>
          <w:sz w:val="16"/>
          <w:szCs w:val="16"/>
          <w:color w:val="092E44"/>
        </w:rPr>
        <w:t xml:space="preserve">   contact, induce or attempt to induce any customer or potential</w:t>
      </w:r>
      <w:r>
        <w:rPr>
          <w:rFonts w:ascii="Times New Roman" w:cs="Times New Roman" w:eastAsia="Times New Roman" w:hAnsi="Times New Roman"/>
          <w:sz w:val="16"/>
          <w:szCs w:val="16"/>
          <w:color w:val="E14A6A"/>
        </w:rPr>
        <w:t xml:space="preserve"> </w:t>
      </w:r>
      <w:r>
        <w:rPr>
          <w:rFonts w:ascii="Arial" w:cs="Arial" w:eastAsia="Arial" w:hAnsi="Arial"/>
          <w:sz w:val="16"/>
          <w:szCs w:val="16"/>
          <w:color w:val="092E44"/>
        </w:rPr>
        <w:t>customer (of which the executive had actual knowledge) to purchase products or services from any entity other than the Company, or to cease being a customer of the Company</w:t>
      </w:r>
    </w:p>
    <w:p>
      <w:pPr>
        <w:spacing w:after="0" w:line="117" w:lineRule="exact"/>
        <w:rPr>
          <w:sz w:val="20"/>
          <w:szCs w:val="20"/>
          <w:color w:val="auto"/>
        </w:rPr>
      </w:pPr>
    </w:p>
    <w:p>
      <w:pPr>
        <w:sectPr>
          <w:pgSz w:w="11900" w:h="16838" w:orient="portrait"/>
          <w:cols w:equalWidth="0" w:num="3">
            <w:col w:w="2380" w:space="720"/>
            <w:col w:w="2720" w:space="80"/>
            <w:col w:w="5180"/>
          </w:cols>
          <w:pgMar w:left="320" w:top="454" w:right="499" w:bottom="1440" w:gutter="0" w:footer="0" w:header="0"/>
          <w:type w:val="continuous"/>
        </w:sectPr>
      </w:pPr>
    </w:p>
    <w:p>
      <w:pPr>
        <w:ind w:left="480" w:hanging="313"/>
        <w:spacing w:after="0"/>
        <w:tabs>
          <w:tab w:leader="none" w:pos="480" w:val="left"/>
        </w:tabs>
        <w:numPr>
          <w:ilvl w:val="0"/>
          <w:numId w:val="23"/>
        </w:numPr>
        <w:rPr>
          <w:rFonts w:ascii="Arial" w:cs="Arial" w:eastAsia="Arial" w:hAnsi="Arial"/>
          <w:sz w:val="12"/>
          <w:szCs w:val="12"/>
          <w:color w:val="092E44"/>
        </w:rPr>
      </w:pPr>
      <w:r>
        <w:rPr>
          <w:rFonts w:ascii="Arial" w:cs="Arial" w:eastAsia="Arial" w:hAnsi="Arial"/>
          <w:sz w:val="12"/>
          <w:szCs w:val="12"/>
          <w:color w:val="092E44"/>
        </w:rPr>
        <w:t>Each executive’s employment agreement defines “cause” and “good reason”</w:t>
      </w:r>
    </w:p>
    <w:p>
      <w:pPr>
        <w:spacing w:after="0" w:line="31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Change in Control Agreements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Sanjay Mirchandani</w:t>
      </w:r>
    </w:p>
    <w:p>
      <w:pPr>
        <w:spacing w:after="0" w:line="67" w:lineRule="exact"/>
        <w:rPr>
          <w:sz w:val="20"/>
          <w:szCs w:val="20"/>
          <w:color w:val="auto"/>
        </w:rPr>
      </w:pPr>
    </w:p>
    <w:p>
      <w:pPr>
        <w:ind w:left="160" w:right="120"/>
        <w:spacing w:after="0" w:line="251" w:lineRule="auto"/>
        <w:rPr>
          <w:sz w:val="20"/>
          <w:szCs w:val="20"/>
          <w:color w:val="auto"/>
        </w:rPr>
      </w:pPr>
      <w:r>
        <w:rPr>
          <w:rFonts w:ascii="Arial" w:cs="Arial" w:eastAsia="Arial" w:hAnsi="Arial"/>
          <w:sz w:val="16"/>
          <w:szCs w:val="16"/>
          <w:color w:val="092E44"/>
        </w:rPr>
        <w:t>If a change in control of our Company occurs and Mr. Mirchandani’ s employment is terminated for reasons other than for cause, Mr. Mirchandani’ s employment is terminated on account of disability, or if Mr. Mirchandani terminates his employment for good reason, in each case within two years of the change in control, then all equity awards held by Mr. Mirchandani will immediately become exercisable and vested and any equity awards with performance conditions not yet determined will be deemed earned at 100% of target. Furthermore, subject to execution of a release of claims in favor of the Company, he will be entitled to (1) a lump sum severance payment equal to 18 months of his base salary plus his target cash incentive bonus at the time of the change in control, and (2) health insurance coverage for him and his dependents for an 18-month period.</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Riccardo Di Blasio and Brian Carolan</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Mr. Di Blasio and Mr. Carolan each have Change in Control Agreements that are independent of their respective employment agreements.</w:t>
      </w:r>
    </w:p>
    <w:p>
      <w:pPr>
        <w:spacing w:after="0" w:line="97" w:lineRule="exact"/>
        <w:rPr>
          <w:sz w:val="20"/>
          <w:szCs w:val="20"/>
          <w:color w:val="auto"/>
        </w:rPr>
      </w:pPr>
    </w:p>
    <w:p>
      <w:pPr>
        <w:ind w:left="160" w:right="100"/>
        <w:spacing w:after="0" w:line="262" w:lineRule="auto"/>
        <w:rPr>
          <w:sz w:val="20"/>
          <w:szCs w:val="20"/>
          <w:color w:val="auto"/>
        </w:rPr>
      </w:pPr>
      <w:r>
        <w:rPr>
          <w:rFonts w:ascii="Arial" w:cs="Arial" w:eastAsia="Arial" w:hAnsi="Arial"/>
          <w:sz w:val="16"/>
          <w:szCs w:val="16"/>
          <w:color w:val="092E44"/>
        </w:rPr>
        <w:t>If a change in control of our Company occurs, and within two years the employment of Mr. Di Blasio or Mr. Carolan is terminated for reasons other than for cause, or if the executive terminates his employment for good reason (as defined in the Change in Control Agreement), then, subject to the execution of a general release of claims,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229235</wp:posOffset>
            </wp:positionV>
            <wp:extent cx="220980" cy="2120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45</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80"/>
          </w:cols>
          <w:pgMar w:left="320" w:top="454" w:right="49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COMPENSATION TABLES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CHANGE IN CONTROL AGREEMENTS</w:t>
      </w:r>
    </w:p>
    <w:p>
      <w:pPr>
        <w:spacing w:after="0" w:line="140" w:lineRule="exact"/>
        <w:rPr>
          <w:sz w:val="20"/>
          <w:szCs w:val="20"/>
          <w:color w:val="auto"/>
        </w:rPr>
      </w:pPr>
    </w:p>
    <w:p>
      <w:pPr>
        <w:jc w:val="both"/>
        <w:ind w:left="160" w:right="60"/>
        <w:spacing w:after="0" w:line="256" w:lineRule="auto"/>
        <w:rPr>
          <w:sz w:val="20"/>
          <w:szCs w:val="20"/>
          <w:color w:val="auto"/>
        </w:rPr>
      </w:pPr>
      <w:r>
        <w:rPr>
          <w:rFonts w:ascii="Arial" w:cs="Arial" w:eastAsia="Arial" w:hAnsi="Arial"/>
          <w:sz w:val="16"/>
          <w:szCs w:val="16"/>
          <w:color w:val="092E44"/>
        </w:rPr>
        <w:t>equity awards held by the executive will immediately become exercisable or vested, and that executive will be entitled to a lump sum severance payment equal to 12 months of his annual base salary at the time of the change in control and health insurance coverage for the executive and his dependents for a 12-month period. Mr. Carolan also is entitled to receive all bonus payments owed to him during the one-year period preceding the date of the change in control of the Company.</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Estimated Payments and Benefits upon Termination or Change in Control</w:t>
      </w:r>
    </w:p>
    <w:p>
      <w:pPr>
        <w:spacing w:after="0" w:line="111" w:lineRule="exact"/>
        <w:rPr>
          <w:sz w:val="20"/>
          <w:szCs w:val="20"/>
          <w:color w:val="auto"/>
        </w:rPr>
      </w:pPr>
    </w:p>
    <w:p>
      <w:pPr>
        <w:jc w:val="both"/>
        <w:ind w:left="160" w:right="380"/>
        <w:spacing w:after="0" w:line="262" w:lineRule="auto"/>
        <w:rPr>
          <w:sz w:val="20"/>
          <w:szCs w:val="20"/>
          <w:color w:val="auto"/>
        </w:rPr>
      </w:pPr>
      <w:r>
        <w:rPr>
          <w:rFonts w:ascii="Arial" w:cs="Arial" w:eastAsia="Arial" w:hAnsi="Arial"/>
          <w:sz w:val="16"/>
          <w:szCs w:val="16"/>
          <w:color w:val="092E44"/>
        </w:rPr>
        <w:t>The amount of compensation and benefits payable to each named executive officer has been estimated in the table below as if any termination was effective as of March 31, 2022, the last day of our fiscal year. The actual amounts to be paid out can only be determined at the time of an executive’s separation.</w:t>
      </w:r>
    </w:p>
    <w:p>
      <w:pPr>
        <w:spacing w:after="0" w:line="196" w:lineRule="exact"/>
        <w:rPr>
          <w:sz w:val="20"/>
          <w:szCs w:val="20"/>
          <w:color w:val="auto"/>
        </w:rPr>
      </w:pPr>
    </w:p>
    <w:tbl>
      <w:tblPr>
        <w:tblLayout w:type="fixed"/>
        <w:tblInd w:w="160" w:type="dxa"/>
        <w:tblCellMar>
          <w:top w:w="0" w:type="dxa"/>
          <w:left w:w="0" w:type="dxa"/>
          <w:bottom w:w="0" w:type="dxa"/>
          <w:right w:w="0" w:type="dxa"/>
        </w:tblCellMar>
      </w:tblPr>
      <w:tr>
        <w:trPr>
          <w:trHeight w:val="152"/>
        </w:trPr>
        <w:tc>
          <w:tcPr>
            <w:tcW w:w="5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Borders>
              <w:bottom w:val="single" w:sz="8" w:color="092E44"/>
            </w:tcBorders>
          </w:tcPr>
          <w:p>
            <w:pPr>
              <w:spacing w:after="0"/>
              <w:rPr>
                <w:sz w:val="13"/>
                <w:szCs w:val="13"/>
                <w:color w:val="auto"/>
              </w:rPr>
            </w:pPr>
          </w:p>
        </w:tc>
        <w:tc>
          <w:tcPr>
            <w:tcW w:w="1200" w:type="dxa"/>
            <w:vAlign w:val="bottom"/>
            <w:tcBorders>
              <w:bottom w:val="single" w:sz="8" w:color="092E44"/>
            </w:tcBorders>
          </w:tcPr>
          <w:p>
            <w:pPr>
              <w:jc w:val="right"/>
              <w:spacing w:after="0"/>
              <w:rPr>
                <w:sz w:val="20"/>
                <w:szCs w:val="20"/>
                <w:color w:val="auto"/>
              </w:rPr>
            </w:pPr>
            <w:r>
              <w:rPr>
                <w:rFonts w:ascii="Arial" w:cs="Arial" w:eastAsia="Arial" w:hAnsi="Arial"/>
                <w:sz w:val="12"/>
                <w:szCs w:val="12"/>
                <w:color w:val="092E44"/>
              </w:rPr>
              <w:t>Compensation ($)</w:t>
            </w:r>
          </w:p>
        </w:tc>
        <w:tc>
          <w:tcPr>
            <w:tcW w:w="800" w:type="dxa"/>
            <w:vAlign w:val="bottom"/>
            <w:tcBorders>
              <w:bottom w:val="single" w:sz="8" w:color="092E44"/>
            </w:tcBorders>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09"/>
        </w:trPr>
        <w:tc>
          <w:tcPr>
            <w:tcW w:w="5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tcPr>
          <w:p>
            <w:pPr>
              <w:jc w:val="right"/>
              <w:spacing w:after="0" w:line="109" w:lineRule="exact"/>
              <w:rPr>
                <w:sz w:val="20"/>
                <w:szCs w:val="20"/>
                <w:color w:val="auto"/>
              </w:rPr>
            </w:pPr>
            <w:r>
              <w:rPr>
                <w:rFonts w:ascii="Arial" w:cs="Arial" w:eastAsia="Arial" w:hAnsi="Arial"/>
                <w:sz w:val="12"/>
                <w:szCs w:val="12"/>
                <w:color w:val="092E44"/>
              </w:rPr>
              <w:t>Accelerated</w:t>
            </w:r>
          </w:p>
        </w:tc>
        <w:tc>
          <w:tcPr>
            <w:tcW w:w="3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134"/>
        </w:trPr>
        <w:tc>
          <w:tcPr>
            <w:tcW w:w="5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60" w:type="dxa"/>
            <w:vAlign w:val="bottom"/>
            <w:gridSpan w:val="2"/>
          </w:tcPr>
          <w:p>
            <w:pPr>
              <w:jc w:val="right"/>
              <w:ind w:right="360"/>
              <w:spacing w:after="0" w:line="134" w:lineRule="exact"/>
              <w:rPr>
                <w:sz w:val="20"/>
                <w:szCs w:val="20"/>
                <w:color w:val="auto"/>
              </w:rPr>
            </w:pPr>
            <w:r>
              <w:rPr>
                <w:rFonts w:ascii="Arial" w:cs="Arial" w:eastAsia="Arial" w:hAnsi="Arial"/>
                <w:sz w:val="12"/>
                <w:szCs w:val="12"/>
                <w:color w:val="092E44"/>
              </w:rPr>
              <w:t>Vesting of</w:t>
            </w: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4"/>
        </w:trPr>
        <w:tc>
          <w:tcPr>
            <w:tcW w:w="5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60" w:type="dxa"/>
            <w:vAlign w:val="bottom"/>
            <w:gridSpan w:val="2"/>
          </w:tcPr>
          <w:p>
            <w:pPr>
              <w:jc w:val="right"/>
              <w:ind w:right="360"/>
              <w:spacing w:after="0" w:line="134" w:lineRule="exact"/>
              <w:rPr>
                <w:sz w:val="20"/>
                <w:szCs w:val="20"/>
                <w:color w:val="auto"/>
              </w:rPr>
            </w:pPr>
            <w:r>
              <w:rPr>
                <w:rFonts w:ascii="Arial" w:cs="Arial" w:eastAsia="Arial" w:hAnsi="Arial"/>
                <w:sz w:val="12"/>
                <w:szCs w:val="12"/>
                <w:color w:val="092E44"/>
              </w:rPr>
              <w:t>Restricted</w:t>
            </w:r>
          </w:p>
        </w:tc>
        <w:tc>
          <w:tcPr>
            <w:tcW w:w="1020" w:type="dxa"/>
            <w:vAlign w:val="bottom"/>
          </w:tcPr>
          <w:p>
            <w:pPr>
              <w:jc w:val="right"/>
              <w:ind w:right="71"/>
              <w:spacing w:after="0" w:line="134" w:lineRule="exact"/>
              <w:rPr>
                <w:sz w:val="20"/>
                <w:szCs w:val="20"/>
                <w:color w:val="auto"/>
              </w:rPr>
            </w:pPr>
            <w:r>
              <w:rPr>
                <w:rFonts w:ascii="Arial" w:cs="Arial" w:eastAsia="Arial" w:hAnsi="Arial"/>
                <w:sz w:val="12"/>
                <w:szCs w:val="12"/>
                <w:color w:val="092E44"/>
              </w:rPr>
              <w:t>Continuation</w:t>
            </w:r>
          </w:p>
        </w:tc>
        <w:tc>
          <w:tcPr>
            <w:tcW w:w="1040" w:type="dxa"/>
            <w:vAlign w:val="bottom"/>
          </w:tcPr>
          <w:p>
            <w:pPr>
              <w:spacing w:after="0"/>
              <w:rPr>
                <w:sz w:val="11"/>
                <w:szCs w:val="11"/>
                <w:color w:val="auto"/>
              </w:rPr>
            </w:pPr>
          </w:p>
        </w:tc>
      </w:tr>
      <w:tr>
        <w:trPr>
          <w:trHeight w:val="138"/>
        </w:trPr>
        <w:tc>
          <w:tcPr>
            <w:tcW w:w="5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jc w:val="right"/>
              <w:ind w:right="251"/>
              <w:spacing w:after="0"/>
              <w:rPr>
                <w:sz w:val="20"/>
                <w:szCs w:val="20"/>
                <w:color w:val="auto"/>
              </w:rPr>
            </w:pPr>
            <w:r>
              <w:rPr>
                <w:rFonts w:ascii="Arial" w:cs="Arial" w:eastAsia="Arial" w:hAnsi="Arial"/>
                <w:sz w:val="12"/>
                <w:szCs w:val="12"/>
                <w:color w:val="092E44"/>
              </w:rPr>
              <w:t>Annual</w:t>
            </w:r>
          </w:p>
        </w:tc>
        <w:tc>
          <w:tcPr>
            <w:tcW w:w="1160" w:type="dxa"/>
            <w:vAlign w:val="bottom"/>
            <w:gridSpan w:val="2"/>
          </w:tcPr>
          <w:p>
            <w:pPr>
              <w:jc w:val="right"/>
              <w:ind w:right="360"/>
              <w:spacing w:after="0"/>
              <w:rPr>
                <w:sz w:val="20"/>
                <w:szCs w:val="20"/>
                <w:color w:val="auto"/>
              </w:rPr>
            </w:pPr>
            <w:r>
              <w:rPr>
                <w:rFonts w:ascii="Arial" w:cs="Arial" w:eastAsia="Arial" w:hAnsi="Arial"/>
                <w:sz w:val="12"/>
                <w:szCs w:val="12"/>
                <w:color w:val="092E44"/>
              </w:rPr>
              <w:t>Stock &amp;</w:t>
            </w:r>
          </w:p>
        </w:tc>
        <w:tc>
          <w:tcPr>
            <w:tcW w:w="1020" w:type="dxa"/>
            <w:vAlign w:val="bottom"/>
          </w:tcPr>
          <w:p>
            <w:pPr>
              <w:jc w:val="right"/>
              <w:ind w:right="71"/>
              <w:spacing w:after="0"/>
              <w:rPr>
                <w:sz w:val="20"/>
                <w:szCs w:val="20"/>
                <w:color w:val="auto"/>
              </w:rPr>
            </w:pPr>
            <w:r>
              <w:rPr>
                <w:rFonts w:ascii="Arial" w:cs="Arial" w:eastAsia="Arial" w:hAnsi="Arial"/>
                <w:sz w:val="12"/>
                <w:szCs w:val="12"/>
                <w:color w:val="092E44"/>
              </w:rPr>
              <w:t>of Medical</w:t>
            </w:r>
          </w:p>
        </w:tc>
        <w:tc>
          <w:tcPr>
            <w:tcW w:w="1040" w:type="dxa"/>
            <w:vAlign w:val="bottom"/>
          </w:tcPr>
          <w:p>
            <w:pPr>
              <w:jc w:val="right"/>
              <w:ind w:right="31"/>
              <w:spacing w:after="0"/>
              <w:rPr>
                <w:sz w:val="20"/>
                <w:szCs w:val="20"/>
                <w:color w:val="auto"/>
              </w:rPr>
            </w:pPr>
            <w:r>
              <w:rPr>
                <w:rFonts w:ascii="Arial" w:cs="Arial" w:eastAsia="Arial" w:hAnsi="Arial"/>
                <w:sz w:val="12"/>
                <w:szCs w:val="12"/>
                <w:color w:val="092E44"/>
              </w:rPr>
              <w:t>Total</w:t>
            </w:r>
          </w:p>
        </w:tc>
      </w:tr>
      <w:tr>
        <w:trPr>
          <w:trHeight w:val="134"/>
        </w:trPr>
        <w:tc>
          <w:tcPr>
            <w:tcW w:w="5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jc w:val="right"/>
              <w:ind w:right="251"/>
              <w:spacing w:after="0" w:line="134" w:lineRule="exact"/>
              <w:rPr>
                <w:sz w:val="20"/>
                <w:szCs w:val="20"/>
                <w:color w:val="auto"/>
              </w:rPr>
            </w:pPr>
            <w:r>
              <w:rPr>
                <w:rFonts w:ascii="Arial" w:cs="Arial" w:eastAsia="Arial" w:hAnsi="Arial"/>
                <w:sz w:val="12"/>
                <w:szCs w:val="12"/>
                <w:color w:val="092E44"/>
              </w:rPr>
              <w:t>Cash</w:t>
            </w:r>
          </w:p>
        </w:tc>
        <w:tc>
          <w:tcPr>
            <w:tcW w:w="1160" w:type="dxa"/>
            <w:vAlign w:val="bottom"/>
            <w:gridSpan w:val="2"/>
          </w:tcPr>
          <w:p>
            <w:pPr>
              <w:jc w:val="right"/>
              <w:ind w:right="360"/>
              <w:spacing w:after="0" w:line="134" w:lineRule="exact"/>
              <w:rPr>
                <w:sz w:val="20"/>
                <w:szCs w:val="20"/>
                <w:color w:val="auto"/>
              </w:rPr>
            </w:pPr>
            <w:r>
              <w:rPr>
                <w:rFonts w:ascii="Arial" w:cs="Arial" w:eastAsia="Arial" w:hAnsi="Arial"/>
                <w:sz w:val="12"/>
                <w:szCs w:val="12"/>
                <w:color w:val="092E44"/>
              </w:rPr>
              <w:t>Performance</w:t>
            </w:r>
          </w:p>
        </w:tc>
        <w:tc>
          <w:tcPr>
            <w:tcW w:w="1020" w:type="dxa"/>
            <w:vAlign w:val="bottom"/>
          </w:tcPr>
          <w:p>
            <w:pPr>
              <w:jc w:val="right"/>
              <w:ind w:right="71"/>
              <w:spacing w:after="0" w:line="134" w:lineRule="exact"/>
              <w:rPr>
                <w:sz w:val="20"/>
                <w:szCs w:val="20"/>
                <w:color w:val="auto"/>
              </w:rPr>
            </w:pPr>
            <w:r>
              <w:rPr>
                <w:rFonts w:ascii="Arial" w:cs="Arial" w:eastAsia="Arial" w:hAnsi="Arial"/>
                <w:sz w:val="12"/>
                <w:szCs w:val="12"/>
                <w:color w:val="092E44"/>
              </w:rPr>
              <w:t>Benefits</w:t>
            </w:r>
          </w:p>
        </w:tc>
        <w:tc>
          <w:tcPr>
            <w:tcW w:w="1040" w:type="dxa"/>
            <w:vAlign w:val="bottom"/>
          </w:tcPr>
          <w:p>
            <w:pPr>
              <w:jc w:val="right"/>
              <w:ind w:right="31"/>
              <w:spacing w:after="0" w:line="134" w:lineRule="exact"/>
              <w:rPr>
                <w:sz w:val="20"/>
                <w:szCs w:val="20"/>
                <w:color w:val="auto"/>
              </w:rPr>
            </w:pPr>
            <w:r>
              <w:rPr>
                <w:rFonts w:ascii="Arial" w:cs="Arial" w:eastAsia="Arial" w:hAnsi="Arial"/>
                <w:sz w:val="12"/>
                <w:szCs w:val="12"/>
                <w:color w:val="092E44"/>
              </w:rPr>
              <w:t>Compensation</w:t>
            </w:r>
          </w:p>
        </w:tc>
      </w:tr>
      <w:tr>
        <w:trPr>
          <w:trHeight w:val="134"/>
        </w:trPr>
        <w:tc>
          <w:tcPr>
            <w:tcW w:w="5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jc w:val="right"/>
              <w:ind w:right="251"/>
              <w:spacing w:after="0" w:line="134" w:lineRule="exact"/>
              <w:rPr>
                <w:sz w:val="20"/>
                <w:szCs w:val="20"/>
                <w:color w:val="auto"/>
              </w:rPr>
            </w:pPr>
            <w:r>
              <w:rPr>
                <w:rFonts w:ascii="Arial" w:cs="Arial" w:eastAsia="Arial" w:hAnsi="Arial"/>
                <w:sz w:val="12"/>
                <w:szCs w:val="12"/>
                <w:color w:val="092E44"/>
              </w:rPr>
              <w:t>Incentive</w:t>
            </w:r>
          </w:p>
        </w:tc>
        <w:tc>
          <w:tcPr>
            <w:tcW w:w="1160" w:type="dxa"/>
            <w:vAlign w:val="bottom"/>
            <w:gridSpan w:val="2"/>
          </w:tcPr>
          <w:p>
            <w:pPr>
              <w:jc w:val="right"/>
              <w:ind w:right="360"/>
              <w:spacing w:after="0" w:line="134" w:lineRule="exact"/>
              <w:rPr>
                <w:sz w:val="20"/>
                <w:szCs w:val="20"/>
                <w:color w:val="auto"/>
              </w:rPr>
            </w:pPr>
            <w:r>
              <w:rPr>
                <w:rFonts w:ascii="Arial" w:cs="Arial" w:eastAsia="Arial" w:hAnsi="Arial"/>
                <w:sz w:val="12"/>
                <w:szCs w:val="12"/>
                <w:color w:val="092E44"/>
              </w:rPr>
              <w:t>Stock</w:t>
            </w:r>
          </w:p>
        </w:tc>
        <w:tc>
          <w:tcPr>
            <w:tcW w:w="1020" w:type="dxa"/>
            <w:vAlign w:val="bottom"/>
          </w:tcPr>
          <w:p>
            <w:pPr>
              <w:jc w:val="right"/>
              <w:ind w:right="71"/>
              <w:spacing w:after="0" w:line="134" w:lineRule="exact"/>
              <w:rPr>
                <w:sz w:val="20"/>
                <w:szCs w:val="20"/>
                <w:color w:val="auto"/>
              </w:rPr>
            </w:pPr>
            <w:r>
              <w:rPr>
                <w:rFonts w:ascii="Arial" w:cs="Arial" w:eastAsia="Arial" w:hAnsi="Arial"/>
                <w:sz w:val="12"/>
                <w:szCs w:val="12"/>
                <w:color w:val="092E44"/>
              </w:rPr>
              <w:t>(Present</w:t>
            </w:r>
          </w:p>
        </w:tc>
        <w:tc>
          <w:tcPr>
            <w:tcW w:w="1040" w:type="dxa"/>
            <w:vAlign w:val="bottom"/>
          </w:tcPr>
          <w:p>
            <w:pPr>
              <w:jc w:val="right"/>
              <w:ind w:right="31"/>
              <w:spacing w:after="0" w:line="134" w:lineRule="exact"/>
              <w:rPr>
                <w:sz w:val="20"/>
                <w:szCs w:val="20"/>
                <w:color w:val="auto"/>
              </w:rPr>
            </w:pPr>
            <w:r>
              <w:rPr>
                <w:rFonts w:ascii="Arial" w:cs="Arial" w:eastAsia="Arial" w:hAnsi="Arial"/>
                <w:sz w:val="12"/>
                <w:szCs w:val="12"/>
                <w:color w:val="092E44"/>
              </w:rPr>
              <w:t>and</w:t>
            </w:r>
          </w:p>
        </w:tc>
      </w:tr>
      <w:tr>
        <w:trPr>
          <w:trHeight w:val="174"/>
        </w:trPr>
        <w:tc>
          <w:tcPr>
            <w:tcW w:w="5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092E44"/>
              </w:rPr>
              <w:t>Base Salary</w:t>
            </w:r>
          </w:p>
        </w:tc>
        <w:tc>
          <w:tcPr>
            <w:tcW w:w="1200" w:type="dxa"/>
            <w:vAlign w:val="bottom"/>
          </w:tcPr>
          <w:p>
            <w:pPr>
              <w:jc w:val="right"/>
              <w:ind w:right="251"/>
              <w:spacing w:after="0"/>
              <w:rPr>
                <w:sz w:val="20"/>
                <w:szCs w:val="20"/>
                <w:color w:val="auto"/>
              </w:rPr>
            </w:pPr>
            <w:r>
              <w:rPr>
                <w:rFonts w:ascii="Arial" w:cs="Arial" w:eastAsia="Arial" w:hAnsi="Arial"/>
                <w:sz w:val="12"/>
                <w:szCs w:val="12"/>
                <w:color w:val="092E44"/>
              </w:rPr>
              <w:t>Bonus</w:t>
            </w:r>
          </w:p>
        </w:tc>
        <w:tc>
          <w:tcPr>
            <w:tcW w:w="1160" w:type="dxa"/>
            <w:vAlign w:val="bottom"/>
            <w:gridSpan w:val="2"/>
          </w:tcPr>
          <w:p>
            <w:pPr>
              <w:jc w:val="right"/>
              <w:ind w:right="360"/>
              <w:spacing w:after="0"/>
              <w:rPr>
                <w:sz w:val="20"/>
                <w:szCs w:val="20"/>
                <w:color w:val="auto"/>
              </w:rPr>
            </w:pPr>
            <w:r>
              <w:rPr>
                <w:rFonts w:ascii="Arial" w:cs="Arial" w:eastAsia="Arial" w:hAnsi="Arial"/>
                <w:sz w:val="12"/>
                <w:szCs w:val="12"/>
                <w:color w:val="092E44"/>
              </w:rPr>
              <w:t>Units(1)</w:t>
            </w:r>
          </w:p>
        </w:tc>
        <w:tc>
          <w:tcPr>
            <w:tcW w:w="1020" w:type="dxa"/>
            <w:vAlign w:val="bottom"/>
          </w:tcPr>
          <w:p>
            <w:pPr>
              <w:jc w:val="right"/>
              <w:ind w:right="71"/>
              <w:spacing w:after="0"/>
              <w:rPr>
                <w:sz w:val="20"/>
                <w:szCs w:val="20"/>
                <w:color w:val="auto"/>
              </w:rPr>
            </w:pPr>
            <w:r>
              <w:rPr>
                <w:rFonts w:ascii="Arial" w:cs="Arial" w:eastAsia="Arial" w:hAnsi="Arial"/>
                <w:sz w:val="12"/>
                <w:szCs w:val="12"/>
                <w:color w:val="092E44"/>
              </w:rPr>
              <w:t>Value)($)</w:t>
            </w:r>
          </w:p>
        </w:tc>
        <w:tc>
          <w:tcPr>
            <w:tcW w:w="1040" w:type="dxa"/>
            <w:vAlign w:val="bottom"/>
          </w:tcPr>
          <w:p>
            <w:pPr>
              <w:jc w:val="right"/>
              <w:ind w:right="31"/>
              <w:spacing w:after="0"/>
              <w:rPr>
                <w:sz w:val="20"/>
                <w:szCs w:val="20"/>
                <w:color w:val="auto"/>
              </w:rPr>
            </w:pPr>
            <w:r>
              <w:rPr>
                <w:rFonts w:ascii="Arial" w:cs="Arial" w:eastAsia="Arial" w:hAnsi="Arial"/>
                <w:sz w:val="12"/>
                <w:szCs w:val="12"/>
                <w:color w:val="092E44"/>
              </w:rPr>
              <w:t>Benefits ($)</w:t>
            </w:r>
          </w:p>
        </w:tc>
      </w:tr>
      <w:tr>
        <w:trPr>
          <w:trHeight w:val="67"/>
        </w:trPr>
        <w:tc>
          <w:tcPr>
            <w:tcW w:w="5460" w:type="dxa"/>
            <w:vAlign w:val="bottom"/>
            <w:tcBorders>
              <w:bottom w:val="single" w:sz="8" w:color="E14A6A"/>
            </w:tcBorders>
          </w:tcPr>
          <w:p>
            <w:pPr>
              <w:spacing w:after="0"/>
              <w:rPr>
                <w:sz w:val="5"/>
                <w:szCs w:val="5"/>
                <w:color w:val="auto"/>
              </w:rPr>
            </w:pPr>
          </w:p>
        </w:tc>
        <w:tc>
          <w:tcPr>
            <w:tcW w:w="320" w:type="dxa"/>
            <w:vAlign w:val="bottom"/>
            <w:tcBorders>
              <w:bottom w:val="single" w:sz="8" w:color="E14A6A"/>
            </w:tcBorders>
          </w:tcPr>
          <w:p>
            <w:pPr>
              <w:spacing w:after="0"/>
              <w:rPr>
                <w:sz w:val="5"/>
                <w:szCs w:val="5"/>
                <w:color w:val="auto"/>
              </w:rPr>
            </w:pPr>
          </w:p>
        </w:tc>
        <w:tc>
          <w:tcPr>
            <w:tcW w:w="720" w:type="dxa"/>
            <w:vAlign w:val="bottom"/>
            <w:tcBorders>
              <w:bottom w:val="single" w:sz="8" w:color="E14A6A"/>
            </w:tcBorders>
          </w:tcPr>
          <w:p>
            <w:pPr>
              <w:spacing w:after="0"/>
              <w:rPr>
                <w:sz w:val="5"/>
                <w:szCs w:val="5"/>
                <w:color w:val="auto"/>
              </w:rPr>
            </w:pPr>
          </w:p>
        </w:tc>
        <w:tc>
          <w:tcPr>
            <w:tcW w:w="1200" w:type="dxa"/>
            <w:vAlign w:val="bottom"/>
            <w:tcBorders>
              <w:bottom w:val="single" w:sz="8" w:color="E14A6A"/>
            </w:tcBorders>
          </w:tcPr>
          <w:p>
            <w:pPr>
              <w:spacing w:after="0"/>
              <w:rPr>
                <w:sz w:val="5"/>
                <w:szCs w:val="5"/>
                <w:color w:val="auto"/>
              </w:rPr>
            </w:pPr>
          </w:p>
        </w:tc>
        <w:tc>
          <w:tcPr>
            <w:tcW w:w="800" w:type="dxa"/>
            <w:vAlign w:val="bottom"/>
            <w:tcBorders>
              <w:bottom w:val="single" w:sz="8" w:color="E14A6A"/>
            </w:tcBorders>
          </w:tcPr>
          <w:p>
            <w:pPr>
              <w:spacing w:after="0"/>
              <w:rPr>
                <w:sz w:val="5"/>
                <w:szCs w:val="5"/>
                <w:color w:val="auto"/>
              </w:rPr>
            </w:pPr>
          </w:p>
        </w:tc>
        <w:tc>
          <w:tcPr>
            <w:tcW w:w="360" w:type="dxa"/>
            <w:vAlign w:val="bottom"/>
            <w:tcBorders>
              <w:bottom w:val="single" w:sz="8" w:color="E14A6A"/>
            </w:tcBorders>
          </w:tcPr>
          <w:p>
            <w:pPr>
              <w:spacing w:after="0"/>
              <w:rPr>
                <w:sz w:val="5"/>
                <w:szCs w:val="5"/>
                <w:color w:val="auto"/>
              </w:rPr>
            </w:pPr>
          </w:p>
        </w:tc>
        <w:tc>
          <w:tcPr>
            <w:tcW w:w="1020" w:type="dxa"/>
            <w:vAlign w:val="bottom"/>
            <w:tcBorders>
              <w:bottom w:val="single" w:sz="8" w:color="E14A6A"/>
            </w:tcBorders>
          </w:tcPr>
          <w:p>
            <w:pPr>
              <w:spacing w:after="0"/>
              <w:rPr>
                <w:sz w:val="5"/>
                <w:szCs w:val="5"/>
                <w:color w:val="auto"/>
              </w:rPr>
            </w:pPr>
          </w:p>
        </w:tc>
        <w:tc>
          <w:tcPr>
            <w:tcW w:w="1040" w:type="dxa"/>
            <w:vAlign w:val="bottom"/>
            <w:tcBorders>
              <w:bottom w:val="single" w:sz="8" w:color="E14A6A"/>
            </w:tcBorders>
          </w:tcPr>
          <w:p>
            <w:pPr>
              <w:spacing w:after="0"/>
              <w:rPr>
                <w:sz w:val="5"/>
                <w:szCs w:val="5"/>
                <w:color w:val="auto"/>
              </w:rPr>
            </w:pPr>
          </w:p>
        </w:tc>
      </w:tr>
      <w:tr>
        <w:trPr>
          <w:trHeight w:val="233"/>
        </w:trPr>
        <w:tc>
          <w:tcPr>
            <w:tcW w:w="5460" w:type="dxa"/>
            <w:vAlign w:val="bottom"/>
          </w:tcPr>
          <w:p>
            <w:pPr>
              <w:ind w:left="80"/>
              <w:spacing w:after="0"/>
              <w:rPr>
                <w:sz w:val="20"/>
                <w:szCs w:val="20"/>
                <w:color w:val="auto"/>
              </w:rPr>
            </w:pPr>
            <w:r>
              <w:rPr>
                <w:rFonts w:ascii="Arial" w:cs="Arial" w:eastAsia="Arial" w:hAnsi="Arial"/>
                <w:sz w:val="14"/>
                <w:szCs w:val="14"/>
                <w:b w:val="1"/>
                <w:bCs w:val="1"/>
                <w:color w:val="092E44"/>
              </w:rPr>
              <w:t>Sanjay Mirchandani</w:t>
            </w: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88"/>
        </w:trPr>
        <w:tc>
          <w:tcPr>
            <w:tcW w:w="5460" w:type="dxa"/>
            <w:vAlign w:val="bottom"/>
          </w:tcPr>
          <w:p>
            <w:pPr>
              <w:ind w:left="80"/>
              <w:spacing w:after="0"/>
              <w:rPr>
                <w:sz w:val="20"/>
                <w:szCs w:val="20"/>
                <w:color w:val="auto"/>
              </w:rPr>
            </w:pPr>
            <w:r>
              <w:rPr>
                <w:rFonts w:ascii="Arial" w:cs="Arial" w:eastAsia="Arial" w:hAnsi="Arial"/>
                <w:sz w:val="14"/>
                <w:szCs w:val="14"/>
                <w:color w:val="092E44"/>
              </w:rPr>
              <w:t>Death</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92E44"/>
              </w:rPr>
              <w:t>—</w:t>
            </w:r>
          </w:p>
        </w:tc>
        <w:tc>
          <w:tcPr>
            <w:tcW w:w="1200" w:type="dxa"/>
            <w:vAlign w:val="bottom"/>
          </w:tcPr>
          <w:p>
            <w:pPr>
              <w:jc w:val="right"/>
              <w:ind w:right="251"/>
              <w:spacing w:after="0"/>
              <w:rPr>
                <w:sz w:val="20"/>
                <w:szCs w:val="20"/>
                <w:color w:val="auto"/>
              </w:rPr>
            </w:pPr>
            <w:r>
              <w:rPr>
                <w:rFonts w:ascii="Arial" w:cs="Arial" w:eastAsia="Arial" w:hAnsi="Arial"/>
                <w:sz w:val="14"/>
                <w:szCs w:val="14"/>
                <w:color w:val="092E44"/>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092E44"/>
              </w:rPr>
              <w:t>16,750,190(2)</w:t>
            </w:r>
          </w:p>
        </w:tc>
        <w:tc>
          <w:tcPr>
            <w:tcW w:w="1020" w:type="dxa"/>
            <w:vAlign w:val="bottom"/>
          </w:tcPr>
          <w:p>
            <w:pPr>
              <w:jc w:val="right"/>
              <w:ind w:right="71"/>
              <w:spacing w:after="0"/>
              <w:rPr>
                <w:sz w:val="20"/>
                <w:szCs w:val="20"/>
                <w:color w:val="auto"/>
              </w:rPr>
            </w:pPr>
            <w:r>
              <w:rPr>
                <w:rFonts w:ascii="Arial" w:cs="Arial" w:eastAsia="Arial" w:hAnsi="Arial"/>
                <w:sz w:val="14"/>
                <w:szCs w:val="14"/>
                <w:color w:val="092E44"/>
              </w:rPr>
              <w:t>—</w:t>
            </w:r>
          </w:p>
        </w:tc>
        <w:tc>
          <w:tcPr>
            <w:tcW w:w="1040" w:type="dxa"/>
            <w:vAlign w:val="bottom"/>
          </w:tcPr>
          <w:p>
            <w:pPr>
              <w:jc w:val="right"/>
              <w:ind w:right="31"/>
              <w:spacing w:after="0"/>
              <w:rPr>
                <w:sz w:val="20"/>
                <w:szCs w:val="20"/>
                <w:color w:val="auto"/>
              </w:rPr>
            </w:pPr>
            <w:r>
              <w:rPr>
                <w:rFonts w:ascii="Arial" w:cs="Arial" w:eastAsia="Arial" w:hAnsi="Arial"/>
                <w:sz w:val="14"/>
                <w:szCs w:val="14"/>
                <w:color w:val="092E44"/>
              </w:rPr>
              <w:t>16,750,190</w:t>
            </w:r>
          </w:p>
        </w:tc>
      </w:tr>
      <w:tr>
        <w:trPr>
          <w:trHeight w:val="294"/>
        </w:trPr>
        <w:tc>
          <w:tcPr>
            <w:tcW w:w="5460" w:type="dxa"/>
            <w:vAlign w:val="bottom"/>
          </w:tcPr>
          <w:p>
            <w:pPr>
              <w:ind w:left="80"/>
              <w:spacing w:after="0"/>
              <w:rPr>
                <w:sz w:val="20"/>
                <w:szCs w:val="20"/>
                <w:color w:val="auto"/>
              </w:rPr>
            </w:pPr>
            <w:r>
              <w:rPr>
                <w:rFonts w:ascii="Arial" w:cs="Arial" w:eastAsia="Arial" w:hAnsi="Arial"/>
                <w:sz w:val="14"/>
                <w:szCs w:val="14"/>
                <w:color w:val="092E44"/>
              </w:rPr>
              <w:t>Disability</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92E44"/>
              </w:rPr>
              <w:t>—</w:t>
            </w:r>
          </w:p>
        </w:tc>
        <w:tc>
          <w:tcPr>
            <w:tcW w:w="1200" w:type="dxa"/>
            <w:vAlign w:val="bottom"/>
          </w:tcPr>
          <w:p>
            <w:pPr>
              <w:jc w:val="right"/>
              <w:ind w:right="251"/>
              <w:spacing w:after="0"/>
              <w:rPr>
                <w:sz w:val="20"/>
                <w:szCs w:val="20"/>
                <w:color w:val="auto"/>
              </w:rPr>
            </w:pPr>
            <w:r>
              <w:rPr>
                <w:rFonts w:ascii="Arial" w:cs="Arial" w:eastAsia="Arial" w:hAnsi="Arial"/>
                <w:sz w:val="14"/>
                <w:szCs w:val="14"/>
                <w:color w:val="092E44"/>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092E44"/>
              </w:rPr>
              <w:t>16,750,190(2)</w:t>
            </w:r>
          </w:p>
        </w:tc>
        <w:tc>
          <w:tcPr>
            <w:tcW w:w="1020" w:type="dxa"/>
            <w:vAlign w:val="bottom"/>
          </w:tcPr>
          <w:p>
            <w:pPr>
              <w:jc w:val="right"/>
              <w:ind w:right="71"/>
              <w:spacing w:after="0"/>
              <w:rPr>
                <w:sz w:val="20"/>
                <w:szCs w:val="20"/>
                <w:color w:val="auto"/>
              </w:rPr>
            </w:pPr>
            <w:r>
              <w:rPr>
                <w:rFonts w:ascii="Arial" w:cs="Arial" w:eastAsia="Arial" w:hAnsi="Arial"/>
                <w:sz w:val="14"/>
                <w:szCs w:val="14"/>
                <w:color w:val="092E44"/>
              </w:rPr>
              <w:t>—</w:t>
            </w:r>
          </w:p>
        </w:tc>
        <w:tc>
          <w:tcPr>
            <w:tcW w:w="1040" w:type="dxa"/>
            <w:vAlign w:val="bottom"/>
          </w:tcPr>
          <w:p>
            <w:pPr>
              <w:jc w:val="right"/>
              <w:ind w:right="31"/>
              <w:spacing w:after="0"/>
              <w:rPr>
                <w:sz w:val="20"/>
                <w:szCs w:val="20"/>
                <w:color w:val="auto"/>
              </w:rPr>
            </w:pPr>
            <w:r>
              <w:rPr>
                <w:rFonts w:ascii="Arial" w:cs="Arial" w:eastAsia="Arial" w:hAnsi="Arial"/>
                <w:sz w:val="14"/>
                <w:szCs w:val="14"/>
                <w:color w:val="092E44"/>
              </w:rPr>
              <w:t>16,750,190</w:t>
            </w:r>
          </w:p>
        </w:tc>
      </w:tr>
      <w:tr>
        <w:trPr>
          <w:trHeight w:val="294"/>
        </w:trPr>
        <w:tc>
          <w:tcPr>
            <w:tcW w:w="5460" w:type="dxa"/>
            <w:vAlign w:val="bottom"/>
          </w:tcPr>
          <w:p>
            <w:pPr>
              <w:ind w:left="80"/>
              <w:spacing w:after="0"/>
              <w:rPr>
                <w:sz w:val="20"/>
                <w:szCs w:val="20"/>
                <w:color w:val="auto"/>
              </w:rPr>
            </w:pPr>
            <w:r>
              <w:rPr>
                <w:rFonts w:ascii="Arial" w:cs="Arial" w:eastAsia="Arial" w:hAnsi="Arial"/>
                <w:sz w:val="14"/>
                <w:szCs w:val="14"/>
                <w:color w:val="092E44"/>
              </w:rPr>
              <w:t>Involuntary termination without cause or with good reason</w:t>
            </w:r>
          </w:p>
        </w:tc>
        <w:tc>
          <w:tcPr>
            <w:tcW w:w="1040" w:type="dxa"/>
            <w:vAlign w:val="bottom"/>
            <w:gridSpan w:val="2"/>
          </w:tcPr>
          <w:p>
            <w:pPr>
              <w:jc w:val="right"/>
              <w:spacing w:after="0"/>
              <w:rPr>
                <w:sz w:val="20"/>
                <w:szCs w:val="20"/>
                <w:color w:val="auto"/>
              </w:rPr>
            </w:pPr>
            <w:r>
              <w:rPr>
                <w:rFonts w:ascii="Arial" w:cs="Arial" w:eastAsia="Arial" w:hAnsi="Arial"/>
                <w:sz w:val="14"/>
                <w:szCs w:val="14"/>
                <w:color w:val="092E44"/>
              </w:rPr>
              <w:t>645,000</w:t>
            </w:r>
          </w:p>
        </w:tc>
        <w:tc>
          <w:tcPr>
            <w:tcW w:w="1200" w:type="dxa"/>
            <w:vAlign w:val="bottom"/>
          </w:tcPr>
          <w:p>
            <w:pPr>
              <w:jc w:val="right"/>
              <w:ind w:right="251"/>
              <w:spacing w:after="0"/>
              <w:rPr>
                <w:sz w:val="20"/>
                <w:szCs w:val="20"/>
                <w:color w:val="auto"/>
              </w:rPr>
            </w:pPr>
            <w:r>
              <w:rPr>
                <w:rFonts w:ascii="Arial" w:cs="Arial" w:eastAsia="Arial" w:hAnsi="Arial"/>
                <w:sz w:val="14"/>
                <w:szCs w:val="14"/>
                <w:color w:val="092E44"/>
              </w:rPr>
              <w:t>645,000</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092E44"/>
              </w:rPr>
              <w:t>9,819,468(3)</w:t>
            </w:r>
          </w:p>
        </w:tc>
        <w:tc>
          <w:tcPr>
            <w:tcW w:w="1020" w:type="dxa"/>
            <w:vAlign w:val="bottom"/>
          </w:tcPr>
          <w:p>
            <w:pPr>
              <w:jc w:val="right"/>
              <w:ind w:right="71"/>
              <w:spacing w:after="0"/>
              <w:rPr>
                <w:sz w:val="20"/>
                <w:szCs w:val="20"/>
                <w:color w:val="auto"/>
              </w:rPr>
            </w:pPr>
            <w:r>
              <w:rPr>
                <w:rFonts w:ascii="Arial" w:cs="Arial" w:eastAsia="Arial" w:hAnsi="Arial"/>
                <w:sz w:val="14"/>
                <w:szCs w:val="14"/>
                <w:color w:val="092E44"/>
              </w:rPr>
              <w:t>11,303</w:t>
            </w:r>
          </w:p>
        </w:tc>
        <w:tc>
          <w:tcPr>
            <w:tcW w:w="1040" w:type="dxa"/>
            <w:vAlign w:val="bottom"/>
          </w:tcPr>
          <w:p>
            <w:pPr>
              <w:jc w:val="right"/>
              <w:ind w:right="31"/>
              <w:spacing w:after="0"/>
              <w:rPr>
                <w:sz w:val="20"/>
                <w:szCs w:val="20"/>
                <w:color w:val="auto"/>
              </w:rPr>
            </w:pPr>
            <w:r>
              <w:rPr>
                <w:rFonts w:ascii="Arial" w:cs="Arial" w:eastAsia="Arial" w:hAnsi="Arial"/>
                <w:sz w:val="14"/>
                <w:szCs w:val="14"/>
                <w:color w:val="092E44"/>
              </w:rPr>
              <w:t>11,120,771</w:t>
            </w:r>
          </w:p>
        </w:tc>
      </w:tr>
      <w:tr>
        <w:trPr>
          <w:trHeight w:val="266"/>
        </w:trPr>
        <w:tc>
          <w:tcPr>
            <w:tcW w:w="5460" w:type="dxa"/>
            <w:vAlign w:val="bottom"/>
          </w:tcPr>
          <w:p>
            <w:pPr>
              <w:ind w:left="80"/>
              <w:spacing w:after="0"/>
              <w:rPr>
                <w:sz w:val="20"/>
                <w:szCs w:val="20"/>
                <w:color w:val="auto"/>
              </w:rPr>
            </w:pPr>
            <w:r>
              <w:rPr>
                <w:rFonts w:ascii="Arial" w:cs="Arial" w:eastAsia="Arial" w:hAnsi="Arial"/>
                <w:sz w:val="14"/>
                <w:szCs w:val="14"/>
                <w:color w:val="092E44"/>
              </w:rPr>
              <w:t>Involuntary termination without cause, on account of disability, or with good reason in</w:t>
            </w: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189"/>
        </w:trPr>
        <w:tc>
          <w:tcPr>
            <w:tcW w:w="5460" w:type="dxa"/>
            <w:vAlign w:val="bottom"/>
          </w:tcPr>
          <w:p>
            <w:pPr>
              <w:ind w:left="80"/>
              <w:spacing w:after="0"/>
              <w:rPr>
                <w:sz w:val="20"/>
                <w:szCs w:val="20"/>
                <w:color w:val="auto"/>
              </w:rPr>
            </w:pPr>
            <w:r>
              <w:rPr>
                <w:rFonts w:ascii="Arial" w:cs="Arial" w:eastAsia="Arial" w:hAnsi="Arial"/>
                <w:sz w:val="14"/>
                <w:szCs w:val="14"/>
                <w:color w:val="092E44"/>
              </w:rPr>
              <w:t>connection with a change in control</w:t>
            </w:r>
          </w:p>
        </w:tc>
        <w:tc>
          <w:tcPr>
            <w:tcW w:w="1040" w:type="dxa"/>
            <w:vAlign w:val="bottom"/>
            <w:gridSpan w:val="2"/>
          </w:tcPr>
          <w:p>
            <w:pPr>
              <w:jc w:val="right"/>
              <w:spacing w:after="0"/>
              <w:rPr>
                <w:sz w:val="20"/>
                <w:szCs w:val="20"/>
                <w:color w:val="auto"/>
              </w:rPr>
            </w:pPr>
            <w:r>
              <w:rPr>
                <w:rFonts w:ascii="Arial" w:cs="Arial" w:eastAsia="Arial" w:hAnsi="Arial"/>
                <w:sz w:val="14"/>
                <w:szCs w:val="14"/>
                <w:color w:val="092E44"/>
              </w:rPr>
              <w:t>967,500</w:t>
            </w:r>
          </w:p>
        </w:tc>
        <w:tc>
          <w:tcPr>
            <w:tcW w:w="1200" w:type="dxa"/>
            <w:vAlign w:val="bottom"/>
          </w:tcPr>
          <w:p>
            <w:pPr>
              <w:jc w:val="right"/>
              <w:ind w:right="251"/>
              <w:spacing w:after="0"/>
              <w:rPr>
                <w:sz w:val="20"/>
                <w:szCs w:val="20"/>
                <w:color w:val="auto"/>
              </w:rPr>
            </w:pPr>
            <w:r>
              <w:rPr>
                <w:rFonts w:ascii="Arial" w:cs="Arial" w:eastAsia="Arial" w:hAnsi="Arial"/>
                <w:sz w:val="14"/>
                <w:szCs w:val="14"/>
                <w:color w:val="092E44"/>
              </w:rPr>
              <w:t>967,500</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092E44"/>
              </w:rPr>
              <w:t>16,750,190(2)</w:t>
            </w:r>
          </w:p>
        </w:tc>
        <w:tc>
          <w:tcPr>
            <w:tcW w:w="1020" w:type="dxa"/>
            <w:vAlign w:val="bottom"/>
          </w:tcPr>
          <w:p>
            <w:pPr>
              <w:jc w:val="right"/>
              <w:ind w:right="71"/>
              <w:spacing w:after="0"/>
              <w:rPr>
                <w:sz w:val="20"/>
                <w:szCs w:val="20"/>
                <w:color w:val="auto"/>
              </w:rPr>
            </w:pPr>
            <w:r>
              <w:rPr>
                <w:rFonts w:ascii="Arial" w:cs="Arial" w:eastAsia="Arial" w:hAnsi="Arial"/>
                <w:sz w:val="14"/>
                <w:szCs w:val="14"/>
                <w:color w:val="092E44"/>
              </w:rPr>
              <w:t>11,303</w:t>
            </w:r>
          </w:p>
        </w:tc>
        <w:tc>
          <w:tcPr>
            <w:tcW w:w="1040" w:type="dxa"/>
            <w:vAlign w:val="bottom"/>
          </w:tcPr>
          <w:p>
            <w:pPr>
              <w:jc w:val="right"/>
              <w:ind w:right="31"/>
              <w:spacing w:after="0"/>
              <w:rPr>
                <w:sz w:val="20"/>
                <w:szCs w:val="20"/>
                <w:color w:val="auto"/>
              </w:rPr>
            </w:pPr>
            <w:r>
              <w:rPr>
                <w:rFonts w:ascii="Arial" w:cs="Arial" w:eastAsia="Arial" w:hAnsi="Arial"/>
                <w:sz w:val="14"/>
                <w:szCs w:val="14"/>
                <w:color w:val="092E44"/>
              </w:rPr>
              <w:t>18,696,493</w:t>
            </w:r>
          </w:p>
        </w:tc>
      </w:tr>
      <w:tr>
        <w:trPr>
          <w:trHeight w:val="48"/>
        </w:trPr>
        <w:tc>
          <w:tcPr>
            <w:tcW w:w="5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3"/>
        </w:trPr>
        <w:tc>
          <w:tcPr>
            <w:tcW w:w="5460" w:type="dxa"/>
            <w:vAlign w:val="bottom"/>
            <w:shd w:val="clear" w:color="auto" w:fill="DDE9F2"/>
          </w:tcPr>
          <w:p>
            <w:pPr>
              <w:ind w:left="80"/>
              <w:spacing w:after="0"/>
              <w:rPr>
                <w:sz w:val="20"/>
                <w:szCs w:val="20"/>
                <w:color w:val="auto"/>
              </w:rPr>
            </w:pPr>
            <w:r>
              <w:rPr>
                <w:rFonts w:ascii="Arial" w:cs="Arial" w:eastAsia="Arial" w:hAnsi="Arial"/>
                <w:sz w:val="14"/>
                <w:szCs w:val="14"/>
                <w:b w:val="1"/>
                <w:bCs w:val="1"/>
                <w:color w:val="092E44"/>
              </w:rPr>
              <w:t>Brian Carolan</w:t>
            </w:r>
          </w:p>
        </w:tc>
        <w:tc>
          <w:tcPr>
            <w:tcW w:w="320" w:type="dxa"/>
            <w:vAlign w:val="bottom"/>
            <w:shd w:val="clear" w:color="auto" w:fill="DDE9F2"/>
          </w:tcPr>
          <w:p>
            <w:pPr>
              <w:spacing w:after="0"/>
              <w:rPr>
                <w:sz w:val="21"/>
                <w:szCs w:val="21"/>
                <w:color w:val="auto"/>
              </w:rPr>
            </w:pPr>
          </w:p>
        </w:tc>
        <w:tc>
          <w:tcPr>
            <w:tcW w:w="720" w:type="dxa"/>
            <w:vAlign w:val="bottom"/>
            <w:shd w:val="clear" w:color="auto" w:fill="DDE9F2"/>
          </w:tcPr>
          <w:p>
            <w:pPr>
              <w:spacing w:after="0"/>
              <w:rPr>
                <w:sz w:val="21"/>
                <w:szCs w:val="21"/>
                <w:color w:val="auto"/>
              </w:rPr>
            </w:pPr>
          </w:p>
        </w:tc>
        <w:tc>
          <w:tcPr>
            <w:tcW w:w="1200" w:type="dxa"/>
            <w:vAlign w:val="bottom"/>
            <w:shd w:val="clear" w:color="auto" w:fill="DDE9F2"/>
          </w:tcPr>
          <w:p>
            <w:pPr>
              <w:spacing w:after="0"/>
              <w:rPr>
                <w:sz w:val="21"/>
                <w:szCs w:val="21"/>
                <w:color w:val="auto"/>
              </w:rPr>
            </w:pPr>
          </w:p>
        </w:tc>
        <w:tc>
          <w:tcPr>
            <w:tcW w:w="800" w:type="dxa"/>
            <w:vAlign w:val="bottom"/>
            <w:shd w:val="clear" w:color="auto" w:fill="DDE9F2"/>
          </w:tcPr>
          <w:p>
            <w:pPr>
              <w:spacing w:after="0"/>
              <w:rPr>
                <w:sz w:val="21"/>
                <w:szCs w:val="21"/>
                <w:color w:val="auto"/>
              </w:rPr>
            </w:pPr>
          </w:p>
        </w:tc>
        <w:tc>
          <w:tcPr>
            <w:tcW w:w="360" w:type="dxa"/>
            <w:vAlign w:val="bottom"/>
            <w:shd w:val="clear" w:color="auto" w:fill="DDE9F2"/>
          </w:tcPr>
          <w:p>
            <w:pPr>
              <w:spacing w:after="0"/>
              <w:rPr>
                <w:sz w:val="21"/>
                <w:szCs w:val="21"/>
                <w:color w:val="auto"/>
              </w:rPr>
            </w:pPr>
          </w:p>
        </w:tc>
        <w:tc>
          <w:tcPr>
            <w:tcW w:w="1020" w:type="dxa"/>
            <w:vAlign w:val="bottom"/>
            <w:shd w:val="clear" w:color="auto" w:fill="DDE9F2"/>
          </w:tcPr>
          <w:p>
            <w:pPr>
              <w:spacing w:after="0"/>
              <w:rPr>
                <w:sz w:val="21"/>
                <w:szCs w:val="21"/>
                <w:color w:val="auto"/>
              </w:rPr>
            </w:pPr>
          </w:p>
        </w:tc>
        <w:tc>
          <w:tcPr>
            <w:tcW w:w="1040" w:type="dxa"/>
            <w:vAlign w:val="bottom"/>
            <w:shd w:val="clear" w:color="auto" w:fill="DDE9F2"/>
          </w:tcPr>
          <w:p>
            <w:pPr>
              <w:spacing w:after="0"/>
              <w:rPr>
                <w:sz w:val="21"/>
                <w:szCs w:val="21"/>
                <w:color w:val="auto"/>
              </w:rPr>
            </w:pPr>
          </w:p>
        </w:tc>
      </w:tr>
      <w:tr>
        <w:trPr>
          <w:trHeight w:val="288"/>
        </w:trPr>
        <w:tc>
          <w:tcPr>
            <w:tcW w:w="5460" w:type="dxa"/>
            <w:vAlign w:val="bottom"/>
            <w:shd w:val="clear" w:color="auto" w:fill="DDE9F2"/>
          </w:tcPr>
          <w:p>
            <w:pPr>
              <w:ind w:left="80"/>
              <w:spacing w:after="0"/>
              <w:rPr>
                <w:sz w:val="20"/>
                <w:szCs w:val="20"/>
                <w:color w:val="auto"/>
              </w:rPr>
            </w:pPr>
            <w:r>
              <w:rPr>
                <w:rFonts w:ascii="Arial" w:cs="Arial" w:eastAsia="Arial" w:hAnsi="Arial"/>
                <w:sz w:val="14"/>
                <w:szCs w:val="14"/>
                <w:color w:val="092E44"/>
              </w:rPr>
              <w:t>Death</w:t>
            </w:r>
          </w:p>
        </w:tc>
        <w:tc>
          <w:tcPr>
            <w:tcW w:w="320" w:type="dxa"/>
            <w:vAlign w:val="bottom"/>
            <w:shd w:val="clear" w:color="auto" w:fill="DDE9F2"/>
          </w:tcPr>
          <w:p>
            <w:pPr>
              <w:spacing w:after="0"/>
              <w:rPr>
                <w:sz w:val="24"/>
                <w:szCs w:val="24"/>
                <w:color w:val="auto"/>
              </w:rPr>
            </w:pPr>
          </w:p>
        </w:tc>
        <w:tc>
          <w:tcPr>
            <w:tcW w:w="720" w:type="dxa"/>
            <w:vAlign w:val="bottom"/>
            <w:shd w:val="clear" w:color="auto" w:fill="DDE9F2"/>
          </w:tcPr>
          <w:p>
            <w:pPr>
              <w:jc w:val="right"/>
              <w:spacing w:after="0"/>
              <w:rPr>
                <w:sz w:val="20"/>
                <w:szCs w:val="20"/>
                <w:color w:val="auto"/>
              </w:rPr>
            </w:pPr>
            <w:r>
              <w:rPr>
                <w:rFonts w:ascii="Arial" w:cs="Arial" w:eastAsia="Arial" w:hAnsi="Arial"/>
                <w:sz w:val="14"/>
                <w:szCs w:val="14"/>
                <w:color w:val="092E44"/>
              </w:rPr>
              <w:t>—</w:t>
            </w:r>
          </w:p>
        </w:tc>
        <w:tc>
          <w:tcPr>
            <w:tcW w:w="1200" w:type="dxa"/>
            <w:vAlign w:val="bottom"/>
            <w:shd w:val="clear" w:color="auto" w:fill="DDE9F2"/>
          </w:tcPr>
          <w:p>
            <w:pPr>
              <w:jc w:val="right"/>
              <w:ind w:right="251"/>
              <w:spacing w:after="0"/>
              <w:rPr>
                <w:sz w:val="20"/>
                <w:szCs w:val="20"/>
                <w:color w:val="auto"/>
              </w:rPr>
            </w:pPr>
            <w:r>
              <w:rPr>
                <w:rFonts w:ascii="Arial" w:cs="Arial" w:eastAsia="Arial" w:hAnsi="Arial"/>
                <w:sz w:val="14"/>
                <w:szCs w:val="14"/>
                <w:color w:val="092E44"/>
              </w:rPr>
              <w:t>—</w:t>
            </w:r>
          </w:p>
        </w:tc>
        <w:tc>
          <w:tcPr>
            <w:tcW w:w="1160" w:type="dxa"/>
            <w:vAlign w:val="bottom"/>
            <w:gridSpan w:val="2"/>
            <w:shd w:val="clear" w:color="auto" w:fill="DDE9F2"/>
          </w:tcPr>
          <w:p>
            <w:pPr>
              <w:jc w:val="right"/>
              <w:ind w:right="180"/>
              <w:spacing w:after="0"/>
              <w:rPr>
                <w:sz w:val="20"/>
                <w:szCs w:val="20"/>
                <w:color w:val="auto"/>
              </w:rPr>
            </w:pPr>
            <w:r>
              <w:rPr>
                <w:rFonts w:ascii="Arial" w:cs="Arial" w:eastAsia="Arial" w:hAnsi="Arial"/>
                <w:sz w:val="14"/>
                <w:szCs w:val="14"/>
                <w:color w:val="092E44"/>
              </w:rPr>
              <w:t>4,645,827(2)</w:t>
            </w:r>
          </w:p>
        </w:tc>
        <w:tc>
          <w:tcPr>
            <w:tcW w:w="1020" w:type="dxa"/>
            <w:vAlign w:val="bottom"/>
            <w:shd w:val="clear" w:color="auto" w:fill="DDE9F2"/>
          </w:tcPr>
          <w:p>
            <w:pPr>
              <w:jc w:val="right"/>
              <w:ind w:right="71"/>
              <w:spacing w:after="0"/>
              <w:rPr>
                <w:sz w:val="20"/>
                <w:szCs w:val="20"/>
                <w:color w:val="auto"/>
              </w:rPr>
            </w:pPr>
            <w:r>
              <w:rPr>
                <w:rFonts w:ascii="Arial" w:cs="Arial" w:eastAsia="Arial" w:hAnsi="Arial"/>
                <w:sz w:val="14"/>
                <w:szCs w:val="14"/>
                <w:color w:val="092E44"/>
              </w:rPr>
              <w:t>—</w:t>
            </w:r>
          </w:p>
        </w:tc>
        <w:tc>
          <w:tcPr>
            <w:tcW w:w="1040" w:type="dxa"/>
            <w:vAlign w:val="bottom"/>
            <w:shd w:val="clear" w:color="auto" w:fill="DDE9F2"/>
          </w:tcPr>
          <w:p>
            <w:pPr>
              <w:jc w:val="right"/>
              <w:ind w:right="31"/>
              <w:spacing w:after="0"/>
              <w:rPr>
                <w:sz w:val="20"/>
                <w:szCs w:val="20"/>
                <w:color w:val="auto"/>
              </w:rPr>
            </w:pPr>
            <w:r>
              <w:rPr>
                <w:rFonts w:ascii="Arial" w:cs="Arial" w:eastAsia="Arial" w:hAnsi="Arial"/>
                <w:sz w:val="14"/>
                <w:szCs w:val="14"/>
                <w:color w:val="092E44"/>
              </w:rPr>
              <w:t>4,645,827</w:t>
            </w:r>
          </w:p>
        </w:tc>
      </w:tr>
      <w:tr>
        <w:trPr>
          <w:trHeight w:val="294"/>
        </w:trPr>
        <w:tc>
          <w:tcPr>
            <w:tcW w:w="5460" w:type="dxa"/>
            <w:vAlign w:val="bottom"/>
            <w:shd w:val="clear" w:color="auto" w:fill="DDE9F2"/>
          </w:tcPr>
          <w:p>
            <w:pPr>
              <w:ind w:left="80"/>
              <w:spacing w:after="0"/>
              <w:rPr>
                <w:sz w:val="20"/>
                <w:szCs w:val="20"/>
                <w:color w:val="auto"/>
              </w:rPr>
            </w:pPr>
            <w:r>
              <w:rPr>
                <w:rFonts w:ascii="Arial" w:cs="Arial" w:eastAsia="Arial" w:hAnsi="Arial"/>
                <w:sz w:val="14"/>
                <w:szCs w:val="14"/>
                <w:color w:val="092E44"/>
              </w:rPr>
              <w:t>Disability</w:t>
            </w:r>
          </w:p>
        </w:tc>
        <w:tc>
          <w:tcPr>
            <w:tcW w:w="320" w:type="dxa"/>
            <w:vAlign w:val="bottom"/>
            <w:shd w:val="clear" w:color="auto" w:fill="DDE9F2"/>
          </w:tcPr>
          <w:p>
            <w:pPr>
              <w:spacing w:after="0"/>
              <w:rPr>
                <w:sz w:val="24"/>
                <w:szCs w:val="24"/>
                <w:color w:val="auto"/>
              </w:rPr>
            </w:pPr>
          </w:p>
        </w:tc>
        <w:tc>
          <w:tcPr>
            <w:tcW w:w="720" w:type="dxa"/>
            <w:vAlign w:val="bottom"/>
            <w:shd w:val="clear" w:color="auto" w:fill="DDE9F2"/>
          </w:tcPr>
          <w:p>
            <w:pPr>
              <w:jc w:val="right"/>
              <w:spacing w:after="0"/>
              <w:rPr>
                <w:sz w:val="20"/>
                <w:szCs w:val="20"/>
                <w:color w:val="auto"/>
              </w:rPr>
            </w:pPr>
            <w:r>
              <w:rPr>
                <w:rFonts w:ascii="Arial" w:cs="Arial" w:eastAsia="Arial" w:hAnsi="Arial"/>
                <w:sz w:val="14"/>
                <w:szCs w:val="14"/>
                <w:color w:val="092E44"/>
              </w:rPr>
              <w:t>—</w:t>
            </w:r>
          </w:p>
        </w:tc>
        <w:tc>
          <w:tcPr>
            <w:tcW w:w="1200" w:type="dxa"/>
            <w:vAlign w:val="bottom"/>
            <w:shd w:val="clear" w:color="auto" w:fill="DDE9F2"/>
          </w:tcPr>
          <w:p>
            <w:pPr>
              <w:jc w:val="right"/>
              <w:ind w:right="251"/>
              <w:spacing w:after="0"/>
              <w:rPr>
                <w:sz w:val="20"/>
                <w:szCs w:val="20"/>
                <w:color w:val="auto"/>
              </w:rPr>
            </w:pPr>
            <w:r>
              <w:rPr>
                <w:rFonts w:ascii="Arial" w:cs="Arial" w:eastAsia="Arial" w:hAnsi="Arial"/>
                <w:sz w:val="14"/>
                <w:szCs w:val="14"/>
                <w:color w:val="092E44"/>
              </w:rPr>
              <w:t>—</w:t>
            </w:r>
          </w:p>
        </w:tc>
        <w:tc>
          <w:tcPr>
            <w:tcW w:w="1160" w:type="dxa"/>
            <w:vAlign w:val="bottom"/>
            <w:gridSpan w:val="2"/>
            <w:shd w:val="clear" w:color="auto" w:fill="DDE9F2"/>
          </w:tcPr>
          <w:p>
            <w:pPr>
              <w:jc w:val="right"/>
              <w:ind w:right="180"/>
              <w:spacing w:after="0"/>
              <w:rPr>
                <w:sz w:val="20"/>
                <w:szCs w:val="20"/>
                <w:color w:val="auto"/>
              </w:rPr>
            </w:pPr>
            <w:r>
              <w:rPr>
                <w:rFonts w:ascii="Arial" w:cs="Arial" w:eastAsia="Arial" w:hAnsi="Arial"/>
                <w:sz w:val="14"/>
                <w:szCs w:val="14"/>
                <w:color w:val="092E44"/>
              </w:rPr>
              <w:t>4,645,827(2)</w:t>
            </w:r>
          </w:p>
        </w:tc>
        <w:tc>
          <w:tcPr>
            <w:tcW w:w="1020" w:type="dxa"/>
            <w:vAlign w:val="bottom"/>
            <w:shd w:val="clear" w:color="auto" w:fill="DDE9F2"/>
          </w:tcPr>
          <w:p>
            <w:pPr>
              <w:jc w:val="right"/>
              <w:ind w:right="71"/>
              <w:spacing w:after="0"/>
              <w:rPr>
                <w:sz w:val="20"/>
                <w:szCs w:val="20"/>
                <w:color w:val="auto"/>
              </w:rPr>
            </w:pPr>
            <w:r>
              <w:rPr>
                <w:rFonts w:ascii="Arial" w:cs="Arial" w:eastAsia="Arial" w:hAnsi="Arial"/>
                <w:sz w:val="14"/>
                <w:szCs w:val="14"/>
                <w:color w:val="092E44"/>
              </w:rPr>
              <w:t>—</w:t>
            </w:r>
          </w:p>
        </w:tc>
        <w:tc>
          <w:tcPr>
            <w:tcW w:w="1040" w:type="dxa"/>
            <w:vAlign w:val="bottom"/>
            <w:shd w:val="clear" w:color="auto" w:fill="DDE9F2"/>
          </w:tcPr>
          <w:p>
            <w:pPr>
              <w:jc w:val="right"/>
              <w:ind w:right="31"/>
              <w:spacing w:after="0"/>
              <w:rPr>
                <w:sz w:val="20"/>
                <w:szCs w:val="20"/>
                <w:color w:val="auto"/>
              </w:rPr>
            </w:pPr>
            <w:r>
              <w:rPr>
                <w:rFonts w:ascii="Arial" w:cs="Arial" w:eastAsia="Arial" w:hAnsi="Arial"/>
                <w:sz w:val="14"/>
                <w:szCs w:val="14"/>
                <w:color w:val="092E44"/>
              </w:rPr>
              <w:t>4,645,827</w:t>
            </w:r>
          </w:p>
        </w:tc>
      </w:tr>
      <w:tr>
        <w:trPr>
          <w:trHeight w:val="294"/>
        </w:trPr>
        <w:tc>
          <w:tcPr>
            <w:tcW w:w="5460" w:type="dxa"/>
            <w:vAlign w:val="bottom"/>
            <w:shd w:val="clear" w:color="auto" w:fill="DDE9F2"/>
          </w:tcPr>
          <w:p>
            <w:pPr>
              <w:ind w:left="80"/>
              <w:spacing w:after="0"/>
              <w:rPr>
                <w:sz w:val="20"/>
                <w:szCs w:val="20"/>
                <w:color w:val="auto"/>
              </w:rPr>
            </w:pPr>
            <w:r>
              <w:rPr>
                <w:rFonts w:ascii="Arial" w:cs="Arial" w:eastAsia="Arial" w:hAnsi="Arial"/>
                <w:sz w:val="14"/>
                <w:szCs w:val="14"/>
                <w:color w:val="092E44"/>
              </w:rPr>
              <w:t>Involuntary termination without cause or with good reason</w:t>
            </w:r>
          </w:p>
        </w:tc>
        <w:tc>
          <w:tcPr>
            <w:tcW w:w="1040" w:type="dxa"/>
            <w:vAlign w:val="bottom"/>
            <w:gridSpan w:val="2"/>
            <w:shd w:val="clear" w:color="auto" w:fill="DDE9F2"/>
          </w:tcPr>
          <w:p>
            <w:pPr>
              <w:jc w:val="right"/>
              <w:spacing w:after="0"/>
              <w:rPr>
                <w:sz w:val="20"/>
                <w:szCs w:val="20"/>
                <w:color w:val="auto"/>
              </w:rPr>
            </w:pPr>
            <w:r>
              <w:rPr>
                <w:rFonts w:ascii="Arial" w:cs="Arial" w:eastAsia="Arial" w:hAnsi="Arial"/>
                <w:sz w:val="14"/>
                <w:szCs w:val="14"/>
                <w:color w:val="092E44"/>
              </w:rPr>
              <w:t>410,000</w:t>
            </w:r>
          </w:p>
        </w:tc>
        <w:tc>
          <w:tcPr>
            <w:tcW w:w="1200" w:type="dxa"/>
            <w:vAlign w:val="bottom"/>
            <w:shd w:val="clear" w:color="auto" w:fill="DDE9F2"/>
          </w:tcPr>
          <w:p>
            <w:pPr>
              <w:jc w:val="right"/>
              <w:ind w:right="251"/>
              <w:spacing w:after="0"/>
              <w:rPr>
                <w:sz w:val="20"/>
                <w:szCs w:val="20"/>
                <w:color w:val="auto"/>
              </w:rPr>
            </w:pPr>
            <w:r>
              <w:rPr>
                <w:rFonts w:ascii="Arial" w:cs="Arial" w:eastAsia="Arial" w:hAnsi="Arial"/>
                <w:sz w:val="14"/>
                <w:szCs w:val="14"/>
                <w:color w:val="092E44"/>
              </w:rPr>
              <w:t>—</w:t>
            </w:r>
          </w:p>
        </w:tc>
        <w:tc>
          <w:tcPr>
            <w:tcW w:w="1160" w:type="dxa"/>
            <w:vAlign w:val="bottom"/>
            <w:gridSpan w:val="2"/>
            <w:shd w:val="clear" w:color="auto" w:fill="DDE9F2"/>
          </w:tcPr>
          <w:p>
            <w:pPr>
              <w:jc w:val="right"/>
              <w:ind w:right="180"/>
              <w:spacing w:after="0"/>
              <w:rPr>
                <w:sz w:val="20"/>
                <w:szCs w:val="20"/>
                <w:color w:val="auto"/>
              </w:rPr>
            </w:pPr>
            <w:r>
              <w:rPr>
                <w:rFonts w:ascii="Arial" w:cs="Arial" w:eastAsia="Arial" w:hAnsi="Arial"/>
                <w:sz w:val="14"/>
                <w:szCs w:val="14"/>
                <w:color w:val="092E44"/>
              </w:rPr>
              <w:t>2,788,160(3)</w:t>
            </w:r>
          </w:p>
        </w:tc>
        <w:tc>
          <w:tcPr>
            <w:tcW w:w="1020" w:type="dxa"/>
            <w:vAlign w:val="bottom"/>
            <w:shd w:val="clear" w:color="auto" w:fill="DDE9F2"/>
          </w:tcPr>
          <w:p>
            <w:pPr>
              <w:jc w:val="right"/>
              <w:ind w:right="71"/>
              <w:spacing w:after="0"/>
              <w:rPr>
                <w:sz w:val="20"/>
                <w:szCs w:val="20"/>
                <w:color w:val="auto"/>
              </w:rPr>
            </w:pPr>
            <w:r>
              <w:rPr>
                <w:rFonts w:ascii="Arial" w:cs="Arial" w:eastAsia="Arial" w:hAnsi="Arial"/>
                <w:sz w:val="14"/>
                <w:szCs w:val="14"/>
                <w:color w:val="092E44"/>
              </w:rPr>
              <w:t>43,156</w:t>
            </w:r>
          </w:p>
        </w:tc>
        <w:tc>
          <w:tcPr>
            <w:tcW w:w="1040" w:type="dxa"/>
            <w:vAlign w:val="bottom"/>
            <w:shd w:val="clear" w:color="auto" w:fill="DDE9F2"/>
          </w:tcPr>
          <w:p>
            <w:pPr>
              <w:jc w:val="right"/>
              <w:ind w:right="31"/>
              <w:spacing w:after="0"/>
              <w:rPr>
                <w:sz w:val="20"/>
                <w:szCs w:val="20"/>
                <w:color w:val="auto"/>
              </w:rPr>
            </w:pPr>
            <w:r>
              <w:rPr>
                <w:rFonts w:ascii="Arial" w:cs="Arial" w:eastAsia="Arial" w:hAnsi="Arial"/>
                <w:sz w:val="14"/>
                <w:szCs w:val="14"/>
                <w:color w:val="092E44"/>
              </w:rPr>
              <w:t>3,241,316</w:t>
            </w:r>
          </w:p>
        </w:tc>
      </w:tr>
      <w:tr>
        <w:trPr>
          <w:trHeight w:val="266"/>
        </w:trPr>
        <w:tc>
          <w:tcPr>
            <w:tcW w:w="5460" w:type="dxa"/>
            <w:vAlign w:val="bottom"/>
            <w:shd w:val="clear" w:color="auto" w:fill="DDE9F2"/>
          </w:tcPr>
          <w:p>
            <w:pPr>
              <w:ind w:left="80"/>
              <w:spacing w:after="0"/>
              <w:rPr>
                <w:sz w:val="20"/>
                <w:szCs w:val="20"/>
                <w:color w:val="auto"/>
              </w:rPr>
            </w:pPr>
            <w:r>
              <w:rPr>
                <w:rFonts w:ascii="Arial" w:cs="Arial" w:eastAsia="Arial" w:hAnsi="Arial"/>
                <w:sz w:val="14"/>
                <w:szCs w:val="14"/>
                <w:color w:val="092E44"/>
              </w:rPr>
              <w:t>Involuntary termination without cause or with good reason in connection with a</w:t>
            </w:r>
          </w:p>
        </w:tc>
        <w:tc>
          <w:tcPr>
            <w:tcW w:w="320" w:type="dxa"/>
            <w:vAlign w:val="bottom"/>
            <w:shd w:val="clear" w:color="auto" w:fill="DDE9F2"/>
          </w:tcPr>
          <w:p>
            <w:pPr>
              <w:spacing w:after="0"/>
              <w:rPr>
                <w:sz w:val="23"/>
                <w:szCs w:val="23"/>
                <w:color w:val="auto"/>
              </w:rPr>
            </w:pPr>
          </w:p>
        </w:tc>
        <w:tc>
          <w:tcPr>
            <w:tcW w:w="720" w:type="dxa"/>
            <w:vAlign w:val="bottom"/>
            <w:shd w:val="clear" w:color="auto" w:fill="DDE9F2"/>
          </w:tcPr>
          <w:p>
            <w:pPr>
              <w:spacing w:after="0"/>
              <w:rPr>
                <w:sz w:val="23"/>
                <w:szCs w:val="23"/>
                <w:color w:val="auto"/>
              </w:rPr>
            </w:pPr>
          </w:p>
        </w:tc>
        <w:tc>
          <w:tcPr>
            <w:tcW w:w="1200" w:type="dxa"/>
            <w:vAlign w:val="bottom"/>
            <w:shd w:val="clear" w:color="auto" w:fill="DDE9F2"/>
          </w:tcPr>
          <w:p>
            <w:pPr>
              <w:spacing w:after="0"/>
              <w:rPr>
                <w:sz w:val="23"/>
                <w:szCs w:val="23"/>
                <w:color w:val="auto"/>
              </w:rPr>
            </w:pPr>
          </w:p>
        </w:tc>
        <w:tc>
          <w:tcPr>
            <w:tcW w:w="800" w:type="dxa"/>
            <w:vAlign w:val="bottom"/>
            <w:shd w:val="clear" w:color="auto" w:fill="DDE9F2"/>
          </w:tcPr>
          <w:p>
            <w:pPr>
              <w:spacing w:after="0"/>
              <w:rPr>
                <w:sz w:val="23"/>
                <w:szCs w:val="23"/>
                <w:color w:val="auto"/>
              </w:rPr>
            </w:pPr>
          </w:p>
        </w:tc>
        <w:tc>
          <w:tcPr>
            <w:tcW w:w="360" w:type="dxa"/>
            <w:vAlign w:val="bottom"/>
            <w:shd w:val="clear" w:color="auto" w:fill="DDE9F2"/>
          </w:tcPr>
          <w:p>
            <w:pPr>
              <w:spacing w:after="0"/>
              <w:rPr>
                <w:sz w:val="23"/>
                <w:szCs w:val="23"/>
                <w:color w:val="auto"/>
              </w:rPr>
            </w:pPr>
          </w:p>
        </w:tc>
        <w:tc>
          <w:tcPr>
            <w:tcW w:w="1020" w:type="dxa"/>
            <w:vAlign w:val="bottom"/>
            <w:shd w:val="clear" w:color="auto" w:fill="DDE9F2"/>
          </w:tcPr>
          <w:p>
            <w:pPr>
              <w:spacing w:after="0"/>
              <w:rPr>
                <w:sz w:val="23"/>
                <w:szCs w:val="23"/>
                <w:color w:val="auto"/>
              </w:rPr>
            </w:pPr>
          </w:p>
        </w:tc>
        <w:tc>
          <w:tcPr>
            <w:tcW w:w="1040" w:type="dxa"/>
            <w:vAlign w:val="bottom"/>
            <w:shd w:val="clear" w:color="auto" w:fill="DDE9F2"/>
          </w:tcPr>
          <w:p>
            <w:pPr>
              <w:spacing w:after="0"/>
              <w:rPr>
                <w:sz w:val="23"/>
                <w:szCs w:val="23"/>
                <w:color w:val="auto"/>
              </w:rPr>
            </w:pPr>
          </w:p>
        </w:tc>
      </w:tr>
      <w:tr>
        <w:trPr>
          <w:trHeight w:val="217"/>
        </w:trPr>
        <w:tc>
          <w:tcPr>
            <w:tcW w:w="5460" w:type="dxa"/>
            <w:vAlign w:val="bottom"/>
            <w:tcBorders>
              <w:bottom w:val="single" w:sz="8" w:color="DDE9F2"/>
            </w:tcBorders>
            <w:shd w:val="clear" w:color="auto" w:fill="DDE9F2"/>
          </w:tcPr>
          <w:p>
            <w:pPr>
              <w:ind w:left="80"/>
              <w:spacing w:after="0"/>
              <w:rPr>
                <w:sz w:val="20"/>
                <w:szCs w:val="20"/>
                <w:color w:val="auto"/>
              </w:rPr>
            </w:pPr>
            <w:r>
              <w:rPr>
                <w:rFonts w:ascii="Arial" w:cs="Arial" w:eastAsia="Arial" w:hAnsi="Arial"/>
                <w:sz w:val="14"/>
                <w:szCs w:val="14"/>
                <w:color w:val="092E44"/>
              </w:rPr>
              <w:t>change in control</w:t>
            </w:r>
          </w:p>
        </w:tc>
        <w:tc>
          <w:tcPr>
            <w:tcW w:w="1040" w:type="dxa"/>
            <w:vAlign w:val="bottom"/>
            <w:tcBorders>
              <w:bottom w:val="single" w:sz="8" w:color="DDE9F2"/>
            </w:tcBorders>
            <w:gridSpan w:val="2"/>
            <w:shd w:val="clear" w:color="auto" w:fill="DDE9F2"/>
          </w:tcPr>
          <w:p>
            <w:pPr>
              <w:jc w:val="right"/>
              <w:spacing w:after="0"/>
              <w:rPr>
                <w:sz w:val="20"/>
                <w:szCs w:val="20"/>
                <w:color w:val="auto"/>
              </w:rPr>
            </w:pPr>
            <w:r>
              <w:rPr>
                <w:rFonts w:ascii="Arial" w:cs="Arial" w:eastAsia="Arial" w:hAnsi="Arial"/>
                <w:sz w:val="14"/>
                <w:szCs w:val="14"/>
                <w:color w:val="092E44"/>
              </w:rPr>
              <w:t>410,000</w:t>
            </w:r>
          </w:p>
        </w:tc>
        <w:tc>
          <w:tcPr>
            <w:tcW w:w="1200" w:type="dxa"/>
            <w:vAlign w:val="bottom"/>
            <w:tcBorders>
              <w:bottom w:val="single" w:sz="8" w:color="DDE9F2"/>
            </w:tcBorders>
            <w:shd w:val="clear" w:color="auto" w:fill="DDE9F2"/>
          </w:tcPr>
          <w:p>
            <w:pPr>
              <w:jc w:val="right"/>
              <w:ind w:right="251"/>
              <w:spacing w:after="0"/>
              <w:rPr>
                <w:sz w:val="20"/>
                <w:szCs w:val="20"/>
                <w:color w:val="auto"/>
              </w:rPr>
            </w:pPr>
            <w:r>
              <w:rPr>
                <w:rFonts w:ascii="Arial" w:cs="Arial" w:eastAsia="Arial" w:hAnsi="Arial"/>
                <w:sz w:val="14"/>
                <w:szCs w:val="14"/>
                <w:color w:val="092E44"/>
              </w:rPr>
              <w:t>246,000</w:t>
            </w:r>
          </w:p>
        </w:tc>
        <w:tc>
          <w:tcPr>
            <w:tcW w:w="1160" w:type="dxa"/>
            <w:vAlign w:val="bottom"/>
            <w:tcBorders>
              <w:bottom w:val="single" w:sz="8" w:color="DDE9F2"/>
            </w:tcBorders>
            <w:gridSpan w:val="2"/>
            <w:shd w:val="clear" w:color="auto" w:fill="DDE9F2"/>
          </w:tcPr>
          <w:p>
            <w:pPr>
              <w:jc w:val="right"/>
              <w:ind w:right="180"/>
              <w:spacing w:after="0"/>
              <w:rPr>
                <w:sz w:val="20"/>
                <w:szCs w:val="20"/>
                <w:color w:val="auto"/>
              </w:rPr>
            </w:pPr>
            <w:r>
              <w:rPr>
                <w:rFonts w:ascii="Arial" w:cs="Arial" w:eastAsia="Arial" w:hAnsi="Arial"/>
                <w:sz w:val="14"/>
                <w:szCs w:val="14"/>
                <w:color w:val="092E44"/>
              </w:rPr>
              <w:t>4,645,827(2)</w:t>
            </w:r>
          </w:p>
        </w:tc>
        <w:tc>
          <w:tcPr>
            <w:tcW w:w="1020" w:type="dxa"/>
            <w:vAlign w:val="bottom"/>
            <w:tcBorders>
              <w:bottom w:val="single" w:sz="8" w:color="DDE9F2"/>
            </w:tcBorders>
            <w:shd w:val="clear" w:color="auto" w:fill="DDE9F2"/>
          </w:tcPr>
          <w:p>
            <w:pPr>
              <w:jc w:val="right"/>
              <w:ind w:right="71"/>
              <w:spacing w:after="0"/>
              <w:rPr>
                <w:sz w:val="20"/>
                <w:szCs w:val="20"/>
                <w:color w:val="auto"/>
              </w:rPr>
            </w:pPr>
            <w:r>
              <w:rPr>
                <w:rFonts w:ascii="Arial" w:cs="Arial" w:eastAsia="Arial" w:hAnsi="Arial"/>
                <w:sz w:val="14"/>
                <w:szCs w:val="14"/>
                <w:color w:val="092E44"/>
              </w:rPr>
              <w:t>43,156</w:t>
            </w:r>
          </w:p>
        </w:tc>
        <w:tc>
          <w:tcPr>
            <w:tcW w:w="1040" w:type="dxa"/>
            <w:vAlign w:val="bottom"/>
            <w:tcBorders>
              <w:bottom w:val="single" w:sz="8" w:color="DDE9F2"/>
            </w:tcBorders>
            <w:shd w:val="clear" w:color="auto" w:fill="DDE9F2"/>
          </w:tcPr>
          <w:p>
            <w:pPr>
              <w:jc w:val="right"/>
              <w:ind w:right="31"/>
              <w:spacing w:after="0"/>
              <w:rPr>
                <w:sz w:val="20"/>
                <w:szCs w:val="20"/>
                <w:color w:val="auto"/>
              </w:rPr>
            </w:pPr>
            <w:r>
              <w:rPr>
                <w:rFonts w:ascii="Arial" w:cs="Arial" w:eastAsia="Arial" w:hAnsi="Arial"/>
                <w:sz w:val="14"/>
                <w:szCs w:val="14"/>
                <w:color w:val="092E44"/>
              </w:rPr>
              <w:t>5,344,983</w:t>
            </w:r>
          </w:p>
        </w:tc>
      </w:tr>
      <w:tr>
        <w:trPr>
          <w:trHeight w:val="253"/>
        </w:trPr>
        <w:tc>
          <w:tcPr>
            <w:tcW w:w="5460" w:type="dxa"/>
            <w:vAlign w:val="bottom"/>
          </w:tcPr>
          <w:p>
            <w:pPr>
              <w:ind w:left="80"/>
              <w:spacing w:after="0"/>
              <w:rPr>
                <w:sz w:val="20"/>
                <w:szCs w:val="20"/>
                <w:color w:val="auto"/>
              </w:rPr>
            </w:pPr>
            <w:r>
              <w:rPr>
                <w:rFonts w:ascii="Arial" w:cs="Arial" w:eastAsia="Arial" w:hAnsi="Arial"/>
                <w:sz w:val="14"/>
                <w:szCs w:val="14"/>
                <w:b w:val="1"/>
                <w:bCs w:val="1"/>
                <w:color w:val="092E44"/>
              </w:rPr>
              <w:t>Riccardo Di Blasio</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88"/>
        </w:trPr>
        <w:tc>
          <w:tcPr>
            <w:tcW w:w="5460" w:type="dxa"/>
            <w:vAlign w:val="bottom"/>
          </w:tcPr>
          <w:p>
            <w:pPr>
              <w:ind w:left="80"/>
              <w:spacing w:after="0"/>
              <w:rPr>
                <w:sz w:val="20"/>
                <w:szCs w:val="20"/>
                <w:color w:val="auto"/>
              </w:rPr>
            </w:pPr>
            <w:r>
              <w:rPr>
                <w:rFonts w:ascii="Arial" w:cs="Arial" w:eastAsia="Arial" w:hAnsi="Arial"/>
                <w:sz w:val="14"/>
                <w:szCs w:val="14"/>
                <w:color w:val="092E44"/>
              </w:rPr>
              <w:t>Death</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92E44"/>
              </w:rPr>
              <w:t>—</w:t>
            </w:r>
          </w:p>
        </w:tc>
        <w:tc>
          <w:tcPr>
            <w:tcW w:w="1200" w:type="dxa"/>
            <w:vAlign w:val="bottom"/>
          </w:tcPr>
          <w:p>
            <w:pPr>
              <w:jc w:val="right"/>
              <w:ind w:right="251"/>
              <w:spacing w:after="0"/>
              <w:rPr>
                <w:sz w:val="20"/>
                <w:szCs w:val="20"/>
                <w:color w:val="auto"/>
              </w:rPr>
            </w:pPr>
            <w:r>
              <w:rPr>
                <w:rFonts w:ascii="Arial" w:cs="Arial" w:eastAsia="Arial" w:hAnsi="Arial"/>
                <w:sz w:val="14"/>
                <w:szCs w:val="14"/>
                <w:color w:val="092E44"/>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092E44"/>
              </w:rPr>
              <w:t>4,552,794(2)</w:t>
            </w:r>
          </w:p>
        </w:tc>
        <w:tc>
          <w:tcPr>
            <w:tcW w:w="1020" w:type="dxa"/>
            <w:vAlign w:val="bottom"/>
          </w:tcPr>
          <w:p>
            <w:pPr>
              <w:jc w:val="right"/>
              <w:ind w:right="71"/>
              <w:spacing w:after="0"/>
              <w:rPr>
                <w:sz w:val="20"/>
                <w:szCs w:val="20"/>
                <w:color w:val="auto"/>
              </w:rPr>
            </w:pPr>
            <w:r>
              <w:rPr>
                <w:rFonts w:ascii="Arial" w:cs="Arial" w:eastAsia="Arial" w:hAnsi="Arial"/>
                <w:sz w:val="14"/>
                <w:szCs w:val="14"/>
                <w:color w:val="092E44"/>
              </w:rPr>
              <w:t>—</w:t>
            </w:r>
          </w:p>
        </w:tc>
        <w:tc>
          <w:tcPr>
            <w:tcW w:w="1040" w:type="dxa"/>
            <w:vAlign w:val="bottom"/>
          </w:tcPr>
          <w:p>
            <w:pPr>
              <w:jc w:val="right"/>
              <w:ind w:right="31"/>
              <w:spacing w:after="0"/>
              <w:rPr>
                <w:sz w:val="20"/>
                <w:szCs w:val="20"/>
                <w:color w:val="auto"/>
              </w:rPr>
            </w:pPr>
            <w:r>
              <w:rPr>
                <w:rFonts w:ascii="Arial" w:cs="Arial" w:eastAsia="Arial" w:hAnsi="Arial"/>
                <w:sz w:val="14"/>
                <w:szCs w:val="14"/>
                <w:color w:val="092E44"/>
              </w:rPr>
              <w:t>4,552,794</w:t>
            </w:r>
          </w:p>
        </w:tc>
      </w:tr>
      <w:tr>
        <w:trPr>
          <w:trHeight w:val="294"/>
        </w:trPr>
        <w:tc>
          <w:tcPr>
            <w:tcW w:w="5460" w:type="dxa"/>
            <w:vAlign w:val="bottom"/>
          </w:tcPr>
          <w:p>
            <w:pPr>
              <w:ind w:left="80"/>
              <w:spacing w:after="0"/>
              <w:rPr>
                <w:sz w:val="20"/>
                <w:szCs w:val="20"/>
                <w:color w:val="auto"/>
              </w:rPr>
            </w:pPr>
            <w:r>
              <w:rPr>
                <w:rFonts w:ascii="Arial" w:cs="Arial" w:eastAsia="Arial" w:hAnsi="Arial"/>
                <w:sz w:val="14"/>
                <w:szCs w:val="14"/>
                <w:color w:val="092E44"/>
              </w:rPr>
              <w:t>Disability</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92E44"/>
              </w:rPr>
              <w:t>—</w:t>
            </w:r>
          </w:p>
        </w:tc>
        <w:tc>
          <w:tcPr>
            <w:tcW w:w="1200" w:type="dxa"/>
            <w:vAlign w:val="bottom"/>
          </w:tcPr>
          <w:p>
            <w:pPr>
              <w:jc w:val="right"/>
              <w:ind w:right="251"/>
              <w:spacing w:after="0"/>
              <w:rPr>
                <w:sz w:val="20"/>
                <w:szCs w:val="20"/>
                <w:color w:val="auto"/>
              </w:rPr>
            </w:pPr>
            <w:r>
              <w:rPr>
                <w:rFonts w:ascii="Arial" w:cs="Arial" w:eastAsia="Arial" w:hAnsi="Arial"/>
                <w:sz w:val="14"/>
                <w:szCs w:val="14"/>
                <w:color w:val="092E44"/>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092E44"/>
              </w:rPr>
              <w:t>4,552,794(2)</w:t>
            </w:r>
          </w:p>
        </w:tc>
        <w:tc>
          <w:tcPr>
            <w:tcW w:w="1020" w:type="dxa"/>
            <w:vAlign w:val="bottom"/>
          </w:tcPr>
          <w:p>
            <w:pPr>
              <w:jc w:val="right"/>
              <w:ind w:right="71"/>
              <w:spacing w:after="0"/>
              <w:rPr>
                <w:sz w:val="20"/>
                <w:szCs w:val="20"/>
                <w:color w:val="auto"/>
              </w:rPr>
            </w:pPr>
            <w:r>
              <w:rPr>
                <w:rFonts w:ascii="Arial" w:cs="Arial" w:eastAsia="Arial" w:hAnsi="Arial"/>
                <w:sz w:val="14"/>
                <w:szCs w:val="14"/>
                <w:color w:val="092E44"/>
              </w:rPr>
              <w:t>—</w:t>
            </w:r>
          </w:p>
        </w:tc>
        <w:tc>
          <w:tcPr>
            <w:tcW w:w="1040" w:type="dxa"/>
            <w:vAlign w:val="bottom"/>
          </w:tcPr>
          <w:p>
            <w:pPr>
              <w:jc w:val="right"/>
              <w:ind w:right="31"/>
              <w:spacing w:after="0"/>
              <w:rPr>
                <w:sz w:val="20"/>
                <w:szCs w:val="20"/>
                <w:color w:val="auto"/>
              </w:rPr>
            </w:pPr>
            <w:r>
              <w:rPr>
                <w:rFonts w:ascii="Arial" w:cs="Arial" w:eastAsia="Arial" w:hAnsi="Arial"/>
                <w:sz w:val="14"/>
                <w:szCs w:val="14"/>
                <w:color w:val="092E44"/>
              </w:rPr>
              <w:t>4,552,794</w:t>
            </w:r>
          </w:p>
        </w:tc>
      </w:tr>
      <w:tr>
        <w:trPr>
          <w:trHeight w:val="294"/>
        </w:trPr>
        <w:tc>
          <w:tcPr>
            <w:tcW w:w="5460" w:type="dxa"/>
            <w:vAlign w:val="bottom"/>
          </w:tcPr>
          <w:p>
            <w:pPr>
              <w:ind w:left="80"/>
              <w:spacing w:after="0"/>
              <w:rPr>
                <w:sz w:val="20"/>
                <w:szCs w:val="20"/>
                <w:color w:val="auto"/>
              </w:rPr>
            </w:pPr>
            <w:r>
              <w:rPr>
                <w:rFonts w:ascii="Arial" w:cs="Arial" w:eastAsia="Arial" w:hAnsi="Arial"/>
                <w:sz w:val="14"/>
                <w:szCs w:val="14"/>
                <w:color w:val="092E44"/>
              </w:rPr>
              <w:t>Involuntary termination without cause or with good reason</w:t>
            </w:r>
          </w:p>
        </w:tc>
        <w:tc>
          <w:tcPr>
            <w:tcW w:w="1040" w:type="dxa"/>
            <w:vAlign w:val="bottom"/>
            <w:gridSpan w:val="2"/>
          </w:tcPr>
          <w:p>
            <w:pPr>
              <w:jc w:val="right"/>
              <w:spacing w:after="0"/>
              <w:rPr>
                <w:sz w:val="20"/>
                <w:szCs w:val="20"/>
                <w:color w:val="auto"/>
              </w:rPr>
            </w:pPr>
            <w:r>
              <w:rPr>
                <w:rFonts w:ascii="Arial" w:cs="Arial" w:eastAsia="Arial" w:hAnsi="Arial"/>
                <w:sz w:val="14"/>
                <w:szCs w:val="14"/>
                <w:color w:val="092E44"/>
              </w:rPr>
              <w:t>450,000</w:t>
            </w:r>
          </w:p>
        </w:tc>
        <w:tc>
          <w:tcPr>
            <w:tcW w:w="1200" w:type="dxa"/>
            <w:vAlign w:val="bottom"/>
          </w:tcPr>
          <w:p>
            <w:pPr>
              <w:jc w:val="right"/>
              <w:ind w:right="251"/>
              <w:spacing w:after="0"/>
              <w:rPr>
                <w:sz w:val="20"/>
                <w:szCs w:val="20"/>
                <w:color w:val="auto"/>
              </w:rPr>
            </w:pPr>
            <w:r>
              <w:rPr>
                <w:rFonts w:ascii="Arial" w:cs="Arial" w:eastAsia="Arial" w:hAnsi="Arial"/>
                <w:sz w:val="14"/>
                <w:szCs w:val="14"/>
                <w:color w:val="092E44"/>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092E44"/>
              </w:rPr>
              <w:t>2,640,686(3)</w:t>
            </w:r>
          </w:p>
        </w:tc>
        <w:tc>
          <w:tcPr>
            <w:tcW w:w="1020" w:type="dxa"/>
            <w:vAlign w:val="bottom"/>
          </w:tcPr>
          <w:p>
            <w:pPr>
              <w:jc w:val="right"/>
              <w:ind w:right="71"/>
              <w:spacing w:after="0"/>
              <w:rPr>
                <w:sz w:val="20"/>
                <w:szCs w:val="20"/>
                <w:color w:val="auto"/>
              </w:rPr>
            </w:pPr>
            <w:r>
              <w:rPr>
                <w:rFonts w:ascii="Arial" w:cs="Arial" w:eastAsia="Arial" w:hAnsi="Arial"/>
                <w:sz w:val="14"/>
                <w:szCs w:val="14"/>
                <w:color w:val="092E44"/>
              </w:rPr>
              <w:t>32,367</w:t>
            </w:r>
          </w:p>
        </w:tc>
        <w:tc>
          <w:tcPr>
            <w:tcW w:w="1040" w:type="dxa"/>
            <w:vAlign w:val="bottom"/>
          </w:tcPr>
          <w:p>
            <w:pPr>
              <w:jc w:val="right"/>
              <w:ind w:right="31"/>
              <w:spacing w:after="0"/>
              <w:rPr>
                <w:sz w:val="20"/>
                <w:szCs w:val="20"/>
                <w:color w:val="auto"/>
              </w:rPr>
            </w:pPr>
            <w:r>
              <w:rPr>
                <w:rFonts w:ascii="Arial" w:cs="Arial" w:eastAsia="Arial" w:hAnsi="Arial"/>
                <w:sz w:val="14"/>
                <w:szCs w:val="14"/>
                <w:color w:val="092E44"/>
              </w:rPr>
              <w:t>3,123,053</w:t>
            </w:r>
          </w:p>
        </w:tc>
      </w:tr>
      <w:tr>
        <w:trPr>
          <w:trHeight w:val="266"/>
        </w:trPr>
        <w:tc>
          <w:tcPr>
            <w:tcW w:w="5460" w:type="dxa"/>
            <w:vAlign w:val="bottom"/>
          </w:tcPr>
          <w:p>
            <w:pPr>
              <w:ind w:left="80"/>
              <w:spacing w:after="0"/>
              <w:rPr>
                <w:sz w:val="20"/>
                <w:szCs w:val="20"/>
                <w:color w:val="auto"/>
              </w:rPr>
            </w:pPr>
            <w:r>
              <w:rPr>
                <w:rFonts w:ascii="Arial" w:cs="Arial" w:eastAsia="Arial" w:hAnsi="Arial"/>
                <w:sz w:val="14"/>
                <w:szCs w:val="14"/>
                <w:color w:val="092E44"/>
              </w:rPr>
              <w:t>Involuntary termination without cause or with good reason in connection with a</w:t>
            </w: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189"/>
        </w:trPr>
        <w:tc>
          <w:tcPr>
            <w:tcW w:w="5460" w:type="dxa"/>
            <w:vAlign w:val="bottom"/>
          </w:tcPr>
          <w:p>
            <w:pPr>
              <w:ind w:left="80"/>
              <w:spacing w:after="0"/>
              <w:rPr>
                <w:sz w:val="20"/>
                <w:szCs w:val="20"/>
                <w:color w:val="auto"/>
              </w:rPr>
            </w:pPr>
            <w:r>
              <w:rPr>
                <w:rFonts w:ascii="Arial" w:cs="Arial" w:eastAsia="Arial" w:hAnsi="Arial"/>
                <w:sz w:val="14"/>
                <w:szCs w:val="14"/>
                <w:color w:val="092E44"/>
              </w:rPr>
              <w:t>change in control</w:t>
            </w:r>
          </w:p>
        </w:tc>
        <w:tc>
          <w:tcPr>
            <w:tcW w:w="1040" w:type="dxa"/>
            <w:vAlign w:val="bottom"/>
            <w:gridSpan w:val="2"/>
          </w:tcPr>
          <w:p>
            <w:pPr>
              <w:jc w:val="right"/>
              <w:spacing w:after="0"/>
              <w:rPr>
                <w:sz w:val="20"/>
                <w:szCs w:val="20"/>
                <w:color w:val="auto"/>
              </w:rPr>
            </w:pPr>
            <w:r>
              <w:rPr>
                <w:rFonts w:ascii="Arial" w:cs="Arial" w:eastAsia="Arial" w:hAnsi="Arial"/>
                <w:sz w:val="14"/>
                <w:szCs w:val="14"/>
                <w:color w:val="092E44"/>
              </w:rPr>
              <w:t>450,000</w:t>
            </w:r>
          </w:p>
        </w:tc>
        <w:tc>
          <w:tcPr>
            <w:tcW w:w="1200" w:type="dxa"/>
            <w:vAlign w:val="bottom"/>
          </w:tcPr>
          <w:p>
            <w:pPr>
              <w:jc w:val="right"/>
              <w:ind w:right="251"/>
              <w:spacing w:after="0"/>
              <w:rPr>
                <w:sz w:val="20"/>
                <w:szCs w:val="20"/>
                <w:color w:val="auto"/>
              </w:rPr>
            </w:pPr>
            <w:r>
              <w:rPr>
                <w:rFonts w:ascii="Arial" w:cs="Arial" w:eastAsia="Arial" w:hAnsi="Arial"/>
                <w:sz w:val="14"/>
                <w:szCs w:val="14"/>
                <w:color w:val="092E44"/>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092E44"/>
              </w:rPr>
              <w:t>4,552,794(2)</w:t>
            </w:r>
          </w:p>
        </w:tc>
        <w:tc>
          <w:tcPr>
            <w:tcW w:w="1020" w:type="dxa"/>
            <w:vAlign w:val="bottom"/>
          </w:tcPr>
          <w:p>
            <w:pPr>
              <w:jc w:val="right"/>
              <w:ind w:right="71"/>
              <w:spacing w:after="0"/>
              <w:rPr>
                <w:sz w:val="20"/>
                <w:szCs w:val="20"/>
                <w:color w:val="auto"/>
              </w:rPr>
            </w:pPr>
            <w:r>
              <w:rPr>
                <w:rFonts w:ascii="Arial" w:cs="Arial" w:eastAsia="Arial" w:hAnsi="Arial"/>
                <w:sz w:val="14"/>
                <w:szCs w:val="14"/>
                <w:color w:val="092E44"/>
              </w:rPr>
              <w:t>32,367</w:t>
            </w:r>
          </w:p>
        </w:tc>
        <w:tc>
          <w:tcPr>
            <w:tcW w:w="1040" w:type="dxa"/>
            <w:vAlign w:val="bottom"/>
          </w:tcPr>
          <w:p>
            <w:pPr>
              <w:jc w:val="right"/>
              <w:ind w:right="31"/>
              <w:spacing w:after="0"/>
              <w:rPr>
                <w:sz w:val="20"/>
                <w:szCs w:val="20"/>
                <w:color w:val="auto"/>
              </w:rPr>
            </w:pPr>
            <w:r>
              <w:rPr>
                <w:rFonts w:ascii="Arial" w:cs="Arial" w:eastAsia="Arial" w:hAnsi="Arial"/>
                <w:sz w:val="14"/>
                <w:szCs w:val="14"/>
                <w:color w:val="092E44"/>
              </w:rPr>
              <w:t>5,035,161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30480</wp:posOffset>
            </wp:positionV>
            <wp:extent cx="69297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0" w:lineRule="exact"/>
        <w:rPr>
          <w:sz w:val="20"/>
          <w:szCs w:val="20"/>
          <w:color w:val="auto"/>
        </w:rPr>
      </w:pPr>
    </w:p>
    <w:p>
      <w:pPr>
        <w:ind w:left="480" w:right="80" w:hanging="313"/>
        <w:spacing w:after="0" w:line="243" w:lineRule="auto"/>
        <w:tabs>
          <w:tab w:leader="none" w:pos="480" w:val="left"/>
        </w:tabs>
        <w:numPr>
          <w:ilvl w:val="0"/>
          <w:numId w:val="24"/>
        </w:numPr>
        <w:rPr>
          <w:rFonts w:ascii="Arial" w:cs="Arial" w:eastAsia="Arial" w:hAnsi="Arial"/>
          <w:sz w:val="12"/>
          <w:szCs w:val="12"/>
          <w:color w:val="092E44"/>
        </w:rPr>
      </w:pPr>
      <w:r>
        <w:rPr>
          <w:rFonts w:ascii="Arial" w:cs="Arial" w:eastAsia="Arial" w:hAnsi="Arial"/>
          <w:sz w:val="12"/>
          <w:szCs w:val="12"/>
          <w:color w:val="092E44"/>
        </w:rPr>
        <w:t>Amounts in this column describe the value of restricted stock unit awards and performance stock unit awards that would vest upon the triggering event described in the leftmost column, based on a closing price of $66.35 per share of our common stock on March 31, 2022.</w:t>
      </w:r>
    </w:p>
    <w:p>
      <w:pPr>
        <w:jc w:val="both"/>
        <w:ind w:left="480" w:right="180" w:hanging="313"/>
        <w:spacing w:after="0" w:line="232" w:lineRule="auto"/>
        <w:tabs>
          <w:tab w:leader="none" w:pos="480" w:val="left"/>
        </w:tabs>
        <w:numPr>
          <w:ilvl w:val="0"/>
          <w:numId w:val="24"/>
        </w:numPr>
        <w:rPr>
          <w:rFonts w:ascii="Arial" w:cs="Arial" w:eastAsia="Arial" w:hAnsi="Arial"/>
          <w:sz w:val="12"/>
          <w:szCs w:val="12"/>
          <w:color w:val="092E44"/>
        </w:rPr>
      </w:pPr>
      <w:r>
        <w:rPr>
          <w:rFonts w:ascii="Arial" w:cs="Arial" w:eastAsia="Arial" w:hAnsi="Arial"/>
          <w:sz w:val="12"/>
          <w:szCs w:val="12"/>
          <w:color w:val="092E44"/>
        </w:rPr>
        <w:t>As described in the named executive officers’ respective employment agreements or change in control agreements, upon death, disability, or involuntary termination by the Company without cause or by the named executive officer for good reason, in each case, on or within the two years following a change in control, all outstanding restricted stock unit awards and performance stock unit awards would become immediately vested. Any stock awards with performance conditions that are not yet determinable (such as if the performance measurement period has not been completed) will be deemed to have been earned at 100% of target and will be payable in accordance with their terms.</w:t>
      </w:r>
    </w:p>
    <w:p>
      <w:pPr>
        <w:spacing w:after="0" w:line="1" w:lineRule="exact"/>
        <w:rPr>
          <w:rFonts w:ascii="Arial" w:cs="Arial" w:eastAsia="Arial" w:hAnsi="Arial"/>
          <w:sz w:val="12"/>
          <w:szCs w:val="12"/>
          <w:color w:val="092E44"/>
        </w:rPr>
      </w:pPr>
    </w:p>
    <w:p>
      <w:pPr>
        <w:ind w:left="480" w:hanging="313"/>
        <w:spacing w:after="0" w:line="241" w:lineRule="auto"/>
        <w:tabs>
          <w:tab w:leader="none" w:pos="480" w:val="left"/>
        </w:tabs>
        <w:numPr>
          <w:ilvl w:val="0"/>
          <w:numId w:val="24"/>
        </w:numPr>
        <w:rPr>
          <w:rFonts w:ascii="Arial" w:cs="Arial" w:eastAsia="Arial" w:hAnsi="Arial"/>
          <w:sz w:val="12"/>
          <w:szCs w:val="12"/>
          <w:color w:val="092E44"/>
        </w:rPr>
      </w:pPr>
      <w:r>
        <w:rPr>
          <w:rFonts w:ascii="Arial" w:cs="Arial" w:eastAsia="Arial" w:hAnsi="Arial"/>
          <w:sz w:val="12"/>
          <w:szCs w:val="12"/>
          <w:color w:val="092E44"/>
        </w:rPr>
        <w:t>As described in the named executive officers’ respective employment agreements, involuntary termination by the Company without cause or by the named executive officer for good reason other than within two years following a change in control would result in the vesting of restricted stock units and performance stock unit awards that would have vested had the named executive officer remained with the Company an additional year. Any performance stock unit awards with conditions that are not yet determined (such as if the performance measurement period has not been completed) will be deemed to have been earned at 100% of target and will be payable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237490</wp:posOffset>
            </wp:positionV>
            <wp:extent cx="220980" cy="2120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46</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80"/>
          </w:cols>
          <w:pgMar w:left="320" w:top="454"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COMPENSATION TABLES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CEO PAY RATIO</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CEO Pay Ratio</w:t>
      </w:r>
    </w:p>
    <w:p>
      <w:pPr>
        <w:spacing w:after="0" w:line="71" w:lineRule="exact"/>
        <w:rPr>
          <w:sz w:val="20"/>
          <w:szCs w:val="20"/>
          <w:color w:val="auto"/>
        </w:rPr>
      </w:pPr>
    </w:p>
    <w:p>
      <w:pPr>
        <w:ind w:left="160" w:right="120"/>
        <w:spacing w:after="0" w:line="279" w:lineRule="auto"/>
        <w:rPr>
          <w:sz w:val="20"/>
          <w:szCs w:val="20"/>
          <w:color w:val="auto"/>
        </w:rPr>
      </w:pPr>
      <w:r>
        <w:rPr>
          <w:rFonts w:ascii="Arial" w:cs="Arial" w:eastAsia="Arial" w:hAnsi="Arial"/>
          <w:sz w:val="16"/>
          <w:szCs w:val="16"/>
          <w:color w:val="092E44"/>
        </w:rPr>
        <w:t>As required by Item 402(u) of Regulation S-K, we are providing the following information regarding the relationship of the annual total compensation for our CEO compared to the median of the annual total compensation of all our employees (except for our CEO).</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For fiscal 2022:</w:t>
      </w:r>
    </w:p>
    <w:p>
      <w:pPr>
        <w:spacing w:after="0" w:line="97" w:lineRule="exact"/>
        <w:rPr>
          <w:sz w:val="20"/>
          <w:szCs w:val="20"/>
          <w:color w:val="auto"/>
        </w:rPr>
      </w:pPr>
    </w:p>
    <w:p>
      <w:pPr>
        <w:ind w:left="380" w:hanging="213"/>
        <w:spacing w:after="0"/>
        <w:tabs>
          <w:tab w:leader="none" w:pos="380" w:val="left"/>
        </w:tabs>
        <w:numPr>
          <w:ilvl w:val="0"/>
          <w:numId w:val="25"/>
        </w:numPr>
        <w:rPr>
          <w:rFonts w:ascii="Times New Roman" w:cs="Times New Roman" w:eastAsia="Times New Roman" w:hAnsi="Times New Roman"/>
          <w:sz w:val="16"/>
          <w:szCs w:val="16"/>
          <w:color w:val="E14A6A"/>
        </w:rPr>
      </w:pPr>
      <w:r>
        <w:rPr>
          <w:rFonts w:ascii="Arial" w:cs="Arial" w:eastAsia="Arial" w:hAnsi="Arial"/>
          <w:sz w:val="16"/>
          <w:szCs w:val="16"/>
          <w:color w:val="092E44"/>
        </w:rPr>
        <w:t>The median of the annual total compensation of all our employees, excluding our CEO, was $116,953</w:t>
      </w:r>
    </w:p>
    <w:p>
      <w:pPr>
        <w:spacing w:after="0" w:line="82" w:lineRule="exact"/>
        <w:rPr>
          <w:rFonts w:ascii="Times New Roman" w:cs="Times New Roman" w:eastAsia="Times New Roman" w:hAnsi="Times New Roman"/>
          <w:sz w:val="16"/>
          <w:szCs w:val="16"/>
          <w:color w:val="E14A6A"/>
        </w:rPr>
      </w:pPr>
    </w:p>
    <w:p>
      <w:pPr>
        <w:ind w:left="380" w:hanging="213"/>
        <w:spacing w:after="0"/>
        <w:tabs>
          <w:tab w:leader="none" w:pos="380" w:val="left"/>
        </w:tabs>
        <w:numPr>
          <w:ilvl w:val="0"/>
          <w:numId w:val="25"/>
        </w:numPr>
        <w:rPr>
          <w:rFonts w:ascii="Times New Roman" w:cs="Times New Roman" w:eastAsia="Times New Roman" w:hAnsi="Times New Roman"/>
          <w:sz w:val="16"/>
          <w:szCs w:val="16"/>
          <w:color w:val="E14A6A"/>
        </w:rPr>
      </w:pPr>
      <w:r>
        <w:rPr>
          <w:rFonts w:ascii="Arial" w:cs="Arial" w:eastAsia="Arial" w:hAnsi="Arial"/>
          <w:sz w:val="16"/>
          <w:szCs w:val="16"/>
          <w:color w:val="092E44"/>
        </w:rPr>
        <w:t>The annual total compensation of our CEO was $10,760,212</w:t>
      </w:r>
    </w:p>
    <w:p>
      <w:pPr>
        <w:spacing w:after="0" w:line="82" w:lineRule="exact"/>
        <w:rPr>
          <w:rFonts w:ascii="Times New Roman" w:cs="Times New Roman" w:eastAsia="Times New Roman" w:hAnsi="Times New Roman"/>
          <w:sz w:val="16"/>
          <w:szCs w:val="16"/>
          <w:color w:val="E14A6A"/>
        </w:rPr>
      </w:pPr>
    </w:p>
    <w:p>
      <w:pPr>
        <w:ind w:left="380" w:hanging="213"/>
        <w:spacing w:after="0"/>
        <w:tabs>
          <w:tab w:leader="none" w:pos="380" w:val="left"/>
        </w:tabs>
        <w:numPr>
          <w:ilvl w:val="0"/>
          <w:numId w:val="25"/>
        </w:numPr>
        <w:rPr>
          <w:rFonts w:ascii="Times New Roman" w:cs="Times New Roman" w:eastAsia="Times New Roman" w:hAnsi="Times New Roman"/>
          <w:sz w:val="16"/>
          <w:szCs w:val="16"/>
          <w:color w:val="E14A6A"/>
        </w:rPr>
      </w:pPr>
      <w:r>
        <w:rPr>
          <w:rFonts w:ascii="Arial" w:cs="Arial" w:eastAsia="Arial" w:hAnsi="Arial"/>
          <w:sz w:val="16"/>
          <w:szCs w:val="16"/>
          <w:color w:val="092E44"/>
        </w:rPr>
        <w:t>Therefore, the ratio of CEO compensation relative to the median employee is approximately 92 to 1</w:t>
      </w:r>
    </w:p>
    <w:p>
      <w:pPr>
        <w:spacing w:after="0" w:line="110" w:lineRule="exact"/>
        <w:rPr>
          <w:sz w:val="20"/>
          <w:szCs w:val="20"/>
          <w:color w:val="auto"/>
        </w:rPr>
      </w:pPr>
    </w:p>
    <w:p>
      <w:pPr>
        <w:ind w:left="160"/>
        <w:spacing w:after="0" w:line="262" w:lineRule="auto"/>
        <w:rPr>
          <w:sz w:val="20"/>
          <w:szCs w:val="20"/>
          <w:color w:val="auto"/>
        </w:rPr>
      </w:pPr>
      <w:r>
        <w:rPr>
          <w:rFonts w:ascii="Arial" w:cs="Arial" w:eastAsia="Arial" w:hAnsi="Arial"/>
          <w:sz w:val="16"/>
          <w:szCs w:val="16"/>
          <w:color w:val="092E44"/>
        </w:rPr>
        <w:t>Factors influencing the company’s pay ratio include the Company’s strategic decision to expand into centers of excellence, including nearly 838 employees located in India and over 100 employees located elsewhere outside of the United States, in each case, where compensation benchmarks are lower than those in other geographies.</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The methodology we used to identify our median employee for fiscal 2022 was as follows:</w:t>
      </w:r>
    </w:p>
    <w:p>
      <w:pPr>
        <w:spacing w:after="0" w:line="97" w:lineRule="exact"/>
        <w:rPr>
          <w:sz w:val="20"/>
          <w:szCs w:val="20"/>
          <w:color w:val="auto"/>
        </w:rPr>
      </w:pPr>
    </w:p>
    <w:p>
      <w:pPr>
        <w:ind w:left="380" w:right="420" w:hanging="213"/>
        <w:spacing w:after="0" w:line="278" w:lineRule="auto"/>
        <w:tabs>
          <w:tab w:leader="none" w:pos="380" w:val="left"/>
        </w:tabs>
        <w:numPr>
          <w:ilvl w:val="0"/>
          <w:numId w:val="26"/>
        </w:numPr>
        <w:rPr>
          <w:rFonts w:ascii="Times New Roman" w:cs="Times New Roman" w:eastAsia="Times New Roman" w:hAnsi="Times New Roman"/>
          <w:sz w:val="16"/>
          <w:szCs w:val="16"/>
          <w:color w:val="E14A6A"/>
        </w:rPr>
      </w:pPr>
      <w:r>
        <w:rPr>
          <w:rFonts w:ascii="Arial" w:cs="Arial" w:eastAsia="Arial" w:hAnsi="Arial"/>
          <w:sz w:val="16"/>
          <w:szCs w:val="16"/>
          <w:color w:val="092E44"/>
        </w:rPr>
        <w:t>We selected March 31, 2022, as the date upon which we identified our employee population. We included all employees as of that date, with no exclusions.</w:t>
      </w:r>
    </w:p>
    <w:p>
      <w:pPr>
        <w:spacing w:after="0" w:line="14" w:lineRule="exact"/>
        <w:rPr>
          <w:rFonts w:ascii="Times New Roman" w:cs="Times New Roman" w:eastAsia="Times New Roman" w:hAnsi="Times New Roman"/>
          <w:sz w:val="16"/>
          <w:szCs w:val="16"/>
          <w:color w:val="E14A6A"/>
        </w:rPr>
      </w:pPr>
    </w:p>
    <w:p>
      <w:pPr>
        <w:ind w:left="380" w:right="100" w:hanging="213"/>
        <w:spacing w:after="0" w:line="255" w:lineRule="auto"/>
        <w:tabs>
          <w:tab w:leader="none" w:pos="380" w:val="left"/>
        </w:tabs>
        <w:numPr>
          <w:ilvl w:val="0"/>
          <w:numId w:val="26"/>
        </w:numPr>
        <w:rPr>
          <w:rFonts w:ascii="Times New Roman" w:cs="Times New Roman" w:eastAsia="Times New Roman" w:hAnsi="Times New Roman"/>
          <w:sz w:val="16"/>
          <w:szCs w:val="16"/>
          <w:color w:val="E14A6A"/>
        </w:rPr>
      </w:pPr>
      <w:r>
        <w:rPr>
          <w:rFonts w:ascii="Arial" w:cs="Arial" w:eastAsia="Arial" w:hAnsi="Arial"/>
          <w:sz w:val="16"/>
          <w:szCs w:val="16"/>
          <w:color w:val="092E44"/>
        </w:rPr>
        <w:t>We used total cash compensation as our consistently applied compensation measure to identify our median employee. For this purpose, we defined total cash compensation as base wages plus any incentive compensation (bonuses or commissions). We did not annualize the compensation of any employees who were employed less than a full year and we did not make any adjustments, assumptions or estimates. For employees outside the United States, we converted cash compensation to U.S. dollars using the applicable March 31, 2022 exchange rate.</w:t>
      </w:r>
    </w:p>
    <w:p>
      <w:pPr>
        <w:spacing w:after="0" w:line="33" w:lineRule="exact"/>
        <w:rPr>
          <w:rFonts w:ascii="Times New Roman" w:cs="Times New Roman" w:eastAsia="Times New Roman" w:hAnsi="Times New Roman"/>
          <w:sz w:val="16"/>
          <w:szCs w:val="16"/>
          <w:color w:val="E14A6A"/>
        </w:rPr>
      </w:pPr>
    </w:p>
    <w:p>
      <w:pPr>
        <w:ind w:left="380" w:hanging="213"/>
        <w:spacing w:after="0"/>
        <w:tabs>
          <w:tab w:leader="none" w:pos="380" w:val="left"/>
        </w:tabs>
        <w:numPr>
          <w:ilvl w:val="0"/>
          <w:numId w:val="26"/>
        </w:numPr>
        <w:rPr>
          <w:rFonts w:ascii="Times New Roman" w:cs="Times New Roman" w:eastAsia="Times New Roman" w:hAnsi="Times New Roman"/>
          <w:sz w:val="16"/>
          <w:szCs w:val="16"/>
          <w:color w:val="E14A6A"/>
        </w:rPr>
      </w:pPr>
      <w:r>
        <w:rPr>
          <w:rFonts w:ascii="Arial" w:cs="Arial" w:eastAsia="Arial" w:hAnsi="Arial"/>
          <w:sz w:val="16"/>
          <w:szCs w:val="16"/>
          <w:color w:val="092E44"/>
        </w:rPr>
        <w:t>Using this methodology, we determined that our median employee was a full-time, salaried employee based in the United States.</w:t>
      </w:r>
    </w:p>
    <w:p>
      <w:pPr>
        <w:spacing w:after="0" w:line="110"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092E44"/>
        </w:rPr>
        <w:t>We calculated the annual total compensation of our median employee in the same manner that we calculated the total compensation of our CEO for purposes of the Summary Compensation Table. This annual total compensation amount for our median employee was then compared to the annual total compensation of our CEO as reported in the “Total” column of our fiscal 2021 Summary Compensation Table included in this Proxy Statement to determine the pay ratio.</w:t>
      </w:r>
    </w:p>
    <w:p>
      <w:pPr>
        <w:spacing w:after="0" w:line="58" w:lineRule="exact"/>
        <w:rPr>
          <w:sz w:val="20"/>
          <w:szCs w:val="20"/>
          <w:color w:val="auto"/>
        </w:rPr>
      </w:pPr>
    </w:p>
    <w:p>
      <w:pPr>
        <w:ind w:left="160" w:right="200"/>
        <w:spacing w:after="0" w:line="262" w:lineRule="auto"/>
        <w:rPr>
          <w:sz w:val="20"/>
          <w:szCs w:val="20"/>
          <w:color w:val="auto"/>
        </w:rPr>
      </w:pPr>
      <w:r>
        <w:rPr>
          <w:rFonts w:ascii="Arial" w:cs="Arial" w:eastAsia="Arial" w:hAnsi="Arial"/>
          <w:sz w:val="16"/>
          <w:szCs w:val="16"/>
          <w:color w:val="092E44"/>
        </w:rPr>
        <w:t>It should be noted that the SEC rules provide a fair amount of flexibility in developing a methodology to identify the median employee, and the global composition of our workforce may contribute to a lack of comparability between our pay ratio and that of our peer companies. We believe that this pay ratio is a reasonable estimate calculated in a manner consistent with Item 402(u)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229235</wp:posOffset>
            </wp:positionV>
            <wp:extent cx="220980" cy="2120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47</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0980"/>
          </w:cols>
          <w:pgMar w:left="320" w:top="454" w:right="5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6929755" cy="19786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29755" cy="197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60"/>
        <w:spacing w:after="0"/>
        <w:rPr>
          <w:sz w:val="20"/>
          <w:szCs w:val="20"/>
          <w:color w:val="auto"/>
        </w:rPr>
      </w:pPr>
      <w:r>
        <w:rPr>
          <w:rFonts w:ascii="Arial" w:cs="Arial" w:eastAsia="Arial" w:hAnsi="Arial"/>
          <w:sz w:val="64"/>
          <w:szCs w:val="64"/>
          <w:b w:val="1"/>
          <w:bCs w:val="1"/>
          <w:color w:val="092E44"/>
        </w:rPr>
        <w:t>Audit Committee Report</w:t>
      </w:r>
    </w:p>
    <w:p>
      <w:pPr>
        <w:spacing w:after="0" w:line="200" w:lineRule="exact"/>
        <w:rPr>
          <w:sz w:val="20"/>
          <w:szCs w:val="20"/>
          <w:color w:val="auto"/>
        </w:rPr>
      </w:pPr>
    </w:p>
    <w:p>
      <w:pPr>
        <w:spacing w:after="0" w:line="339" w:lineRule="exact"/>
        <w:rPr>
          <w:sz w:val="20"/>
          <w:szCs w:val="20"/>
          <w:color w:val="auto"/>
        </w:rPr>
      </w:pPr>
    </w:p>
    <w:p>
      <w:pPr>
        <w:ind w:left="160"/>
        <w:spacing w:after="0" w:line="262" w:lineRule="auto"/>
        <w:rPr>
          <w:sz w:val="20"/>
          <w:szCs w:val="20"/>
          <w:color w:val="auto"/>
        </w:rPr>
      </w:pPr>
      <w:r>
        <w:rPr>
          <w:rFonts w:ascii="Arial" w:cs="Arial" w:eastAsia="Arial" w:hAnsi="Arial"/>
          <w:sz w:val="16"/>
          <w:szCs w:val="16"/>
          <w:color w:val="092E44"/>
        </w:rPr>
        <w:t>The Audit Committee has reviewed and discussed Commvault’s audited financial statements for the fiscal year ended March 31, 2022, with our management. In addition, the Audit Committee has discussed with Ernst &amp; Young LLP, our independent auditors, the matters required to be discussed by the applicable requirements of the Public Company Accounting Oversight Board (PCAOB) and the SEC.</w:t>
      </w:r>
    </w:p>
    <w:p>
      <w:pPr>
        <w:spacing w:after="0" w:line="53" w:lineRule="exact"/>
        <w:rPr>
          <w:sz w:val="20"/>
          <w:szCs w:val="20"/>
          <w:color w:val="auto"/>
        </w:rPr>
      </w:pPr>
    </w:p>
    <w:p>
      <w:pPr>
        <w:ind w:left="160" w:right="80"/>
        <w:spacing w:after="0" w:line="262" w:lineRule="auto"/>
        <w:rPr>
          <w:sz w:val="20"/>
          <w:szCs w:val="20"/>
          <w:color w:val="auto"/>
        </w:rPr>
      </w:pPr>
      <w:r>
        <w:rPr>
          <w:rFonts w:ascii="Arial" w:cs="Arial" w:eastAsia="Arial" w:hAnsi="Arial"/>
          <w:sz w:val="16"/>
          <w:szCs w:val="16"/>
          <w:color w:val="092E44"/>
        </w:rPr>
        <w:t>The Audit Committee has received from the independent auditors written disclosures and the letter regarding the independent auditors’ communications with the Audit Committee concerning independence required by the applicable requirements of the PCAOB and has discussed with the independent auditors the firm’s independence.</w:t>
      </w:r>
    </w:p>
    <w:p>
      <w:pPr>
        <w:spacing w:after="0" w:line="53" w:lineRule="exact"/>
        <w:rPr>
          <w:sz w:val="20"/>
          <w:szCs w:val="20"/>
          <w:color w:val="auto"/>
        </w:rPr>
      </w:pPr>
    </w:p>
    <w:p>
      <w:pPr>
        <w:ind w:left="160" w:right="80"/>
        <w:spacing w:after="0" w:line="279" w:lineRule="auto"/>
        <w:rPr>
          <w:sz w:val="20"/>
          <w:szCs w:val="20"/>
          <w:color w:val="auto"/>
        </w:rPr>
      </w:pPr>
      <w:r>
        <w:rPr>
          <w:rFonts w:ascii="Arial" w:cs="Arial" w:eastAsia="Arial" w:hAnsi="Arial"/>
          <w:sz w:val="16"/>
          <w:szCs w:val="16"/>
          <w:color w:val="092E44"/>
        </w:rPr>
        <w:t>The Audit Committee has considered whether the services rendered by our independent public accountants with respect to audit, audit-related, tax, and other non-audit fees are compatible with maintaining the firm’s independence.</w:t>
      </w:r>
    </w:p>
    <w:p>
      <w:pPr>
        <w:spacing w:after="0" w:line="27" w:lineRule="exact"/>
        <w:rPr>
          <w:sz w:val="20"/>
          <w:szCs w:val="20"/>
          <w:color w:val="auto"/>
        </w:rPr>
      </w:pPr>
    </w:p>
    <w:p>
      <w:pPr>
        <w:jc w:val="both"/>
        <w:ind w:left="160" w:right="40"/>
        <w:spacing w:after="0" w:line="262" w:lineRule="auto"/>
        <w:rPr>
          <w:sz w:val="20"/>
          <w:szCs w:val="20"/>
          <w:color w:val="auto"/>
        </w:rPr>
      </w:pPr>
      <w:r>
        <w:rPr>
          <w:rFonts w:ascii="Arial" w:cs="Arial" w:eastAsia="Arial" w:hAnsi="Arial"/>
          <w:sz w:val="16"/>
          <w:szCs w:val="16"/>
          <w:color w:val="092E44"/>
        </w:rPr>
        <w:t>Based on the review and discussions referred to above, the Audit Committee recommended to the Board of Directors that Commvault’s audited financial statements for the fiscal year ended March 31, 2022, be included in our Annual Report on Form 10-K for the fiscal year ended March 31, 2022, for filing with the SEC.</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92E44"/>
        </w:rPr>
        <w:t>Audit Committee</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David F. Walker—Chairman</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Chuck Moran</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Arlen Shenkman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247015</wp:posOffset>
            </wp:positionV>
            <wp:extent cx="220980" cy="2120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48</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00"/>
          </w:cols>
          <w:pgMar w:left="320" w:top="454" w:right="5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6929755" cy="19615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29755" cy="196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Arial" w:cs="Arial" w:eastAsia="Arial" w:hAnsi="Arial"/>
          <w:sz w:val="46"/>
          <w:szCs w:val="46"/>
          <w:b w:val="1"/>
          <w:bCs w:val="1"/>
          <w:color w:val="E14A6A"/>
        </w:rPr>
        <w:t>Proposal No. 3:</w:t>
      </w:r>
    </w:p>
    <w:p>
      <w:pPr>
        <w:spacing w:after="0" w:line="41" w:lineRule="exact"/>
        <w:rPr>
          <w:sz w:val="20"/>
          <w:szCs w:val="20"/>
          <w:color w:val="auto"/>
        </w:rPr>
      </w:pPr>
    </w:p>
    <w:p>
      <w:pPr>
        <w:ind w:left="160" w:right="4020"/>
        <w:spacing w:after="0" w:line="265" w:lineRule="auto"/>
        <w:rPr>
          <w:sz w:val="20"/>
          <w:szCs w:val="20"/>
          <w:color w:val="auto"/>
        </w:rPr>
      </w:pPr>
      <w:r>
        <w:rPr>
          <w:rFonts w:ascii="Arial" w:cs="Arial" w:eastAsia="Arial" w:hAnsi="Arial"/>
          <w:sz w:val="46"/>
          <w:szCs w:val="46"/>
          <w:b w:val="1"/>
          <w:bCs w:val="1"/>
          <w:color w:val="092E44"/>
        </w:rPr>
        <w:t>Ratification of the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238125</wp:posOffset>
            </wp:positionV>
            <wp:extent cx="5579745" cy="16389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579745" cy="163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60" w:right="240"/>
        <w:spacing w:after="0" w:line="253" w:lineRule="auto"/>
        <w:rPr>
          <w:sz w:val="20"/>
          <w:szCs w:val="20"/>
          <w:color w:val="auto"/>
        </w:rPr>
      </w:pPr>
      <w:r>
        <w:rPr>
          <w:rFonts w:ascii="Arial" w:cs="Arial" w:eastAsia="Arial" w:hAnsi="Arial"/>
          <w:sz w:val="16"/>
          <w:szCs w:val="16"/>
          <w:color w:val="092E44"/>
        </w:rPr>
        <w:t>Financial statements of the Company and our consolidated subsidiaries will be included in our Annual Report furnished to all stockholders. The Audit Committee of the Board of Directors has appointed Ernst &amp; Young LLP as independent public accountants for us to examine our consolidated financial statements for the fiscal year ending March 31, 2023 and has determined as a matter of good governance to seek stockholders’ ratification of the appointment. If the stockholders do not ratify the appointment, the Audit Committee will reconsider the appointment for the 2024 fiscal year, rather than the 2023 fiscal year, because of the difficulty and expense involved in changing independent auditors on short notice.</w:t>
      </w:r>
    </w:p>
    <w:p>
      <w:pPr>
        <w:spacing w:after="0" w:line="60" w:lineRule="exact"/>
        <w:rPr>
          <w:sz w:val="20"/>
          <w:szCs w:val="20"/>
          <w:color w:val="auto"/>
        </w:rPr>
      </w:pPr>
    </w:p>
    <w:p>
      <w:pPr>
        <w:ind w:left="160" w:right="60"/>
        <w:spacing w:after="0" w:line="262" w:lineRule="auto"/>
        <w:rPr>
          <w:sz w:val="20"/>
          <w:szCs w:val="20"/>
          <w:color w:val="auto"/>
        </w:rPr>
      </w:pPr>
      <w:r>
        <w:rPr>
          <w:rFonts w:ascii="Arial" w:cs="Arial" w:eastAsia="Arial" w:hAnsi="Arial"/>
          <w:sz w:val="16"/>
          <w:szCs w:val="16"/>
          <w:color w:val="092E44"/>
        </w:rPr>
        <w:t>Ernst &amp; Young has been engaged as our principal independent public accountants continuously since fiscal year 1998. Representatives of Ernst &amp; Young are expected to attend the Annual Meeting. They will have the opportunity to make a statement if they wish and are also expected to be available to respond to appropriate questions.</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Audit, Audit-Related, Tax, and All Other Fees</w:t>
      </w:r>
    </w:p>
    <w:p>
      <w:pPr>
        <w:spacing w:after="0" w:line="71" w:lineRule="exact"/>
        <w:rPr>
          <w:sz w:val="20"/>
          <w:szCs w:val="20"/>
          <w:color w:val="auto"/>
        </w:rPr>
      </w:pPr>
    </w:p>
    <w:p>
      <w:pPr>
        <w:ind w:left="160" w:right="500"/>
        <w:spacing w:after="0" w:line="279" w:lineRule="auto"/>
        <w:rPr>
          <w:sz w:val="20"/>
          <w:szCs w:val="20"/>
          <w:color w:val="auto"/>
        </w:rPr>
      </w:pPr>
      <w:r>
        <w:rPr>
          <w:rFonts w:ascii="Arial" w:cs="Arial" w:eastAsia="Arial" w:hAnsi="Arial"/>
          <w:sz w:val="16"/>
          <w:szCs w:val="16"/>
          <w:color w:val="092E44"/>
        </w:rPr>
        <w:t>The following table summarizes the aggregate fees and expenses billed to us for the fiscal years ended March 31, 2022, and 2021, by our principal accounting firm, Ernst &amp; Young.</w:t>
      </w:r>
    </w:p>
    <w:p>
      <w:pPr>
        <w:spacing w:after="0" w:line="45"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9380" w:type="dxa"/>
            <w:vAlign w:val="bottom"/>
          </w:tcPr>
          <w:p>
            <w:pPr>
              <w:spacing w:after="0"/>
              <w:rPr>
                <w:sz w:val="14"/>
                <w:szCs w:val="14"/>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092E44"/>
              </w:rPr>
              <w:t>2022</w:t>
            </w:r>
          </w:p>
        </w:tc>
        <w:tc>
          <w:tcPr>
            <w:tcW w:w="7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092E44"/>
              </w:rPr>
              <w:t>2021</w:t>
            </w:r>
          </w:p>
        </w:tc>
      </w:tr>
      <w:tr>
        <w:trPr>
          <w:trHeight w:val="186"/>
        </w:trPr>
        <w:tc>
          <w:tcPr>
            <w:tcW w:w="9380" w:type="dxa"/>
            <w:vAlign w:val="bottom"/>
          </w:tcPr>
          <w:p>
            <w:pPr>
              <w:spacing w:after="0"/>
              <w:rPr>
                <w:sz w:val="16"/>
                <w:szCs w:val="16"/>
                <w:color w:val="auto"/>
              </w:rPr>
            </w:pPr>
          </w:p>
        </w:tc>
        <w:tc>
          <w:tcPr>
            <w:tcW w:w="1540" w:type="dxa"/>
            <w:vAlign w:val="bottom"/>
            <w:gridSpan w:val="2"/>
          </w:tcPr>
          <w:p>
            <w:pPr>
              <w:jc w:val="right"/>
              <w:ind w:right="21"/>
              <w:spacing w:after="0"/>
              <w:rPr>
                <w:sz w:val="20"/>
                <w:szCs w:val="20"/>
                <w:color w:val="auto"/>
              </w:rPr>
            </w:pPr>
            <w:r>
              <w:rPr>
                <w:rFonts w:ascii="Arial" w:cs="Arial" w:eastAsia="Arial" w:hAnsi="Arial"/>
                <w:sz w:val="14"/>
                <w:szCs w:val="14"/>
                <w:color w:val="092E44"/>
              </w:rPr>
              <w:t>(In thousands)</w:t>
            </w:r>
          </w:p>
        </w:tc>
      </w:tr>
      <w:tr>
        <w:trPr>
          <w:trHeight w:val="61"/>
        </w:trPr>
        <w:tc>
          <w:tcPr>
            <w:tcW w:w="9380" w:type="dxa"/>
            <w:vAlign w:val="bottom"/>
            <w:tcBorders>
              <w:bottom w:val="single" w:sz="8" w:color="E14A6A"/>
            </w:tcBorders>
          </w:tcPr>
          <w:p>
            <w:pPr>
              <w:spacing w:after="0"/>
              <w:rPr>
                <w:sz w:val="5"/>
                <w:szCs w:val="5"/>
                <w:color w:val="auto"/>
              </w:rPr>
            </w:pPr>
          </w:p>
        </w:tc>
        <w:tc>
          <w:tcPr>
            <w:tcW w:w="820" w:type="dxa"/>
            <w:vAlign w:val="bottom"/>
            <w:tcBorders>
              <w:bottom w:val="single" w:sz="8" w:color="E14A6A"/>
            </w:tcBorders>
          </w:tcPr>
          <w:p>
            <w:pPr>
              <w:spacing w:after="0"/>
              <w:rPr>
                <w:sz w:val="5"/>
                <w:szCs w:val="5"/>
                <w:color w:val="auto"/>
              </w:rPr>
            </w:pPr>
          </w:p>
        </w:tc>
        <w:tc>
          <w:tcPr>
            <w:tcW w:w="720" w:type="dxa"/>
            <w:vAlign w:val="bottom"/>
            <w:tcBorders>
              <w:bottom w:val="single" w:sz="8" w:color="E14A6A"/>
            </w:tcBorders>
          </w:tcPr>
          <w:p>
            <w:pPr>
              <w:spacing w:after="0"/>
              <w:rPr>
                <w:sz w:val="5"/>
                <w:szCs w:val="5"/>
                <w:color w:val="auto"/>
              </w:rPr>
            </w:pPr>
          </w:p>
        </w:tc>
      </w:tr>
      <w:tr>
        <w:trPr>
          <w:trHeight w:val="244"/>
        </w:trPr>
        <w:tc>
          <w:tcPr>
            <w:tcW w:w="9380" w:type="dxa"/>
            <w:vAlign w:val="bottom"/>
          </w:tcPr>
          <w:p>
            <w:pPr>
              <w:ind w:left="80"/>
              <w:spacing w:after="0"/>
              <w:rPr>
                <w:sz w:val="20"/>
                <w:szCs w:val="20"/>
                <w:color w:val="auto"/>
              </w:rPr>
            </w:pPr>
            <w:r>
              <w:rPr>
                <w:rFonts w:ascii="Arial" w:cs="Arial" w:eastAsia="Arial" w:hAnsi="Arial"/>
                <w:sz w:val="16"/>
                <w:szCs w:val="16"/>
                <w:color w:val="092E44"/>
              </w:rPr>
              <w:t>Audit fees</w:t>
            </w:r>
          </w:p>
        </w:tc>
        <w:tc>
          <w:tcPr>
            <w:tcW w:w="820" w:type="dxa"/>
            <w:vAlign w:val="bottom"/>
          </w:tcPr>
          <w:p>
            <w:pPr>
              <w:jc w:val="right"/>
              <w:ind w:right="2"/>
              <w:spacing w:after="0"/>
              <w:rPr>
                <w:sz w:val="20"/>
                <w:szCs w:val="20"/>
                <w:color w:val="auto"/>
              </w:rPr>
            </w:pPr>
            <w:r>
              <w:rPr>
                <w:rFonts w:ascii="Arial" w:cs="Arial" w:eastAsia="Arial" w:hAnsi="Arial"/>
                <w:sz w:val="16"/>
                <w:szCs w:val="16"/>
                <w:color w:val="092E44"/>
              </w:rPr>
              <w:t>$ 2,065</w:t>
            </w:r>
          </w:p>
        </w:tc>
        <w:tc>
          <w:tcPr>
            <w:tcW w:w="720" w:type="dxa"/>
            <w:vAlign w:val="bottom"/>
          </w:tcPr>
          <w:p>
            <w:pPr>
              <w:jc w:val="right"/>
              <w:ind w:right="21"/>
              <w:spacing w:after="0"/>
              <w:rPr>
                <w:sz w:val="20"/>
                <w:szCs w:val="20"/>
                <w:color w:val="auto"/>
              </w:rPr>
            </w:pPr>
            <w:r>
              <w:rPr>
                <w:rFonts w:ascii="Arial" w:cs="Arial" w:eastAsia="Arial" w:hAnsi="Arial"/>
                <w:sz w:val="16"/>
                <w:szCs w:val="16"/>
                <w:color w:val="092E44"/>
              </w:rPr>
              <w:t>$ 1,948</w:t>
            </w:r>
          </w:p>
        </w:tc>
      </w:tr>
      <w:tr>
        <w:trPr>
          <w:trHeight w:val="57"/>
        </w:trPr>
        <w:tc>
          <w:tcPr>
            <w:tcW w:w="9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301"/>
        </w:trPr>
        <w:tc>
          <w:tcPr>
            <w:tcW w:w="9380" w:type="dxa"/>
            <w:vAlign w:val="bottom"/>
            <w:tcBorders>
              <w:bottom w:val="single" w:sz="8" w:color="DDE9F2"/>
            </w:tcBorders>
            <w:shd w:val="clear" w:color="auto" w:fill="DDE9F2"/>
          </w:tcPr>
          <w:p>
            <w:pPr>
              <w:ind w:left="80"/>
              <w:spacing w:after="0"/>
              <w:rPr>
                <w:sz w:val="20"/>
                <w:szCs w:val="20"/>
                <w:color w:val="auto"/>
              </w:rPr>
            </w:pPr>
            <w:r>
              <w:rPr>
                <w:rFonts w:ascii="Arial" w:cs="Arial" w:eastAsia="Arial" w:hAnsi="Arial"/>
                <w:sz w:val="16"/>
                <w:szCs w:val="16"/>
                <w:color w:val="092E44"/>
              </w:rPr>
              <w:t>Audit-related fees</w:t>
            </w:r>
          </w:p>
        </w:tc>
        <w:tc>
          <w:tcPr>
            <w:tcW w:w="820" w:type="dxa"/>
            <w:vAlign w:val="bottom"/>
            <w:tcBorders>
              <w:bottom w:val="single" w:sz="8" w:color="DDE9F2"/>
            </w:tcBorders>
            <w:shd w:val="clear" w:color="auto" w:fill="DDE9F2"/>
          </w:tcPr>
          <w:p>
            <w:pPr>
              <w:jc w:val="right"/>
              <w:ind w:right="2"/>
              <w:spacing w:after="0"/>
              <w:rPr>
                <w:sz w:val="20"/>
                <w:szCs w:val="20"/>
                <w:color w:val="auto"/>
              </w:rPr>
            </w:pPr>
            <w:r>
              <w:rPr>
                <w:rFonts w:ascii="Arial" w:cs="Arial" w:eastAsia="Arial" w:hAnsi="Arial"/>
                <w:sz w:val="16"/>
                <w:szCs w:val="16"/>
                <w:color w:val="092E44"/>
              </w:rPr>
              <w:t>10</w:t>
            </w:r>
          </w:p>
        </w:tc>
        <w:tc>
          <w:tcPr>
            <w:tcW w:w="720" w:type="dxa"/>
            <w:vAlign w:val="bottom"/>
            <w:tcBorders>
              <w:bottom w:val="single" w:sz="8" w:color="DDE9F2"/>
            </w:tcBorders>
            <w:shd w:val="clear" w:color="auto" w:fill="DDE9F2"/>
          </w:tcPr>
          <w:p>
            <w:pPr>
              <w:jc w:val="right"/>
              <w:ind w:right="21"/>
              <w:spacing w:after="0"/>
              <w:rPr>
                <w:sz w:val="20"/>
                <w:szCs w:val="20"/>
                <w:color w:val="auto"/>
              </w:rPr>
            </w:pPr>
            <w:r>
              <w:rPr>
                <w:rFonts w:ascii="Arial" w:cs="Arial" w:eastAsia="Arial" w:hAnsi="Arial"/>
                <w:sz w:val="16"/>
                <w:szCs w:val="16"/>
                <w:color w:val="092E44"/>
              </w:rPr>
              <w:t>3</w:t>
            </w:r>
          </w:p>
        </w:tc>
      </w:tr>
      <w:tr>
        <w:trPr>
          <w:trHeight w:val="264"/>
        </w:trPr>
        <w:tc>
          <w:tcPr>
            <w:tcW w:w="9380" w:type="dxa"/>
            <w:vAlign w:val="bottom"/>
          </w:tcPr>
          <w:p>
            <w:pPr>
              <w:ind w:left="80"/>
              <w:spacing w:after="0"/>
              <w:rPr>
                <w:sz w:val="20"/>
                <w:szCs w:val="20"/>
                <w:color w:val="auto"/>
              </w:rPr>
            </w:pPr>
            <w:r>
              <w:rPr>
                <w:rFonts w:ascii="Arial" w:cs="Arial" w:eastAsia="Arial" w:hAnsi="Arial"/>
                <w:sz w:val="16"/>
                <w:szCs w:val="16"/>
                <w:color w:val="092E44"/>
              </w:rPr>
              <w:t>Tax fees</w:t>
            </w:r>
          </w:p>
        </w:tc>
        <w:tc>
          <w:tcPr>
            <w:tcW w:w="820" w:type="dxa"/>
            <w:vAlign w:val="bottom"/>
          </w:tcPr>
          <w:p>
            <w:pPr>
              <w:jc w:val="right"/>
              <w:ind w:right="2"/>
              <w:spacing w:after="0"/>
              <w:rPr>
                <w:sz w:val="20"/>
                <w:szCs w:val="20"/>
                <w:color w:val="auto"/>
              </w:rPr>
            </w:pPr>
            <w:r>
              <w:rPr>
                <w:rFonts w:ascii="Arial" w:cs="Arial" w:eastAsia="Arial" w:hAnsi="Arial"/>
                <w:sz w:val="16"/>
                <w:szCs w:val="16"/>
                <w:color w:val="092E44"/>
              </w:rPr>
              <w:t>1,198</w:t>
            </w:r>
          </w:p>
        </w:tc>
        <w:tc>
          <w:tcPr>
            <w:tcW w:w="720" w:type="dxa"/>
            <w:vAlign w:val="bottom"/>
          </w:tcPr>
          <w:p>
            <w:pPr>
              <w:jc w:val="right"/>
              <w:ind w:right="21"/>
              <w:spacing w:after="0"/>
              <w:rPr>
                <w:sz w:val="20"/>
                <w:szCs w:val="20"/>
                <w:color w:val="auto"/>
              </w:rPr>
            </w:pPr>
            <w:r>
              <w:rPr>
                <w:rFonts w:ascii="Arial" w:cs="Arial" w:eastAsia="Arial" w:hAnsi="Arial"/>
                <w:sz w:val="16"/>
                <w:szCs w:val="16"/>
                <w:color w:val="092E44"/>
              </w:rPr>
              <w:t>1,377</w:t>
            </w:r>
          </w:p>
        </w:tc>
      </w:tr>
      <w:tr>
        <w:trPr>
          <w:trHeight w:val="57"/>
        </w:trPr>
        <w:tc>
          <w:tcPr>
            <w:tcW w:w="9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326"/>
        </w:trPr>
        <w:tc>
          <w:tcPr>
            <w:tcW w:w="9380" w:type="dxa"/>
            <w:vAlign w:val="bottom"/>
            <w:tcBorders>
              <w:bottom w:val="single" w:sz="8" w:color="DDE9F2"/>
            </w:tcBorders>
            <w:shd w:val="clear" w:color="auto" w:fill="DDE9F2"/>
          </w:tcPr>
          <w:p>
            <w:pPr>
              <w:ind w:left="80"/>
              <w:spacing w:after="0"/>
              <w:rPr>
                <w:sz w:val="20"/>
                <w:szCs w:val="20"/>
                <w:color w:val="auto"/>
              </w:rPr>
            </w:pPr>
            <w:r>
              <w:rPr>
                <w:rFonts w:ascii="Arial" w:cs="Arial" w:eastAsia="Arial" w:hAnsi="Arial"/>
                <w:sz w:val="16"/>
                <w:szCs w:val="16"/>
                <w:color w:val="092E44"/>
              </w:rPr>
              <w:t>All other fees</w:t>
            </w:r>
          </w:p>
        </w:tc>
        <w:tc>
          <w:tcPr>
            <w:tcW w:w="820" w:type="dxa"/>
            <w:vAlign w:val="bottom"/>
            <w:tcBorders>
              <w:bottom w:val="single" w:sz="8" w:color="DDE9F2"/>
            </w:tcBorders>
            <w:shd w:val="clear" w:color="auto" w:fill="DDE9F2"/>
          </w:tcPr>
          <w:p>
            <w:pPr>
              <w:jc w:val="right"/>
              <w:ind w:right="2"/>
              <w:spacing w:after="0"/>
              <w:rPr>
                <w:sz w:val="20"/>
                <w:szCs w:val="20"/>
                <w:color w:val="auto"/>
              </w:rPr>
            </w:pPr>
            <w:r>
              <w:rPr>
                <w:rFonts w:ascii="Arial" w:cs="Arial" w:eastAsia="Arial" w:hAnsi="Arial"/>
                <w:sz w:val="16"/>
                <w:szCs w:val="16"/>
                <w:color w:val="092E44"/>
              </w:rPr>
              <w:t>—</w:t>
            </w:r>
          </w:p>
        </w:tc>
        <w:tc>
          <w:tcPr>
            <w:tcW w:w="720" w:type="dxa"/>
            <w:vAlign w:val="bottom"/>
            <w:tcBorders>
              <w:bottom w:val="single" w:sz="8" w:color="DDE9F2"/>
            </w:tcBorders>
            <w:shd w:val="clear" w:color="auto" w:fill="DDE9F2"/>
          </w:tcPr>
          <w:p>
            <w:pPr>
              <w:jc w:val="right"/>
              <w:ind w:right="21"/>
              <w:spacing w:after="0"/>
              <w:rPr>
                <w:sz w:val="20"/>
                <w:szCs w:val="20"/>
                <w:color w:val="auto"/>
              </w:rPr>
            </w:pPr>
            <w:r>
              <w:rPr>
                <w:rFonts w:ascii="Arial" w:cs="Arial" w:eastAsia="Arial" w:hAnsi="Arial"/>
                <w:sz w:val="16"/>
                <w:szCs w:val="16"/>
                <w:color w:val="092E44"/>
              </w:rPr>
              <w:t>—</w:t>
            </w:r>
          </w:p>
        </w:tc>
      </w:tr>
      <w:tr>
        <w:trPr>
          <w:trHeight w:val="244"/>
        </w:trPr>
        <w:tc>
          <w:tcPr>
            <w:tcW w:w="93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092E44"/>
              </w:rPr>
              <w:t>$ 3,273</w:t>
            </w:r>
          </w:p>
        </w:tc>
        <w:tc>
          <w:tcPr>
            <w:tcW w:w="7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092E44"/>
              </w:rPr>
              <w:t>$ 3,328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36195</wp:posOffset>
            </wp:positionV>
            <wp:extent cx="69297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6" w:lineRule="exact"/>
        <w:rPr>
          <w:sz w:val="20"/>
          <w:szCs w:val="20"/>
          <w:color w:val="auto"/>
        </w:rPr>
      </w:pPr>
    </w:p>
    <w:p>
      <w:pPr>
        <w:jc w:val="both"/>
        <w:ind w:left="160" w:right="140"/>
        <w:spacing w:after="0" w:line="262" w:lineRule="auto"/>
        <w:rPr>
          <w:sz w:val="20"/>
          <w:szCs w:val="20"/>
          <w:color w:val="auto"/>
        </w:rPr>
      </w:pPr>
      <w:r>
        <w:rPr>
          <w:rFonts w:ascii="Arial" w:cs="Arial" w:eastAsia="Arial" w:hAnsi="Arial"/>
          <w:sz w:val="16"/>
          <w:szCs w:val="16"/>
          <w:b w:val="1"/>
          <w:bCs w:val="1"/>
          <w:color w:val="E14A6A"/>
        </w:rPr>
        <w:t>Audit Fees—</w:t>
      </w:r>
      <w:r>
        <w:rPr>
          <w:rFonts w:ascii="Arial" w:cs="Arial" w:eastAsia="Arial" w:hAnsi="Arial"/>
          <w:sz w:val="16"/>
          <w:szCs w:val="16"/>
          <w:color w:val="092E44"/>
        </w:rPr>
        <w:t>all services necessary to perform an audit of the consolidated financial statements of our company; the reviews of our company’s quarterly</w:t>
      </w:r>
      <w:r>
        <w:rPr>
          <w:rFonts w:ascii="Arial" w:cs="Arial" w:eastAsia="Arial" w:hAnsi="Arial"/>
          <w:sz w:val="16"/>
          <w:szCs w:val="16"/>
          <w:b w:val="1"/>
          <w:bCs w:val="1"/>
          <w:color w:val="E14A6A"/>
        </w:rPr>
        <w:t xml:space="preserve"> </w:t>
      </w:r>
      <w:r>
        <w:rPr>
          <w:rFonts w:ascii="Arial" w:cs="Arial" w:eastAsia="Arial" w:hAnsi="Arial"/>
          <w:sz w:val="16"/>
          <w:szCs w:val="16"/>
          <w:color w:val="092E44"/>
        </w:rPr>
        <w:t>reports on Form 10-Q; services in connection with statutory and regulatory filings or engagements; comfort letters; statutory audits; consents and review of documents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229235</wp:posOffset>
            </wp:positionV>
            <wp:extent cx="220980" cy="2120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49</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80"/>
          </w:cols>
          <w:pgMar w:left="320" w:top="454"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PROPOSAL NO. 3: RATIFICATION OF THE APPOINTMENT OF INDEPENDENT AUDITORS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AUDIT, AUDIT-RELATED, TAX, AND ALL OTHER FEES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E14A6A"/>
        </w:rPr>
        <w:t>Audit Related Fees—</w:t>
      </w:r>
      <w:r>
        <w:rPr>
          <w:rFonts w:ascii="Arial" w:cs="Arial" w:eastAsia="Arial" w:hAnsi="Arial"/>
          <w:sz w:val="16"/>
          <w:szCs w:val="16"/>
          <w:color w:val="092E44"/>
        </w:rPr>
        <w:t>subscription to EY Online Research Tool.</w:t>
      </w:r>
    </w:p>
    <w:p>
      <w:pPr>
        <w:spacing w:after="0" w:line="9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E14A6A"/>
        </w:rPr>
        <w:t>Tax Fees—</w:t>
      </w:r>
      <w:r>
        <w:rPr>
          <w:rFonts w:ascii="Arial" w:cs="Arial" w:eastAsia="Arial" w:hAnsi="Arial"/>
          <w:sz w:val="16"/>
          <w:szCs w:val="16"/>
          <w:color w:val="092E44"/>
        </w:rPr>
        <w:t>tax compliance; tax planning; and other tax advice.</w:t>
      </w:r>
    </w:p>
    <w:p>
      <w:pPr>
        <w:spacing w:after="0" w:line="9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E14A6A"/>
        </w:rPr>
        <w:t>All Other Fees—</w:t>
      </w:r>
      <w:r>
        <w:rPr>
          <w:rFonts w:ascii="Arial" w:cs="Arial" w:eastAsia="Arial" w:hAnsi="Arial"/>
          <w:sz w:val="16"/>
          <w:szCs w:val="16"/>
          <w:color w:val="092E44"/>
        </w:rPr>
        <w:t>any other work that is not Audit, Audit-Related, or a Tax Service.</w:t>
      </w:r>
    </w:p>
    <w:p>
      <w:pPr>
        <w:spacing w:after="0" w:line="83" w:lineRule="exact"/>
        <w:rPr>
          <w:sz w:val="20"/>
          <w:szCs w:val="20"/>
          <w:color w:val="auto"/>
        </w:rPr>
      </w:pPr>
    </w:p>
    <w:p>
      <w:pPr>
        <w:ind w:left="160"/>
        <w:spacing w:after="0" w:line="262" w:lineRule="auto"/>
        <w:rPr>
          <w:sz w:val="20"/>
          <w:szCs w:val="20"/>
          <w:color w:val="auto"/>
        </w:rPr>
      </w:pPr>
      <w:r>
        <w:rPr>
          <w:rFonts w:ascii="Arial" w:cs="Arial" w:eastAsia="Arial" w:hAnsi="Arial"/>
          <w:sz w:val="16"/>
          <w:szCs w:val="16"/>
          <w:color w:val="092E44"/>
        </w:rPr>
        <w:t>In considering the nature of the services provided by Ernst &amp; Young, the Audit Committee determined that such services are compatible with the provision of independent audit services. The Audit Committee discussed these services with Ernst &amp; Young and our management to determine that they are permitted under the rules and regulations concerning auditor independence promulgated by the SEC to implement the Sarbanes-Oxley Act of 2002.</w:t>
      </w:r>
    </w:p>
    <w:p>
      <w:pPr>
        <w:spacing w:after="0" w:line="270" w:lineRule="exact"/>
        <w:rPr>
          <w:sz w:val="20"/>
          <w:szCs w:val="20"/>
          <w:color w:val="auto"/>
        </w:rPr>
      </w:pPr>
    </w:p>
    <w:p>
      <w:pPr>
        <w:ind w:left="160" w:right="320"/>
        <w:spacing w:after="0" w:line="272" w:lineRule="auto"/>
        <w:rPr>
          <w:sz w:val="20"/>
          <w:szCs w:val="20"/>
          <w:color w:val="auto"/>
        </w:rPr>
      </w:pPr>
      <w:r>
        <w:rPr>
          <w:rFonts w:ascii="Arial" w:cs="Arial" w:eastAsia="Arial" w:hAnsi="Arial"/>
          <w:sz w:val="25"/>
          <w:szCs w:val="25"/>
          <w:b w:val="1"/>
          <w:bCs w:val="1"/>
          <w:color w:val="E14A6A"/>
        </w:rPr>
        <w:t>Policy on Audit Committee Pre-Approval of Audit and Non-Audit Services of Independent Auditor</w:t>
      </w:r>
    </w:p>
    <w:p>
      <w:pPr>
        <w:spacing w:after="0" w:line="1" w:lineRule="exact"/>
        <w:rPr>
          <w:sz w:val="20"/>
          <w:szCs w:val="20"/>
          <w:color w:val="auto"/>
        </w:rPr>
      </w:pPr>
    </w:p>
    <w:p>
      <w:pPr>
        <w:ind w:left="160" w:right="140"/>
        <w:spacing w:after="0" w:line="256" w:lineRule="auto"/>
        <w:rPr>
          <w:sz w:val="20"/>
          <w:szCs w:val="20"/>
          <w:color w:val="auto"/>
        </w:rPr>
      </w:pPr>
      <w:r>
        <w:rPr>
          <w:rFonts w:ascii="Arial" w:cs="Arial" w:eastAsia="Arial" w:hAnsi="Arial"/>
          <w:sz w:val="16"/>
          <w:szCs w:val="16"/>
          <w:color w:val="092E44"/>
        </w:rPr>
        <w:t>The Audit Committee is responsible for appointing, setting compensation for, and overseeing the work of the independent auditor. The Audit Committee has established a policy regarding pre-approval of permissible non-audit services provided by the independent auditor. Generally, pre-approvals may be made by the chairperson of the Audit Committee and ratified by the full Audit Committee at its next meeting thereafter. All the services performed by Ernst &amp; Young in the year ended March 31, 2022, were pre-approved in accordance with the pre-approval policy adopted by the Audit Committee.</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The Board of Directors recommends that you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266065</wp:posOffset>
            </wp:positionV>
            <wp:extent cx="220980" cy="2120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50</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60"/>
          </w:cols>
          <w:pgMar w:left="320" w:top="454" w:right="5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6929755" cy="19615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29755" cy="196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Arial" w:cs="Arial" w:eastAsia="Arial" w:hAnsi="Arial"/>
          <w:sz w:val="46"/>
          <w:szCs w:val="46"/>
          <w:b w:val="1"/>
          <w:bCs w:val="1"/>
          <w:color w:val="E14A6A"/>
        </w:rPr>
        <w:t>Proposal No. 4:</w:t>
      </w:r>
    </w:p>
    <w:p>
      <w:pPr>
        <w:spacing w:after="0" w:line="41" w:lineRule="exact"/>
        <w:rPr>
          <w:sz w:val="20"/>
          <w:szCs w:val="20"/>
          <w:color w:val="auto"/>
        </w:rPr>
      </w:pPr>
    </w:p>
    <w:p>
      <w:pPr>
        <w:ind w:left="160" w:right="1940"/>
        <w:spacing w:after="0" w:line="265" w:lineRule="auto"/>
        <w:rPr>
          <w:sz w:val="20"/>
          <w:szCs w:val="20"/>
          <w:color w:val="auto"/>
        </w:rPr>
      </w:pPr>
      <w:r>
        <w:rPr>
          <w:rFonts w:ascii="Arial" w:cs="Arial" w:eastAsia="Arial" w:hAnsi="Arial"/>
          <w:sz w:val="46"/>
          <w:szCs w:val="46"/>
          <w:b w:val="1"/>
          <w:bCs w:val="1"/>
          <w:color w:val="092E44"/>
        </w:rPr>
        <w:t>Approval of the Omnibus Incentive Plan, as Amended by the Sixth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331470</wp:posOffset>
            </wp:positionV>
            <wp:extent cx="5655945" cy="1579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655945" cy="1579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 w:right="60"/>
        <w:spacing w:after="0" w:line="256" w:lineRule="auto"/>
        <w:rPr>
          <w:sz w:val="20"/>
          <w:szCs w:val="20"/>
          <w:color w:val="auto"/>
        </w:rPr>
      </w:pPr>
      <w:r>
        <w:rPr>
          <w:rFonts w:ascii="Arial" w:cs="Arial" w:eastAsia="Arial" w:hAnsi="Arial"/>
          <w:sz w:val="16"/>
          <w:szCs w:val="16"/>
          <w:color w:val="092E44"/>
        </w:rPr>
        <w:t>Our Board of Directors believes it is important for employees to have an equity interest in our company, and recommends the 2016 Incentive Plan, as amended by the Sixth Amendment, to stockholders for approval. Stockholder approval of this Proposal will increase the number of shares of Commvault common stock available for delivery under the 2016 Incentive Plan by 1,000,000. This increase in the number of shares available for issuance should ensure we can grant our customary incentive awards for the foreseeable future.</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The Sixth Amendment will become effective upon stockholder approval.</w:t>
      </w:r>
    </w:p>
    <w:p>
      <w:pPr>
        <w:spacing w:after="0" w:line="97" w:lineRule="exact"/>
        <w:rPr>
          <w:sz w:val="20"/>
          <w:szCs w:val="20"/>
          <w:color w:val="auto"/>
        </w:rPr>
      </w:pPr>
    </w:p>
    <w:p>
      <w:pPr>
        <w:ind w:left="160" w:right="100"/>
        <w:spacing w:after="0" w:line="279" w:lineRule="auto"/>
        <w:rPr>
          <w:sz w:val="20"/>
          <w:szCs w:val="20"/>
          <w:color w:val="auto"/>
        </w:rPr>
      </w:pPr>
      <w:r>
        <w:rPr>
          <w:rFonts w:ascii="Arial" w:cs="Arial" w:eastAsia="Arial" w:hAnsi="Arial"/>
          <w:sz w:val="16"/>
          <w:szCs w:val="16"/>
          <w:color w:val="092E44"/>
        </w:rPr>
        <w:t>The following summary of the 2016 Incentive Plan, as amended by the Sixth Amendment, is qualified in its entirety by the complete text of the amended 2016 Incentive Plan contained in Annex B to this proxy statement.</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Background</w:t>
      </w:r>
    </w:p>
    <w:p>
      <w:pPr>
        <w:spacing w:after="0" w:line="71" w:lineRule="exact"/>
        <w:rPr>
          <w:sz w:val="20"/>
          <w:szCs w:val="20"/>
          <w:color w:val="auto"/>
        </w:rPr>
      </w:pPr>
    </w:p>
    <w:p>
      <w:pPr>
        <w:jc w:val="both"/>
        <w:ind w:left="160" w:right="440"/>
        <w:spacing w:after="0" w:line="262" w:lineRule="auto"/>
        <w:rPr>
          <w:sz w:val="20"/>
          <w:szCs w:val="20"/>
          <w:color w:val="auto"/>
        </w:rPr>
      </w:pPr>
      <w:r>
        <w:rPr>
          <w:rFonts w:ascii="Arial" w:cs="Arial" w:eastAsia="Arial" w:hAnsi="Arial"/>
          <w:sz w:val="16"/>
          <w:szCs w:val="16"/>
          <w:color w:val="092E44"/>
        </w:rPr>
        <w:t>We previously maintained the Commvault Systems, Inc. 1996 Stock Option Plan and the 2006 Long-Term Stock Incentive Plan (together, the “Prior Plans”). As of the date of this proxy statement, a total of 1,847,660 million shares of Commvault common stock remain available to be issued upon exercise or settlement of outstanding awards under the Prior Plans.</w:t>
      </w:r>
    </w:p>
    <w:p>
      <w:pPr>
        <w:spacing w:after="0" w:line="39" w:lineRule="exact"/>
        <w:rPr>
          <w:sz w:val="20"/>
          <w:szCs w:val="20"/>
          <w:color w:val="auto"/>
        </w:rPr>
      </w:pPr>
    </w:p>
    <w:p>
      <w:pPr>
        <w:ind w:left="160"/>
        <w:spacing w:after="0" w:line="253" w:lineRule="auto"/>
        <w:rPr>
          <w:sz w:val="20"/>
          <w:szCs w:val="20"/>
          <w:color w:val="auto"/>
        </w:rPr>
      </w:pPr>
      <w:r>
        <w:rPr>
          <w:rFonts w:ascii="Arial" w:cs="Arial" w:eastAsia="Arial" w:hAnsi="Arial"/>
          <w:sz w:val="16"/>
          <w:szCs w:val="16"/>
          <w:color w:val="092E44"/>
        </w:rPr>
        <w:t>As described below under “Description of 2016 Incentive Plan—Types of Awards,” the 2016 Incentive Plan authorizes a broad range of awards, including stock options (“Options”), stock appreciation rights (“SARs”), Full Value Awards (including restricted stock, restricted stock units (“RSUs”), performance shares or units, and other stock-based awards) and cash-based awards. As of the date of this proxy statement, 9,513,629 shares of Commvault common stock (and no stock options) have been granted under the 2016 Incentive Plan, out of a total of 10,050,000 reserved for issuance. The Sixth Amendment will reserve an additional 1,000,000 of shares of common stock for issuance under the 2016 Incentive Plan.</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On June 30, 2022, the last reported sale price of our Common Stock on the NASDAQ stock market was $62.90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257175</wp:posOffset>
            </wp:positionV>
            <wp:extent cx="220980" cy="2120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51</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20"/>
          </w:cols>
          <w:pgMar w:left="320" w:top="454" w:right="5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PROPOSAL NO. 4: APPROVAL OF THE OMNIBUS INCENTIVE PLAN, AS AMENDED BY THE SIXTH AMENDMENT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KEY DATA</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Key Data</w:t>
      </w:r>
    </w:p>
    <w:p>
      <w:pPr>
        <w:spacing w:after="0" w:line="71" w:lineRule="exact"/>
        <w:rPr>
          <w:sz w:val="20"/>
          <w:szCs w:val="20"/>
          <w:color w:val="auto"/>
        </w:rPr>
      </w:pPr>
    </w:p>
    <w:p>
      <w:pPr>
        <w:ind w:left="160" w:right="160"/>
        <w:spacing w:after="0" w:line="279" w:lineRule="auto"/>
        <w:rPr>
          <w:sz w:val="20"/>
          <w:szCs w:val="20"/>
          <w:color w:val="auto"/>
        </w:rPr>
      </w:pPr>
      <w:r>
        <w:rPr>
          <w:rFonts w:ascii="Arial" w:cs="Arial" w:eastAsia="Arial" w:hAnsi="Arial"/>
          <w:sz w:val="16"/>
          <w:szCs w:val="16"/>
          <w:color w:val="092E44"/>
        </w:rPr>
        <w:t>The following table includes information regarding outstanding equity awards and shares available for future awards under our Prior Plans and the 2016 Incentive Plan as of May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128270</wp:posOffset>
            </wp:positionV>
            <wp:extent cx="69297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4" w:lineRule="exact"/>
        <w:rPr>
          <w:sz w:val="20"/>
          <w:szCs w:val="20"/>
          <w:color w:val="auto"/>
        </w:rPr>
      </w:pPr>
    </w:p>
    <w:tbl>
      <w:tblPr>
        <w:tblLayout w:type="fixed"/>
        <w:tblInd w:w="160" w:type="dxa"/>
        <w:tblCellMar>
          <w:top w:w="0" w:type="dxa"/>
          <w:left w:w="0" w:type="dxa"/>
          <w:bottom w:w="0" w:type="dxa"/>
          <w:right w:w="0" w:type="dxa"/>
        </w:tblCellMar>
      </w:tblPr>
      <w:tr>
        <w:trPr>
          <w:trHeight w:val="211"/>
        </w:trPr>
        <w:tc>
          <w:tcPr>
            <w:tcW w:w="2320" w:type="dxa"/>
            <w:vAlign w:val="bottom"/>
          </w:tcPr>
          <w:p>
            <w:pPr>
              <w:ind w:left="80"/>
              <w:spacing w:after="0"/>
              <w:rPr>
                <w:sz w:val="20"/>
                <w:szCs w:val="20"/>
                <w:color w:val="auto"/>
              </w:rPr>
            </w:pPr>
            <w:r>
              <w:rPr>
                <w:rFonts w:ascii="Arial" w:cs="Arial" w:eastAsia="Arial" w:hAnsi="Arial"/>
                <w:sz w:val="16"/>
                <w:szCs w:val="16"/>
                <w:color w:val="092E44"/>
              </w:rPr>
              <w:t>Options</w:t>
            </w:r>
          </w:p>
        </w:tc>
        <w:tc>
          <w:tcPr>
            <w:tcW w:w="1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jc w:val="right"/>
              <w:ind w:right="23"/>
              <w:spacing w:after="0"/>
              <w:rPr>
                <w:sz w:val="20"/>
                <w:szCs w:val="20"/>
                <w:color w:val="auto"/>
              </w:rPr>
            </w:pPr>
            <w:r>
              <w:rPr>
                <w:rFonts w:ascii="Arial" w:cs="Arial" w:eastAsia="Arial" w:hAnsi="Arial"/>
                <w:sz w:val="16"/>
                <w:szCs w:val="16"/>
                <w:color w:val="092E44"/>
              </w:rPr>
              <w:t>899,799</w:t>
            </w:r>
          </w:p>
        </w:tc>
      </w:tr>
      <w:tr>
        <w:trPr>
          <w:trHeight w:val="57"/>
        </w:trPr>
        <w:tc>
          <w:tcPr>
            <w:tcW w:w="3880" w:type="dxa"/>
            <w:vAlign w:val="bottom"/>
            <w:gridSpan w:val="2"/>
          </w:tcPr>
          <w:p>
            <w:pPr>
              <w:spacing w:after="0"/>
              <w:rPr>
                <w:sz w:val="4"/>
                <w:szCs w:val="4"/>
                <w:color w:val="auto"/>
              </w:rPr>
            </w:pPr>
          </w:p>
        </w:tc>
        <w:tc>
          <w:tcPr>
            <w:tcW w:w="14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301"/>
        </w:trPr>
        <w:tc>
          <w:tcPr>
            <w:tcW w:w="3880" w:type="dxa"/>
            <w:vAlign w:val="bottom"/>
            <w:tcBorders>
              <w:bottom w:val="single" w:sz="8" w:color="DDE9F2"/>
            </w:tcBorders>
            <w:gridSpan w:val="2"/>
            <w:shd w:val="clear" w:color="auto" w:fill="DDE9F2"/>
          </w:tcPr>
          <w:p>
            <w:pPr>
              <w:ind w:left="80"/>
              <w:spacing w:after="0"/>
              <w:rPr>
                <w:sz w:val="20"/>
                <w:szCs w:val="20"/>
                <w:color w:val="auto"/>
              </w:rPr>
            </w:pPr>
            <w:r>
              <w:rPr>
                <w:rFonts w:ascii="Arial" w:cs="Arial" w:eastAsia="Arial" w:hAnsi="Arial"/>
                <w:sz w:val="16"/>
                <w:szCs w:val="16"/>
                <w:color w:val="092E44"/>
              </w:rPr>
              <w:t>Non-Vested Time-Vesting Restricted Stock Units</w:t>
            </w:r>
          </w:p>
        </w:tc>
        <w:tc>
          <w:tcPr>
            <w:tcW w:w="1440" w:type="dxa"/>
            <w:vAlign w:val="bottom"/>
            <w:tcBorders>
              <w:bottom w:val="single" w:sz="8" w:color="DDE9F2"/>
            </w:tcBorders>
            <w:shd w:val="clear" w:color="auto" w:fill="DDE9F2"/>
          </w:tcPr>
          <w:p>
            <w:pPr>
              <w:spacing w:after="0"/>
              <w:rPr>
                <w:sz w:val="24"/>
                <w:szCs w:val="24"/>
                <w:color w:val="auto"/>
              </w:rPr>
            </w:pPr>
          </w:p>
        </w:tc>
        <w:tc>
          <w:tcPr>
            <w:tcW w:w="1420" w:type="dxa"/>
            <w:vAlign w:val="bottom"/>
            <w:tcBorders>
              <w:bottom w:val="single" w:sz="8" w:color="DDE9F2"/>
            </w:tcBorders>
            <w:shd w:val="clear" w:color="auto" w:fill="DDE9F2"/>
          </w:tcPr>
          <w:p>
            <w:pPr>
              <w:spacing w:after="0"/>
              <w:rPr>
                <w:sz w:val="24"/>
                <w:szCs w:val="24"/>
                <w:color w:val="auto"/>
              </w:rPr>
            </w:pPr>
          </w:p>
        </w:tc>
        <w:tc>
          <w:tcPr>
            <w:tcW w:w="1460" w:type="dxa"/>
            <w:vAlign w:val="bottom"/>
            <w:tcBorders>
              <w:bottom w:val="single" w:sz="8" w:color="DDE9F2"/>
            </w:tcBorders>
            <w:shd w:val="clear" w:color="auto" w:fill="DDE9F2"/>
          </w:tcPr>
          <w:p>
            <w:pPr>
              <w:spacing w:after="0"/>
              <w:rPr>
                <w:sz w:val="24"/>
                <w:szCs w:val="24"/>
                <w:color w:val="auto"/>
              </w:rPr>
            </w:pPr>
          </w:p>
        </w:tc>
        <w:tc>
          <w:tcPr>
            <w:tcW w:w="1240" w:type="dxa"/>
            <w:vAlign w:val="bottom"/>
            <w:tcBorders>
              <w:bottom w:val="single" w:sz="8" w:color="DDE9F2"/>
            </w:tcBorders>
            <w:shd w:val="clear" w:color="auto" w:fill="DDE9F2"/>
          </w:tcPr>
          <w:p>
            <w:pPr>
              <w:spacing w:after="0"/>
              <w:rPr>
                <w:sz w:val="24"/>
                <w:szCs w:val="24"/>
                <w:color w:val="auto"/>
              </w:rPr>
            </w:pPr>
          </w:p>
        </w:tc>
        <w:tc>
          <w:tcPr>
            <w:tcW w:w="1480" w:type="dxa"/>
            <w:vAlign w:val="bottom"/>
            <w:tcBorders>
              <w:bottom w:val="single" w:sz="8" w:color="DDE9F2"/>
            </w:tcBorders>
            <w:shd w:val="clear" w:color="auto" w:fill="DDE9F2"/>
          </w:tcPr>
          <w:p>
            <w:pPr>
              <w:jc w:val="right"/>
              <w:ind w:right="23"/>
              <w:spacing w:after="0"/>
              <w:rPr>
                <w:sz w:val="20"/>
                <w:szCs w:val="20"/>
                <w:color w:val="auto"/>
              </w:rPr>
            </w:pPr>
            <w:r>
              <w:rPr>
                <w:rFonts w:ascii="Arial" w:cs="Arial" w:eastAsia="Arial" w:hAnsi="Arial"/>
                <w:sz w:val="16"/>
                <w:szCs w:val="16"/>
                <w:color w:val="092E44"/>
              </w:rPr>
              <w:t>2,784,967</w:t>
            </w:r>
          </w:p>
        </w:tc>
      </w:tr>
      <w:tr>
        <w:trPr>
          <w:trHeight w:val="264"/>
        </w:trPr>
        <w:tc>
          <w:tcPr>
            <w:tcW w:w="2320" w:type="dxa"/>
            <w:vAlign w:val="bottom"/>
          </w:tcPr>
          <w:p>
            <w:pPr>
              <w:ind w:left="80"/>
              <w:spacing w:after="0"/>
              <w:rPr>
                <w:sz w:val="20"/>
                <w:szCs w:val="20"/>
                <w:color w:val="auto"/>
              </w:rPr>
            </w:pPr>
            <w:r>
              <w:rPr>
                <w:rFonts w:ascii="Arial" w:cs="Arial" w:eastAsia="Arial" w:hAnsi="Arial"/>
                <w:sz w:val="16"/>
                <w:szCs w:val="16"/>
                <w:color w:val="092E44"/>
              </w:rPr>
              <w:t>Performance-Vesting Shares</w:t>
            </w:r>
          </w:p>
        </w:tc>
        <w:tc>
          <w:tcPr>
            <w:tcW w:w="15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80" w:type="dxa"/>
            <w:vAlign w:val="bottom"/>
          </w:tcPr>
          <w:p>
            <w:pPr>
              <w:jc w:val="right"/>
              <w:ind w:right="23"/>
              <w:spacing w:after="0"/>
              <w:rPr>
                <w:sz w:val="20"/>
                <w:szCs w:val="20"/>
                <w:color w:val="auto"/>
              </w:rPr>
            </w:pPr>
            <w:r>
              <w:rPr>
                <w:rFonts w:ascii="Arial" w:cs="Arial" w:eastAsia="Arial" w:hAnsi="Arial"/>
                <w:sz w:val="16"/>
                <w:szCs w:val="16"/>
                <w:color w:val="092E44"/>
              </w:rPr>
              <w:t>538,183</w:t>
            </w:r>
          </w:p>
        </w:tc>
      </w:tr>
      <w:tr>
        <w:trPr>
          <w:trHeight w:val="57"/>
        </w:trPr>
        <w:tc>
          <w:tcPr>
            <w:tcW w:w="23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301"/>
        </w:trPr>
        <w:tc>
          <w:tcPr>
            <w:tcW w:w="2320" w:type="dxa"/>
            <w:vAlign w:val="bottom"/>
            <w:tcBorders>
              <w:bottom w:val="single" w:sz="8" w:color="DDE9F2"/>
            </w:tcBorders>
            <w:shd w:val="clear" w:color="auto" w:fill="DDE9F2"/>
          </w:tcPr>
          <w:p>
            <w:pPr>
              <w:ind w:left="80"/>
              <w:spacing w:after="0"/>
              <w:rPr>
                <w:sz w:val="20"/>
                <w:szCs w:val="20"/>
                <w:color w:val="auto"/>
              </w:rPr>
            </w:pPr>
            <w:r>
              <w:rPr>
                <w:rFonts w:ascii="Arial" w:cs="Arial" w:eastAsia="Arial" w:hAnsi="Arial"/>
                <w:sz w:val="16"/>
                <w:szCs w:val="16"/>
                <w:color w:val="092E44"/>
              </w:rPr>
              <w:t>Shares Available for Grant</w:t>
            </w:r>
          </w:p>
        </w:tc>
        <w:tc>
          <w:tcPr>
            <w:tcW w:w="1560" w:type="dxa"/>
            <w:vAlign w:val="bottom"/>
            <w:tcBorders>
              <w:bottom w:val="single" w:sz="8" w:color="DDE9F2"/>
            </w:tcBorders>
            <w:shd w:val="clear" w:color="auto" w:fill="DDE9F2"/>
          </w:tcPr>
          <w:p>
            <w:pPr>
              <w:spacing w:after="0"/>
              <w:rPr>
                <w:sz w:val="24"/>
                <w:szCs w:val="24"/>
                <w:color w:val="auto"/>
              </w:rPr>
            </w:pPr>
          </w:p>
        </w:tc>
        <w:tc>
          <w:tcPr>
            <w:tcW w:w="1440" w:type="dxa"/>
            <w:vAlign w:val="bottom"/>
            <w:tcBorders>
              <w:bottom w:val="single" w:sz="8" w:color="DDE9F2"/>
            </w:tcBorders>
            <w:shd w:val="clear" w:color="auto" w:fill="DDE9F2"/>
          </w:tcPr>
          <w:p>
            <w:pPr>
              <w:spacing w:after="0"/>
              <w:rPr>
                <w:sz w:val="24"/>
                <w:szCs w:val="24"/>
                <w:color w:val="auto"/>
              </w:rPr>
            </w:pPr>
          </w:p>
        </w:tc>
        <w:tc>
          <w:tcPr>
            <w:tcW w:w="1420" w:type="dxa"/>
            <w:vAlign w:val="bottom"/>
            <w:tcBorders>
              <w:bottom w:val="single" w:sz="8" w:color="DDE9F2"/>
            </w:tcBorders>
            <w:shd w:val="clear" w:color="auto" w:fill="DDE9F2"/>
          </w:tcPr>
          <w:p>
            <w:pPr>
              <w:spacing w:after="0"/>
              <w:rPr>
                <w:sz w:val="24"/>
                <w:szCs w:val="24"/>
                <w:color w:val="auto"/>
              </w:rPr>
            </w:pPr>
          </w:p>
        </w:tc>
        <w:tc>
          <w:tcPr>
            <w:tcW w:w="1460" w:type="dxa"/>
            <w:vAlign w:val="bottom"/>
            <w:tcBorders>
              <w:bottom w:val="single" w:sz="8" w:color="DDE9F2"/>
            </w:tcBorders>
            <w:shd w:val="clear" w:color="auto" w:fill="DDE9F2"/>
          </w:tcPr>
          <w:p>
            <w:pPr>
              <w:spacing w:after="0"/>
              <w:rPr>
                <w:sz w:val="24"/>
                <w:szCs w:val="24"/>
                <w:color w:val="auto"/>
              </w:rPr>
            </w:pPr>
          </w:p>
        </w:tc>
        <w:tc>
          <w:tcPr>
            <w:tcW w:w="1240" w:type="dxa"/>
            <w:vAlign w:val="bottom"/>
            <w:tcBorders>
              <w:bottom w:val="single" w:sz="8" w:color="DDE9F2"/>
            </w:tcBorders>
            <w:shd w:val="clear" w:color="auto" w:fill="DDE9F2"/>
          </w:tcPr>
          <w:p>
            <w:pPr>
              <w:spacing w:after="0"/>
              <w:rPr>
                <w:sz w:val="24"/>
                <w:szCs w:val="24"/>
                <w:color w:val="auto"/>
              </w:rPr>
            </w:pPr>
          </w:p>
        </w:tc>
        <w:tc>
          <w:tcPr>
            <w:tcW w:w="1480" w:type="dxa"/>
            <w:vAlign w:val="bottom"/>
            <w:tcBorders>
              <w:bottom w:val="single" w:sz="8" w:color="DDE9F2"/>
            </w:tcBorders>
            <w:shd w:val="clear" w:color="auto" w:fill="DDE9F2"/>
          </w:tcPr>
          <w:p>
            <w:pPr>
              <w:jc w:val="right"/>
              <w:ind w:right="23"/>
              <w:spacing w:after="0"/>
              <w:rPr>
                <w:sz w:val="20"/>
                <w:szCs w:val="20"/>
                <w:color w:val="auto"/>
              </w:rPr>
            </w:pPr>
            <w:r>
              <w:rPr>
                <w:rFonts w:ascii="Arial" w:cs="Arial" w:eastAsia="Arial" w:hAnsi="Arial"/>
                <w:sz w:val="16"/>
                <w:szCs w:val="16"/>
                <w:color w:val="092E44"/>
              </w:rPr>
              <w:t>1,252,787</w:t>
            </w:r>
          </w:p>
        </w:tc>
      </w:tr>
      <w:tr>
        <w:trPr>
          <w:trHeight w:val="264"/>
        </w:trPr>
        <w:tc>
          <w:tcPr>
            <w:tcW w:w="5320" w:type="dxa"/>
            <w:vAlign w:val="bottom"/>
            <w:gridSpan w:val="3"/>
          </w:tcPr>
          <w:p>
            <w:pPr>
              <w:ind w:left="80"/>
              <w:spacing w:after="0"/>
              <w:rPr>
                <w:sz w:val="20"/>
                <w:szCs w:val="20"/>
                <w:color w:val="auto"/>
              </w:rPr>
            </w:pPr>
            <w:r>
              <w:rPr>
                <w:rFonts w:ascii="Arial" w:cs="Arial" w:eastAsia="Arial" w:hAnsi="Arial"/>
                <w:sz w:val="16"/>
                <w:szCs w:val="16"/>
                <w:color w:val="092E44"/>
              </w:rPr>
              <w:t>Weighted Average Exercise Price of Outstanding Options</w:t>
            </w:r>
          </w:p>
        </w:tc>
        <w:tc>
          <w:tcPr>
            <w:tcW w:w="14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80" w:type="dxa"/>
            <w:vAlign w:val="bottom"/>
          </w:tcPr>
          <w:p>
            <w:pPr>
              <w:jc w:val="right"/>
              <w:ind w:right="23"/>
              <w:spacing w:after="0"/>
              <w:rPr>
                <w:sz w:val="20"/>
                <w:szCs w:val="20"/>
                <w:color w:val="auto"/>
              </w:rPr>
            </w:pPr>
            <w:r>
              <w:rPr>
                <w:rFonts w:ascii="Arial" w:cs="Arial" w:eastAsia="Arial" w:hAnsi="Arial"/>
                <w:sz w:val="16"/>
                <w:szCs w:val="16"/>
                <w:color w:val="092E44"/>
              </w:rPr>
              <w:t>$68.20</w:t>
            </w:r>
          </w:p>
        </w:tc>
      </w:tr>
      <w:tr>
        <w:trPr>
          <w:trHeight w:val="57"/>
        </w:trPr>
        <w:tc>
          <w:tcPr>
            <w:tcW w:w="5320" w:type="dxa"/>
            <w:vAlign w:val="bottom"/>
            <w:gridSpan w:val="3"/>
          </w:tcPr>
          <w:p>
            <w:pPr>
              <w:spacing w:after="0"/>
              <w:rPr>
                <w:sz w:val="4"/>
                <w:szCs w:val="4"/>
                <w:color w:val="auto"/>
              </w:rPr>
            </w:pPr>
          </w:p>
        </w:tc>
        <w:tc>
          <w:tcPr>
            <w:tcW w:w="14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326"/>
        </w:trPr>
        <w:tc>
          <w:tcPr>
            <w:tcW w:w="5320" w:type="dxa"/>
            <w:vAlign w:val="bottom"/>
            <w:tcBorders>
              <w:bottom w:val="single" w:sz="8" w:color="DDE9F2"/>
            </w:tcBorders>
            <w:gridSpan w:val="3"/>
            <w:shd w:val="clear" w:color="auto" w:fill="DDE9F2"/>
          </w:tcPr>
          <w:p>
            <w:pPr>
              <w:ind w:left="80"/>
              <w:spacing w:after="0"/>
              <w:rPr>
                <w:sz w:val="20"/>
                <w:szCs w:val="20"/>
                <w:color w:val="auto"/>
              </w:rPr>
            </w:pPr>
            <w:r>
              <w:rPr>
                <w:rFonts w:ascii="Arial" w:cs="Arial" w:eastAsia="Arial" w:hAnsi="Arial"/>
                <w:sz w:val="16"/>
                <w:szCs w:val="16"/>
                <w:color w:val="092E44"/>
              </w:rPr>
              <w:t>Weighted Average Remaining Term of Outstanding Options</w:t>
            </w:r>
          </w:p>
        </w:tc>
        <w:tc>
          <w:tcPr>
            <w:tcW w:w="1420" w:type="dxa"/>
            <w:vAlign w:val="bottom"/>
            <w:tcBorders>
              <w:bottom w:val="single" w:sz="8" w:color="DDE9F2"/>
            </w:tcBorders>
            <w:shd w:val="clear" w:color="auto" w:fill="DDE9F2"/>
          </w:tcPr>
          <w:p>
            <w:pPr>
              <w:spacing w:after="0"/>
              <w:rPr>
                <w:sz w:val="24"/>
                <w:szCs w:val="24"/>
                <w:color w:val="auto"/>
              </w:rPr>
            </w:pPr>
          </w:p>
        </w:tc>
        <w:tc>
          <w:tcPr>
            <w:tcW w:w="1460" w:type="dxa"/>
            <w:vAlign w:val="bottom"/>
            <w:tcBorders>
              <w:bottom w:val="single" w:sz="8" w:color="DDE9F2"/>
            </w:tcBorders>
            <w:shd w:val="clear" w:color="auto" w:fill="DDE9F2"/>
          </w:tcPr>
          <w:p>
            <w:pPr>
              <w:spacing w:after="0"/>
              <w:rPr>
                <w:sz w:val="24"/>
                <w:szCs w:val="24"/>
                <w:color w:val="auto"/>
              </w:rPr>
            </w:pPr>
          </w:p>
        </w:tc>
        <w:tc>
          <w:tcPr>
            <w:tcW w:w="1240" w:type="dxa"/>
            <w:vAlign w:val="bottom"/>
            <w:tcBorders>
              <w:bottom w:val="single" w:sz="8" w:color="DDE9F2"/>
            </w:tcBorders>
            <w:shd w:val="clear" w:color="auto" w:fill="DDE9F2"/>
          </w:tcPr>
          <w:p>
            <w:pPr>
              <w:spacing w:after="0"/>
              <w:rPr>
                <w:sz w:val="24"/>
                <w:szCs w:val="24"/>
                <w:color w:val="auto"/>
              </w:rPr>
            </w:pPr>
          </w:p>
        </w:tc>
        <w:tc>
          <w:tcPr>
            <w:tcW w:w="1480" w:type="dxa"/>
            <w:vAlign w:val="bottom"/>
            <w:tcBorders>
              <w:bottom w:val="single" w:sz="8" w:color="DDE9F2"/>
            </w:tcBorders>
            <w:shd w:val="clear" w:color="auto" w:fill="DDE9F2"/>
          </w:tcPr>
          <w:p>
            <w:pPr>
              <w:jc w:val="right"/>
              <w:ind w:right="23"/>
              <w:spacing w:after="0"/>
              <w:rPr>
                <w:sz w:val="20"/>
                <w:szCs w:val="20"/>
                <w:color w:val="auto"/>
              </w:rPr>
            </w:pPr>
            <w:r>
              <w:rPr>
                <w:rFonts w:ascii="Arial" w:cs="Arial" w:eastAsia="Arial" w:hAnsi="Arial"/>
                <w:sz w:val="16"/>
                <w:szCs w:val="16"/>
                <w:color w:val="092E44"/>
              </w:rPr>
              <w:t>1.28 years</w:t>
            </w:r>
          </w:p>
        </w:tc>
      </w:tr>
      <w:tr>
        <w:trPr>
          <w:trHeight w:val="404"/>
        </w:trPr>
        <w:tc>
          <w:tcPr>
            <w:tcW w:w="6740" w:type="dxa"/>
            <w:vAlign w:val="bottom"/>
            <w:tcBorders>
              <w:top w:val="single" w:sz="8" w:color="092E44"/>
            </w:tcBorders>
            <w:gridSpan w:val="4"/>
          </w:tcPr>
          <w:p>
            <w:pPr>
              <w:spacing w:after="0"/>
              <w:rPr>
                <w:sz w:val="20"/>
                <w:szCs w:val="20"/>
                <w:color w:val="auto"/>
              </w:rPr>
            </w:pPr>
            <w:r>
              <w:rPr>
                <w:rFonts w:ascii="Arial" w:cs="Arial" w:eastAsia="Arial" w:hAnsi="Arial"/>
                <w:sz w:val="16"/>
                <w:szCs w:val="16"/>
                <w:color w:val="092E44"/>
              </w:rPr>
              <w:t>The following table summarizes our equity usage during the three most recent fiscal years.</w:t>
            </w:r>
          </w:p>
        </w:tc>
        <w:tc>
          <w:tcPr>
            <w:tcW w:w="1460" w:type="dxa"/>
            <w:vAlign w:val="bottom"/>
            <w:tcBorders>
              <w:top w:val="single" w:sz="8" w:color="092E44"/>
            </w:tcBorders>
          </w:tcPr>
          <w:p>
            <w:pPr>
              <w:spacing w:after="0"/>
              <w:rPr>
                <w:sz w:val="24"/>
                <w:szCs w:val="24"/>
                <w:color w:val="auto"/>
              </w:rPr>
            </w:pPr>
          </w:p>
        </w:tc>
        <w:tc>
          <w:tcPr>
            <w:tcW w:w="1240" w:type="dxa"/>
            <w:vAlign w:val="bottom"/>
            <w:tcBorders>
              <w:top w:val="single" w:sz="8" w:color="092E44"/>
            </w:tcBorders>
          </w:tcPr>
          <w:p>
            <w:pPr>
              <w:spacing w:after="0"/>
              <w:rPr>
                <w:sz w:val="24"/>
                <w:szCs w:val="24"/>
                <w:color w:val="auto"/>
              </w:rPr>
            </w:pPr>
          </w:p>
        </w:tc>
        <w:tc>
          <w:tcPr>
            <w:tcW w:w="1480" w:type="dxa"/>
            <w:vAlign w:val="bottom"/>
            <w:tcBorders>
              <w:top w:val="single" w:sz="8" w:color="092E44"/>
            </w:tcBorders>
          </w:tcPr>
          <w:p>
            <w:pPr>
              <w:spacing w:after="0"/>
              <w:rPr>
                <w:sz w:val="24"/>
                <w:szCs w:val="24"/>
                <w:color w:val="auto"/>
              </w:rPr>
            </w:pPr>
          </w:p>
        </w:tc>
      </w:tr>
      <w:tr>
        <w:trPr>
          <w:trHeight w:val="382"/>
        </w:trPr>
        <w:tc>
          <w:tcPr>
            <w:tcW w:w="2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jc w:val="right"/>
              <w:ind w:right="123"/>
              <w:spacing w:after="0"/>
              <w:rPr>
                <w:sz w:val="20"/>
                <w:szCs w:val="20"/>
                <w:color w:val="auto"/>
              </w:rPr>
            </w:pPr>
            <w:r>
              <w:rPr>
                <w:rFonts w:ascii="Arial" w:cs="Arial" w:eastAsia="Arial" w:hAnsi="Arial"/>
                <w:sz w:val="14"/>
                <w:szCs w:val="14"/>
                <w:color w:val="092E44"/>
              </w:rPr>
              <w:t>Weighted Average</w:t>
            </w:r>
          </w:p>
        </w:tc>
      </w:tr>
      <w:tr>
        <w:trPr>
          <w:trHeight w:val="160"/>
        </w:trPr>
        <w:tc>
          <w:tcPr>
            <w:tcW w:w="2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40" w:type="dxa"/>
            <w:vAlign w:val="bottom"/>
          </w:tcPr>
          <w:p>
            <w:pPr>
              <w:jc w:val="right"/>
              <w:ind w:right="144"/>
              <w:spacing w:after="0"/>
              <w:rPr>
                <w:sz w:val="20"/>
                <w:szCs w:val="20"/>
                <w:color w:val="auto"/>
              </w:rPr>
            </w:pPr>
            <w:r>
              <w:rPr>
                <w:rFonts w:ascii="Arial" w:cs="Arial" w:eastAsia="Arial" w:hAnsi="Arial"/>
                <w:sz w:val="14"/>
                <w:szCs w:val="14"/>
                <w:color w:val="092E44"/>
              </w:rPr>
              <w:t>Financial</w:t>
            </w:r>
          </w:p>
        </w:tc>
        <w:tc>
          <w:tcPr>
            <w:tcW w:w="1420" w:type="dxa"/>
            <w:vAlign w:val="bottom"/>
          </w:tcPr>
          <w:p>
            <w:pPr>
              <w:jc w:val="right"/>
              <w:ind w:right="164"/>
              <w:spacing w:after="0"/>
              <w:rPr>
                <w:sz w:val="20"/>
                <w:szCs w:val="20"/>
                <w:color w:val="auto"/>
              </w:rPr>
            </w:pPr>
            <w:r>
              <w:rPr>
                <w:rFonts w:ascii="Arial" w:cs="Arial" w:eastAsia="Arial" w:hAnsi="Arial"/>
                <w:sz w:val="14"/>
                <w:szCs w:val="14"/>
                <w:color w:val="092E44"/>
              </w:rPr>
              <w:t>Financial</w:t>
            </w:r>
          </w:p>
        </w:tc>
        <w:tc>
          <w:tcPr>
            <w:tcW w:w="1460" w:type="dxa"/>
            <w:vAlign w:val="bottom"/>
          </w:tcPr>
          <w:p>
            <w:pPr>
              <w:spacing w:after="0"/>
              <w:rPr>
                <w:sz w:val="13"/>
                <w:szCs w:val="13"/>
                <w:color w:val="auto"/>
              </w:rPr>
            </w:pPr>
          </w:p>
        </w:tc>
        <w:tc>
          <w:tcPr>
            <w:tcW w:w="1240" w:type="dxa"/>
            <w:vAlign w:val="bottom"/>
          </w:tcPr>
          <w:p>
            <w:pPr>
              <w:jc w:val="right"/>
              <w:ind w:right="66"/>
              <w:spacing w:after="0"/>
              <w:rPr>
                <w:sz w:val="20"/>
                <w:szCs w:val="20"/>
                <w:color w:val="auto"/>
              </w:rPr>
            </w:pPr>
            <w:r>
              <w:rPr>
                <w:rFonts w:ascii="Arial" w:cs="Arial" w:eastAsia="Arial" w:hAnsi="Arial"/>
                <w:sz w:val="14"/>
                <w:szCs w:val="14"/>
                <w:color w:val="092E44"/>
              </w:rPr>
              <w:t>Market-Based</w:t>
            </w:r>
          </w:p>
        </w:tc>
        <w:tc>
          <w:tcPr>
            <w:tcW w:w="1480" w:type="dxa"/>
            <w:vAlign w:val="bottom"/>
          </w:tcPr>
          <w:p>
            <w:pPr>
              <w:jc w:val="right"/>
              <w:ind w:right="123"/>
              <w:spacing w:after="0"/>
              <w:rPr>
                <w:sz w:val="20"/>
                <w:szCs w:val="20"/>
                <w:color w:val="auto"/>
              </w:rPr>
            </w:pPr>
            <w:r>
              <w:rPr>
                <w:rFonts w:ascii="Arial" w:cs="Arial" w:eastAsia="Arial" w:hAnsi="Arial"/>
                <w:sz w:val="14"/>
                <w:szCs w:val="14"/>
                <w:color w:val="092E44"/>
              </w:rPr>
              <w:t>Common Shares</w:t>
            </w:r>
          </w:p>
        </w:tc>
      </w:tr>
      <w:tr>
        <w:trPr>
          <w:trHeight w:val="155"/>
        </w:trPr>
        <w:tc>
          <w:tcPr>
            <w:tcW w:w="2320" w:type="dxa"/>
            <w:vAlign w:val="bottom"/>
          </w:tcPr>
          <w:p>
            <w:pPr>
              <w:spacing w:after="0"/>
              <w:rPr>
                <w:sz w:val="13"/>
                <w:szCs w:val="13"/>
                <w:color w:val="auto"/>
              </w:rPr>
            </w:pPr>
          </w:p>
        </w:tc>
        <w:tc>
          <w:tcPr>
            <w:tcW w:w="1560" w:type="dxa"/>
            <w:vAlign w:val="bottom"/>
          </w:tcPr>
          <w:p>
            <w:pPr>
              <w:jc w:val="right"/>
              <w:ind w:right="163"/>
              <w:spacing w:after="0" w:line="155" w:lineRule="exact"/>
              <w:rPr>
                <w:sz w:val="20"/>
                <w:szCs w:val="20"/>
                <w:color w:val="auto"/>
              </w:rPr>
            </w:pPr>
            <w:r>
              <w:rPr>
                <w:rFonts w:ascii="Arial" w:cs="Arial" w:eastAsia="Arial" w:hAnsi="Arial"/>
                <w:sz w:val="14"/>
                <w:szCs w:val="14"/>
                <w:color w:val="092E44"/>
              </w:rPr>
              <w:t>Time-Vesting</w:t>
            </w:r>
          </w:p>
        </w:tc>
        <w:tc>
          <w:tcPr>
            <w:tcW w:w="1440" w:type="dxa"/>
            <w:vAlign w:val="bottom"/>
          </w:tcPr>
          <w:p>
            <w:pPr>
              <w:jc w:val="right"/>
              <w:ind w:right="144"/>
              <w:spacing w:after="0" w:line="155" w:lineRule="exact"/>
              <w:rPr>
                <w:sz w:val="20"/>
                <w:szCs w:val="20"/>
                <w:color w:val="auto"/>
              </w:rPr>
            </w:pPr>
            <w:r>
              <w:rPr>
                <w:rFonts w:ascii="Arial" w:cs="Arial" w:eastAsia="Arial" w:hAnsi="Arial"/>
                <w:sz w:val="14"/>
                <w:szCs w:val="14"/>
                <w:color w:val="092E44"/>
              </w:rPr>
              <w:t>Performance</w:t>
            </w:r>
          </w:p>
        </w:tc>
        <w:tc>
          <w:tcPr>
            <w:tcW w:w="1420" w:type="dxa"/>
            <w:vAlign w:val="bottom"/>
          </w:tcPr>
          <w:p>
            <w:pPr>
              <w:jc w:val="right"/>
              <w:ind w:right="164"/>
              <w:spacing w:after="0" w:line="155" w:lineRule="exact"/>
              <w:rPr>
                <w:sz w:val="20"/>
                <w:szCs w:val="20"/>
                <w:color w:val="auto"/>
              </w:rPr>
            </w:pPr>
            <w:r>
              <w:rPr>
                <w:rFonts w:ascii="Arial" w:cs="Arial" w:eastAsia="Arial" w:hAnsi="Arial"/>
                <w:sz w:val="14"/>
                <w:szCs w:val="14"/>
                <w:color w:val="092E44"/>
              </w:rPr>
              <w:t>Performance</w:t>
            </w:r>
          </w:p>
        </w:tc>
        <w:tc>
          <w:tcPr>
            <w:tcW w:w="1460" w:type="dxa"/>
            <w:vAlign w:val="bottom"/>
          </w:tcPr>
          <w:p>
            <w:pPr>
              <w:jc w:val="right"/>
              <w:ind w:right="163"/>
              <w:spacing w:after="0" w:line="155" w:lineRule="exact"/>
              <w:rPr>
                <w:sz w:val="20"/>
                <w:szCs w:val="20"/>
                <w:color w:val="auto"/>
              </w:rPr>
            </w:pPr>
            <w:r>
              <w:rPr>
                <w:rFonts w:ascii="Arial" w:cs="Arial" w:eastAsia="Arial" w:hAnsi="Arial"/>
                <w:sz w:val="14"/>
                <w:szCs w:val="14"/>
                <w:color w:val="092E44"/>
              </w:rPr>
              <w:t>Market-Based</w:t>
            </w:r>
          </w:p>
        </w:tc>
        <w:tc>
          <w:tcPr>
            <w:tcW w:w="1240" w:type="dxa"/>
            <w:vAlign w:val="bottom"/>
          </w:tcPr>
          <w:p>
            <w:pPr>
              <w:jc w:val="right"/>
              <w:ind w:right="106"/>
              <w:spacing w:after="0" w:line="155" w:lineRule="exact"/>
              <w:rPr>
                <w:sz w:val="20"/>
                <w:szCs w:val="20"/>
                <w:color w:val="auto"/>
              </w:rPr>
            </w:pPr>
            <w:r>
              <w:rPr>
                <w:rFonts w:ascii="Arial" w:cs="Arial" w:eastAsia="Arial" w:hAnsi="Arial"/>
                <w:sz w:val="14"/>
                <w:szCs w:val="14"/>
                <w:color w:val="092E44"/>
              </w:rPr>
              <w:t>Shares</w:t>
            </w:r>
          </w:p>
        </w:tc>
        <w:tc>
          <w:tcPr>
            <w:tcW w:w="1480" w:type="dxa"/>
            <w:vAlign w:val="bottom"/>
          </w:tcPr>
          <w:p>
            <w:pPr>
              <w:jc w:val="right"/>
              <w:ind w:right="123"/>
              <w:spacing w:after="0" w:line="155" w:lineRule="exact"/>
              <w:rPr>
                <w:sz w:val="20"/>
                <w:szCs w:val="20"/>
                <w:color w:val="auto"/>
              </w:rPr>
            </w:pPr>
            <w:r>
              <w:rPr>
                <w:rFonts w:ascii="Arial" w:cs="Arial" w:eastAsia="Arial" w:hAnsi="Arial"/>
                <w:sz w:val="14"/>
                <w:szCs w:val="14"/>
                <w:color w:val="092E44"/>
              </w:rPr>
              <w:t>Outstanding</w:t>
            </w:r>
          </w:p>
        </w:tc>
      </w:tr>
      <w:tr>
        <w:trPr>
          <w:trHeight w:val="175"/>
        </w:trPr>
        <w:tc>
          <w:tcPr>
            <w:tcW w:w="2320" w:type="dxa"/>
            <w:vAlign w:val="bottom"/>
            <w:tcBorders>
              <w:bottom w:val="single" w:sz="8" w:color="E14A6A"/>
            </w:tcBorders>
          </w:tcPr>
          <w:p>
            <w:pPr>
              <w:ind w:left="80"/>
              <w:spacing w:after="0"/>
              <w:rPr>
                <w:sz w:val="20"/>
                <w:szCs w:val="20"/>
                <w:color w:val="auto"/>
              </w:rPr>
            </w:pPr>
            <w:r>
              <w:rPr>
                <w:rFonts w:ascii="Arial" w:cs="Arial" w:eastAsia="Arial" w:hAnsi="Arial"/>
                <w:sz w:val="14"/>
                <w:szCs w:val="14"/>
                <w:color w:val="092E44"/>
              </w:rPr>
              <w:t>Time Period</w:t>
            </w:r>
          </w:p>
        </w:tc>
        <w:tc>
          <w:tcPr>
            <w:tcW w:w="1560" w:type="dxa"/>
            <w:vAlign w:val="bottom"/>
            <w:tcBorders>
              <w:bottom w:val="single" w:sz="8" w:color="E14A6A"/>
            </w:tcBorders>
          </w:tcPr>
          <w:p>
            <w:pPr>
              <w:jc w:val="right"/>
              <w:ind w:right="163"/>
              <w:spacing w:after="0"/>
              <w:rPr>
                <w:sz w:val="20"/>
                <w:szCs w:val="20"/>
                <w:color w:val="auto"/>
              </w:rPr>
            </w:pPr>
            <w:r>
              <w:rPr>
                <w:rFonts w:ascii="Arial" w:cs="Arial" w:eastAsia="Arial" w:hAnsi="Arial"/>
                <w:sz w:val="14"/>
                <w:szCs w:val="14"/>
                <w:color w:val="092E44"/>
              </w:rPr>
              <w:t>RSUs Granted</w:t>
            </w:r>
          </w:p>
        </w:tc>
        <w:tc>
          <w:tcPr>
            <w:tcW w:w="1440" w:type="dxa"/>
            <w:vAlign w:val="bottom"/>
            <w:tcBorders>
              <w:bottom w:val="single" w:sz="8" w:color="E14A6A"/>
            </w:tcBorders>
          </w:tcPr>
          <w:p>
            <w:pPr>
              <w:jc w:val="right"/>
              <w:ind w:right="144"/>
              <w:spacing w:after="0"/>
              <w:rPr>
                <w:sz w:val="20"/>
                <w:szCs w:val="20"/>
                <w:color w:val="auto"/>
              </w:rPr>
            </w:pPr>
            <w:r>
              <w:rPr>
                <w:rFonts w:ascii="Arial" w:cs="Arial" w:eastAsia="Arial" w:hAnsi="Arial"/>
                <w:sz w:val="14"/>
                <w:szCs w:val="14"/>
                <w:color w:val="092E44"/>
              </w:rPr>
              <w:t>Shares Granted</w:t>
            </w:r>
          </w:p>
        </w:tc>
        <w:tc>
          <w:tcPr>
            <w:tcW w:w="1420" w:type="dxa"/>
            <w:vAlign w:val="bottom"/>
            <w:tcBorders>
              <w:bottom w:val="single" w:sz="8" w:color="E14A6A"/>
            </w:tcBorders>
          </w:tcPr>
          <w:p>
            <w:pPr>
              <w:jc w:val="right"/>
              <w:ind w:right="164"/>
              <w:spacing w:after="0"/>
              <w:rPr>
                <w:sz w:val="20"/>
                <w:szCs w:val="20"/>
                <w:color w:val="auto"/>
              </w:rPr>
            </w:pPr>
            <w:r>
              <w:rPr>
                <w:rFonts w:ascii="Arial" w:cs="Arial" w:eastAsia="Arial" w:hAnsi="Arial"/>
                <w:sz w:val="14"/>
                <w:szCs w:val="14"/>
                <w:color w:val="092E44"/>
              </w:rPr>
              <w:t>Shares Earned</w:t>
            </w:r>
          </w:p>
        </w:tc>
        <w:tc>
          <w:tcPr>
            <w:tcW w:w="1460" w:type="dxa"/>
            <w:vAlign w:val="bottom"/>
            <w:tcBorders>
              <w:bottom w:val="single" w:sz="8" w:color="E14A6A"/>
            </w:tcBorders>
          </w:tcPr>
          <w:p>
            <w:pPr>
              <w:jc w:val="right"/>
              <w:ind w:right="163"/>
              <w:spacing w:after="0"/>
              <w:rPr>
                <w:sz w:val="20"/>
                <w:szCs w:val="20"/>
                <w:color w:val="auto"/>
              </w:rPr>
            </w:pPr>
            <w:r>
              <w:rPr>
                <w:rFonts w:ascii="Arial" w:cs="Arial" w:eastAsia="Arial" w:hAnsi="Arial"/>
                <w:sz w:val="14"/>
                <w:szCs w:val="14"/>
                <w:color w:val="092E44"/>
              </w:rPr>
              <w:t>Shares Granted</w:t>
            </w:r>
          </w:p>
        </w:tc>
        <w:tc>
          <w:tcPr>
            <w:tcW w:w="1240" w:type="dxa"/>
            <w:vAlign w:val="bottom"/>
            <w:tcBorders>
              <w:bottom w:val="single" w:sz="8" w:color="E14A6A"/>
            </w:tcBorders>
          </w:tcPr>
          <w:p>
            <w:pPr>
              <w:jc w:val="right"/>
              <w:ind w:right="66"/>
              <w:spacing w:after="0" w:line="175" w:lineRule="exact"/>
              <w:rPr>
                <w:sz w:val="20"/>
                <w:szCs w:val="20"/>
                <w:color w:val="auto"/>
              </w:rPr>
            </w:pPr>
            <w:r>
              <w:rPr>
                <w:rFonts w:ascii="Arial" w:cs="Arial" w:eastAsia="Arial" w:hAnsi="Arial"/>
                <w:sz w:val="12"/>
                <w:szCs w:val="12"/>
                <w:color w:val="092E44"/>
              </w:rPr>
              <w:t>Earned</w:t>
            </w:r>
            <w:r>
              <w:rPr>
                <w:rFonts w:ascii="Arial" w:cs="Arial" w:eastAsia="Arial" w:hAnsi="Arial"/>
                <w:sz w:val="20"/>
                <w:szCs w:val="20"/>
                <w:color w:val="092E44"/>
                <w:vertAlign w:val="superscript"/>
              </w:rPr>
              <w:t>(1)</w:t>
            </w:r>
          </w:p>
        </w:tc>
        <w:tc>
          <w:tcPr>
            <w:tcW w:w="1480" w:type="dxa"/>
            <w:vAlign w:val="bottom"/>
            <w:tcBorders>
              <w:bottom w:val="single" w:sz="8" w:color="E14A6A"/>
            </w:tcBorders>
          </w:tcPr>
          <w:p>
            <w:pPr>
              <w:jc w:val="right"/>
              <w:ind w:right="123"/>
              <w:spacing w:after="0"/>
              <w:rPr>
                <w:sz w:val="20"/>
                <w:szCs w:val="20"/>
                <w:color w:val="auto"/>
              </w:rPr>
            </w:pPr>
            <w:r>
              <w:rPr>
                <w:rFonts w:ascii="Arial" w:cs="Arial" w:eastAsia="Arial" w:hAnsi="Arial"/>
                <w:sz w:val="14"/>
                <w:szCs w:val="14"/>
                <w:color w:val="092E44"/>
              </w:rPr>
              <w:t>(Diluted)</w:t>
            </w:r>
          </w:p>
        </w:tc>
      </w:tr>
      <w:tr>
        <w:trPr>
          <w:trHeight w:val="281"/>
        </w:trPr>
        <w:tc>
          <w:tcPr>
            <w:tcW w:w="2320" w:type="dxa"/>
            <w:vAlign w:val="bottom"/>
            <w:tcBorders>
              <w:bottom w:val="single" w:sz="8" w:color="DDE9F2"/>
            </w:tcBorders>
            <w:shd w:val="clear" w:color="auto" w:fill="DDE9F2"/>
          </w:tcPr>
          <w:p>
            <w:pPr>
              <w:ind w:left="80"/>
              <w:spacing w:after="0"/>
              <w:rPr>
                <w:sz w:val="20"/>
                <w:szCs w:val="20"/>
                <w:color w:val="auto"/>
              </w:rPr>
            </w:pPr>
            <w:r>
              <w:rPr>
                <w:rFonts w:ascii="Arial" w:cs="Arial" w:eastAsia="Arial" w:hAnsi="Arial"/>
                <w:sz w:val="16"/>
                <w:szCs w:val="16"/>
                <w:color w:val="092E44"/>
              </w:rPr>
              <w:t>Fiscal 2022</w:t>
            </w:r>
          </w:p>
        </w:tc>
        <w:tc>
          <w:tcPr>
            <w:tcW w:w="1560" w:type="dxa"/>
            <w:vAlign w:val="bottom"/>
            <w:tcBorders>
              <w:bottom w:val="single" w:sz="8" w:color="DDE9F2"/>
            </w:tcBorders>
            <w:shd w:val="clear" w:color="auto" w:fill="DDE9F2"/>
          </w:tcPr>
          <w:p>
            <w:pPr>
              <w:jc w:val="right"/>
              <w:ind w:right="163"/>
              <w:spacing w:after="0"/>
              <w:rPr>
                <w:sz w:val="20"/>
                <w:szCs w:val="20"/>
                <w:color w:val="auto"/>
              </w:rPr>
            </w:pPr>
            <w:r>
              <w:rPr>
                <w:rFonts w:ascii="Arial" w:cs="Arial" w:eastAsia="Arial" w:hAnsi="Arial"/>
                <w:sz w:val="16"/>
                <w:szCs w:val="16"/>
                <w:color w:val="092E44"/>
              </w:rPr>
              <w:t>1,727,891</w:t>
            </w:r>
          </w:p>
        </w:tc>
        <w:tc>
          <w:tcPr>
            <w:tcW w:w="1440" w:type="dxa"/>
            <w:vAlign w:val="bottom"/>
            <w:tcBorders>
              <w:bottom w:val="single" w:sz="8" w:color="DDE9F2"/>
            </w:tcBorders>
            <w:shd w:val="clear" w:color="auto" w:fill="DDE9F2"/>
          </w:tcPr>
          <w:p>
            <w:pPr>
              <w:jc w:val="right"/>
              <w:ind w:right="144"/>
              <w:spacing w:after="0"/>
              <w:rPr>
                <w:sz w:val="20"/>
                <w:szCs w:val="20"/>
                <w:color w:val="auto"/>
              </w:rPr>
            </w:pPr>
            <w:r>
              <w:rPr>
                <w:rFonts w:ascii="Arial" w:cs="Arial" w:eastAsia="Arial" w:hAnsi="Arial"/>
                <w:sz w:val="16"/>
                <w:szCs w:val="16"/>
                <w:color w:val="092E44"/>
              </w:rPr>
              <w:t>118,929</w:t>
            </w:r>
          </w:p>
        </w:tc>
        <w:tc>
          <w:tcPr>
            <w:tcW w:w="1420" w:type="dxa"/>
            <w:vAlign w:val="bottom"/>
            <w:tcBorders>
              <w:bottom w:val="single" w:sz="8" w:color="DDE9F2"/>
            </w:tcBorders>
            <w:shd w:val="clear" w:color="auto" w:fill="DDE9F2"/>
          </w:tcPr>
          <w:p>
            <w:pPr>
              <w:jc w:val="right"/>
              <w:ind w:right="164"/>
              <w:spacing w:after="0"/>
              <w:rPr>
                <w:sz w:val="20"/>
                <w:szCs w:val="20"/>
                <w:color w:val="auto"/>
              </w:rPr>
            </w:pPr>
            <w:r>
              <w:rPr>
                <w:rFonts w:ascii="Arial" w:cs="Arial" w:eastAsia="Arial" w:hAnsi="Arial"/>
                <w:sz w:val="16"/>
                <w:szCs w:val="16"/>
                <w:color w:val="092E44"/>
              </w:rPr>
              <w:t>185,189</w:t>
            </w:r>
          </w:p>
        </w:tc>
        <w:tc>
          <w:tcPr>
            <w:tcW w:w="1460" w:type="dxa"/>
            <w:vAlign w:val="bottom"/>
            <w:tcBorders>
              <w:bottom w:val="single" w:sz="8" w:color="DDE9F2"/>
            </w:tcBorders>
            <w:shd w:val="clear" w:color="auto" w:fill="DDE9F2"/>
          </w:tcPr>
          <w:p>
            <w:pPr>
              <w:jc w:val="right"/>
              <w:ind w:right="163"/>
              <w:spacing w:after="0"/>
              <w:rPr>
                <w:sz w:val="20"/>
                <w:szCs w:val="20"/>
                <w:color w:val="auto"/>
              </w:rPr>
            </w:pPr>
            <w:r>
              <w:rPr>
                <w:rFonts w:ascii="Arial" w:cs="Arial" w:eastAsia="Arial" w:hAnsi="Arial"/>
                <w:sz w:val="16"/>
                <w:szCs w:val="16"/>
                <w:color w:val="092E44"/>
              </w:rPr>
              <w:t>105,386</w:t>
            </w:r>
          </w:p>
        </w:tc>
        <w:tc>
          <w:tcPr>
            <w:tcW w:w="1240" w:type="dxa"/>
            <w:vAlign w:val="bottom"/>
            <w:tcBorders>
              <w:bottom w:val="single" w:sz="8" w:color="DDE9F2"/>
            </w:tcBorders>
            <w:shd w:val="clear" w:color="auto" w:fill="DDE9F2"/>
          </w:tcPr>
          <w:p>
            <w:pPr>
              <w:jc w:val="right"/>
              <w:ind w:right="66"/>
              <w:spacing w:after="0"/>
              <w:rPr>
                <w:sz w:val="20"/>
                <w:szCs w:val="20"/>
                <w:color w:val="auto"/>
              </w:rPr>
            </w:pPr>
            <w:r>
              <w:rPr>
                <w:rFonts w:ascii="Arial" w:cs="Arial" w:eastAsia="Arial" w:hAnsi="Arial"/>
                <w:sz w:val="16"/>
                <w:szCs w:val="16"/>
                <w:color w:val="092E44"/>
              </w:rPr>
              <w:t>103,981</w:t>
            </w:r>
          </w:p>
        </w:tc>
        <w:tc>
          <w:tcPr>
            <w:tcW w:w="1480" w:type="dxa"/>
            <w:vAlign w:val="bottom"/>
            <w:tcBorders>
              <w:bottom w:val="single" w:sz="8" w:color="DDE9F2"/>
            </w:tcBorders>
            <w:shd w:val="clear" w:color="auto" w:fill="DDE9F2"/>
          </w:tcPr>
          <w:p>
            <w:pPr>
              <w:jc w:val="right"/>
              <w:ind w:right="123"/>
              <w:spacing w:after="0"/>
              <w:rPr>
                <w:sz w:val="20"/>
                <w:szCs w:val="20"/>
                <w:color w:val="auto"/>
              </w:rPr>
            </w:pPr>
            <w:r>
              <w:rPr>
                <w:rFonts w:ascii="Arial" w:cs="Arial" w:eastAsia="Arial" w:hAnsi="Arial"/>
                <w:sz w:val="16"/>
                <w:szCs w:val="16"/>
                <w:color w:val="092E44"/>
              </w:rPr>
              <w:t>47,220,000</w:t>
            </w:r>
          </w:p>
        </w:tc>
      </w:tr>
      <w:tr>
        <w:trPr>
          <w:trHeight w:val="264"/>
        </w:trPr>
        <w:tc>
          <w:tcPr>
            <w:tcW w:w="2320" w:type="dxa"/>
            <w:vAlign w:val="bottom"/>
          </w:tcPr>
          <w:p>
            <w:pPr>
              <w:ind w:left="80"/>
              <w:spacing w:after="0"/>
              <w:rPr>
                <w:sz w:val="20"/>
                <w:szCs w:val="20"/>
                <w:color w:val="auto"/>
              </w:rPr>
            </w:pPr>
            <w:r>
              <w:rPr>
                <w:rFonts w:ascii="Arial" w:cs="Arial" w:eastAsia="Arial" w:hAnsi="Arial"/>
                <w:sz w:val="16"/>
                <w:szCs w:val="16"/>
                <w:color w:val="092E44"/>
              </w:rPr>
              <w:t>Fiscal 2021</w:t>
            </w:r>
          </w:p>
        </w:tc>
        <w:tc>
          <w:tcPr>
            <w:tcW w:w="1560" w:type="dxa"/>
            <w:vAlign w:val="bottom"/>
          </w:tcPr>
          <w:p>
            <w:pPr>
              <w:jc w:val="right"/>
              <w:ind w:right="163"/>
              <w:spacing w:after="0"/>
              <w:rPr>
                <w:sz w:val="20"/>
                <w:szCs w:val="20"/>
                <w:color w:val="auto"/>
              </w:rPr>
            </w:pPr>
            <w:r>
              <w:rPr>
                <w:rFonts w:ascii="Arial" w:cs="Arial" w:eastAsia="Arial" w:hAnsi="Arial"/>
                <w:sz w:val="16"/>
                <w:szCs w:val="16"/>
                <w:color w:val="092E44"/>
              </w:rPr>
              <w:t>1,797,021</w:t>
            </w:r>
          </w:p>
        </w:tc>
        <w:tc>
          <w:tcPr>
            <w:tcW w:w="1440" w:type="dxa"/>
            <w:vAlign w:val="bottom"/>
          </w:tcPr>
          <w:p>
            <w:pPr>
              <w:jc w:val="right"/>
              <w:ind w:right="144"/>
              <w:spacing w:after="0"/>
              <w:rPr>
                <w:sz w:val="20"/>
                <w:szCs w:val="20"/>
                <w:color w:val="auto"/>
              </w:rPr>
            </w:pPr>
            <w:r>
              <w:rPr>
                <w:rFonts w:ascii="Arial" w:cs="Arial" w:eastAsia="Arial" w:hAnsi="Arial"/>
                <w:sz w:val="16"/>
                <w:szCs w:val="16"/>
                <w:color w:val="092E44"/>
              </w:rPr>
              <w:t>–</w:t>
            </w:r>
          </w:p>
        </w:tc>
        <w:tc>
          <w:tcPr>
            <w:tcW w:w="1420" w:type="dxa"/>
            <w:vAlign w:val="bottom"/>
          </w:tcPr>
          <w:p>
            <w:pPr>
              <w:jc w:val="right"/>
              <w:ind w:right="164"/>
              <w:spacing w:after="0"/>
              <w:rPr>
                <w:sz w:val="20"/>
                <w:szCs w:val="20"/>
                <w:color w:val="auto"/>
              </w:rPr>
            </w:pPr>
            <w:r>
              <w:rPr>
                <w:rFonts w:ascii="Arial" w:cs="Arial" w:eastAsia="Arial" w:hAnsi="Arial"/>
                <w:sz w:val="16"/>
                <w:szCs w:val="16"/>
                <w:color w:val="092E44"/>
              </w:rPr>
              <w:t>–</w:t>
            </w:r>
          </w:p>
        </w:tc>
        <w:tc>
          <w:tcPr>
            <w:tcW w:w="1460" w:type="dxa"/>
            <w:vAlign w:val="bottom"/>
          </w:tcPr>
          <w:p>
            <w:pPr>
              <w:jc w:val="right"/>
              <w:ind w:right="163"/>
              <w:spacing w:after="0"/>
              <w:rPr>
                <w:sz w:val="20"/>
                <w:szCs w:val="20"/>
                <w:color w:val="auto"/>
              </w:rPr>
            </w:pPr>
            <w:r>
              <w:rPr>
                <w:rFonts w:ascii="Arial" w:cs="Arial" w:eastAsia="Arial" w:hAnsi="Arial"/>
                <w:sz w:val="16"/>
                <w:szCs w:val="16"/>
                <w:color w:val="092E44"/>
              </w:rPr>
              <w:t>298,585</w:t>
            </w:r>
          </w:p>
        </w:tc>
        <w:tc>
          <w:tcPr>
            <w:tcW w:w="1240" w:type="dxa"/>
            <w:vAlign w:val="bottom"/>
          </w:tcPr>
          <w:p>
            <w:pPr>
              <w:jc w:val="right"/>
              <w:ind w:right="66"/>
              <w:spacing w:after="0"/>
              <w:rPr>
                <w:sz w:val="20"/>
                <w:szCs w:val="20"/>
                <w:color w:val="auto"/>
              </w:rPr>
            </w:pPr>
            <w:r>
              <w:rPr>
                <w:rFonts w:ascii="Arial" w:cs="Arial" w:eastAsia="Arial" w:hAnsi="Arial"/>
                <w:sz w:val="16"/>
                <w:szCs w:val="16"/>
                <w:color w:val="092E44"/>
              </w:rPr>
              <w:t>305,552</w:t>
            </w:r>
          </w:p>
        </w:tc>
        <w:tc>
          <w:tcPr>
            <w:tcW w:w="1480" w:type="dxa"/>
            <w:vAlign w:val="bottom"/>
          </w:tcPr>
          <w:p>
            <w:pPr>
              <w:jc w:val="right"/>
              <w:ind w:right="123"/>
              <w:spacing w:after="0"/>
              <w:rPr>
                <w:sz w:val="20"/>
                <w:szCs w:val="20"/>
                <w:color w:val="auto"/>
              </w:rPr>
            </w:pPr>
            <w:r>
              <w:rPr>
                <w:rFonts w:ascii="Arial" w:cs="Arial" w:eastAsia="Arial" w:hAnsi="Arial"/>
                <w:sz w:val="16"/>
                <w:szCs w:val="16"/>
                <w:color w:val="092E44"/>
              </w:rPr>
              <w:t>46,652,000</w:t>
            </w:r>
          </w:p>
        </w:tc>
      </w:tr>
      <w:tr>
        <w:trPr>
          <w:trHeight w:val="57"/>
        </w:trPr>
        <w:tc>
          <w:tcPr>
            <w:tcW w:w="23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301"/>
        </w:trPr>
        <w:tc>
          <w:tcPr>
            <w:tcW w:w="2320" w:type="dxa"/>
            <w:vAlign w:val="bottom"/>
            <w:tcBorders>
              <w:bottom w:val="single" w:sz="8" w:color="DDE9F2"/>
            </w:tcBorders>
            <w:shd w:val="clear" w:color="auto" w:fill="DDE9F2"/>
          </w:tcPr>
          <w:p>
            <w:pPr>
              <w:ind w:left="80"/>
              <w:spacing w:after="0"/>
              <w:rPr>
                <w:sz w:val="20"/>
                <w:szCs w:val="20"/>
                <w:color w:val="auto"/>
              </w:rPr>
            </w:pPr>
            <w:r>
              <w:rPr>
                <w:rFonts w:ascii="Arial" w:cs="Arial" w:eastAsia="Arial" w:hAnsi="Arial"/>
                <w:sz w:val="16"/>
                <w:szCs w:val="16"/>
                <w:color w:val="092E44"/>
              </w:rPr>
              <w:t>Fiscal 2020</w:t>
            </w:r>
          </w:p>
        </w:tc>
        <w:tc>
          <w:tcPr>
            <w:tcW w:w="1560" w:type="dxa"/>
            <w:vAlign w:val="bottom"/>
            <w:tcBorders>
              <w:bottom w:val="single" w:sz="8" w:color="DDE9F2"/>
            </w:tcBorders>
            <w:shd w:val="clear" w:color="auto" w:fill="DDE9F2"/>
          </w:tcPr>
          <w:p>
            <w:pPr>
              <w:jc w:val="right"/>
              <w:ind w:right="163"/>
              <w:spacing w:after="0"/>
              <w:rPr>
                <w:sz w:val="20"/>
                <w:szCs w:val="20"/>
                <w:color w:val="auto"/>
              </w:rPr>
            </w:pPr>
            <w:r>
              <w:rPr>
                <w:rFonts w:ascii="Arial" w:cs="Arial" w:eastAsia="Arial" w:hAnsi="Arial"/>
                <w:sz w:val="16"/>
                <w:szCs w:val="16"/>
                <w:color w:val="092E44"/>
              </w:rPr>
              <w:t>2,451,000</w:t>
            </w:r>
          </w:p>
        </w:tc>
        <w:tc>
          <w:tcPr>
            <w:tcW w:w="1440" w:type="dxa"/>
            <w:vAlign w:val="bottom"/>
            <w:tcBorders>
              <w:bottom w:val="single" w:sz="8" w:color="DDE9F2"/>
            </w:tcBorders>
            <w:shd w:val="clear" w:color="auto" w:fill="DDE9F2"/>
          </w:tcPr>
          <w:p>
            <w:pPr>
              <w:jc w:val="right"/>
              <w:ind w:right="144"/>
              <w:spacing w:after="0"/>
              <w:rPr>
                <w:sz w:val="20"/>
                <w:szCs w:val="20"/>
                <w:color w:val="auto"/>
              </w:rPr>
            </w:pPr>
            <w:r>
              <w:rPr>
                <w:rFonts w:ascii="Arial" w:cs="Arial" w:eastAsia="Arial" w:hAnsi="Arial"/>
                <w:sz w:val="16"/>
                <w:szCs w:val="16"/>
                <w:color w:val="092E44"/>
              </w:rPr>
              <w:t>104,545</w:t>
            </w:r>
          </w:p>
        </w:tc>
        <w:tc>
          <w:tcPr>
            <w:tcW w:w="1420" w:type="dxa"/>
            <w:vAlign w:val="bottom"/>
            <w:tcBorders>
              <w:bottom w:val="single" w:sz="8" w:color="DDE9F2"/>
            </w:tcBorders>
            <w:shd w:val="clear" w:color="auto" w:fill="DDE9F2"/>
          </w:tcPr>
          <w:p>
            <w:pPr>
              <w:jc w:val="right"/>
              <w:ind w:right="164"/>
              <w:spacing w:after="0"/>
              <w:rPr>
                <w:sz w:val="20"/>
                <w:szCs w:val="20"/>
                <w:color w:val="auto"/>
              </w:rPr>
            </w:pPr>
            <w:r>
              <w:rPr>
                <w:rFonts w:ascii="Arial" w:cs="Arial" w:eastAsia="Arial" w:hAnsi="Arial"/>
                <w:sz w:val="16"/>
                <w:szCs w:val="16"/>
                <w:color w:val="092E44"/>
              </w:rPr>
              <w:t>7,776</w:t>
            </w:r>
          </w:p>
        </w:tc>
        <w:tc>
          <w:tcPr>
            <w:tcW w:w="1460" w:type="dxa"/>
            <w:vAlign w:val="bottom"/>
            <w:tcBorders>
              <w:bottom w:val="single" w:sz="8" w:color="DDE9F2"/>
            </w:tcBorders>
            <w:shd w:val="clear" w:color="auto" w:fill="DDE9F2"/>
          </w:tcPr>
          <w:p>
            <w:pPr>
              <w:jc w:val="right"/>
              <w:ind w:right="163"/>
              <w:spacing w:after="0"/>
              <w:rPr>
                <w:sz w:val="20"/>
                <w:szCs w:val="20"/>
                <w:color w:val="auto"/>
              </w:rPr>
            </w:pPr>
            <w:r>
              <w:rPr>
                <w:rFonts w:ascii="Arial" w:cs="Arial" w:eastAsia="Arial" w:hAnsi="Arial"/>
                <w:sz w:val="16"/>
                <w:szCs w:val="16"/>
                <w:color w:val="092E44"/>
              </w:rPr>
              <w:t>94,804</w:t>
            </w:r>
          </w:p>
        </w:tc>
        <w:tc>
          <w:tcPr>
            <w:tcW w:w="1240" w:type="dxa"/>
            <w:vAlign w:val="bottom"/>
            <w:tcBorders>
              <w:bottom w:val="single" w:sz="8" w:color="DDE9F2"/>
            </w:tcBorders>
            <w:shd w:val="clear" w:color="auto" w:fill="DDE9F2"/>
          </w:tcPr>
          <w:p>
            <w:pPr>
              <w:jc w:val="right"/>
              <w:ind w:right="66"/>
              <w:spacing w:after="0"/>
              <w:rPr>
                <w:sz w:val="20"/>
                <w:szCs w:val="20"/>
                <w:color w:val="auto"/>
              </w:rPr>
            </w:pPr>
            <w:r>
              <w:rPr>
                <w:rFonts w:ascii="Arial" w:cs="Arial" w:eastAsia="Arial" w:hAnsi="Arial"/>
                <w:sz w:val="16"/>
                <w:szCs w:val="16"/>
                <w:color w:val="092E44"/>
              </w:rPr>
              <w:t>89,552</w:t>
            </w:r>
          </w:p>
        </w:tc>
        <w:tc>
          <w:tcPr>
            <w:tcW w:w="1480" w:type="dxa"/>
            <w:vAlign w:val="bottom"/>
            <w:tcBorders>
              <w:bottom w:val="single" w:sz="8" w:color="DDE9F2"/>
            </w:tcBorders>
            <w:shd w:val="clear" w:color="auto" w:fill="DDE9F2"/>
          </w:tcPr>
          <w:p>
            <w:pPr>
              <w:jc w:val="right"/>
              <w:ind w:right="123"/>
              <w:spacing w:after="0"/>
              <w:rPr>
                <w:sz w:val="20"/>
                <w:szCs w:val="20"/>
                <w:color w:val="auto"/>
              </w:rPr>
            </w:pPr>
            <w:r>
              <w:rPr>
                <w:rFonts w:ascii="Arial" w:cs="Arial" w:eastAsia="Arial" w:hAnsi="Arial"/>
                <w:sz w:val="16"/>
                <w:szCs w:val="16"/>
                <w:color w:val="092E44"/>
              </w:rPr>
              <w:t>45,793,000</w:t>
            </w:r>
          </w:p>
        </w:tc>
      </w:tr>
      <w:tr>
        <w:trPr>
          <w:trHeight w:val="20"/>
        </w:trPr>
        <w:tc>
          <w:tcPr>
            <w:tcW w:w="2320" w:type="dxa"/>
            <w:vAlign w:val="bottom"/>
            <w:shd w:val="clear" w:color="auto" w:fill="092E44"/>
          </w:tcPr>
          <w:p>
            <w:pPr>
              <w:spacing w:after="0" w:line="20" w:lineRule="exact"/>
              <w:rPr>
                <w:sz w:val="1"/>
                <w:szCs w:val="1"/>
                <w:color w:val="auto"/>
              </w:rPr>
            </w:pPr>
          </w:p>
        </w:tc>
        <w:tc>
          <w:tcPr>
            <w:tcW w:w="1560" w:type="dxa"/>
            <w:vAlign w:val="bottom"/>
            <w:shd w:val="clear" w:color="auto" w:fill="092E44"/>
          </w:tcPr>
          <w:p>
            <w:pPr>
              <w:spacing w:after="0" w:line="20" w:lineRule="exact"/>
              <w:rPr>
                <w:sz w:val="1"/>
                <w:szCs w:val="1"/>
                <w:color w:val="auto"/>
              </w:rPr>
            </w:pPr>
          </w:p>
        </w:tc>
        <w:tc>
          <w:tcPr>
            <w:tcW w:w="1440" w:type="dxa"/>
            <w:vAlign w:val="bottom"/>
            <w:shd w:val="clear" w:color="auto" w:fill="092E44"/>
          </w:tcPr>
          <w:p>
            <w:pPr>
              <w:spacing w:after="0" w:line="20" w:lineRule="exact"/>
              <w:rPr>
                <w:sz w:val="1"/>
                <w:szCs w:val="1"/>
                <w:color w:val="auto"/>
              </w:rPr>
            </w:pPr>
          </w:p>
        </w:tc>
        <w:tc>
          <w:tcPr>
            <w:tcW w:w="1420" w:type="dxa"/>
            <w:vAlign w:val="bottom"/>
            <w:shd w:val="clear" w:color="auto" w:fill="092E44"/>
          </w:tcPr>
          <w:p>
            <w:pPr>
              <w:spacing w:after="0" w:line="20" w:lineRule="exact"/>
              <w:rPr>
                <w:sz w:val="1"/>
                <w:szCs w:val="1"/>
                <w:color w:val="auto"/>
              </w:rPr>
            </w:pPr>
          </w:p>
        </w:tc>
        <w:tc>
          <w:tcPr>
            <w:tcW w:w="1460" w:type="dxa"/>
            <w:vAlign w:val="bottom"/>
            <w:shd w:val="clear" w:color="auto" w:fill="092E44"/>
          </w:tcPr>
          <w:p>
            <w:pPr>
              <w:spacing w:after="0" w:line="20" w:lineRule="exact"/>
              <w:rPr>
                <w:sz w:val="1"/>
                <w:szCs w:val="1"/>
                <w:color w:val="auto"/>
              </w:rPr>
            </w:pPr>
          </w:p>
        </w:tc>
        <w:tc>
          <w:tcPr>
            <w:tcW w:w="1240" w:type="dxa"/>
            <w:vAlign w:val="bottom"/>
            <w:shd w:val="clear" w:color="auto" w:fill="092E44"/>
          </w:tcPr>
          <w:p>
            <w:pPr>
              <w:spacing w:after="0" w:line="20" w:lineRule="exact"/>
              <w:rPr>
                <w:sz w:val="1"/>
                <w:szCs w:val="1"/>
                <w:color w:val="auto"/>
              </w:rPr>
            </w:pPr>
          </w:p>
        </w:tc>
        <w:tc>
          <w:tcPr>
            <w:tcW w:w="1480" w:type="dxa"/>
            <w:vAlign w:val="bottom"/>
            <w:shd w:val="clear" w:color="auto" w:fill="092E44"/>
          </w:tcPr>
          <w:p>
            <w:pPr>
              <w:spacing w:after="0" w:line="20" w:lineRule="exact"/>
              <w:rPr>
                <w:sz w:val="1"/>
                <w:szCs w:val="1"/>
                <w:color w:val="auto"/>
              </w:rPr>
            </w:pPr>
          </w:p>
        </w:tc>
      </w:tr>
    </w:tbl>
    <w:p>
      <w:pPr>
        <w:spacing w:after="0" w:line="49" w:lineRule="exact"/>
        <w:rPr>
          <w:sz w:val="20"/>
          <w:szCs w:val="20"/>
          <w:color w:val="auto"/>
        </w:rPr>
      </w:pPr>
    </w:p>
    <w:p>
      <w:pPr>
        <w:ind w:left="480" w:hanging="313"/>
        <w:spacing w:after="0"/>
        <w:tabs>
          <w:tab w:leader="none" w:pos="480" w:val="left"/>
        </w:tabs>
        <w:numPr>
          <w:ilvl w:val="0"/>
          <w:numId w:val="27"/>
        </w:numPr>
        <w:rPr>
          <w:rFonts w:ascii="Arial" w:cs="Arial" w:eastAsia="Arial" w:hAnsi="Arial"/>
          <w:sz w:val="12"/>
          <w:szCs w:val="12"/>
          <w:color w:val="092E44"/>
        </w:rPr>
      </w:pPr>
      <w:r>
        <w:rPr>
          <w:rFonts w:ascii="Arial" w:cs="Arial" w:eastAsia="Arial" w:hAnsi="Arial"/>
          <w:sz w:val="12"/>
          <w:szCs w:val="12"/>
          <w:color w:val="092E44"/>
        </w:rPr>
        <w:t>Unvested market-based shares are represented at present value as of May 31, 2022. The number of shares may vary until actual results are confirmed.</w:t>
      </w:r>
    </w:p>
    <w:p>
      <w:pPr>
        <w:spacing w:after="0" w:line="31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E14A6A"/>
        </w:rPr>
        <w:t>Description of the 2016 Incentive Plan</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Purpose</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The purpose of the 2016 Incentive Plan is to:</w:t>
      </w:r>
    </w:p>
    <w:p>
      <w:pPr>
        <w:spacing w:after="0" w:line="97" w:lineRule="exact"/>
        <w:rPr>
          <w:sz w:val="20"/>
          <w:szCs w:val="20"/>
          <w:color w:val="auto"/>
        </w:rPr>
      </w:pPr>
    </w:p>
    <w:p>
      <w:pPr>
        <w:ind w:left="380" w:hanging="213"/>
        <w:spacing w:after="0"/>
        <w:tabs>
          <w:tab w:leader="none" w:pos="380" w:val="left"/>
        </w:tabs>
        <w:numPr>
          <w:ilvl w:val="0"/>
          <w:numId w:val="28"/>
        </w:numPr>
        <w:rPr>
          <w:rFonts w:ascii="Times New Roman" w:cs="Times New Roman" w:eastAsia="Times New Roman" w:hAnsi="Times New Roman"/>
          <w:sz w:val="16"/>
          <w:szCs w:val="16"/>
          <w:color w:val="E14A6A"/>
        </w:rPr>
      </w:pPr>
      <w:r>
        <w:rPr>
          <w:rFonts w:ascii="Arial" w:cs="Arial" w:eastAsia="Arial" w:hAnsi="Arial"/>
          <w:sz w:val="16"/>
          <w:szCs w:val="16"/>
          <w:color w:val="092E44"/>
        </w:rPr>
        <w:t>attract and retain talented executives and employees,</w:t>
      </w:r>
    </w:p>
    <w:p>
      <w:pPr>
        <w:spacing w:after="0" w:line="82" w:lineRule="exact"/>
        <w:rPr>
          <w:rFonts w:ascii="Times New Roman" w:cs="Times New Roman" w:eastAsia="Times New Roman" w:hAnsi="Times New Roman"/>
          <w:sz w:val="16"/>
          <w:szCs w:val="16"/>
          <w:color w:val="E14A6A"/>
        </w:rPr>
      </w:pPr>
    </w:p>
    <w:p>
      <w:pPr>
        <w:ind w:left="380" w:right="200" w:hanging="213"/>
        <w:spacing w:after="0" w:line="278" w:lineRule="auto"/>
        <w:tabs>
          <w:tab w:leader="none" w:pos="380" w:val="left"/>
        </w:tabs>
        <w:numPr>
          <w:ilvl w:val="0"/>
          <w:numId w:val="28"/>
        </w:numPr>
        <w:rPr>
          <w:rFonts w:ascii="Times New Roman" w:cs="Times New Roman" w:eastAsia="Times New Roman" w:hAnsi="Times New Roman"/>
          <w:sz w:val="16"/>
          <w:szCs w:val="16"/>
          <w:color w:val="E14A6A"/>
        </w:rPr>
      </w:pPr>
      <w:r>
        <w:rPr>
          <w:rFonts w:ascii="Arial" w:cs="Arial" w:eastAsia="Arial" w:hAnsi="Arial"/>
          <w:sz w:val="16"/>
          <w:szCs w:val="16"/>
          <w:color w:val="092E44"/>
        </w:rPr>
        <w:t>advance the interests of Commvault and our stockholders by providing eligible employees and executives with appropriate incentives to perform in a superior manner and achieve long-range goals,</w:t>
      </w:r>
    </w:p>
    <w:p>
      <w:pPr>
        <w:spacing w:after="0" w:line="14" w:lineRule="exact"/>
        <w:rPr>
          <w:rFonts w:ascii="Times New Roman" w:cs="Times New Roman" w:eastAsia="Times New Roman" w:hAnsi="Times New Roman"/>
          <w:sz w:val="16"/>
          <w:szCs w:val="16"/>
          <w:color w:val="E14A6A"/>
        </w:rPr>
      </w:pPr>
    </w:p>
    <w:p>
      <w:pPr>
        <w:ind w:left="380" w:hanging="213"/>
        <w:spacing w:after="0"/>
        <w:tabs>
          <w:tab w:leader="none" w:pos="380" w:val="left"/>
        </w:tabs>
        <w:numPr>
          <w:ilvl w:val="0"/>
          <w:numId w:val="28"/>
        </w:numPr>
        <w:rPr>
          <w:rFonts w:ascii="Times New Roman" w:cs="Times New Roman" w:eastAsia="Times New Roman" w:hAnsi="Times New Roman"/>
          <w:sz w:val="16"/>
          <w:szCs w:val="16"/>
          <w:color w:val="E14A6A"/>
        </w:rPr>
      </w:pPr>
      <w:r>
        <w:rPr>
          <w:rFonts w:ascii="Arial" w:cs="Arial" w:eastAsia="Arial" w:hAnsi="Arial"/>
          <w:sz w:val="16"/>
          <w:szCs w:val="16"/>
          <w:color w:val="092E44"/>
        </w:rPr>
        <w:t>enhance the link between performance and compensation for plan participants, and</w:t>
      </w:r>
    </w:p>
    <w:p>
      <w:pPr>
        <w:spacing w:after="0" w:line="82" w:lineRule="exact"/>
        <w:rPr>
          <w:rFonts w:ascii="Times New Roman" w:cs="Times New Roman" w:eastAsia="Times New Roman" w:hAnsi="Times New Roman"/>
          <w:sz w:val="16"/>
          <w:szCs w:val="16"/>
          <w:color w:val="E14A6A"/>
        </w:rPr>
      </w:pPr>
    </w:p>
    <w:p>
      <w:pPr>
        <w:ind w:left="380" w:hanging="213"/>
        <w:spacing w:after="0"/>
        <w:tabs>
          <w:tab w:leader="none" w:pos="380" w:val="left"/>
        </w:tabs>
        <w:numPr>
          <w:ilvl w:val="0"/>
          <w:numId w:val="28"/>
        </w:numPr>
        <w:rPr>
          <w:rFonts w:ascii="Times New Roman" w:cs="Times New Roman" w:eastAsia="Times New Roman" w:hAnsi="Times New Roman"/>
          <w:sz w:val="16"/>
          <w:szCs w:val="16"/>
          <w:color w:val="E14A6A"/>
        </w:rPr>
      </w:pPr>
      <w:r>
        <w:rPr>
          <w:rFonts w:ascii="Arial" w:cs="Arial" w:eastAsia="Arial" w:hAnsi="Arial"/>
          <w:sz w:val="16"/>
          <w:szCs w:val="16"/>
          <w:color w:val="092E44"/>
        </w:rPr>
        <w:t>provide incentive compensation opportunities that are competitive with those offered by other similar companies.</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Administration</w:t>
      </w:r>
    </w:p>
    <w:p>
      <w:pPr>
        <w:spacing w:after="0" w:line="67" w:lineRule="exact"/>
        <w:rPr>
          <w:sz w:val="20"/>
          <w:szCs w:val="20"/>
          <w:color w:val="auto"/>
        </w:rPr>
      </w:pPr>
    </w:p>
    <w:p>
      <w:pPr>
        <w:ind w:left="160" w:right="160"/>
        <w:spacing w:after="0" w:line="253" w:lineRule="auto"/>
        <w:rPr>
          <w:sz w:val="20"/>
          <w:szCs w:val="20"/>
          <w:color w:val="auto"/>
        </w:rPr>
      </w:pPr>
      <w:r>
        <w:rPr>
          <w:rFonts w:ascii="Arial" w:cs="Arial" w:eastAsia="Arial" w:hAnsi="Arial"/>
          <w:sz w:val="16"/>
          <w:szCs w:val="16"/>
          <w:color w:val="092E44"/>
        </w:rPr>
        <w:t>For awards to Commvault officers and employees, the 2016 Incentive Plan is administered by the TMCC which selects award recipients under the 2016 Incentive Plan, the types of awards to be granted, and the applicable terms, conditions, performance criteria, restrictions, and other provisions of such awards. The TMCC also has the authority to conclusively interpret the 2016 Incentive Plan and to adopt rules and procedures relating to the Plan and awards made thereunder. Subject to stock exchange listing rules and applicable law, the TMCC may delegate all or any portion of its responsibilities or powers under the 2016 Incentive Plan.</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Eligibility</w:t>
      </w:r>
    </w:p>
    <w:p>
      <w:pPr>
        <w:spacing w:after="0" w:line="67" w:lineRule="exact"/>
        <w:rPr>
          <w:sz w:val="20"/>
          <w:szCs w:val="20"/>
          <w:color w:val="auto"/>
        </w:rPr>
      </w:pPr>
    </w:p>
    <w:p>
      <w:pPr>
        <w:ind w:left="160" w:right="120"/>
        <w:spacing w:after="0" w:line="262" w:lineRule="auto"/>
        <w:rPr>
          <w:sz w:val="20"/>
          <w:szCs w:val="20"/>
          <w:color w:val="auto"/>
        </w:rPr>
      </w:pPr>
      <w:r>
        <w:rPr>
          <w:rFonts w:ascii="Arial" w:cs="Arial" w:eastAsia="Arial" w:hAnsi="Arial"/>
          <w:sz w:val="16"/>
          <w:szCs w:val="16"/>
          <w:color w:val="092E44"/>
        </w:rPr>
        <w:t>All officers, directors, or other employees of Commvault or a related company; all consultants, independent contractors, or agents of Commvault or a related company; and individuals who are expected to become officers, employees, directors, consultants, independent contractors, or agents of Commvault or a related company, are eligible to receive awards under the 2016 Incentive Plan, with two limitations. Specifically, awards to a person who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229235</wp:posOffset>
            </wp:positionV>
            <wp:extent cx="220980" cy="2120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52</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80"/>
          </w:cols>
          <w:pgMar w:left="320" w:top="454" w:right="4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PROPOSAL NO. 4: APPROVAL OF THE OMNIBUS INCENTIVE PLAN, AS AMENDED BY THE SIXTH AMENDMENT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DESCRIPTION OF THE 2016 INCENTIVE PLAN</w:t>
      </w:r>
    </w:p>
    <w:p>
      <w:pPr>
        <w:spacing w:after="0" w:line="140"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092E44"/>
        </w:rPr>
        <w:t>is expected to become a service provider to Commvault or a related company cannot be effective before such person’s service begins, and incentive stock options (“ISOs”) may only be granted to employees of Commvault or a related company that satisfies certain requirements in the Internal Revenue Code. For purposes of eligibility, a company is a “related company” for any period during which we own (directly or indirectly) at least 50% of voting power or ownership interests in such entity or such entity owns (directly or indirectly) at least 50% of the voting power of our stock.</w:t>
      </w:r>
    </w:p>
    <w:p>
      <w:pPr>
        <w:spacing w:after="0" w:line="58" w:lineRule="exact"/>
        <w:rPr>
          <w:sz w:val="20"/>
          <w:szCs w:val="20"/>
          <w:color w:val="auto"/>
        </w:rPr>
      </w:pPr>
    </w:p>
    <w:p>
      <w:pPr>
        <w:jc w:val="both"/>
        <w:ind w:left="160" w:right="240"/>
        <w:spacing w:after="0" w:line="262" w:lineRule="auto"/>
        <w:rPr>
          <w:sz w:val="20"/>
          <w:szCs w:val="20"/>
          <w:color w:val="auto"/>
        </w:rPr>
      </w:pPr>
      <w:r>
        <w:rPr>
          <w:rFonts w:ascii="Arial" w:cs="Arial" w:eastAsia="Arial" w:hAnsi="Arial"/>
          <w:sz w:val="16"/>
          <w:szCs w:val="16"/>
          <w:color w:val="092E44"/>
        </w:rPr>
        <w:t>In fiscal year 2022, we granted equity awards of the type authorized under the 2016 Incentive Plan to approximately 3,020 individuals. As of March 31, 2022, approximately 2865 persons (including 2848 employees, 9 non-employee directors and 8 consultants) were eligible to receive awards under the 2016 Incentive Plan.</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Shares of Common Stock Available for Awards</w:t>
      </w:r>
    </w:p>
    <w:p>
      <w:pPr>
        <w:spacing w:after="0" w:line="67" w:lineRule="exact"/>
        <w:rPr>
          <w:sz w:val="20"/>
          <w:szCs w:val="20"/>
          <w:color w:val="auto"/>
        </w:rPr>
      </w:pPr>
    </w:p>
    <w:p>
      <w:pPr>
        <w:jc w:val="both"/>
        <w:ind w:left="160" w:right="260"/>
        <w:spacing w:after="0" w:line="262" w:lineRule="auto"/>
        <w:rPr>
          <w:sz w:val="20"/>
          <w:szCs w:val="20"/>
          <w:color w:val="auto"/>
        </w:rPr>
      </w:pPr>
      <w:r>
        <w:rPr>
          <w:rFonts w:ascii="Arial" w:cs="Arial" w:eastAsia="Arial" w:hAnsi="Arial"/>
          <w:sz w:val="16"/>
          <w:szCs w:val="16"/>
          <w:color w:val="092E44"/>
        </w:rPr>
        <w:t>Awards may be made under the 2016 Incentive Plan with respect to Common Stock that is authorized but unissued or, as permitted by applicable law, held or acquired by Commvault as treasury shares, including shares of Common Stock purchased in the open market or in private transactions. At the discretion of the Committee, an award under the 2016 Incentive Plan may be settled in cash rather than Common Stock.</w:t>
      </w:r>
    </w:p>
    <w:p>
      <w:pPr>
        <w:spacing w:after="0" w:line="53" w:lineRule="exact"/>
        <w:rPr>
          <w:sz w:val="20"/>
          <w:szCs w:val="20"/>
          <w:color w:val="auto"/>
        </w:rPr>
      </w:pPr>
    </w:p>
    <w:p>
      <w:pPr>
        <w:ind w:left="160"/>
        <w:spacing w:after="0" w:line="248" w:lineRule="auto"/>
        <w:rPr>
          <w:sz w:val="20"/>
          <w:szCs w:val="20"/>
          <w:color w:val="auto"/>
        </w:rPr>
      </w:pPr>
      <w:r>
        <w:rPr>
          <w:rFonts w:ascii="Arial" w:cs="Arial" w:eastAsia="Arial" w:hAnsi="Arial"/>
          <w:sz w:val="16"/>
          <w:szCs w:val="16"/>
          <w:color w:val="092E44"/>
        </w:rPr>
        <w:t>The maximum number of shares of Common Stock that may be delivered under the 2016 Incentive Plan is 10,050,000. Assuming the Sixth Amendment to the 2016 Incentive Plan is approved, that maximum number will be increased to 11,050,000 shares. Any shares of Common Stock covered by an award under the 2016 Incentive Plan that is forfeited, expires, or is terminated without issuance of shares of Common Stock (including shares of Common Stock that are attributable to awards that are settled in cash), and shares of Common Stock that are withheld in payment of taxes payable with respect to the vesting or settlement of a Full Value Award will thereafter be available for further grants under the 2016 Incentive Plan. Shares of Common Stock that are tendered or withheld in payment of the exercise price of an Option or shares of Common Stock that are tendered or withheld in payment of taxes payable with respect to the exercise of an Option or SAR will not be available for further grants under the 2016 Incentive Plan. Shares subject to a Stock Appreciation Right that are not issued in connection with the stock settlement of that Stock Appreciation Right upon its exercise will not again become available for further grants under the 2016 Incentive Plan.</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The following additional limits apply to awards under the 2016 Incentive Plan:</w:t>
      </w:r>
    </w:p>
    <w:p>
      <w:pPr>
        <w:spacing w:after="0" w:line="97" w:lineRule="exact"/>
        <w:rPr>
          <w:sz w:val="20"/>
          <w:szCs w:val="20"/>
          <w:color w:val="auto"/>
        </w:rPr>
      </w:pPr>
    </w:p>
    <w:p>
      <w:pPr>
        <w:ind w:left="380" w:hanging="213"/>
        <w:spacing w:after="0"/>
        <w:tabs>
          <w:tab w:leader="none" w:pos="380" w:val="left"/>
        </w:tabs>
        <w:numPr>
          <w:ilvl w:val="0"/>
          <w:numId w:val="29"/>
        </w:numPr>
        <w:rPr>
          <w:rFonts w:ascii="Times New Roman" w:cs="Times New Roman" w:eastAsia="Times New Roman" w:hAnsi="Times New Roman"/>
          <w:sz w:val="16"/>
          <w:szCs w:val="16"/>
          <w:color w:val="E14A6A"/>
        </w:rPr>
      </w:pPr>
      <w:r>
        <w:rPr>
          <w:rFonts w:ascii="Arial" w:cs="Arial" w:eastAsia="Arial" w:hAnsi="Arial"/>
          <w:sz w:val="16"/>
          <w:szCs w:val="16"/>
          <w:color w:val="092E44"/>
        </w:rPr>
        <w:t>no more than 3,550,000 shares of Common Stock may be subject to ISOs;</w:t>
      </w:r>
    </w:p>
    <w:p>
      <w:pPr>
        <w:spacing w:after="0" w:line="82" w:lineRule="exact"/>
        <w:rPr>
          <w:rFonts w:ascii="Times New Roman" w:cs="Times New Roman" w:eastAsia="Times New Roman" w:hAnsi="Times New Roman"/>
          <w:sz w:val="16"/>
          <w:szCs w:val="16"/>
          <w:color w:val="E14A6A"/>
        </w:rPr>
      </w:pPr>
    </w:p>
    <w:p>
      <w:pPr>
        <w:ind w:left="380" w:right="940" w:hanging="213"/>
        <w:spacing w:after="0" w:line="278" w:lineRule="auto"/>
        <w:tabs>
          <w:tab w:leader="none" w:pos="380" w:val="left"/>
        </w:tabs>
        <w:numPr>
          <w:ilvl w:val="0"/>
          <w:numId w:val="29"/>
        </w:numPr>
        <w:rPr>
          <w:rFonts w:ascii="Times New Roman" w:cs="Times New Roman" w:eastAsia="Times New Roman" w:hAnsi="Times New Roman"/>
          <w:sz w:val="16"/>
          <w:szCs w:val="16"/>
          <w:color w:val="E14A6A"/>
        </w:rPr>
      </w:pPr>
      <w:r>
        <w:rPr>
          <w:rFonts w:ascii="Arial" w:cs="Arial" w:eastAsia="Arial" w:hAnsi="Arial"/>
          <w:sz w:val="16"/>
          <w:szCs w:val="16"/>
          <w:color w:val="092E44"/>
        </w:rPr>
        <w:t>the maximum number of shares of Common Stock that may be covered by Options and SARs that are intended to be performance-based compensation and that are granted to any one participant in any one calendar year is 500,000;</w:t>
      </w:r>
    </w:p>
    <w:p>
      <w:pPr>
        <w:spacing w:after="0" w:line="14" w:lineRule="exact"/>
        <w:rPr>
          <w:rFonts w:ascii="Times New Roman" w:cs="Times New Roman" w:eastAsia="Times New Roman" w:hAnsi="Times New Roman"/>
          <w:sz w:val="16"/>
          <w:szCs w:val="16"/>
          <w:color w:val="E14A6A"/>
        </w:rPr>
      </w:pPr>
    </w:p>
    <w:p>
      <w:pPr>
        <w:ind w:left="380" w:right="80" w:hanging="213"/>
        <w:spacing w:after="0" w:line="261" w:lineRule="auto"/>
        <w:tabs>
          <w:tab w:leader="none" w:pos="380" w:val="left"/>
        </w:tabs>
        <w:numPr>
          <w:ilvl w:val="0"/>
          <w:numId w:val="29"/>
        </w:numPr>
        <w:rPr>
          <w:rFonts w:ascii="Times New Roman" w:cs="Times New Roman" w:eastAsia="Times New Roman" w:hAnsi="Times New Roman"/>
          <w:sz w:val="16"/>
          <w:szCs w:val="16"/>
          <w:color w:val="E14A6A"/>
        </w:rPr>
      </w:pPr>
      <w:r>
        <w:rPr>
          <w:rFonts w:ascii="Arial" w:cs="Arial" w:eastAsia="Arial" w:hAnsi="Arial"/>
          <w:sz w:val="16"/>
          <w:szCs w:val="16"/>
          <w:color w:val="092E44"/>
        </w:rPr>
        <w:t>the maximum number of shares of Common Stock that may be delivered pursuant to any Full Value Award that is intended to be performance-based compensation granted to any one participant during any calendar year is 250,000, regardless of whether settlement of the award is to occur before, at the time of, or after vesting; and</w:t>
      </w:r>
    </w:p>
    <w:p>
      <w:pPr>
        <w:spacing w:after="0" w:line="27" w:lineRule="exact"/>
        <w:rPr>
          <w:rFonts w:ascii="Times New Roman" w:cs="Times New Roman" w:eastAsia="Times New Roman" w:hAnsi="Times New Roman"/>
          <w:sz w:val="16"/>
          <w:szCs w:val="16"/>
          <w:color w:val="E14A6A"/>
        </w:rPr>
      </w:pPr>
    </w:p>
    <w:p>
      <w:pPr>
        <w:ind w:left="380" w:right="140" w:hanging="213"/>
        <w:spacing w:after="0" w:line="261" w:lineRule="auto"/>
        <w:tabs>
          <w:tab w:leader="none" w:pos="380" w:val="left"/>
        </w:tabs>
        <w:numPr>
          <w:ilvl w:val="0"/>
          <w:numId w:val="29"/>
        </w:numPr>
        <w:rPr>
          <w:rFonts w:ascii="Times New Roman" w:cs="Times New Roman" w:eastAsia="Times New Roman" w:hAnsi="Times New Roman"/>
          <w:sz w:val="16"/>
          <w:szCs w:val="16"/>
          <w:color w:val="E14A6A"/>
        </w:rPr>
      </w:pPr>
      <w:r>
        <w:rPr>
          <w:rFonts w:ascii="Arial" w:cs="Arial" w:eastAsia="Arial" w:hAnsi="Arial"/>
          <w:sz w:val="16"/>
          <w:szCs w:val="16"/>
          <w:color w:val="092E44"/>
        </w:rPr>
        <w:t>in the case of Cash Incentive Awards (as described below) that are intended to be performance-based compensation, the maximum amount payable to any one Participant with respect to any performance period of twelve months (pro-rated for performance periods that are not twelve months) is $2,500,000.</w:t>
      </w:r>
    </w:p>
    <w:p>
      <w:pPr>
        <w:spacing w:after="0" w:line="54" w:lineRule="exact"/>
        <w:rPr>
          <w:sz w:val="20"/>
          <w:szCs w:val="20"/>
          <w:color w:val="auto"/>
        </w:rPr>
      </w:pPr>
    </w:p>
    <w:p>
      <w:pPr>
        <w:ind w:left="160" w:right="120"/>
        <w:spacing w:after="0" w:line="256" w:lineRule="auto"/>
        <w:rPr>
          <w:sz w:val="20"/>
          <w:szCs w:val="20"/>
          <w:color w:val="auto"/>
        </w:rPr>
      </w:pPr>
      <w:r>
        <w:rPr>
          <w:rFonts w:ascii="Arial" w:cs="Arial" w:eastAsia="Arial" w:hAnsi="Arial"/>
          <w:sz w:val="16"/>
          <w:szCs w:val="16"/>
          <w:color w:val="092E44"/>
        </w:rPr>
        <w:t>If a Full Value Award or Cash Incentive Award that is intended to be performance-based compensation is denominated in shares but an equivalent amount of cash is delivered (or vice versa), the foregoing limitations will be applied based on the methodology the Committee uses to convert shares of Common Stock to cash (or vice versa). If delivery of cash or shares of Common Stock is deferred until after the cash or shares are earned, there will not be any adjustment in the amount delivered to reflect interim changes in the stock price.</w:t>
      </w:r>
    </w:p>
    <w:p>
      <w:pPr>
        <w:spacing w:after="0" w:line="58" w:lineRule="exact"/>
        <w:rPr>
          <w:sz w:val="20"/>
          <w:szCs w:val="20"/>
          <w:color w:val="auto"/>
        </w:rPr>
      </w:pPr>
    </w:p>
    <w:p>
      <w:pPr>
        <w:ind w:left="160"/>
        <w:spacing w:after="0" w:line="279" w:lineRule="auto"/>
        <w:rPr>
          <w:sz w:val="20"/>
          <w:szCs w:val="20"/>
          <w:color w:val="auto"/>
        </w:rPr>
      </w:pPr>
      <w:r>
        <w:rPr>
          <w:rFonts w:ascii="Arial" w:cs="Arial" w:eastAsia="Arial" w:hAnsi="Arial"/>
          <w:sz w:val="16"/>
          <w:szCs w:val="16"/>
          <w:color w:val="092E44"/>
        </w:rPr>
        <w:t>Awards granted to independent directors for any calendar year may not exceed $500,000 ($1,000,000 for the initial year of directorship), determined as of the date of grant.</w:t>
      </w:r>
    </w:p>
    <w:p>
      <w:pPr>
        <w:spacing w:after="0" w:line="27" w:lineRule="exact"/>
        <w:rPr>
          <w:sz w:val="20"/>
          <w:szCs w:val="20"/>
          <w:color w:val="auto"/>
        </w:rPr>
      </w:pPr>
    </w:p>
    <w:p>
      <w:pPr>
        <w:ind w:left="160" w:right="420"/>
        <w:spacing w:after="0" w:line="262" w:lineRule="auto"/>
        <w:rPr>
          <w:sz w:val="20"/>
          <w:szCs w:val="20"/>
          <w:color w:val="auto"/>
        </w:rPr>
      </w:pPr>
      <w:r>
        <w:rPr>
          <w:rFonts w:ascii="Arial" w:cs="Arial" w:eastAsia="Arial" w:hAnsi="Arial"/>
          <w:sz w:val="16"/>
          <w:szCs w:val="16"/>
          <w:color w:val="092E44"/>
        </w:rPr>
        <w:t>In the event of a corporate transaction (including a stock dividend, stock split, reverse stock split, extraordinary cash dividend, recapitalization, reorganization, merger, consolidation, split-up, spin-off, exchange of shares, sale of assets or subsidiaries, or combination) that affects the Common Stock such that the Committee determines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229235</wp:posOffset>
            </wp:positionV>
            <wp:extent cx="220980" cy="2120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53</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60"/>
          </w:cols>
          <w:pgMar w:left="320" w:top="454" w:right="5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PROPOSAL NO. 4: APPROVAL OF THE OMNIBUS INCENTIVE PLAN, AS AMENDED BY THE SIXTH AMENDMENT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DESCRIPTION OF THE 2016 INCENTIVE PLAN</w:t>
      </w:r>
    </w:p>
    <w:p>
      <w:pPr>
        <w:spacing w:after="0" w:line="140" w:lineRule="exact"/>
        <w:rPr>
          <w:sz w:val="20"/>
          <w:szCs w:val="20"/>
          <w:color w:val="auto"/>
        </w:rPr>
      </w:pPr>
    </w:p>
    <w:p>
      <w:pPr>
        <w:ind w:left="160" w:right="80"/>
        <w:spacing w:after="0" w:line="279" w:lineRule="auto"/>
        <w:rPr>
          <w:sz w:val="20"/>
          <w:szCs w:val="20"/>
          <w:color w:val="auto"/>
        </w:rPr>
      </w:pPr>
      <w:r>
        <w:rPr>
          <w:rFonts w:ascii="Arial" w:cs="Arial" w:eastAsia="Arial" w:hAnsi="Arial"/>
          <w:sz w:val="16"/>
          <w:szCs w:val="16"/>
          <w:color w:val="092E44"/>
        </w:rPr>
        <w:t>adjustment is warranted in order to preserve the benefits or prevent the enlargement of benefits of awards under the 2016 Incentive Plan, the Committee will adjust awards in a manner it determines to be equitable in its discretion. Specifically, the Committee may:</w:t>
      </w:r>
    </w:p>
    <w:p>
      <w:pPr>
        <w:spacing w:after="0" w:line="40" w:lineRule="exact"/>
        <w:rPr>
          <w:sz w:val="20"/>
          <w:szCs w:val="20"/>
          <w:color w:val="auto"/>
        </w:rPr>
      </w:pPr>
    </w:p>
    <w:p>
      <w:pPr>
        <w:ind w:left="380" w:right="380" w:hanging="213"/>
        <w:spacing w:after="0" w:line="278" w:lineRule="auto"/>
        <w:tabs>
          <w:tab w:leader="none" w:pos="380" w:val="left"/>
        </w:tabs>
        <w:numPr>
          <w:ilvl w:val="0"/>
          <w:numId w:val="30"/>
        </w:numPr>
        <w:rPr>
          <w:rFonts w:ascii="Times New Roman" w:cs="Times New Roman" w:eastAsia="Times New Roman" w:hAnsi="Times New Roman"/>
          <w:sz w:val="16"/>
          <w:szCs w:val="16"/>
          <w:color w:val="E14A6A"/>
        </w:rPr>
      </w:pPr>
      <w:r>
        <w:rPr>
          <w:rFonts w:ascii="Arial" w:cs="Arial" w:eastAsia="Arial" w:hAnsi="Arial"/>
          <w:sz w:val="16"/>
          <w:szCs w:val="16"/>
          <w:color w:val="092E44"/>
        </w:rPr>
        <w:t>adjust the number and kind of shares that may be delivered under the 2016 Incentive Plan (including adjusting the individual limitations described above);</w:t>
      </w:r>
    </w:p>
    <w:p>
      <w:pPr>
        <w:spacing w:after="0" w:line="14" w:lineRule="exact"/>
        <w:rPr>
          <w:rFonts w:ascii="Times New Roman" w:cs="Times New Roman" w:eastAsia="Times New Roman" w:hAnsi="Times New Roman"/>
          <w:sz w:val="16"/>
          <w:szCs w:val="16"/>
          <w:color w:val="E14A6A"/>
        </w:rPr>
      </w:pPr>
    </w:p>
    <w:p>
      <w:pPr>
        <w:ind w:left="380" w:hanging="213"/>
        <w:spacing w:after="0"/>
        <w:tabs>
          <w:tab w:leader="none" w:pos="380" w:val="left"/>
        </w:tabs>
        <w:numPr>
          <w:ilvl w:val="0"/>
          <w:numId w:val="30"/>
        </w:numPr>
        <w:rPr>
          <w:rFonts w:ascii="Times New Roman" w:cs="Times New Roman" w:eastAsia="Times New Roman" w:hAnsi="Times New Roman"/>
          <w:sz w:val="16"/>
          <w:szCs w:val="16"/>
          <w:color w:val="E14A6A"/>
        </w:rPr>
      </w:pPr>
      <w:r>
        <w:rPr>
          <w:rFonts w:ascii="Arial" w:cs="Arial" w:eastAsia="Arial" w:hAnsi="Arial"/>
          <w:sz w:val="16"/>
          <w:szCs w:val="16"/>
          <w:color w:val="092E44"/>
        </w:rPr>
        <w:t>adjust the number and kind of shares subject to outstanding awards;</w:t>
      </w:r>
    </w:p>
    <w:p>
      <w:pPr>
        <w:spacing w:after="0" w:line="82" w:lineRule="exact"/>
        <w:rPr>
          <w:rFonts w:ascii="Times New Roman" w:cs="Times New Roman" w:eastAsia="Times New Roman" w:hAnsi="Times New Roman"/>
          <w:sz w:val="16"/>
          <w:szCs w:val="16"/>
          <w:color w:val="E14A6A"/>
        </w:rPr>
      </w:pPr>
    </w:p>
    <w:p>
      <w:pPr>
        <w:ind w:left="380" w:hanging="213"/>
        <w:spacing w:after="0"/>
        <w:tabs>
          <w:tab w:leader="none" w:pos="380" w:val="left"/>
        </w:tabs>
        <w:numPr>
          <w:ilvl w:val="0"/>
          <w:numId w:val="30"/>
        </w:numPr>
        <w:rPr>
          <w:rFonts w:ascii="Times New Roman" w:cs="Times New Roman" w:eastAsia="Times New Roman" w:hAnsi="Times New Roman"/>
          <w:sz w:val="16"/>
          <w:szCs w:val="16"/>
          <w:color w:val="E14A6A"/>
        </w:rPr>
      </w:pPr>
      <w:r>
        <w:rPr>
          <w:rFonts w:ascii="Arial" w:cs="Arial" w:eastAsia="Arial" w:hAnsi="Arial"/>
          <w:sz w:val="16"/>
          <w:szCs w:val="16"/>
          <w:color w:val="092E44"/>
        </w:rPr>
        <w:t>adjust the exercise price of outstanding Options and SARs;</w:t>
      </w:r>
    </w:p>
    <w:p>
      <w:pPr>
        <w:spacing w:after="0" w:line="203" w:lineRule="exact"/>
        <w:rPr>
          <w:rFonts w:ascii="Times New Roman" w:cs="Times New Roman" w:eastAsia="Times New Roman" w:hAnsi="Times New Roman"/>
          <w:sz w:val="16"/>
          <w:szCs w:val="16"/>
          <w:color w:val="E14A6A"/>
        </w:rPr>
      </w:pPr>
    </w:p>
    <w:p>
      <w:pPr>
        <w:ind w:left="380" w:right="20" w:hanging="213"/>
        <w:spacing w:after="0" w:line="278" w:lineRule="auto"/>
        <w:tabs>
          <w:tab w:leader="none" w:pos="380" w:val="left"/>
        </w:tabs>
        <w:numPr>
          <w:ilvl w:val="0"/>
          <w:numId w:val="30"/>
        </w:numPr>
        <w:rPr>
          <w:rFonts w:ascii="Times New Roman" w:cs="Times New Roman" w:eastAsia="Times New Roman" w:hAnsi="Times New Roman"/>
          <w:sz w:val="16"/>
          <w:szCs w:val="16"/>
          <w:color w:val="E14A6A"/>
        </w:rPr>
      </w:pPr>
      <w:r>
        <w:rPr>
          <w:rFonts w:ascii="Arial" w:cs="Arial" w:eastAsia="Arial" w:hAnsi="Arial"/>
          <w:sz w:val="16"/>
          <w:szCs w:val="16"/>
          <w:color w:val="092E44"/>
        </w:rPr>
        <w:t>replace awards with other awards that the Committee determines have comparable value and that are based on stock of a company resulting from the transaction; and</w:t>
      </w:r>
    </w:p>
    <w:p>
      <w:pPr>
        <w:spacing w:after="0" w:line="14" w:lineRule="exact"/>
        <w:rPr>
          <w:rFonts w:ascii="Times New Roman" w:cs="Times New Roman" w:eastAsia="Times New Roman" w:hAnsi="Times New Roman"/>
          <w:sz w:val="16"/>
          <w:szCs w:val="16"/>
          <w:color w:val="E14A6A"/>
        </w:rPr>
      </w:pPr>
    </w:p>
    <w:p>
      <w:pPr>
        <w:ind w:left="380" w:right="60" w:hanging="213"/>
        <w:spacing w:after="0" w:line="261" w:lineRule="auto"/>
        <w:tabs>
          <w:tab w:leader="none" w:pos="380" w:val="left"/>
        </w:tabs>
        <w:numPr>
          <w:ilvl w:val="0"/>
          <w:numId w:val="30"/>
        </w:numPr>
        <w:rPr>
          <w:rFonts w:ascii="Times New Roman" w:cs="Times New Roman" w:eastAsia="Times New Roman" w:hAnsi="Times New Roman"/>
          <w:sz w:val="16"/>
          <w:szCs w:val="16"/>
          <w:color w:val="E14A6A"/>
        </w:rPr>
      </w:pPr>
      <w:r>
        <w:rPr>
          <w:rFonts w:ascii="Arial" w:cs="Arial" w:eastAsia="Arial" w:hAnsi="Arial"/>
          <w:sz w:val="16"/>
          <w:szCs w:val="16"/>
          <w:color w:val="092E44"/>
        </w:rPr>
        <w:t>cancel any award in return for cash payment of the award’s current value, determined as though the award is fully vested at the time of payment, provided that in the case of an Option or SAR, the amount of such payment may be the excess of the value of the shares of Common Stock subject to the Option or SAR at the time of the transaction over the exercise price.</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Types of Awards</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8"/>
          <w:szCs w:val="18"/>
          <w:color w:val="E14A6A"/>
        </w:rPr>
        <w:t>Options</w:t>
      </w:r>
    </w:p>
    <w:p>
      <w:pPr>
        <w:spacing w:after="0" w:line="52" w:lineRule="exact"/>
        <w:rPr>
          <w:sz w:val="20"/>
          <w:szCs w:val="20"/>
          <w:color w:val="auto"/>
        </w:rPr>
      </w:pPr>
    </w:p>
    <w:p>
      <w:pPr>
        <w:ind w:left="160" w:right="100"/>
        <w:spacing w:after="0" w:line="256" w:lineRule="auto"/>
        <w:rPr>
          <w:sz w:val="20"/>
          <w:szCs w:val="20"/>
          <w:color w:val="auto"/>
        </w:rPr>
      </w:pPr>
      <w:r>
        <w:rPr>
          <w:rFonts w:ascii="Arial" w:cs="Arial" w:eastAsia="Arial" w:hAnsi="Arial"/>
          <w:sz w:val="16"/>
          <w:szCs w:val="16"/>
          <w:color w:val="092E44"/>
        </w:rPr>
        <w:t>The Committee may grant Options to purchase shares of Common Stock in the form of ISOs or non-qualified stock options (“NQOs”). The exercise price of an Option cannot be less than the fair market value of a share of Common Stock on the date the Option is granted. ISOs may only be granted to employees of Commvault or our permitted corporate subsidiaries and must satisfy other requirements of Section 422 of the Internal Revenue Code. An Option that does not satisfy the requirements for an ISO will be treated as a NQO.</w:t>
      </w:r>
    </w:p>
    <w:p>
      <w:pPr>
        <w:spacing w:after="0" w:line="58" w:lineRule="exact"/>
        <w:rPr>
          <w:sz w:val="20"/>
          <w:szCs w:val="20"/>
          <w:color w:val="auto"/>
        </w:rPr>
      </w:pPr>
    </w:p>
    <w:p>
      <w:pPr>
        <w:ind w:left="160"/>
        <w:spacing w:after="0" w:line="253" w:lineRule="auto"/>
        <w:rPr>
          <w:sz w:val="20"/>
          <w:szCs w:val="20"/>
          <w:color w:val="auto"/>
        </w:rPr>
      </w:pPr>
      <w:r>
        <w:rPr>
          <w:rFonts w:ascii="Arial" w:cs="Arial" w:eastAsia="Arial" w:hAnsi="Arial"/>
          <w:sz w:val="16"/>
          <w:szCs w:val="16"/>
          <w:color w:val="092E44"/>
        </w:rPr>
        <w:t>Except for reductions approved by our stockholders or adjustment for corporate transactions, the exercise price of an Option may not be decreased after the date of grant, nor may an Option be surrendered to us as consideration for the grant of a replacement Option or SAR with a lower exercise price or for a Full Value Award. In addition, except as approved by our stockholders, no Option granted under the 2016 Incentive Plan may be surrendered to us in consideration of a cash payment if, at the time of such surrender, the exercise price of the Option is greater than the fair market value of a share of Common Stock.</w:t>
      </w:r>
    </w:p>
    <w:p>
      <w:pPr>
        <w:spacing w:after="0" w:line="60" w:lineRule="exact"/>
        <w:rPr>
          <w:sz w:val="20"/>
          <w:szCs w:val="20"/>
          <w:color w:val="auto"/>
        </w:rPr>
      </w:pPr>
    </w:p>
    <w:p>
      <w:pPr>
        <w:ind w:left="160" w:right="40"/>
        <w:spacing w:after="0" w:line="250" w:lineRule="auto"/>
        <w:rPr>
          <w:sz w:val="20"/>
          <w:szCs w:val="20"/>
          <w:color w:val="auto"/>
        </w:rPr>
      </w:pPr>
      <w:r>
        <w:rPr>
          <w:rFonts w:ascii="Arial" w:cs="Arial" w:eastAsia="Arial" w:hAnsi="Arial"/>
          <w:sz w:val="16"/>
          <w:szCs w:val="16"/>
          <w:color w:val="092E44"/>
        </w:rPr>
        <w:t>Options will be exercisable in accordance with the terms established by the Committee. The full exercise price of each share of Common Stock purchased upon the exercise of any Option must be paid at the time of exercise (except if the exercise price is payable through the use of cash equivalents, it may be paid as soon as practicable after exercise). Subject to applicable law, the exercise price of an Option may be payable in cash or cash equivalents, shares of Common Stock (valued at fair market value as of the day of exercise), or a combination thereof. The Committee may, in its discretion, impose such conditions, restrictions, and contingencies on the shares of Common Stock acquired pursuant to the exercise of an Option as the Committee determines to be desirable, including conformity with our recoupment or clawback policies as in effect from time to time. Except as provided by the Committee, an Option will expire on the earlier of:</w:t>
      </w:r>
    </w:p>
    <w:p>
      <w:pPr>
        <w:spacing w:after="0" w:line="36" w:lineRule="exact"/>
        <w:rPr>
          <w:sz w:val="20"/>
          <w:szCs w:val="20"/>
          <w:color w:val="auto"/>
        </w:rPr>
      </w:pPr>
    </w:p>
    <w:p>
      <w:pPr>
        <w:ind w:left="380" w:hanging="213"/>
        <w:spacing w:after="0"/>
        <w:tabs>
          <w:tab w:leader="none" w:pos="380" w:val="left"/>
        </w:tabs>
        <w:numPr>
          <w:ilvl w:val="0"/>
          <w:numId w:val="31"/>
        </w:numPr>
        <w:rPr>
          <w:rFonts w:ascii="Times New Roman" w:cs="Times New Roman" w:eastAsia="Times New Roman" w:hAnsi="Times New Roman"/>
          <w:sz w:val="16"/>
          <w:szCs w:val="16"/>
          <w:color w:val="E14A6A"/>
        </w:rPr>
      </w:pPr>
      <w:r>
        <w:rPr>
          <w:rFonts w:ascii="Arial" w:cs="Arial" w:eastAsia="Arial" w:hAnsi="Arial"/>
          <w:sz w:val="16"/>
          <w:szCs w:val="16"/>
          <w:color w:val="092E44"/>
        </w:rPr>
        <w:t>the 30</w:t>
      </w:r>
      <w:r>
        <w:rPr>
          <w:rFonts w:ascii="Arial" w:cs="Arial" w:eastAsia="Arial" w:hAnsi="Arial"/>
          <w:sz w:val="27"/>
          <w:szCs w:val="27"/>
          <w:color w:val="092E44"/>
          <w:vertAlign w:val="superscript"/>
        </w:rPr>
        <w:t>th</w:t>
      </w:r>
      <w:r>
        <w:rPr>
          <w:rFonts w:ascii="Arial" w:cs="Arial" w:eastAsia="Arial" w:hAnsi="Arial"/>
          <w:sz w:val="16"/>
          <w:szCs w:val="16"/>
          <w:color w:val="092E44"/>
        </w:rPr>
        <w:t xml:space="preserve"> day after the participant’s employment or service terminates for any reason other than for cause (as defined in the 2016 Incentive Plan), and</w:t>
      </w:r>
    </w:p>
    <w:p>
      <w:pPr>
        <w:ind w:left="380" w:hanging="213"/>
        <w:spacing w:after="0"/>
        <w:tabs>
          <w:tab w:leader="none" w:pos="380" w:val="left"/>
        </w:tabs>
        <w:numPr>
          <w:ilvl w:val="0"/>
          <w:numId w:val="31"/>
        </w:numPr>
        <w:rPr>
          <w:rFonts w:ascii="Times New Roman" w:cs="Times New Roman" w:eastAsia="Times New Roman" w:hAnsi="Times New Roman"/>
          <w:sz w:val="16"/>
          <w:szCs w:val="16"/>
          <w:color w:val="E14A6A"/>
        </w:rPr>
      </w:pPr>
      <w:r>
        <w:rPr>
          <w:rFonts w:ascii="Arial" w:cs="Arial" w:eastAsia="Arial" w:hAnsi="Arial"/>
          <w:sz w:val="16"/>
          <w:szCs w:val="16"/>
          <w:color w:val="092E44"/>
        </w:rPr>
        <w:t>the day on which the participant’s employment or service terminates for cause.</w:t>
      </w:r>
    </w:p>
    <w:p>
      <w:pPr>
        <w:spacing w:after="0" w:line="80" w:lineRule="exact"/>
        <w:rPr>
          <w:sz w:val="20"/>
          <w:szCs w:val="20"/>
          <w:color w:val="auto"/>
        </w:rPr>
      </w:pPr>
    </w:p>
    <w:p>
      <w:pPr>
        <w:ind w:left="160" w:right="40"/>
        <w:spacing w:after="0" w:line="279" w:lineRule="auto"/>
        <w:rPr>
          <w:sz w:val="20"/>
          <w:szCs w:val="20"/>
          <w:color w:val="auto"/>
        </w:rPr>
      </w:pPr>
      <w:r>
        <w:rPr>
          <w:rFonts w:ascii="Arial" w:cs="Arial" w:eastAsia="Arial" w:hAnsi="Arial"/>
          <w:sz w:val="16"/>
          <w:szCs w:val="16"/>
          <w:color w:val="092E44"/>
        </w:rPr>
        <w:t>In any event, an Option will expire no later than the 10th anniversary of the date on which it is granted (or such shorter period required by the rules of any stock exchange on which the Common Stock is listed).</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color w:val="E14A6A"/>
        </w:rPr>
        <w:t>SARs</w:t>
      </w:r>
    </w:p>
    <w:p>
      <w:pPr>
        <w:spacing w:after="0" w:line="52" w:lineRule="exact"/>
        <w:rPr>
          <w:sz w:val="20"/>
          <w:szCs w:val="20"/>
          <w:color w:val="auto"/>
        </w:rPr>
      </w:pPr>
    </w:p>
    <w:p>
      <w:pPr>
        <w:jc w:val="both"/>
        <w:ind w:left="160" w:right="180"/>
        <w:spacing w:after="0" w:line="262" w:lineRule="auto"/>
        <w:rPr>
          <w:sz w:val="20"/>
          <w:szCs w:val="20"/>
          <w:color w:val="auto"/>
        </w:rPr>
      </w:pPr>
      <w:r>
        <w:rPr>
          <w:rFonts w:ascii="Arial" w:cs="Arial" w:eastAsia="Arial" w:hAnsi="Arial"/>
          <w:sz w:val="16"/>
          <w:szCs w:val="16"/>
          <w:color w:val="092E44"/>
        </w:rPr>
        <w:t>A SAR entitles the holder to receive the amount (in cash or shares of Common Stock) by which the fair market value of a specified number of shares of Common Stock on the exercise date exceeds an exercise price established by the Committee. The exercise price of a SAR cannot be less than the fair market value of a share of Common Stock on the date the SAR is granted. SARs are generally subject to the same terms and restrictions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229235</wp:posOffset>
            </wp:positionV>
            <wp:extent cx="220980" cy="2120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54</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60"/>
          </w:cols>
          <w:pgMar w:left="320" w:top="454" w:right="5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PROPOSAL NO. 4: APPROVAL OF THE OMNIBUS INCENTIVE PLAN, AS AMENDED BY THE SIXTH AMENDMENT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DESCRIPTION OF THE 2016 INCENTIVE PLAN</w:t>
      </w:r>
    </w:p>
    <w:p>
      <w:pPr>
        <w:spacing w:after="0" w:line="140" w:lineRule="exact"/>
        <w:rPr>
          <w:sz w:val="20"/>
          <w:szCs w:val="20"/>
          <w:color w:val="auto"/>
        </w:rPr>
      </w:pPr>
    </w:p>
    <w:p>
      <w:pPr>
        <w:ind w:left="160" w:right="200"/>
        <w:spacing w:after="0" w:line="279" w:lineRule="auto"/>
        <w:rPr>
          <w:sz w:val="20"/>
          <w:szCs w:val="20"/>
          <w:color w:val="auto"/>
        </w:rPr>
      </w:pPr>
      <w:r>
        <w:rPr>
          <w:rFonts w:ascii="Arial" w:cs="Arial" w:eastAsia="Arial" w:hAnsi="Arial"/>
          <w:sz w:val="16"/>
          <w:szCs w:val="16"/>
          <w:color w:val="092E44"/>
        </w:rPr>
        <w:t>apply to Options to the extent relevant, including the prohibition on lowering the exercise price, exchanges for cash or other awards, the expiration date provisions, and the minimum vesting period.</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color w:val="E14A6A"/>
        </w:rPr>
        <w:t>Full Value Awards</w:t>
      </w:r>
    </w:p>
    <w:p>
      <w:pPr>
        <w:spacing w:after="0" w:line="52" w:lineRule="exact"/>
        <w:rPr>
          <w:sz w:val="20"/>
          <w:szCs w:val="20"/>
          <w:color w:val="auto"/>
        </w:rPr>
      </w:pPr>
    </w:p>
    <w:p>
      <w:pPr>
        <w:ind w:left="160" w:right="100"/>
        <w:spacing w:after="0" w:line="256" w:lineRule="auto"/>
        <w:rPr>
          <w:sz w:val="20"/>
          <w:szCs w:val="20"/>
          <w:color w:val="auto"/>
        </w:rPr>
      </w:pPr>
      <w:r>
        <w:rPr>
          <w:rFonts w:ascii="Arial" w:cs="Arial" w:eastAsia="Arial" w:hAnsi="Arial"/>
          <w:sz w:val="16"/>
          <w:szCs w:val="16"/>
          <w:color w:val="092E44"/>
        </w:rPr>
        <w:t>A Full Value Award is a grant of one or more shares of Common Stock or a right to receive one or more shares of Common Stock in the future (including restricted stock, restricted stock units, deferred stock units, performance stock, and performance stock units). Grants may be subject to such conditions, restrictions, and contingencies as determined by the Committee, including provisions relating to dividend or dividend equivalent rights and deferred payment or settlement, but no dividends or dividend equivalent rights will be paid or settled on performance-based awards that have not been earned.</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8"/>
          <w:szCs w:val="18"/>
          <w:color w:val="E14A6A"/>
        </w:rPr>
        <w:t>Cash Incentive Awards</w:t>
      </w:r>
    </w:p>
    <w:p>
      <w:pPr>
        <w:spacing w:after="0" w:line="52" w:lineRule="exact"/>
        <w:rPr>
          <w:sz w:val="20"/>
          <w:szCs w:val="20"/>
          <w:color w:val="auto"/>
        </w:rPr>
      </w:pPr>
    </w:p>
    <w:p>
      <w:pPr>
        <w:ind w:left="160"/>
        <w:spacing w:after="0" w:line="251" w:lineRule="auto"/>
        <w:rPr>
          <w:sz w:val="20"/>
          <w:szCs w:val="20"/>
          <w:color w:val="auto"/>
        </w:rPr>
      </w:pPr>
      <w:r>
        <w:rPr>
          <w:rFonts w:ascii="Arial" w:cs="Arial" w:eastAsia="Arial" w:hAnsi="Arial"/>
          <w:sz w:val="16"/>
          <w:szCs w:val="16"/>
          <w:color w:val="092E44"/>
        </w:rPr>
        <w:t>A Cash Incentive Award is the grant of a right to receive a payment of cash (or, in the discretion of the Committee, shares of Common Stock with an equivalent value) that is contingent on achievement of performance objectives over a specified period of time. The grant of Cash Incentive Awards may also be subject to such other conditions, restrictions, and contingencies as the Committee determines, including provisions relating to deferred payment. No award may vest, in whole or in part, before the first anniversary of the date of grant or, in the case of vesting based upon the attainment of performance-based objectives, the first anniversary of the commencement of the period over which performance is evaluated, except for a limited number of awards (covering up to 5% of the shares available for issuance under the 2016 Incentive Plan) or upon death, disability or a corporate transaction.</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Change in Control</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If (i) a Change in Control (as defined in the 2016 Incentive Plan) occurs before an award vests and before the holder’s separation from service, and</w:t>
      </w:r>
    </w:p>
    <w:p>
      <w:pPr>
        <w:spacing w:after="0" w:line="19" w:lineRule="exact"/>
        <w:rPr>
          <w:sz w:val="20"/>
          <w:szCs w:val="20"/>
          <w:color w:val="auto"/>
        </w:rPr>
      </w:pPr>
    </w:p>
    <w:p>
      <w:pPr>
        <w:ind w:left="160" w:right="20" w:firstLine="7"/>
        <w:spacing w:after="0" w:line="251" w:lineRule="auto"/>
        <w:tabs>
          <w:tab w:leader="none" w:pos="383" w:val="left"/>
        </w:tabs>
        <w:numPr>
          <w:ilvl w:val="0"/>
          <w:numId w:val="32"/>
        </w:numPr>
        <w:rPr>
          <w:rFonts w:ascii="Arial" w:cs="Arial" w:eastAsia="Arial" w:hAnsi="Arial"/>
          <w:sz w:val="16"/>
          <w:szCs w:val="16"/>
          <w:color w:val="092E44"/>
        </w:rPr>
      </w:pPr>
      <w:r>
        <w:rPr>
          <w:rFonts w:ascii="Arial" w:cs="Arial" w:eastAsia="Arial" w:hAnsi="Arial"/>
          <w:sz w:val="16"/>
          <w:szCs w:val="16"/>
          <w:color w:val="092E44"/>
        </w:rPr>
        <w:t>such award remains outstanding following the Change in Control (whether by substitution with another award or otherwise), and (iii) the participant’s service is involuntarily terminated by the Company or a related company (or any successor thereto), other than for cause, on or within two years following the Change in Control, then:</w:t>
      </w:r>
    </w:p>
    <w:p>
      <w:pPr>
        <w:spacing w:after="0" w:line="62" w:lineRule="exact"/>
        <w:rPr>
          <w:sz w:val="20"/>
          <w:szCs w:val="20"/>
          <w:color w:val="auto"/>
        </w:rPr>
      </w:pPr>
    </w:p>
    <w:p>
      <w:pPr>
        <w:ind w:left="380" w:hanging="213"/>
        <w:spacing w:after="0"/>
        <w:tabs>
          <w:tab w:leader="none" w:pos="380" w:val="left"/>
        </w:tabs>
        <w:numPr>
          <w:ilvl w:val="0"/>
          <w:numId w:val="33"/>
        </w:numPr>
        <w:rPr>
          <w:rFonts w:ascii="Times New Roman" w:cs="Times New Roman" w:eastAsia="Times New Roman" w:hAnsi="Times New Roman"/>
          <w:sz w:val="16"/>
          <w:szCs w:val="16"/>
          <w:color w:val="E14A6A"/>
        </w:rPr>
      </w:pPr>
      <w:r>
        <w:rPr>
          <w:rFonts w:ascii="Arial" w:cs="Arial" w:eastAsia="Arial" w:hAnsi="Arial"/>
          <w:sz w:val="16"/>
          <w:szCs w:val="16"/>
          <w:color w:val="092E44"/>
        </w:rPr>
        <w:t>the participant’s outstanding Options and SARS, if any, will become fully exercisable; and</w:t>
      </w:r>
    </w:p>
    <w:p>
      <w:pPr>
        <w:spacing w:after="0" w:line="82" w:lineRule="exact"/>
        <w:rPr>
          <w:rFonts w:ascii="Times New Roman" w:cs="Times New Roman" w:eastAsia="Times New Roman" w:hAnsi="Times New Roman"/>
          <w:sz w:val="16"/>
          <w:szCs w:val="16"/>
          <w:color w:val="E14A6A"/>
        </w:rPr>
      </w:pPr>
    </w:p>
    <w:p>
      <w:pPr>
        <w:ind w:left="380" w:right="240" w:hanging="213"/>
        <w:spacing w:after="0" w:line="261" w:lineRule="auto"/>
        <w:tabs>
          <w:tab w:leader="none" w:pos="380" w:val="left"/>
        </w:tabs>
        <w:numPr>
          <w:ilvl w:val="0"/>
          <w:numId w:val="33"/>
        </w:numPr>
        <w:rPr>
          <w:rFonts w:ascii="Times New Roman" w:cs="Times New Roman" w:eastAsia="Times New Roman" w:hAnsi="Times New Roman"/>
          <w:sz w:val="16"/>
          <w:szCs w:val="16"/>
          <w:color w:val="E14A6A"/>
        </w:rPr>
      </w:pPr>
      <w:r>
        <w:rPr>
          <w:rFonts w:ascii="Arial" w:cs="Arial" w:eastAsia="Arial" w:hAnsi="Arial"/>
          <w:sz w:val="16"/>
          <w:szCs w:val="16"/>
          <w:color w:val="092E44"/>
        </w:rPr>
        <w:t>the participant’s Full Value awards will become fully vested and the Committee will determine the extent to which the associated performance conditions are met, taking into account actual performance and/or the passage of time, in accordance with the terms of the 2016 Incentive Plan and the applicable award agreement.</w:t>
      </w:r>
    </w:p>
    <w:p>
      <w:pPr>
        <w:spacing w:after="0" w:line="54"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092E44"/>
        </w:rPr>
        <w:t>To the extent any provision of the 2016 Incentive Plan or an award agreement would cause a payment of deferred compensation that is subject to section 409A of the Code to be made upon the occurrence of a Change in Control, then such payment will not be deferred unless such Change in Control also constitutes a “change in ownership,” “change in effective control,” or “change in ownership of a substantial portion of the Company’s assets” within the meaning of section 409A of the Code.</w:t>
      </w:r>
    </w:p>
    <w:p>
      <w:pPr>
        <w:spacing w:after="0" w:line="58" w:lineRule="exact"/>
        <w:rPr>
          <w:sz w:val="20"/>
          <w:szCs w:val="20"/>
          <w:color w:val="auto"/>
        </w:rPr>
      </w:pPr>
    </w:p>
    <w:p>
      <w:pPr>
        <w:ind w:left="160" w:right="220"/>
        <w:spacing w:after="0" w:line="279" w:lineRule="auto"/>
        <w:rPr>
          <w:sz w:val="20"/>
          <w:szCs w:val="20"/>
          <w:color w:val="auto"/>
        </w:rPr>
      </w:pPr>
      <w:r>
        <w:rPr>
          <w:rFonts w:ascii="Arial" w:cs="Arial" w:eastAsia="Arial" w:hAnsi="Arial"/>
          <w:sz w:val="16"/>
          <w:szCs w:val="16"/>
          <w:color w:val="092E44"/>
        </w:rPr>
        <w:t>If an award does not remain outstanding following a Change in Control, the Committee will determine the vesting and other terms and conditions of the award in connection with the Change in Control in accordance with the terms of the 2016 Incentive Plan.</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Non-U.S. Employees</w:t>
      </w:r>
    </w:p>
    <w:p>
      <w:pPr>
        <w:spacing w:after="0" w:line="67" w:lineRule="exact"/>
        <w:rPr>
          <w:sz w:val="20"/>
          <w:szCs w:val="20"/>
          <w:color w:val="auto"/>
        </w:rPr>
      </w:pPr>
    </w:p>
    <w:p>
      <w:pPr>
        <w:ind w:left="160" w:right="80"/>
        <w:spacing w:after="0" w:line="253" w:lineRule="auto"/>
        <w:rPr>
          <w:sz w:val="20"/>
          <w:szCs w:val="20"/>
          <w:color w:val="auto"/>
        </w:rPr>
      </w:pPr>
      <w:r>
        <w:rPr>
          <w:rFonts w:ascii="Arial" w:cs="Arial" w:eastAsia="Arial" w:hAnsi="Arial"/>
          <w:sz w:val="16"/>
          <w:szCs w:val="16"/>
          <w:color w:val="092E44"/>
        </w:rPr>
        <w:t>The Committee may grant awards to eligible individuals who are foreign nationals on terms and conditions different from those specified in the 2016 Incentive Plan as may, in the Committee’s judgment, be necessary or desirable to foster and promote achievement of the purposes of the 2016 Incentive Plan. Similarly, the Committee may make such modifications, amendments, procedures, and subplans as may be necessary or advisable to comply with provisions of laws in other countries or jurisdictions in which Commvault or a related company operates or has employees, but may not increase the share limitations under the 2016 Incentive Plan or otherwise change any provision of the Plan that would require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233680</wp:posOffset>
            </wp:positionV>
            <wp:extent cx="220980" cy="2120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55</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60"/>
          </w:cols>
          <w:pgMar w:left="320" w:top="454" w:right="5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PROPOSAL NO. 4: APPROVAL OF THE OMNIBUS INCENTIVE PLAN, AS AMENDED BY THE SIXTH AMENDMENT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DESCRIPTION OF THE 2016 INCENTIVE PLAN</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Other 2016 Incentive Plan Information</w:t>
      </w:r>
    </w:p>
    <w:p>
      <w:pPr>
        <w:spacing w:after="0" w:line="67" w:lineRule="exact"/>
        <w:rPr>
          <w:sz w:val="20"/>
          <w:szCs w:val="20"/>
          <w:color w:val="auto"/>
        </w:rPr>
      </w:pPr>
    </w:p>
    <w:p>
      <w:pPr>
        <w:ind w:left="160" w:right="120"/>
        <w:spacing w:after="0" w:line="256" w:lineRule="auto"/>
        <w:rPr>
          <w:sz w:val="20"/>
          <w:szCs w:val="20"/>
          <w:color w:val="auto"/>
        </w:rPr>
      </w:pPr>
      <w:r>
        <w:rPr>
          <w:rFonts w:ascii="Arial" w:cs="Arial" w:eastAsia="Arial" w:hAnsi="Arial"/>
          <w:sz w:val="16"/>
          <w:szCs w:val="16"/>
          <w:color w:val="092E44"/>
        </w:rPr>
        <w:t>Awards under the 2016 Incentive Plan are not transferable except as designated by the holder by will or by laws of descent and distribution or, unless otherwise provided by the Committee, pursuant to a qualified domestic relations order. Unless otherwise provided by the Committee, awards (other than an ISO) may be transferred to or for the benefit of the holder’s family (including, without limitation, to a trust or partnership for the benefit of family) in accordance with rules established by the Committee.</w:t>
      </w:r>
    </w:p>
    <w:p>
      <w:pPr>
        <w:spacing w:after="0" w:line="58"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092E44"/>
        </w:rPr>
        <w:t>All awards and other payments under the 2016 Incentive Plan are subject to withholding of all applicable taxes. With the consent of the Committee, withholding obligations may be satisfied with previously owned shares of Common Stock or shares of Common Stock to which the participant is otherwise entitled under the 2016 Incentive Plan. Shares of Common Stock that have been held less than six months may only be used to satisfy minimum withholding requirements (or other rates that will not have a negative accounting impact).</w:t>
      </w:r>
    </w:p>
    <w:p>
      <w:pPr>
        <w:spacing w:after="0" w:line="58" w:lineRule="exact"/>
        <w:rPr>
          <w:sz w:val="20"/>
          <w:szCs w:val="20"/>
          <w:color w:val="auto"/>
        </w:rPr>
      </w:pPr>
    </w:p>
    <w:p>
      <w:pPr>
        <w:ind w:left="160" w:right="120"/>
        <w:spacing w:after="0" w:line="250" w:lineRule="auto"/>
        <w:rPr>
          <w:sz w:val="20"/>
          <w:szCs w:val="20"/>
          <w:color w:val="auto"/>
        </w:rPr>
      </w:pPr>
      <w:r>
        <w:rPr>
          <w:rFonts w:ascii="Arial" w:cs="Arial" w:eastAsia="Arial" w:hAnsi="Arial"/>
          <w:sz w:val="16"/>
          <w:szCs w:val="16"/>
          <w:color w:val="092E44"/>
        </w:rPr>
        <w:t>The Board may, at any time, amend or terminate the 2016 Incentive Plan, and the Board or the Committee may amend any award agreement, provided that no amendment or termination may, in the absence of written consent to the change by the affected participant (or, if the participant is not then living, the affected beneficiary), adversely affect the rights of any participant or beneficiary under any award granted before the date such amendment is adopted. The provisions of the 2016 Incentive Plan that prohibit repricing of Options and SARs cannot be amended unless the amendment is approved by our stockholders, and no other amendment will be made to the 2016 Incentive Plan without the approval of our stockholders if such approval is required by law or the rules of any stock exchange on which the Common Stock is listed. Adjustment to awards made in connection with corporate transactions are not subject to the foregoing restrictions.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U.S. Federal Income Tax Considerations</w:t>
      </w:r>
    </w:p>
    <w:p>
      <w:pPr>
        <w:spacing w:after="0" w:line="67" w:lineRule="exact"/>
        <w:rPr>
          <w:sz w:val="20"/>
          <w:szCs w:val="20"/>
          <w:color w:val="auto"/>
        </w:rPr>
      </w:pPr>
    </w:p>
    <w:p>
      <w:pPr>
        <w:ind w:left="160" w:right="180"/>
        <w:spacing w:after="0" w:line="256" w:lineRule="auto"/>
        <w:rPr>
          <w:sz w:val="20"/>
          <w:szCs w:val="20"/>
          <w:color w:val="auto"/>
        </w:rPr>
      </w:pPr>
      <w:r>
        <w:rPr>
          <w:rFonts w:ascii="Arial" w:cs="Arial" w:eastAsia="Arial" w:hAnsi="Arial"/>
          <w:sz w:val="16"/>
          <w:szCs w:val="16"/>
          <w:color w:val="092E44"/>
        </w:rPr>
        <w:t>The discussion that follows is a summary, based on current law, of some significant U.S. federal income tax considerations relating to awards under the 2016 Incentive Plan. This does not purport to be a complete description of the federal income tax aspects of the 2016 Incentive Plan. In addition, participants may be subject to foreign, state, and local taxes and employment taxes in connection with stock purchased under the 2016 Incentive Plan. Participants should consult with a tax adviser to determine how the tax laws apply in their personal circumstances.</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8"/>
          <w:szCs w:val="18"/>
          <w:color w:val="E14A6A"/>
        </w:rPr>
        <w:t>NQOs</w:t>
      </w:r>
    </w:p>
    <w:p>
      <w:pPr>
        <w:spacing w:after="0" w:line="52"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092E44"/>
        </w:rPr>
        <w:t>The grant of an NQO will not result in taxable income to the participant. Except as described below, the participant will realize ordinary income at the time of exercise in an amount equal to the excess of the fair market value of the shares of Common Stock acquired over the exercise price for those shares, and Commvault will be entitled to a corresponding deduction. Gains or losses realized by the participant upon disposition of such shares of Common Stock will be treated as capital gains and losses, with a basis equal to the fair market value of the shares of Common Stock at the time of exercise.</w:t>
      </w:r>
    </w:p>
    <w:p>
      <w:pPr>
        <w:spacing w:after="0" w:line="44" w:lineRule="exact"/>
        <w:rPr>
          <w:sz w:val="20"/>
          <w:szCs w:val="20"/>
          <w:color w:val="auto"/>
        </w:rPr>
      </w:pPr>
    </w:p>
    <w:p>
      <w:pPr>
        <w:ind w:left="160" w:right="60"/>
        <w:spacing w:after="0" w:line="251" w:lineRule="auto"/>
        <w:rPr>
          <w:sz w:val="20"/>
          <w:szCs w:val="20"/>
          <w:color w:val="auto"/>
        </w:rPr>
      </w:pPr>
      <w:r>
        <w:rPr>
          <w:rFonts w:ascii="Arial" w:cs="Arial" w:eastAsia="Arial" w:hAnsi="Arial"/>
          <w:sz w:val="16"/>
          <w:szCs w:val="16"/>
          <w:color w:val="092E44"/>
        </w:rPr>
        <w:t>The exercise of an NQO through the delivery of previously acquired Common Stock will generally be treated as a non-taxable, like-kind exchange as to the number of shares of Common Stock surrendered and the identical number of shares of Common Stock received under the Option. That number of shares will take the same basis and, for capital gains purposes, the same holding period as the shares of Common Stock that are given up. The value of the shares of Common Stock received upon such an exchange that exceed the number of shares given up will be includible as ordinary income to the participant at the time of exercise. The excess shares of Common Stock will have a new holding period for capital gain purposes and a basis equal to the value of such shares determined at the time of exercise.</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color w:val="E14A6A"/>
        </w:rPr>
        <w:t>ISO</w:t>
      </w:r>
    </w:p>
    <w:p>
      <w:pPr>
        <w:spacing w:after="0" w:line="52"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092E44"/>
        </w:rPr>
        <w:t>The grant of an ISO will not result in taxable income to the participant. The exercise of an ISO will not result in taxable income to the participant if the participant was, without a break in service, an employee of Commvault or a corporate subsidiary during the period beginning on the date the Option was granted and ending three months prior to the date of exercise (one year prior to the date of exercise if the participant is disabled, as that term is defined in the Internal Revenue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232410</wp:posOffset>
            </wp:positionV>
            <wp:extent cx="220980" cy="2120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56</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60"/>
          </w:cols>
          <w:pgMar w:left="320" w:top="454" w:right="5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PROPOSAL NO. 4: APPROVAL OF THE OMNIBUS INCENTIVE PLAN, AS AMENDED BY THE SIXTH AMENDMENT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DESCRIPTION OF THE 2016 INCENTIVE PLAN</w:t>
      </w:r>
    </w:p>
    <w:p>
      <w:pPr>
        <w:spacing w:after="0" w:line="140" w:lineRule="exact"/>
        <w:rPr>
          <w:sz w:val="20"/>
          <w:szCs w:val="20"/>
          <w:color w:val="auto"/>
        </w:rPr>
      </w:pPr>
    </w:p>
    <w:p>
      <w:pPr>
        <w:ind w:left="160" w:right="180"/>
        <w:spacing w:after="0" w:line="256" w:lineRule="auto"/>
        <w:rPr>
          <w:sz w:val="20"/>
          <w:szCs w:val="20"/>
          <w:color w:val="auto"/>
        </w:rPr>
      </w:pPr>
      <w:r>
        <w:rPr>
          <w:rFonts w:ascii="Arial" w:cs="Arial" w:eastAsia="Arial" w:hAnsi="Arial"/>
          <w:sz w:val="16"/>
          <w:szCs w:val="16"/>
          <w:color w:val="092E44"/>
        </w:rPr>
        <w:t>The excess of the fair market value of the shares of Common Stock at the time of the exercise of an ISO over the exercise price is an adjustment that is included in the calculation of the participant’s alternative minimum taxable income for the tax year in which the ISO is exercised. For purposes of determining alternative minimum tax liability for the year of disposition of the shares of Common Stock acquired pursuant to the ISO exercise, the participant will have a basis in those shares equal to the fair market value of the shares of Common Stock at the time of exercise.</w:t>
      </w:r>
    </w:p>
    <w:p>
      <w:pPr>
        <w:spacing w:after="0" w:line="58" w:lineRule="exact"/>
        <w:rPr>
          <w:sz w:val="20"/>
          <w:szCs w:val="20"/>
          <w:color w:val="auto"/>
        </w:rPr>
      </w:pPr>
    </w:p>
    <w:p>
      <w:pPr>
        <w:ind w:left="160" w:right="40"/>
        <w:spacing w:after="0" w:line="247" w:lineRule="auto"/>
        <w:rPr>
          <w:sz w:val="20"/>
          <w:szCs w:val="20"/>
          <w:color w:val="auto"/>
        </w:rPr>
      </w:pPr>
      <w:r>
        <w:rPr>
          <w:rFonts w:ascii="Arial" w:cs="Arial" w:eastAsia="Arial" w:hAnsi="Arial"/>
          <w:sz w:val="16"/>
          <w:szCs w:val="16"/>
          <w:color w:val="092E44"/>
        </w:rPr>
        <w:t>If a participant does not sell or otherwise dispose of the shares of Common Stock within two years from the date of the grant of the ISO or within one year after receiving the transfer of such shares, then, upon disposition of such shares of Common Stock, any amount realized in excess of the exercise price will be taxed to the participant as capital gain, and Commvault will not be entitled to any deduction for federal income tax purposes. A capital loss will be recognized to the extent the amount realized is less than the exercise price. If a participant sells or otherwise disposes of the shares of Common Stock sooner than two years from the date of grant of the ISO or one year after receiving the transfer of such shares, then the participant will generally realize ordinary income, and Commvault will be allowed a corresponding deduction, at the time of the disposition of the shares, in an amount equal to the lesser of (a) the excess of the fair market value of the shares of Common Stock on the date of exercise over the exercise price, or (b) the excess, if any, of the amount realized upon disposition of the shares of Common Stock over the exercise price. If the amount realized exceeds the value of the shares of Common Stock on the date of exercise, any additional amount will be capital gain. If the amount realized is less than the exercise price, the participant will recognize no income, and a capital loss will be recognized equal to the excess of the exercise price over the amount realized upon the disposition of the shares.</w:t>
      </w:r>
    </w:p>
    <w:p>
      <w:pPr>
        <w:spacing w:after="0" w:line="70" w:lineRule="exact"/>
        <w:rPr>
          <w:sz w:val="20"/>
          <w:szCs w:val="20"/>
          <w:color w:val="auto"/>
        </w:rPr>
      </w:pPr>
    </w:p>
    <w:p>
      <w:pPr>
        <w:ind w:left="160" w:right="180"/>
        <w:spacing w:after="0" w:line="249" w:lineRule="auto"/>
        <w:rPr>
          <w:sz w:val="20"/>
          <w:szCs w:val="20"/>
          <w:color w:val="auto"/>
        </w:rPr>
      </w:pPr>
      <w:r>
        <w:rPr>
          <w:rFonts w:ascii="Arial" w:cs="Arial" w:eastAsia="Arial" w:hAnsi="Arial"/>
          <w:sz w:val="16"/>
          <w:szCs w:val="16"/>
          <w:color w:val="092E44"/>
        </w:rPr>
        <w:t>The exercise of an ISO through the exchange of previously acquired stock will generally be treated in the same manner as such an exchange in connection with the exercise of an NQO—that is, as a non-taxable, like-kind exchange as to the number of shares of Common Stock given up and the identical number of shares received under the Option. That number of shares of Common Stock will take the same basis and, for capital gain purposes, the same holding period as the shares that are given up. However, such holding period will not satisfy the one-year holding period required for the new shares of Common Stock to receive ISO treatment. Shares received in excess of the number of shares of Common Stock given up will have a new holding period and will have a basis of zero or the amount of cash, if any, paid as part of the exercise price. A disqualifying disposition (a disposition before the end of the applicable holding period) with respect to any of the shares of Common Stock received from the exchange will be treated as a disqualifying disposition of the shares with the lowest basis.</w:t>
      </w:r>
    </w:p>
    <w:p>
      <w:pPr>
        <w:spacing w:after="0" w:line="51" w:lineRule="exact"/>
        <w:rPr>
          <w:sz w:val="20"/>
          <w:szCs w:val="20"/>
          <w:color w:val="auto"/>
        </w:rPr>
      </w:pPr>
    </w:p>
    <w:p>
      <w:pPr>
        <w:jc w:val="both"/>
        <w:ind w:left="160" w:right="40"/>
        <w:spacing w:after="0" w:line="262" w:lineRule="auto"/>
        <w:rPr>
          <w:sz w:val="20"/>
          <w:szCs w:val="20"/>
          <w:color w:val="auto"/>
        </w:rPr>
      </w:pPr>
      <w:r>
        <w:rPr>
          <w:rFonts w:ascii="Arial" w:cs="Arial" w:eastAsia="Arial" w:hAnsi="Arial"/>
          <w:sz w:val="16"/>
          <w:szCs w:val="16"/>
          <w:color w:val="092E44"/>
        </w:rPr>
        <w:t>If the exercise price of an ISO is paid with shares of Common Stock acquired through a prior exercise of an ISO, gain will be realized on the shares given up (taxed as ordinary income) if those shares of Common Stock have not been held for the minimum ISO holding period (two years from the date of grant and one year from the date of transfer), but the exchange will not affect the tax treatment of the shares of Common Stock received.</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8"/>
          <w:szCs w:val="18"/>
          <w:color w:val="E14A6A"/>
        </w:rPr>
        <w:t>SARs</w:t>
      </w:r>
    </w:p>
    <w:p>
      <w:pPr>
        <w:spacing w:after="0" w:line="52" w:lineRule="exact"/>
        <w:rPr>
          <w:sz w:val="20"/>
          <w:szCs w:val="20"/>
          <w:color w:val="auto"/>
        </w:rPr>
      </w:pPr>
    </w:p>
    <w:p>
      <w:pPr>
        <w:ind w:left="160" w:right="280"/>
        <w:spacing w:after="0" w:line="262" w:lineRule="auto"/>
        <w:rPr>
          <w:sz w:val="20"/>
          <w:szCs w:val="20"/>
          <w:color w:val="auto"/>
        </w:rPr>
      </w:pPr>
      <w:r>
        <w:rPr>
          <w:rFonts w:ascii="Arial" w:cs="Arial" w:eastAsia="Arial" w:hAnsi="Arial"/>
          <w:sz w:val="16"/>
          <w:szCs w:val="16"/>
          <w:color w:val="092E44"/>
        </w:rPr>
        <w:t>A participant generally will not realize any taxable income upon the grant of a SAR. Upon the exercise of a SAR, the participant will recognize ordinary income in an amount equal to the amount of cash and/or the fair market value, at the date of exercise, of the shares of Common Stock received as a result of such exercise. Commvault will generally be entitled to a deduction in the same amount.</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8"/>
          <w:szCs w:val="18"/>
          <w:color w:val="E14A6A"/>
        </w:rPr>
        <w:t>Full Value Awards</w:t>
      </w:r>
    </w:p>
    <w:p>
      <w:pPr>
        <w:spacing w:after="0" w:line="52" w:lineRule="exact"/>
        <w:rPr>
          <w:sz w:val="20"/>
          <w:szCs w:val="20"/>
          <w:color w:val="auto"/>
        </w:rPr>
      </w:pPr>
    </w:p>
    <w:p>
      <w:pPr>
        <w:ind w:left="160"/>
        <w:spacing w:after="0" w:line="251" w:lineRule="auto"/>
        <w:rPr>
          <w:sz w:val="20"/>
          <w:szCs w:val="20"/>
          <w:color w:val="auto"/>
        </w:rPr>
      </w:pPr>
      <w:r>
        <w:rPr>
          <w:rFonts w:ascii="Arial" w:cs="Arial" w:eastAsia="Arial" w:hAnsi="Arial"/>
          <w:sz w:val="16"/>
          <w:szCs w:val="16"/>
          <w:color w:val="092E44"/>
        </w:rPr>
        <w:t>The federal income tax consequences of a Full Value Award will depend on the type of award, and in particular, whether the shares are subject to a substantial risk of forfeiture (determined under Internal Revenue Code rules) at the time of the grant. If the shares are subject to a substantial risk of forfeiture, the participant will not recognize taxable income at the time of the grant. Instead, when the restrictions on the shares lapse (meaning the shares are no longer subject to a substantial risk of forfeiture), the participant will recognize ordinary taxable income in an amount equal to the fair market value of the shares at that time. If the shares are not subject to a substantial risk of forfeiture or if the participant elects to be taxed at the time of the grant of such shares under section 83(b) of the Internal Revenue Code, the participant will recognize taxable income when the shares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235585</wp:posOffset>
            </wp:positionV>
            <wp:extent cx="220980" cy="2120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57</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80"/>
          </w:cols>
          <w:pgMar w:left="320" w:top="454"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PROPOSAL NO. 4: APPROVAL OF THE OMNIBUS INCENTIVE PLAN, AS AMENDED BY THE SIXTH AMENDMENT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DESCRIPTION OF THE 2016 INCENTIVE PLAN</w:t>
      </w:r>
    </w:p>
    <w:p>
      <w:pPr>
        <w:spacing w:after="0" w:line="140" w:lineRule="exact"/>
        <w:rPr>
          <w:sz w:val="20"/>
          <w:szCs w:val="20"/>
          <w:color w:val="auto"/>
        </w:rPr>
      </w:pPr>
    </w:p>
    <w:p>
      <w:pPr>
        <w:ind w:left="160" w:right="100"/>
        <w:spacing w:after="0" w:line="256" w:lineRule="auto"/>
        <w:rPr>
          <w:sz w:val="20"/>
          <w:szCs w:val="20"/>
          <w:color w:val="auto"/>
        </w:rPr>
      </w:pPr>
      <w:r>
        <w:rPr>
          <w:rFonts w:ascii="Arial" w:cs="Arial" w:eastAsia="Arial" w:hAnsi="Arial"/>
          <w:sz w:val="16"/>
          <w:szCs w:val="16"/>
          <w:color w:val="092E44"/>
        </w:rPr>
        <w:t>granted in an amount equal to the fair market value of such shares at the time, determined without regard to any of the restrictions. If the shares are forfeited before the restrictions lapse, the participant will not be entitled to a corresponding deduction. The participant’s tax basis in the shares will be the amount recognized as income attributable to such shares. Gain or loss recognized by the participant on a subsequent disposition of any such shares is capital gain or loss if the shares are otherwise capital assets.</w:t>
      </w:r>
    </w:p>
    <w:p>
      <w:pPr>
        <w:spacing w:after="0" w:line="58" w:lineRule="exact"/>
        <w:rPr>
          <w:sz w:val="20"/>
          <w:szCs w:val="20"/>
          <w:color w:val="auto"/>
        </w:rPr>
      </w:pPr>
    </w:p>
    <w:p>
      <w:pPr>
        <w:ind w:left="160" w:right="80"/>
        <w:spacing w:after="0" w:line="251" w:lineRule="auto"/>
        <w:rPr>
          <w:sz w:val="20"/>
          <w:szCs w:val="20"/>
          <w:color w:val="auto"/>
        </w:rPr>
      </w:pPr>
      <w:r>
        <w:rPr>
          <w:rFonts w:ascii="Arial" w:cs="Arial" w:eastAsia="Arial" w:hAnsi="Arial"/>
          <w:sz w:val="16"/>
          <w:szCs w:val="16"/>
          <w:color w:val="092E44"/>
        </w:rPr>
        <w:t>In the case of other Full Value Awards, such as restricted stock units or performance stock units, the participant generally will not have taxable income upon the grant of the award so long as there are restrictions on such awards that constitute a substantial risk of forfeiture. Participants will generally recognize ordinary income when the restrictions on awards lapse, on the date of grant if there are no such restrictions, or, in certain cases, when the award is settled. At that time, the participant will recognize taxable income equal to the cash or the fair market value of the shares issuable in payment of such award, and such amount will be the tax basis for any shares received. In the case of an award that does not constitute property at the time of grant (such as an award of units), participants will generally recognize ordinary income when the award is paid or settled.</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Commvault generally will be entitled to a tax deduction in the same amount, and at the same time, as the income recognized by a participant.</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color w:val="E14A6A"/>
        </w:rPr>
        <w:t>Parachute Payments</w:t>
      </w:r>
    </w:p>
    <w:p>
      <w:pPr>
        <w:spacing w:after="0" w:line="52"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092E44"/>
        </w:rPr>
        <w:t>Any acceleration of the vesting or payment of awards under the 2016 Incentive Plan in the event of a change in control in the Company may cause part or all of the consideration involved to be treated as an “excess parachute payment” under the Internal Revenue Code, which may subject the participant to a 20% excise tax and preclude a deduction by the Company.</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8"/>
          <w:szCs w:val="18"/>
          <w:color w:val="E14A6A"/>
        </w:rPr>
        <w:t>Performance-Based Compensation</w:t>
      </w:r>
    </w:p>
    <w:p>
      <w:pPr>
        <w:spacing w:after="0" w:line="52" w:lineRule="exact"/>
        <w:rPr>
          <w:sz w:val="20"/>
          <w:szCs w:val="20"/>
          <w:color w:val="auto"/>
        </w:rPr>
      </w:pPr>
    </w:p>
    <w:p>
      <w:pPr>
        <w:ind w:left="160" w:right="60"/>
        <w:spacing w:after="0" w:line="262" w:lineRule="auto"/>
        <w:rPr>
          <w:sz w:val="20"/>
          <w:szCs w:val="20"/>
          <w:color w:val="auto"/>
        </w:rPr>
      </w:pPr>
      <w:r>
        <w:rPr>
          <w:rFonts w:ascii="Arial" w:cs="Arial" w:eastAsia="Arial" w:hAnsi="Arial"/>
          <w:sz w:val="16"/>
          <w:szCs w:val="16"/>
          <w:color w:val="092E44"/>
        </w:rPr>
        <w:t>Because of changes to Section 162(m) of the Internal Revenue Code that eliminated favorable tax treatment for performance-based compensation of the type awarded under the 2016 Incentive Plan, the TMCC reserves the right to modify compensation that was initially intended to be exempt from Section 162(m) if it determines that such modifications are consistent with the Company’s business needs.</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8"/>
          <w:szCs w:val="18"/>
          <w:color w:val="E14A6A"/>
        </w:rPr>
        <w:t>New Plan Benefits</w:t>
      </w:r>
    </w:p>
    <w:p>
      <w:pPr>
        <w:spacing w:after="0" w:line="52" w:lineRule="exact"/>
        <w:rPr>
          <w:sz w:val="20"/>
          <w:szCs w:val="20"/>
          <w:color w:val="auto"/>
        </w:rPr>
      </w:pPr>
    </w:p>
    <w:p>
      <w:pPr>
        <w:ind w:left="160" w:right="100"/>
        <w:spacing w:after="0" w:line="251" w:lineRule="auto"/>
        <w:rPr>
          <w:sz w:val="20"/>
          <w:szCs w:val="20"/>
          <w:color w:val="auto"/>
        </w:rPr>
      </w:pPr>
      <w:r>
        <w:rPr>
          <w:rFonts w:ascii="Arial" w:cs="Arial" w:eastAsia="Arial" w:hAnsi="Arial"/>
          <w:sz w:val="16"/>
          <w:szCs w:val="16"/>
          <w:color w:val="092E44"/>
        </w:rPr>
        <w:t>Future benefits under the 2016 Incentive Plan as proposed to be amended cannot be determined at this time because the grants are at the discretion of the TMCC and because their value may depend upon the satisfaction of vesting conditions and the future price of the Company’s stock. During fiscal 2022, the TMCC granted time- and performance-based restricted stock units (with performance-based restricted stock units measured at the target level of performance) to the following individuals and groups: Mr. Mirchandani, 127,921; Mr. Carolan, 30,097; Mr. Di Blasio, 37,624; executive officers who are not named executive officers, 22,572; non-employee members of the board of directors, 23,760 time-based restricted stock units; employees and contractors other than executive officers, 1,710,232 time-based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235585</wp:posOffset>
            </wp:positionV>
            <wp:extent cx="220980" cy="2120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58</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60"/>
          </w:cols>
          <w:pgMar w:left="320" w:top="454" w:right="5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 xml:space="preserve">PROPOSAL NO. 4: APPROVAL OF THE OMNIBUS INCENTIVE PLAN, AS AMENDED BY THE SIXTH AMENDMENT </w:t>
      </w:r>
      <w:r>
        <w:rPr>
          <w:rFonts w:ascii="Arial" w:cs="Arial" w:eastAsia="Arial" w:hAnsi="Arial"/>
          <w:sz w:val="11"/>
          <w:szCs w:val="11"/>
          <w:color w:val="E14A6A"/>
        </w:rPr>
        <w:t>|</w:t>
      </w:r>
      <w:r>
        <w:rPr>
          <w:rFonts w:ascii="Arial" w:cs="Arial" w:eastAsia="Arial" w:hAnsi="Arial"/>
          <w:sz w:val="11"/>
          <w:szCs w:val="11"/>
          <w:color w:val="092E44"/>
        </w:rPr>
        <w:t xml:space="preserve"> </w:t>
      </w:r>
      <w:r>
        <w:rPr>
          <w:rFonts w:ascii="Arial" w:cs="Arial" w:eastAsia="Arial" w:hAnsi="Arial"/>
          <w:sz w:val="11"/>
          <w:szCs w:val="11"/>
          <w:b w:val="1"/>
          <w:bCs w:val="1"/>
          <w:color w:val="092E44"/>
        </w:rPr>
        <w:t>DESCRIPTION OF THE 2016 INCENTIVE PLAN</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8"/>
          <w:szCs w:val="18"/>
          <w:color w:val="E14A6A"/>
        </w:rPr>
        <w:t>Equity Compensation Plan Information</w:t>
      </w:r>
    </w:p>
    <w:p>
      <w:pPr>
        <w:spacing w:after="0" w:line="52" w:lineRule="exact"/>
        <w:rPr>
          <w:sz w:val="20"/>
          <w:szCs w:val="20"/>
          <w:color w:val="auto"/>
        </w:rPr>
      </w:pPr>
    </w:p>
    <w:p>
      <w:pPr>
        <w:ind w:left="160" w:right="60"/>
        <w:spacing w:after="0" w:line="279" w:lineRule="auto"/>
        <w:rPr>
          <w:sz w:val="20"/>
          <w:szCs w:val="20"/>
          <w:color w:val="auto"/>
        </w:rPr>
      </w:pPr>
      <w:r>
        <w:rPr>
          <w:rFonts w:ascii="Arial" w:cs="Arial" w:eastAsia="Arial" w:hAnsi="Arial"/>
          <w:sz w:val="16"/>
          <w:szCs w:val="16"/>
          <w:color w:val="092E44"/>
        </w:rPr>
        <w:t>The following table provides information as of March 31, 2022 with respect to the shares of our Common Stock that may be issuable upon the exercise of options, warrants and rights.</w:t>
      </w:r>
    </w:p>
    <w:p>
      <w:pPr>
        <w:spacing w:after="0" w:line="19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560" w:type="dxa"/>
            <w:vAlign w:val="bottom"/>
          </w:tcPr>
          <w:p>
            <w:pPr>
              <w:jc w:val="right"/>
              <w:ind w:right="226"/>
              <w:spacing w:after="0"/>
              <w:rPr>
                <w:sz w:val="20"/>
                <w:szCs w:val="20"/>
                <w:color w:val="auto"/>
              </w:rPr>
            </w:pPr>
            <w:r>
              <w:rPr>
                <w:rFonts w:ascii="Arial" w:cs="Arial" w:eastAsia="Arial" w:hAnsi="Arial"/>
                <w:sz w:val="14"/>
                <w:szCs w:val="14"/>
                <w:color w:val="092E44"/>
              </w:rPr>
              <w:t>Number of Securities</w:t>
            </w:r>
          </w:p>
        </w:tc>
      </w:tr>
      <w:tr>
        <w:trPr>
          <w:trHeight w:val="160"/>
        </w:trPr>
        <w:tc>
          <w:tcPr>
            <w:tcW w:w="31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060" w:type="dxa"/>
            <w:vAlign w:val="bottom"/>
            <w:gridSpan w:val="2"/>
          </w:tcPr>
          <w:p>
            <w:pPr>
              <w:jc w:val="right"/>
              <w:ind w:right="284"/>
              <w:spacing w:after="0"/>
              <w:rPr>
                <w:sz w:val="20"/>
                <w:szCs w:val="20"/>
                <w:color w:val="auto"/>
              </w:rPr>
            </w:pPr>
            <w:r>
              <w:rPr>
                <w:rFonts w:ascii="Arial" w:cs="Arial" w:eastAsia="Arial" w:hAnsi="Arial"/>
                <w:sz w:val="14"/>
                <w:szCs w:val="14"/>
                <w:color w:val="092E44"/>
              </w:rPr>
              <w:t>Weighted-Average</w:t>
            </w:r>
          </w:p>
        </w:tc>
        <w:tc>
          <w:tcPr>
            <w:tcW w:w="2560" w:type="dxa"/>
            <w:vAlign w:val="bottom"/>
          </w:tcPr>
          <w:p>
            <w:pPr>
              <w:jc w:val="right"/>
              <w:ind w:right="226"/>
              <w:spacing w:after="0"/>
              <w:rPr>
                <w:sz w:val="20"/>
                <w:szCs w:val="20"/>
                <w:color w:val="auto"/>
              </w:rPr>
            </w:pPr>
            <w:r>
              <w:rPr>
                <w:rFonts w:ascii="Arial" w:cs="Arial" w:eastAsia="Arial" w:hAnsi="Arial"/>
                <w:sz w:val="14"/>
                <w:szCs w:val="14"/>
                <w:color w:val="092E44"/>
              </w:rPr>
              <w:t>that Remained Available for</w:t>
            </w:r>
          </w:p>
        </w:tc>
      </w:tr>
      <w:tr>
        <w:trPr>
          <w:trHeight w:val="160"/>
        </w:trPr>
        <w:tc>
          <w:tcPr>
            <w:tcW w:w="3140" w:type="dxa"/>
            <w:vAlign w:val="bottom"/>
          </w:tcPr>
          <w:p>
            <w:pPr>
              <w:spacing w:after="0"/>
              <w:rPr>
                <w:sz w:val="13"/>
                <w:szCs w:val="13"/>
                <w:color w:val="auto"/>
              </w:rPr>
            </w:pPr>
          </w:p>
        </w:tc>
        <w:tc>
          <w:tcPr>
            <w:tcW w:w="3160" w:type="dxa"/>
            <w:vAlign w:val="bottom"/>
          </w:tcPr>
          <w:p>
            <w:pPr>
              <w:jc w:val="right"/>
              <w:ind w:right="425"/>
              <w:spacing w:after="0"/>
              <w:rPr>
                <w:sz w:val="20"/>
                <w:szCs w:val="20"/>
                <w:color w:val="auto"/>
              </w:rPr>
            </w:pPr>
            <w:r>
              <w:rPr>
                <w:rFonts w:ascii="Arial" w:cs="Arial" w:eastAsia="Arial" w:hAnsi="Arial"/>
                <w:sz w:val="14"/>
                <w:szCs w:val="14"/>
                <w:color w:val="092E44"/>
              </w:rPr>
              <w:t>Number of Securities to be</w:t>
            </w:r>
          </w:p>
        </w:tc>
        <w:tc>
          <w:tcPr>
            <w:tcW w:w="620" w:type="dxa"/>
            <w:vAlign w:val="bottom"/>
          </w:tcPr>
          <w:p>
            <w:pPr>
              <w:spacing w:after="0"/>
              <w:rPr>
                <w:sz w:val="13"/>
                <w:szCs w:val="13"/>
                <w:color w:val="auto"/>
              </w:rPr>
            </w:pPr>
          </w:p>
        </w:tc>
        <w:tc>
          <w:tcPr>
            <w:tcW w:w="1440" w:type="dxa"/>
            <w:vAlign w:val="bottom"/>
          </w:tcPr>
          <w:p>
            <w:pPr>
              <w:jc w:val="right"/>
              <w:ind w:right="284"/>
              <w:spacing w:after="0"/>
              <w:rPr>
                <w:sz w:val="20"/>
                <w:szCs w:val="20"/>
                <w:color w:val="auto"/>
              </w:rPr>
            </w:pPr>
            <w:r>
              <w:rPr>
                <w:rFonts w:ascii="Arial" w:cs="Arial" w:eastAsia="Arial" w:hAnsi="Arial"/>
                <w:sz w:val="14"/>
                <w:szCs w:val="14"/>
                <w:color w:val="092E44"/>
              </w:rPr>
              <w:t>Exercise Price of</w:t>
            </w:r>
          </w:p>
        </w:tc>
        <w:tc>
          <w:tcPr>
            <w:tcW w:w="2560" w:type="dxa"/>
            <w:vAlign w:val="bottom"/>
          </w:tcPr>
          <w:p>
            <w:pPr>
              <w:jc w:val="right"/>
              <w:ind w:right="226"/>
              <w:spacing w:after="0"/>
              <w:rPr>
                <w:sz w:val="20"/>
                <w:szCs w:val="20"/>
                <w:color w:val="auto"/>
              </w:rPr>
            </w:pPr>
            <w:r>
              <w:rPr>
                <w:rFonts w:ascii="Arial" w:cs="Arial" w:eastAsia="Arial" w:hAnsi="Arial"/>
                <w:sz w:val="14"/>
                <w:szCs w:val="14"/>
                <w:color w:val="092E44"/>
              </w:rPr>
              <w:t>Future Issuance Under Equity</w:t>
            </w:r>
          </w:p>
        </w:tc>
      </w:tr>
      <w:tr>
        <w:trPr>
          <w:trHeight w:val="160"/>
        </w:trPr>
        <w:tc>
          <w:tcPr>
            <w:tcW w:w="3140" w:type="dxa"/>
            <w:vAlign w:val="bottom"/>
          </w:tcPr>
          <w:p>
            <w:pPr>
              <w:spacing w:after="0"/>
              <w:rPr>
                <w:sz w:val="13"/>
                <w:szCs w:val="13"/>
                <w:color w:val="auto"/>
              </w:rPr>
            </w:pPr>
          </w:p>
        </w:tc>
        <w:tc>
          <w:tcPr>
            <w:tcW w:w="3160" w:type="dxa"/>
            <w:vAlign w:val="bottom"/>
          </w:tcPr>
          <w:p>
            <w:pPr>
              <w:jc w:val="right"/>
              <w:ind w:right="425"/>
              <w:spacing w:after="0"/>
              <w:rPr>
                <w:sz w:val="20"/>
                <w:szCs w:val="20"/>
                <w:color w:val="auto"/>
              </w:rPr>
            </w:pPr>
            <w:r>
              <w:rPr>
                <w:rFonts w:ascii="Arial" w:cs="Arial" w:eastAsia="Arial" w:hAnsi="Arial"/>
                <w:sz w:val="14"/>
                <w:szCs w:val="14"/>
                <w:color w:val="092E44"/>
              </w:rPr>
              <w:t>Issued Upon Exercise of</w:t>
            </w:r>
          </w:p>
        </w:tc>
        <w:tc>
          <w:tcPr>
            <w:tcW w:w="620" w:type="dxa"/>
            <w:vAlign w:val="bottom"/>
          </w:tcPr>
          <w:p>
            <w:pPr>
              <w:spacing w:after="0"/>
              <w:rPr>
                <w:sz w:val="13"/>
                <w:szCs w:val="13"/>
                <w:color w:val="auto"/>
              </w:rPr>
            </w:pPr>
          </w:p>
        </w:tc>
        <w:tc>
          <w:tcPr>
            <w:tcW w:w="1440" w:type="dxa"/>
            <w:vAlign w:val="bottom"/>
          </w:tcPr>
          <w:p>
            <w:pPr>
              <w:jc w:val="right"/>
              <w:ind w:right="284"/>
              <w:spacing w:after="0"/>
              <w:rPr>
                <w:sz w:val="20"/>
                <w:szCs w:val="20"/>
                <w:color w:val="auto"/>
              </w:rPr>
            </w:pPr>
            <w:r>
              <w:rPr>
                <w:rFonts w:ascii="Arial" w:cs="Arial" w:eastAsia="Arial" w:hAnsi="Arial"/>
                <w:sz w:val="14"/>
                <w:szCs w:val="14"/>
                <w:color w:val="092E44"/>
              </w:rPr>
              <w:t>Outstanding</w:t>
            </w:r>
          </w:p>
        </w:tc>
        <w:tc>
          <w:tcPr>
            <w:tcW w:w="2560" w:type="dxa"/>
            <w:vAlign w:val="bottom"/>
          </w:tcPr>
          <w:p>
            <w:pPr>
              <w:jc w:val="right"/>
              <w:ind w:right="226"/>
              <w:spacing w:after="0"/>
              <w:rPr>
                <w:sz w:val="20"/>
                <w:szCs w:val="20"/>
                <w:color w:val="auto"/>
              </w:rPr>
            </w:pPr>
            <w:r>
              <w:rPr>
                <w:rFonts w:ascii="Arial" w:cs="Arial" w:eastAsia="Arial" w:hAnsi="Arial"/>
                <w:sz w:val="14"/>
                <w:szCs w:val="14"/>
                <w:color w:val="092E44"/>
              </w:rPr>
              <w:t>Plans (Excluding</w:t>
            </w:r>
          </w:p>
        </w:tc>
      </w:tr>
      <w:tr>
        <w:trPr>
          <w:trHeight w:val="160"/>
        </w:trPr>
        <w:tc>
          <w:tcPr>
            <w:tcW w:w="3140" w:type="dxa"/>
            <w:vAlign w:val="bottom"/>
          </w:tcPr>
          <w:p>
            <w:pPr>
              <w:spacing w:after="0"/>
              <w:rPr>
                <w:sz w:val="13"/>
                <w:szCs w:val="13"/>
                <w:color w:val="auto"/>
              </w:rPr>
            </w:pPr>
          </w:p>
        </w:tc>
        <w:tc>
          <w:tcPr>
            <w:tcW w:w="3160" w:type="dxa"/>
            <w:vAlign w:val="bottom"/>
          </w:tcPr>
          <w:p>
            <w:pPr>
              <w:jc w:val="right"/>
              <w:ind w:right="425"/>
              <w:spacing w:after="0"/>
              <w:rPr>
                <w:sz w:val="20"/>
                <w:szCs w:val="20"/>
                <w:color w:val="auto"/>
              </w:rPr>
            </w:pPr>
            <w:r>
              <w:rPr>
                <w:rFonts w:ascii="Arial" w:cs="Arial" w:eastAsia="Arial" w:hAnsi="Arial"/>
                <w:sz w:val="14"/>
                <w:szCs w:val="14"/>
                <w:color w:val="092E44"/>
              </w:rPr>
              <w:t>Outstanding Options,</w:t>
            </w:r>
          </w:p>
        </w:tc>
        <w:tc>
          <w:tcPr>
            <w:tcW w:w="2060" w:type="dxa"/>
            <w:vAlign w:val="bottom"/>
            <w:gridSpan w:val="2"/>
          </w:tcPr>
          <w:p>
            <w:pPr>
              <w:jc w:val="right"/>
              <w:ind w:right="284"/>
              <w:spacing w:after="0"/>
              <w:rPr>
                <w:sz w:val="20"/>
                <w:szCs w:val="20"/>
                <w:color w:val="auto"/>
              </w:rPr>
            </w:pPr>
            <w:r>
              <w:rPr>
                <w:rFonts w:ascii="Arial" w:cs="Arial" w:eastAsia="Arial" w:hAnsi="Arial"/>
                <w:sz w:val="14"/>
                <w:szCs w:val="14"/>
                <w:color w:val="092E44"/>
              </w:rPr>
              <w:t>Options, Warrants</w:t>
            </w:r>
          </w:p>
        </w:tc>
        <w:tc>
          <w:tcPr>
            <w:tcW w:w="2560" w:type="dxa"/>
            <w:vAlign w:val="bottom"/>
          </w:tcPr>
          <w:p>
            <w:pPr>
              <w:jc w:val="right"/>
              <w:ind w:right="226"/>
              <w:spacing w:after="0"/>
              <w:rPr>
                <w:sz w:val="20"/>
                <w:szCs w:val="20"/>
                <w:color w:val="auto"/>
              </w:rPr>
            </w:pPr>
            <w:r>
              <w:rPr>
                <w:rFonts w:ascii="Arial" w:cs="Arial" w:eastAsia="Arial" w:hAnsi="Arial"/>
                <w:sz w:val="14"/>
                <w:szCs w:val="14"/>
                <w:color w:val="092E44"/>
              </w:rPr>
              <w:t>Securities Reflected in</w:t>
            </w:r>
          </w:p>
        </w:tc>
      </w:tr>
      <w:tr>
        <w:trPr>
          <w:trHeight w:val="183"/>
        </w:trPr>
        <w:tc>
          <w:tcPr>
            <w:tcW w:w="3140" w:type="dxa"/>
            <w:vAlign w:val="bottom"/>
            <w:tcBorders>
              <w:bottom w:val="single" w:sz="8" w:color="E14A6A"/>
            </w:tcBorders>
          </w:tcPr>
          <w:p>
            <w:pPr>
              <w:ind w:left="80"/>
              <w:spacing w:after="0"/>
              <w:rPr>
                <w:sz w:val="20"/>
                <w:szCs w:val="20"/>
                <w:color w:val="auto"/>
              </w:rPr>
            </w:pPr>
            <w:r>
              <w:rPr>
                <w:rFonts w:ascii="Arial" w:cs="Arial" w:eastAsia="Arial" w:hAnsi="Arial"/>
                <w:sz w:val="14"/>
                <w:szCs w:val="14"/>
                <w:color w:val="092E44"/>
              </w:rPr>
              <w:t>Plan Category</w:t>
            </w:r>
          </w:p>
        </w:tc>
        <w:tc>
          <w:tcPr>
            <w:tcW w:w="3160" w:type="dxa"/>
            <w:vAlign w:val="bottom"/>
            <w:tcBorders>
              <w:bottom w:val="single" w:sz="8" w:color="E14A6A"/>
            </w:tcBorders>
          </w:tcPr>
          <w:p>
            <w:pPr>
              <w:jc w:val="right"/>
              <w:ind w:right="425"/>
              <w:spacing w:after="0"/>
              <w:rPr>
                <w:sz w:val="20"/>
                <w:szCs w:val="20"/>
                <w:color w:val="auto"/>
              </w:rPr>
            </w:pPr>
            <w:r>
              <w:rPr>
                <w:rFonts w:ascii="Arial" w:cs="Arial" w:eastAsia="Arial" w:hAnsi="Arial"/>
                <w:sz w:val="14"/>
                <w:szCs w:val="14"/>
                <w:color w:val="092E44"/>
              </w:rPr>
              <w:t>Warrants and Rights (a)</w:t>
            </w:r>
          </w:p>
        </w:tc>
        <w:tc>
          <w:tcPr>
            <w:tcW w:w="620" w:type="dxa"/>
            <w:vAlign w:val="bottom"/>
            <w:tcBorders>
              <w:bottom w:val="single" w:sz="8" w:color="E14A6A"/>
            </w:tcBorders>
          </w:tcPr>
          <w:p>
            <w:pPr>
              <w:spacing w:after="0"/>
              <w:rPr>
                <w:sz w:val="15"/>
                <w:szCs w:val="15"/>
                <w:color w:val="auto"/>
              </w:rPr>
            </w:pPr>
          </w:p>
        </w:tc>
        <w:tc>
          <w:tcPr>
            <w:tcW w:w="1440" w:type="dxa"/>
            <w:vAlign w:val="bottom"/>
            <w:tcBorders>
              <w:bottom w:val="single" w:sz="8" w:color="E14A6A"/>
            </w:tcBorders>
          </w:tcPr>
          <w:p>
            <w:pPr>
              <w:jc w:val="right"/>
              <w:ind w:right="284"/>
              <w:spacing w:after="0"/>
              <w:rPr>
                <w:sz w:val="20"/>
                <w:szCs w:val="20"/>
                <w:color w:val="auto"/>
              </w:rPr>
            </w:pPr>
            <w:r>
              <w:rPr>
                <w:rFonts w:ascii="Arial" w:cs="Arial" w:eastAsia="Arial" w:hAnsi="Arial"/>
                <w:sz w:val="14"/>
                <w:szCs w:val="14"/>
                <w:color w:val="092E44"/>
              </w:rPr>
              <w:t>and Rights (b)</w:t>
            </w:r>
          </w:p>
        </w:tc>
        <w:tc>
          <w:tcPr>
            <w:tcW w:w="2560" w:type="dxa"/>
            <w:vAlign w:val="bottom"/>
            <w:tcBorders>
              <w:bottom w:val="single" w:sz="8" w:color="E14A6A"/>
            </w:tcBorders>
          </w:tcPr>
          <w:p>
            <w:pPr>
              <w:jc w:val="right"/>
              <w:ind w:right="226"/>
              <w:spacing w:after="0"/>
              <w:rPr>
                <w:sz w:val="20"/>
                <w:szCs w:val="20"/>
                <w:color w:val="auto"/>
              </w:rPr>
            </w:pPr>
            <w:r>
              <w:rPr>
                <w:rFonts w:ascii="Arial" w:cs="Arial" w:eastAsia="Arial" w:hAnsi="Arial"/>
                <w:sz w:val="14"/>
                <w:szCs w:val="14"/>
                <w:color w:val="092E44"/>
              </w:rPr>
              <w:t>Column (a)(c))</w:t>
            </w:r>
          </w:p>
        </w:tc>
      </w:tr>
      <w:tr>
        <w:trPr>
          <w:trHeight w:val="220"/>
        </w:trPr>
        <w:tc>
          <w:tcPr>
            <w:tcW w:w="3140" w:type="dxa"/>
            <w:vAlign w:val="bottom"/>
          </w:tcPr>
          <w:p>
            <w:pPr>
              <w:ind w:left="80"/>
              <w:spacing w:after="0"/>
              <w:rPr>
                <w:sz w:val="20"/>
                <w:szCs w:val="20"/>
                <w:color w:val="auto"/>
              </w:rPr>
            </w:pPr>
            <w:r>
              <w:rPr>
                <w:rFonts w:ascii="Arial" w:cs="Arial" w:eastAsia="Arial" w:hAnsi="Arial"/>
                <w:sz w:val="16"/>
                <w:szCs w:val="16"/>
                <w:color w:val="092E44"/>
              </w:rPr>
              <w:t>Equity compensation plans approved by</w:t>
            </w:r>
          </w:p>
        </w:tc>
        <w:tc>
          <w:tcPr>
            <w:tcW w:w="3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11"/>
        </w:trPr>
        <w:tc>
          <w:tcPr>
            <w:tcW w:w="3140" w:type="dxa"/>
            <w:vAlign w:val="bottom"/>
          </w:tcPr>
          <w:p>
            <w:pPr>
              <w:ind w:left="80"/>
              <w:spacing w:after="0"/>
              <w:rPr>
                <w:sz w:val="20"/>
                <w:szCs w:val="20"/>
                <w:color w:val="auto"/>
              </w:rPr>
            </w:pPr>
            <w:r>
              <w:rPr>
                <w:rFonts w:ascii="Arial" w:cs="Arial" w:eastAsia="Arial" w:hAnsi="Arial"/>
                <w:sz w:val="16"/>
                <w:szCs w:val="16"/>
                <w:color w:val="092E44"/>
              </w:rPr>
              <w:t>security holders (1)</w:t>
            </w:r>
          </w:p>
        </w:tc>
        <w:tc>
          <w:tcPr>
            <w:tcW w:w="3160" w:type="dxa"/>
            <w:vAlign w:val="bottom"/>
          </w:tcPr>
          <w:p>
            <w:pPr>
              <w:jc w:val="right"/>
              <w:ind w:right="425"/>
              <w:spacing w:after="0"/>
              <w:rPr>
                <w:sz w:val="20"/>
                <w:szCs w:val="20"/>
                <w:color w:val="auto"/>
              </w:rPr>
            </w:pPr>
            <w:r>
              <w:rPr>
                <w:rFonts w:ascii="Arial" w:cs="Arial" w:eastAsia="Arial" w:hAnsi="Arial"/>
                <w:sz w:val="16"/>
                <w:szCs w:val="16"/>
                <w:color w:val="092E44"/>
              </w:rPr>
              <w:t>4,227,157</w:t>
            </w:r>
          </w:p>
        </w:tc>
        <w:tc>
          <w:tcPr>
            <w:tcW w:w="620" w:type="dxa"/>
            <w:vAlign w:val="bottom"/>
          </w:tcPr>
          <w:p>
            <w:pPr>
              <w:jc w:val="right"/>
              <w:spacing w:after="0"/>
              <w:rPr>
                <w:sz w:val="20"/>
                <w:szCs w:val="20"/>
                <w:color w:val="auto"/>
              </w:rPr>
            </w:pPr>
            <w:r>
              <w:rPr>
                <w:rFonts w:ascii="Arial" w:cs="Arial" w:eastAsia="Arial" w:hAnsi="Arial"/>
                <w:sz w:val="16"/>
                <w:szCs w:val="16"/>
                <w:color w:val="092E44"/>
              </w:rPr>
              <w:t>$</w:t>
            </w:r>
          </w:p>
        </w:tc>
        <w:tc>
          <w:tcPr>
            <w:tcW w:w="1440" w:type="dxa"/>
            <w:vAlign w:val="bottom"/>
          </w:tcPr>
          <w:p>
            <w:pPr>
              <w:jc w:val="right"/>
              <w:ind w:right="284"/>
              <w:spacing w:after="0"/>
              <w:rPr>
                <w:sz w:val="20"/>
                <w:szCs w:val="20"/>
                <w:color w:val="auto"/>
              </w:rPr>
            </w:pPr>
            <w:r>
              <w:rPr>
                <w:rFonts w:ascii="Arial" w:cs="Arial" w:eastAsia="Arial" w:hAnsi="Arial"/>
                <w:sz w:val="16"/>
                <w:szCs w:val="16"/>
                <w:color w:val="092E44"/>
              </w:rPr>
              <w:t>60.30</w:t>
            </w:r>
          </w:p>
        </w:tc>
        <w:tc>
          <w:tcPr>
            <w:tcW w:w="2560" w:type="dxa"/>
            <w:vAlign w:val="bottom"/>
          </w:tcPr>
          <w:p>
            <w:pPr>
              <w:jc w:val="right"/>
              <w:ind w:right="226"/>
              <w:spacing w:after="0"/>
              <w:rPr>
                <w:sz w:val="20"/>
                <w:szCs w:val="20"/>
                <w:color w:val="auto"/>
              </w:rPr>
            </w:pPr>
            <w:r>
              <w:rPr>
                <w:rFonts w:ascii="Arial" w:cs="Arial" w:eastAsia="Arial" w:hAnsi="Arial"/>
                <w:sz w:val="16"/>
                <w:szCs w:val="16"/>
                <w:color w:val="092E44"/>
              </w:rPr>
              <w:t>2,089,949</w:t>
            </w:r>
          </w:p>
        </w:tc>
      </w:tr>
      <w:tr>
        <w:trPr>
          <w:trHeight w:val="57"/>
        </w:trPr>
        <w:tc>
          <w:tcPr>
            <w:tcW w:w="3140" w:type="dxa"/>
            <w:vAlign w:val="bottom"/>
          </w:tcPr>
          <w:p>
            <w:pPr>
              <w:spacing w:after="0"/>
              <w:rPr>
                <w:sz w:val="4"/>
                <w:szCs w:val="4"/>
                <w:color w:val="auto"/>
              </w:rPr>
            </w:pPr>
          </w:p>
        </w:tc>
        <w:tc>
          <w:tcPr>
            <w:tcW w:w="3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560" w:type="dxa"/>
            <w:vAlign w:val="bottom"/>
          </w:tcPr>
          <w:p>
            <w:pPr>
              <w:spacing w:after="0"/>
              <w:rPr>
                <w:sz w:val="4"/>
                <w:szCs w:val="4"/>
                <w:color w:val="auto"/>
              </w:rPr>
            </w:pPr>
          </w:p>
        </w:tc>
      </w:tr>
      <w:tr>
        <w:trPr>
          <w:trHeight w:val="240"/>
        </w:trPr>
        <w:tc>
          <w:tcPr>
            <w:tcW w:w="3140" w:type="dxa"/>
            <w:vAlign w:val="bottom"/>
            <w:shd w:val="clear" w:color="auto" w:fill="DDE9F2"/>
          </w:tcPr>
          <w:p>
            <w:pPr>
              <w:ind w:left="80"/>
              <w:spacing w:after="0"/>
              <w:rPr>
                <w:sz w:val="20"/>
                <w:szCs w:val="20"/>
                <w:color w:val="auto"/>
              </w:rPr>
            </w:pPr>
            <w:r>
              <w:rPr>
                <w:rFonts w:ascii="Arial" w:cs="Arial" w:eastAsia="Arial" w:hAnsi="Arial"/>
                <w:sz w:val="16"/>
                <w:szCs w:val="16"/>
                <w:color w:val="092E44"/>
              </w:rPr>
              <w:t>Equity compensation plans not approved</w:t>
            </w:r>
          </w:p>
        </w:tc>
        <w:tc>
          <w:tcPr>
            <w:tcW w:w="3160" w:type="dxa"/>
            <w:vAlign w:val="bottom"/>
            <w:shd w:val="clear" w:color="auto" w:fill="DDE9F2"/>
          </w:tcPr>
          <w:p>
            <w:pPr>
              <w:spacing w:after="0"/>
              <w:rPr>
                <w:sz w:val="20"/>
                <w:szCs w:val="20"/>
                <w:color w:val="auto"/>
              </w:rPr>
            </w:pPr>
          </w:p>
        </w:tc>
        <w:tc>
          <w:tcPr>
            <w:tcW w:w="620" w:type="dxa"/>
            <w:vAlign w:val="bottom"/>
            <w:shd w:val="clear" w:color="auto" w:fill="DDE9F2"/>
          </w:tcPr>
          <w:p>
            <w:pPr>
              <w:spacing w:after="0"/>
              <w:rPr>
                <w:sz w:val="20"/>
                <w:szCs w:val="20"/>
                <w:color w:val="auto"/>
              </w:rPr>
            </w:pPr>
          </w:p>
        </w:tc>
        <w:tc>
          <w:tcPr>
            <w:tcW w:w="1440" w:type="dxa"/>
            <w:vAlign w:val="bottom"/>
            <w:shd w:val="clear" w:color="auto" w:fill="DDE9F2"/>
          </w:tcPr>
          <w:p>
            <w:pPr>
              <w:spacing w:after="0"/>
              <w:rPr>
                <w:sz w:val="20"/>
                <w:szCs w:val="20"/>
                <w:color w:val="auto"/>
              </w:rPr>
            </w:pPr>
          </w:p>
        </w:tc>
        <w:tc>
          <w:tcPr>
            <w:tcW w:w="2560" w:type="dxa"/>
            <w:vAlign w:val="bottom"/>
            <w:shd w:val="clear" w:color="auto" w:fill="DDE9F2"/>
          </w:tcPr>
          <w:p>
            <w:pPr>
              <w:spacing w:after="0"/>
              <w:rPr>
                <w:sz w:val="20"/>
                <w:szCs w:val="20"/>
                <w:color w:val="auto"/>
              </w:rPr>
            </w:pPr>
          </w:p>
        </w:tc>
      </w:tr>
      <w:tr>
        <w:trPr>
          <w:trHeight w:val="273"/>
        </w:trPr>
        <w:tc>
          <w:tcPr>
            <w:tcW w:w="3140" w:type="dxa"/>
            <w:vAlign w:val="bottom"/>
            <w:tcBorders>
              <w:bottom w:val="single" w:sz="8" w:color="DDE9F2"/>
            </w:tcBorders>
            <w:shd w:val="clear" w:color="auto" w:fill="DDE9F2"/>
          </w:tcPr>
          <w:p>
            <w:pPr>
              <w:ind w:left="80"/>
              <w:spacing w:after="0"/>
              <w:rPr>
                <w:sz w:val="20"/>
                <w:szCs w:val="20"/>
                <w:color w:val="auto"/>
              </w:rPr>
            </w:pPr>
            <w:r>
              <w:rPr>
                <w:rFonts w:ascii="Arial" w:cs="Arial" w:eastAsia="Arial" w:hAnsi="Arial"/>
                <w:sz w:val="16"/>
                <w:szCs w:val="16"/>
                <w:color w:val="092E44"/>
              </w:rPr>
              <w:t>by security holder</w:t>
            </w:r>
          </w:p>
        </w:tc>
        <w:tc>
          <w:tcPr>
            <w:tcW w:w="3160" w:type="dxa"/>
            <w:vAlign w:val="bottom"/>
            <w:tcBorders>
              <w:bottom w:val="single" w:sz="8" w:color="DDE9F2"/>
            </w:tcBorders>
            <w:shd w:val="clear" w:color="auto" w:fill="DDE9F2"/>
          </w:tcPr>
          <w:p>
            <w:pPr>
              <w:jc w:val="right"/>
              <w:ind w:right="425"/>
              <w:spacing w:after="0"/>
              <w:rPr>
                <w:sz w:val="20"/>
                <w:szCs w:val="20"/>
                <w:color w:val="auto"/>
              </w:rPr>
            </w:pPr>
            <w:r>
              <w:rPr>
                <w:rFonts w:ascii="Arial" w:cs="Arial" w:eastAsia="Arial" w:hAnsi="Arial"/>
                <w:sz w:val="16"/>
                <w:szCs w:val="16"/>
                <w:color w:val="092E44"/>
              </w:rPr>
              <w:t>—</w:t>
            </w:r>
          </w:p>
        </w:tc>
        <w:tc>
          <w:tcPr>
            <w:tcW w:w="620" w:type="dxa"/>
            <w:vAlign w:val="bottom"/>
            <w:tcBorders>
              <w:bottom w:val="single" w:sz="8" w:color="DDE9F2"/>
            </w:tcBorders>
            <w:shd w:val="clear" w:color="auto" w:fill="DDE9F2"/>
          </w:tcPr>
          <w:p>
            <w:pPr>
              <w:spacing w:after="0"/>
              <w:rPr>
                <w:sz w:val="23"/>
                <w:szCs w:val="23"/>
                <w:color w:val="auto"/>
              </w:rPr>
            </w:pPr>
          </w:p>
        </w:tc>
        <w:tc>
          <w:tcPr>
            <w:tcW w:w="1440" w:type="dxa"/>
            <w:vAlign w:val="bottom"/>
            <w:tcBorders>
              <w:bottom w:val="single" w:sz="8" w:color="DDE9F2"/>
            </w:tcBorders>
            <w:shd w:val="clear" w:color="auto" w:fill="DDE9F2"/>
          </w:tcPr>
          <w:p>
            <w:pPr>
              <w:jc w:val="right"/>
              <w:ind w:right="284"/>
              <w:spacing w:after="0"/>
              <w:rPr>
                <w:sz w:val="20"/>
                <w:szCs w:val="20"/>
                <w:color w:val="auto"/>
              </w:rPr>
            </w:pPr>
            <w:r>
              <w:rPr>
                <w:rFonts w:ascii="Arial" w:cs="Arial" w:eastAsia="Arial" w:hAnsi="Arial"/>
                <w:sz w:val="16"/>
                <w:szCs w:val="16"/>
                <w:color w:val="092E44"/>
              </w:rPr>
              <w:t>—</w:t>
            </w:r>
          </w:p>
        </w:tc>
        <w:tc>
          <w:tcPr>
            <w:tcW w:w="2560" w:type="dxa"/>
            <w:vAlign w:val="bottom"/>
            <w:tcBorders>
              <w:bottom w:val="single" w:sz="8" w:color="DDE9F2"/>
            </w:tcBorders>
            <w:shd w:val="clear" w:color="auto" w:fill="DDE9F2"/>
          </w:tcPr>
          <w:p>
            <w:pPr>
              <w:jc w:val="right"/>
              <w:ind w:right="226"/>
              <w:spacing w:after="0"/>
              <w:rPr>
                <w:sz w:val="20"/>
                <w:szCs w:val="20"/>
                <w:color w:val="auto"/>
              </w:rPr>
            </w:pPr>
            <w:r>
              <w:rPr>
                <w:rFonts w:ascii="Arial" w:cs="Arial" w:eastAsia="Arial" w:hAnsi="Arial"/>
                <w:sz w:val="16"/>
                <w:szCs w:val="16"/>
                <w:color w:val="092E44"/>
              </w:rPr>
              <w:t>—</w:t>
            </w:r>
          </w:p>
        </w:tc>
      </w:tr>
      <w:tr>
        <w:trPr>
          <w:trHeight w:val="244"/>
        </w:trPr>
        <w:tc>
          <w:tcPr>
            <w:tcW w:w="3140" w:type="dxa"/>
            <w:vAlign w:val="bottom"/>
            <w:tcBorders>
              <w:top w:val="single" w:sz="8" w:color="092E44"/>
            </w:tcBorders>
          </w:tcPr>
          <w:p>
            <w:pPr>
              <w:ind w:left="80"/>
              <w:spacing w:after="0"/>
              <w:rPr>
                <w:sz w:val="20"/>
                <w:szCs w:val="20"/>
                <w:color w:val="auto"/>
              </w:rPr>
            </w:pPr>
            <w:r>
              <w:rPr>
                <w:rFonts w:ascii="Arial" w:cs="Arial" w:eastAsia="Arial" w:hAnsi="Arial"/>
                <w:sz w:val="16"/>
                <w:szCs w:val="16"/>
                <w:color w:val="092E44"/>
              </w:rPr>
              <w:t>Totals</w:t>
            </w:r>
          </w:p>
        </w:tc>
        <w:tc>
          <w:tcPr>
            <w:tcW w:w="3160" w:type="dxa"/>
            <w:vAlign w:val="bottom"/>
            <w:tcBorders>
              <w:top w:val="single" w:sz="8" w:color="092E44"/>
            </w:tcBorders>
          </w:tcPr>
          <w:p>
            <w:pPr>
              <w:jc w:val="right"/>
              <w:ind w:right="425"/>
              <w:spacing w:after="0"/>
              <w:rPr>
                <w:sz w:val="20"/>
                <w:szCs w:val="20"/>
                <w:color w:val="auto"/>
              </w:rPr>
            </w:pPr>
            <w:r>
              <w:rPr>
                <w:rFonts w:ascii="Arial" w:cs="Arial" w:eastAsia="Arial" w:hAnsi="Arial"/>
                <w:sz w:val="16"/>
                <w:szCs w:val="16"/>
                <w:color w:val="092E44"/>
              </w:rPr>
              <w:t>4,227,157</w:t>
            </w:r>
          </w:p>
        </w:tc>
        <w:tc>
          <w:tcPr>
            <w:tcW w:w="620" w:type="dxa"/>
            <w:vAlign w:val="bottom"/>
            <w:tcBorders>
              <w:top w:val="single" w:sz="8" w:color="092E44"/>
            </w:tcBorders>
          </w:tcPr>
          <w:p>
            <w:pPr>
              <w:jc w:val="right"/>
              <w:spacing w:after="0"/>
              <w:rPr>
                <w:sz w:val="20"/>
                <w:szCs w:val="20"/>
                <w:color w:val="auto"/>
              </w:rPr>
            </w:pPr>
            <w:r>
              <w:rPr>
                <w:rFonts w:ascii="Arial" w:cs="Arial" w:eastAsia="Arial" w:hAnsi="Arial"/>
                <w:sz w:val="16"/>
                <w:szCs w:val="16"/>
                <w:color w:val="092E44"/>
              </w:rPr>
              <w:t>$</w:t>
            </w:r>
          </w:p>
        </w:tc>
        <w:tc>
          <w:tcPr>
            <w:tcW w:w="1440" w:type="dxa"/>
            <w:vAlign w:val="bottom"/>
            <w:tcBorders>
              <w:top w:val="single" w:sz="8" w:color="092E44"/>
            </w:tcBorders>
          </w:tcPr>
          <w:p>
            <w:pPr>
              <w:jc w:val="right"/>
              <w:ind w:right="284"/>
              <w:spacing w:after="0"/>
              <w:rPr>
                <w:sz w:val="20"/>
                <w:szCs w:val="20"/>
                <w:color w:val="auto"/>
              </w:rPr>
            </w:pPr>
            <w:r>
              <w:rPr>
                <w:rFonts w:ascii="Arial" w:cs="Arial" w:eastAsia="Arial" w:hAnsi="Arial"/>
                <w:sz w:val="16"/>
                <w:szCs w:val="16"/>
                <w:color w:val="092E44"/>
              </w:rPr>
              <w:t>60.30</w:t>
            </w:r>
          </w:p>
        </w:tc>
        <w:tc>
          <w:tcPr>
            <w:tcW w:w="2560" w:type="dxa"/>
            <w:vAlign w:val="bottom"/>
            <w:tcBorders>
              <w:top w:val="single" w:sz="8" w:color="092E44"/>
            </w:tcBorders>
          </w:tcPr>
          <w:p>
            <w:pPr>
              <w:jc w:val="right"/>
              <w:ind w:right="226"/>
              <w:spacing w:after="0"/>
              <w:rPr>
                <w:sz w:val="20"/>
                <w:szCs w:val="20"/>
                <w:color w:val="auto"/>
              </w:rPr>
            </w:pPr>
            <w:r>
              <w:rPr>
                <w:rFonts w:ascii="Arial" w:cs="Arial" w:eastAsia="Arial" w:hAnsi="Arial"/>
                <w:sz w:val="16"/>
                <w:szCs w:val="16"/>
                <w:color w:val="092E44"/>
              </w:rPr>
              <w:t>2,089,949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36195</wp:posOffset>
            </wp:positionV>
            <wp:extent cx="69297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480" w:right="40" w:hanging="313"/>
        <w:spacing w:after="0" w:line="279" w:lineRule="auto"/>
        <w:tabs>
          <w:tab w:leader="none" w:pos="480" w:val="left"/>
        </w:tabs>
        <w:numPr>
          <w:ilvl w:val="0"/>
          <w:numId w:val="34"/>
        </w:numPr>
        <w:rPr>
          <w:rFonts w:ascii="Arial" w:cs="Arial" w:eastAsia="Arial" w:hAnsi="Arial"/>
          <w:sz w:val="12"/>
          <w:szCs w:val="12"/>
          <w:color w:val="092E44"/>
        </w:rPr>
      </w:pPr>
      <w:r>
        <w:rPr>
          <w:rFonts w:ascii="Arial" w:cs="Arial" w:eastAsia="Arial" w:hAnsi="Arial"/>
          <w:sz w:val="12"/>
          <w:szCs w:val="12"/>
          <w:color w:val="092E44"/>
        </w:rPr>
        <w:t>Consists of shares of common stock to be issued upon exercise of outstanding options and vesting of restricted stock awards under our Omnibus Incentive Plan. These amounts do not include potentially issuable shares under the Employee Stock Purchase Plan. We have reserved 3,264 thousand shares for the future issuance of shares under the Employee Stock Purchase Plan.</w:t>
      </w:r>
    </w:p>
    <w:p>
      <w:pPr>
        <w:spacing w:after="0" w:line="261" w:lineRule="exact"/>
        <w:rPr>
          <w:sz w:val="20"/>
          <w:szCs w:val="20"/>
          <w:color w:val="auto"/>
        </w:rPr>
      </w:pPr>
    </w:p>
    <w:p>
      <w:pPr>
        <w:ind w:left="160" w:right="140"/>
        <w:spacing w:after="0" w:line="292" w:lineRule="auto"/>
        <w:rPr>
          <w:sz w:val="20"/>
          <w:szCs w:val="20"/>
          <w:color w:val="auto"/>
        </w:rPr>
      </w:pPr>
      <w:r>
        <w:rPr>
          <w:rFonts w:ascii="Arial" w:cs="Arial" w:eastAsia="Arial" w:hAnsi="Arial"/>
          <w:sz w:val="25"/>
          <w:szCs w:val="25"/>
          <w:b w:val="1"/>
          <w:bCs w:val="1"/>
          <w:color w:val="E14A6A"/>
        </w:rPr>
        <w:t>The Board of Directors recommends that you vote FOR approval of the 2016 Incentive Plan as amended by the Sixth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191135</wp:posOffset>
            </wp:positionV>
            <wp:extent cx="220980" cy="2120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388"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59</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80"/>
          </w:cols>
          <w:pgMar w:left="320" w:top="454"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6929755" cy="19615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29755" cy="196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60" w:right="2960"/>
        <w:spacing w:after="0" w:line="289" w:lineRule="auto"/>
        <w:rPr>
          <w:sz w:val="20"/>
          <w:szCs w:val="20"/>
          <w:color w:val="auto"/>
        </w:rPr>
      </w:pPr>
      <w:r>
        <w:rPr>
          <w:rFonts w:ascii="Arial" w:cs="Arial" w:eastAsia="Arial" w:hAnsi="Arial"/>
          <w:sz w:val="64"/>
          <w:szCs w:val="64"/>
          <w:b w:val="1"/>
          <w:bCs w:val="1"/>
          <w:color w:val="FCFCFC"/>
        </w:rPr>
        <w:t>Additional Information About the Annual Meeting</w:t>
      </w:r>
    </w:p>
    <w:p>
      <w:pPr>
        <w:spacing w:after="0" w:line="238" w:lineRule="exact"/>
        <w:rPr>
          <w:sz w:val="20"/>
          <w:szCs w:val="20"/>
          <w:color w:val="auto"/>
        </w:rPr>
      </w:pPr>
    </w:p>
    <w:p>
      <w:pPr>
        <w:ind w:left="160"/>
        <w:spacing w:after="0" w:line="253" w:lineRule="auto"/>
        <w:rPr>
          <w:sz w:val="20"/>
          <w:szCs w:val="20"/>
          <w:color w:val="auto"/>
        </w:rPr>
      </w:pPr>
      <w:r>
        <w:rPr>
          <w:rFonts w:ascii="Arial" w:cs="Arial" w:eastAsia="Arial" w:hAnsi="Arial"/>
          <w:sz w:val="16"/>
          <w:szCs w:val="16"/>
          <w:color w:val="092E44"/>
        </w:rPr>
        <w:t xml:space="preserve">This proxy statement is furnished in connection with the solicitation on behalf of the Board of Directors of Commvault Systems, Inc. of proxies to be voted at the Annual Meeting of Stockholders, including any adjournment or postponement thereof. This proxy statement is first being made available at </w:t>
      </w:r>
      <w:r>
        <w:rPr>
          <w:rFonts w:ascii="Arial" w:cs="Arial" w:eastAsia="Arial" w:hAnsi="Arial"/>
          <w:sz w:val="16"/>
          <w:szCs w:val="16"/>
          <w:u w:val="single" w:color="auto"/>
          <w:color w:val="E14A6A"/>
        </w:rPr>
        <w:t>www.edocumentview.com/CVLT</w:t>
      </w:r>
      <w:r>
        <w:rPr>
          <w:rFonts w:ascii="Arial" w:cs="Arial" w:eastAsia="Arial" w:hAnsi="Arial"/>
          <w:sz w:val="16"/>
          <w:szCs w:val="16"/>
          <w:color w:val="092E44"/>
        </w:rPr>
        <w:t>, and we intend to begin distribution of the Notice Regarding the Availability of Proxy Materials to stockholders on or about</w:t>
      </w:r>
      <w:r>
        <w:rPr>
          <w:rFonts w:ascii="Arial" w:cs="Arial" w:eastAsia="Arial" w:hAnsi="Arial"/>
          <w:sz w:val="16"/>
          <w:szCs w:val="16"/>
          <w:color w:val="E14A6A"/>
        </w:rPr>
        <w:t xml:space="preserve"> </w:t>
      </w:r>
      <w:r>
        <w:rPr>
          <w:rFonts w:ascii="Arial" w:cs="Arial" w:eastAsia="Arial" w:hAnsi="Arial"/>
          <w:sz w:val="16"/>
          <w:szCs w:val="16"/>
          <w:color w:val="092E44"/>
        </w:rPr>
        <w:t xml:space="preserve">July 1, 2022. A copy of our annual report on Form 10-K for the fiscal year ended March 31, 2022, which includes audited financial statements, is also being made available concurrently with the proxy statement at </w:t>
      </w:r>
      <w:r>
        <w:rPr>
          <w:rFonts w:ascii="Arial" w:cs="Arial" w:eastAsia="Arial" w:hAnsi="Arial"/>
          <w:sz w:val="16"/>
          <w:szCs w:val="16"/>
          <w:u w:val="single" w:color="auto"/>
          <w:color w:val="E14A6A"/>
        </w:rPr>
        <w:t>www.edocumentview.com/CVLT</w:t>
      </w:r>
      <w:r>
        <w:rPr>
          <w:rFonts w:ascii="Arial" w:cs="Arial" w:eastAsia="Arial" w:hAnsi="Arial"/>
          <w:sz w:val="16"/>
          <w:szCs w:val="16"/>
          <w:color w:val="092E4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64135</wp:posOffset>
            </wp:positionV>
            <wp:extent cx="5256530" cy="13843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256530" cy="1384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How can I participate in the virtual annual meeting?</w:t>
      </w:r>
    </w:p>
    <w:p>
      <w:pPr>
        <w:spacing w:after="0" w:line="67" w:lineRule="exact"/>
        <w:rPr>
          <w:sz w:val="20"/>
          <w:szCs w:val="20"/>
          <w:color w:val="auto"/>
        </w:rPr>
      </w:pPr>
    </w:p>
    <w:p>
      <w:pPr>
        <w:ind w:left="160" w:right="180"/>
        <w:spacing w:after="0" w:line="256" w:lineRule="auto"/>
        <w:rPr>
          <w:sz w:val="20"/>
          <w:szCs w:val="20"/>
          <w:color w:val="auto"/>
        </w:rPr>
      </w:pPr>
      <w:r>
        <w:rPr>
          <w:rFonts w:ascii="Arial" w:cs="Arial" w:eastAsia="Arial" w:hAnsi="Arial"/>
          <w:sz w:val="16"/>
          <w:szCs w:val="16"/>
          <w:color w:val="092E44"/>
        </w:rPr>
        <w:t>Our virtual annual meeting format will enable all stockholders to participate, regardless of their location. To participate in the Annual Meeting, please access the meeting website at http://ir.commvault.com/annual-meeting and follow the instructions found there. You will be required to establish your identity as a stockholder in order to vote and to view the list of registered stockholders as of the record date during the meeting. Please have the control number found on your Notice of Internet Availability of Proxy Materials available.</w:t>
      </w:r>
    </w:p>
    <w:p>
      <w:pPr>
        <w:spacing w:after="0" w:line="58" w:lineRule="exact"/>
        <w:rPr>
          <w:sz w:val="20"/>
          <w:szCs w:val="20"/>
          <w:color w:val="auto"/>
        </w:rPr>
      </w:pPr>
    </w:p>
    <w:p>
      <w:pPr>
        <w:ind w:left="160" w:right="20"/>
        <w:spacing w:after="0" w:line="262" w:lineRule="auto"/>
        <w:rPr>
          <w:sz w:val="20"/>
          <w:szCs w:val="20"/>
          <w:color w:val="auto"/>
        </w:rPr>
      </w:pPr>
      <w:r>
        <w:rPr>
          <w:rFonts w:ascii="Arial" w:cs="Arial" w:eastAsia="Arial" w:hAnsi="Arial"/>
          <w:sz w:val="16"/>
          <w:szCs w:val="16"/>
          <w:color w:val="092E44"/>
        </w:rPr>
        <w:t xml:space="preserve">Stockholders can submit questions for the Annual Meeting’s question and answer session prior to or during the meeting through </w:t>
      </w:r>
      <w:r>
        <w:rPr>
          <w:rFonts w:ascii="Arial" w:cs="Arial" w:eastAsia="Arial" w:hAnsi="Arial"/>
          <w:sz w:val="16"/>
          <w:szCs w:val="16"/>
          <w:u w:val="single" w:color="auto"/>
          <w:color w:val="E14A6A"/>
        </w:rPr>
        <w:t>http://ir.commvault.com/annual-meeting</w:t>
      </w:r>
      <w:r>
        <w:rPr>
          <w:rFonts w:ascii="Arial" w:cs="Arial" w:eastAsia="Arial" w:hAnsi="Arial"/>
          <w:sz w:val="16"/>
          <w:szCs w:val="16"/>
          <w:color w:val="092E44"/>
        </w:rPr>
        <w:t>. Once the meeting has concluded, the webcast will be available for replay on the Investor Relations section of our</w:t>
      </w:r>
      <w:r>
        <w:rPr>
          <w:rFonts w:ascii="Arial" w:cs="Arial" w:eastAsia="Arial" w:hAnsi="Arial"/>
          <w:sz w:val="16"/>
          <w:szCs w:val="16"/>
          <w:color w:val="E14A6A"/>
        </w:rPr>
        <w:t xml:space="preserve"> </w:t>
      </w:r>
      <w:r>
        <w:rPr>
          <w:rFonts w:ascii="Arial" w:cs="Arial" w:eastAsia="Arial" w:hAnsi="Arial"/>
          <w:sz w:val="16"/>
          <w:szCs w:val="16"/>
          <w:color w:val="092E44"/>
        </w:rPr>
        <w:t>website for 12 months.</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Who is entitled to vote at the Annual Meeting?</w:t>
      </w:r>
    </w:p>
    <w:p>
      <w:pPr>
        <w:spacing w:after="0" w:line="67" w:lineRule="exact"/>
        <w:rPr>
          <w:sz w:val="20"/>
          <w:szCs w:val="20"/>
          <w:color w:val="auto"/>
        </w:rPr>
      </w:pPr>
    </w:p>
    <w:p>
      <w:pPr>
        <w:ind w:left="160" w:right="200"/>
        <w:spacing w:after="0" w:line="253" w:lineRule="auto"/>
        <w:rPr>
          <w:sz w:val="20"/>
          <w:szCs w:val="20"/>
          <w:color w:val="auto"/>
        </w:rPr>
      </w:pPr>
      <w:r>
        <w:rPr>
          <w:rFonts w:ascii="Arial" w:cs="Arial" w:eastAsia="Arial" w:hAnsi="Arial"/>
          <w:sz w:val="16"/>
          <w:szCs w:val="16"/>
          <w:color w:val="092E44"/>
        </w:rPr>
        <w:t xml:space="preserve">The record date for determining stockholders entitled to vote at the Annual Meeting was June 30, 2022. On that date, 44,835,900 shares of Commvault common stock were outstanding and entitled to vote. Each stockholder is entitled to one vote for each share of common stock held of record for each matter to be considered. A list of stockholders entitled to vote at the Annual Meeting will be available for examination by stockholders by arrangement made with Commvault during the 10 days preceding the meeting and also will be available for examination during the Annual Meeting. Information regarding how to examine the stockholder list is available at the meeting website at </w:t>
      </w:r>
      <w:r>
        <w:rPr>
          <w:rFonts w:ascii="Arial" w:cs="Arial" w:eastAsia="Arial" w:hAnsi="Arial"/>
          <w:sz w:val="16"/>
          <w:szCs w:val="16"/>
          <w:u w:val="single" w:color="auto"/>
          <w:color w:val="E14A6A"/>
        </w:rPr>
        <w:t>http://ir.commvault.com/annual-meeting</w:t>
      </w:r>
      <w:r>
        <w:rPr>
          <w:rFonts w:ascii="Arial" w:cs="Arial" w:eastAsia="Arial" w:hAnsi="Arial"/>
          <w:sz w:val="16"/>
          <w:szCs w:val="16"/>
          <w:color w:val="092E44"/>
        </w:rPr>
        <w:t>.</w:t>
      </w:r>
    </w:p>
    <w:p>
      <w:pPr>
        <w:spacing w:after="0" w:line="60" w:lineRule="exact"/>
        <w:rPr>
          <w:sz w:val="20"/>
          <w:szCs w:val="20"/>
          <w:color w:val="auto"/>
        </w:rPr>
      </w:pPr>
    </w:p>
    <w:p>
      <w:pPr>
        <w:ind w:left="160" w:right="120"/>
        <w:spacing w:after="0" w:line="256" w:lineRule="auto"/>
        <w:rPr>
          <w:sz w:val="20"/>
          <w:szCs w:val="20"/>
          <w:color w:val="auto"/>
        </w:rPr>
      </w:pPr>
      <w:r>
        <w:rPr>
          <w:rFonts w:ascii="Arial" w:cs="Arial" w:eastAsia="Arial" w:hAnsi="Arial"/>
          <w:sz w:val="16"/>
          <w:szCs w:val="16"/>
          <w:color w:val="092E44"/>
        </w:rPr>
        <w:t>The presence at the Annual Meeting, in person (including virtually) or by proxy, of holders of a majority of the issued and outstanding shares of common stock entitled to vote thereat as of the record date is considered a quorum for the transaction of business. If you submit a properly completed proxy or if you appear at the Annual Meeting to vote in person (including virtually), your shares of common stock will be considered part of the quorum. Abstentions and broker non-votes will be counted for the purpose of establishing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232410</wp:posOffset>
            </wp:positionV>
            <wp:extent cx="220980" cy="2120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60</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80"/>
          </w:cols>
          <w:pgMar w:left="320" w:top="454"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ADDITIONAL INFORMATION ABOUT THE ANNUAL MEETING</w:t>
      </w:r>
    </w:p>
    <w:p>
      <w:pPr>
        <w:spacing w:after="0" w:line="140" w:lineRule="exact"/>
        <w:rPr>
          <w:sz w:val="20"/>
          <w:szCs w:val="20"/>
          <w:color w:val="auto"/>
        </w:rPr>
      </w:pPr>
    </w:p>
    <w:p>
      <w:pPr>
        <w:ind w:left="160" w:right="20"/>
        <w:spacing w:after="0" w:line="251" w:lineRule="auto"/>
        <w:rPr>
          <w:sz w:val="20"/>
          <w:szCs w:val="20"/>
          <w:color w:val="auto"/>
        </w:rPr>
      </w:pPr>
      <w:r>
        <w:rPr>
          <w:rFonts w:ascii="Arial" w:cs="Arial" w:eastAsia="Arial" w:hAnsi="Arial"/>
          <w:sz w:val="16"/>
          <w:szCs w:val="16"/>
          <w:color w:val="092E44"/>
        </w:rPr>
        <w:t>If you choose to vote your shares at the Annual Meeting, you will be required to provide your control number, which is included in the Notice Regarding the Availability of Proxy Materials that you received. If you hold your Commvault shares through a broker, bank, or other nominee, you may vote during the Annual Meeting only if you obtain a signed proxy from your bank, broker, or other nominee giving you the right to vote the shares. You will be asked to submit that proxy to Commvault via the email address provided on the meeting website at or prior to the Annual Meeting, along with an account statement or letter from the broker, bank, or other nominee indicating that you are the beneficial owner of the shares and that you were the beneficial owner of the shares on June 30, 2022.</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What proposals will be considered at the Annual Meeting, and how does the Board recommend that I vote?</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The following table summarizes the matters we expect to present to stockholders during the Annual Meeting.</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4"/>
                <w:szCs w:val="14"/>
                <w:color w:val="092E44"/>
              </w:rPr>
              <w:t>Effect of</w:t>
            </w:r>
          </w:p>
        </w:tc>
      </w:tr>
      <w:tr>
        <w:trPr>
          <w:trHeight w:val="160"/>
        </w:trPr>
        <w:tc>
          <w:tcPr>
            <w:tcW w:w="2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100" w:type="dxa"/>
            <w:vAlign w:val="bottom"/>
          </w:tcPr>
          <w:p>
            <w:pPr>
              <w:ind w:left="60"/>
              <w:spacing w:after="0"/>
              <w:rPr>
                <w:sz w:val="20"/>
                <w:szCs w:val="20"/>
                <w:color w:val="auto"/>
              </w:rPr>
            </w:pPr>
            <w:r>
              <w:rPr>
                <w:rFonts w:ascii="Arial" w:cs="Arial" w:eastAsia="Arial" w:hAnsi="Arial"/>
                <w:sz w:val="14"/>
                <w:szCs w:val="14"/>
                <w:color w:val="092E44"/>
              </w:rPr>
              <w:t>abstentions,</w:t>
            </w:r>
          </w:p>
        </w:tc>
      </w:tr>
      <w:tr>
        <w:trPr>
          <w:trHeight w:val="160"/>
        </w:trPr>
        <w:tc>
          <w:tcPr>
            <w:tcW w:w="2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60" w:type="dxa"/>
            <w:vAlign w:val="bottom"/>
          </w:tcPr>
          <w:p>
            <w:pPr>
              <w:ind w:left="160"/>
              <w:spacing w:after="0"/>
              <w:rPr>
                <w:sz w:val="20"/>
                <w:szCs w:val="20"/>
                <w:color w:val="auto"/>
              </w:rPr>
            </w:pPr>
            <w:r>
              <w:rPr>
                <w:rFonts w:ascii="Arial" w:cs="Arial" w:eastAsia="Arial" w:hAnsi="Arial"/>
                <w:sz w:val="14"/>
                <w:szCs w:val="14"/>
                <w:color w:val="092E44"/>
              </w:rPr>
              <w:t>Board</w:t>
            </w:r>
          </w:p>
        </w:tc>
        <w:tc>
          <w:tcPr>
            <w:tcW w:w="4560" w:type="dxa"/>
            <w:vAlign w:val="bottom"/>
          </w:tcPr>
          <w:p>
            <w:pPr>
              <w:spacing w:after="0"/>
              <w:rPr>
                <w:sz w:val="13"/>
                <w:szCs w:val="13"/>
                <w:color w:val="auto"/>
              </w:rPr>
            </w:pPr>
          </w:p>
        </w:tc>
        <w:tc>
          <w:tcPr>
            <w:tcW w:w="1100" w:type="dxa"/>
            <w:vAlign w:val="bottom"/>
          </w:tcPr>
          <w:p>
            <w:pPr>
              <w:ind w:left="60"/>
              <w:spacing w:after="0"/>
              <w:rPr>
                <w:sz w:val="20"/>
                <w:szCs w:val="20"/>
                <w:color w:val="auto"/>
              </w:rPr>
            </w:pPr>
            <w:r>
              <w:rPr>
                <w:rFonts w:ascii="Arial" w:cs="Arial" w:eastAsia="Arial" w:hAnsi="Arial"/>
                <w:sz w:val="14"/>
                <w:szCs w:val="14"/>
                <w:color w:val="092E44"/>
              </w:rPr>
              <w:t>and broker</w:t>
            </w:r>
          </w:p>
        </w:tc>
      </w:tr>
      <w:tr>
        <w:trPr>
          <w:trHeight w:val="170"/>
        </w:trPr>
        <w:tc>
          <w:tcPr>
            <w:tcW w:w="2300" w:type="dxa"/>
            <w:vAlign w:val="bottom"/>
            <w:tcBorders>
              <w:bottom w:val="single" w:sz="8" w:color="E14A6A"/>
            </w:tcBorders>
          </w:tcPr>
          <w:p>
            <w:pPr>
              <w:ind w:left="80"/>
              <w:spacing w:after="0"/>
              <w:rPr>
                <w:sz w:val="20"/>
                <w:szCs w:val="20"/>
                <w:color w:val="auto"/>
              </w:rPr>
            </w:pPr>
            <w:r>
              <w:rPr>
                <w:rFonts w:ascii="Arial" w:cs="Arial" w:eastAsia="Arial" w:hAnsi="Arial"/>
                <w:sz w:val="14"/>
                <w:szCs w:val="14"/>
                <w:color w:val="092E44"/>
              </w:rPr>
              <w:t>Proposal</w:t>
            </w:r>
          </w:p>
        </w:tc>
        <w:tc>
          <w:tcPr>
            <w:tcW w:w="1600" w:type="dxa"/>
            <w:vAlign w:val="bottom"/>
            <w:tcBorders>
              <w:bottom w:val="single" w:sz="8" w:color="E14A6A"/>
            </w:tcBorders>
          </w:tcPr>
          <w:p>
            <w:pPr>
              <w:ind w:left="100"/>
              <w:spacing w:after="0"/>
              <w:rPr>
                <w:sz w:val="20"/>
                <w:szCs w:val="20"/>
                <w:color w:val="auto"/>
              </w:rPr>
            </w:pPr>
            <w:r>
              <w:rPr>
                <w:rFonts w:ascii="Arial" w:cs="Arial" w:eastAsia="Arial" w:hAnsi="Arial"/>
                <w:sz w:val="14"/>
                <w:szCs w:val="14"/>
                <w:color w:val="092E44"/>
              </w:rPr>
              <w:t>Voting options</w:t>
            </w:r>
          </w:p>
        </w:tc>
        <w:tc>
          <w:tcPr>
            <w:tcW w:w="1360" w:type="dxa"/>
            <w:vAlign w:val="bottom"/>
            <w:tcBorders>
              <w:bottom w:val="single" w:sz="8" w:color="E14A6A"/>
            </w:tcBorders>
          </w:tcPr>
          <w:p>
            <w:pPr>
              <w:ind w:left="160"/>
              <w:spacing w:after="0"/>
              <w:rPr>
                <w:sz w:val="20"/>
                <w:szCs w:val="20"/>
                <w:color w:val="auto"/>
              </w:rPr>
            </w:pPr>
            <w:r>
              <w:rPr>
                <w:rFonts w:ascii="Arial" w:cs="Arial" w:eastAsia="Arial" w:hAnsi="Arial"/>
                <w:sz w:val="14"/>
                <w:szCs w:val="14"/>
                <w:color w:val="092E44"/>
              </w:rPr>
              <w:t>recommendation</w:t>
            </w:r>
          </w:p>
        </w:tc>
        <w:tc>
          <w:tcPr>
            <w:tcW w:w="4560" w:type="dxa"/>
            <w:vAlign w:val="bottom"/>
            <w:tcBorders>
              <w:bottom w:val="single" w:sz="8" w:color="E14A6A"/>
            </w:tcBorders>
          </w:tcPr>
          <w:p>
            <w:pPr>
              <w:ind w:left="160"/>
              <w:spacing w:after="0"/>
              <w:rPr>
                <w:sz w:val="20"/>
                <w:szCs w:val="20"/>
                <w:color w:val="auto"/>
              </w:rPr>
            </w:pPr>
            <w:r>
              <w:rPr>
                <w:rFonts w:ascii="Arial" w:cs="Arial" w:eastAsia="Arial" w:hAnsi="Arial"/>
                <w:sz w:val="14"/>
                <w:szCs w:val="14"/>
                <w:color w:val="092E44"/>
              </w:rPr>
              <w:t>Vote required to pass</w:t>
            </w:r>
          </w:p>
        </w:tc>
        <w:tc>
          <w:tcPr>
            <w:tcW w:w="1100" w:type="dxa"/>
            <w:vAlign w:val="bottom"/>
            <w:tcBorders>
              <w:bottom w:val="single" w:sz="8" w:color="E14A6A"/>
            </w:tcBorders>
          </w:tcPr>
          <w:p>
            <w:pPr>
              <w:ind w:left="60"/>
              <w:spacing w:after="0"/>
              <w:rPr>
                <w:sz w:val="20"/>
                <w:szCs w:val="20"/>
                <w:color w:val="auto"/>
              </w:rPr>
            </w:pPr>
            <w:r>
              <w:rPr>
                <w:rFonts w:ascii="Arial" w:cs="Arial" w:eastAsia="Arial" w:hAnsi="Arial"/>
                <w:sz w:val="14"/>
                <w:szCs w:val="14"/>
                <w:color w:val="092E44"/>
              </w:rPr>
              <w:t>non-votes*</w:t>
            </w:r>
          </w:p>
        </w:tc>
      </w:tr>
      <w:tr>
        <w:trPr>
          <w:trHeight w:val="220"/>
        </w:trPr>
        <w:tc>
          <w:tcPr>
            <w:tcW w:w="2300" w:type="dxa"/>
            <w:vAlign w:val="bottom"/>
          </w:tcPr>
          <w:p>
            <w:pPr>
              <w:ind w:left="80"/>
              <w:spacing w:after="0"/>
              <w:rPr>
                <w:sz w:val="20"/>
                <w:szCs w:val="20"/>
                <w:color w:val="auto"/>
              </w:rPr>
            </w:pPr>
            <w:r>
              <w:rPr>
                <w:rFonts w:ascii="Arial" w:cs="Arial" w:eastAsia="Arial" w:hAnsi="Arial"/>
                <w:sz w:val="16"/>
                <w:szCs w:val="16"/>
                <w:color w:val="092E44"/>
              </w:rPr>
              <w:t>Election of directors</w:t>
            </w:r>
          </w:p>
        </w:tc>
        <w:tc>
          <w:tcPr>
            <w:tcW w:w="1600" w:type="dxa"/>
            <w:vAlign w:val="bottom"/>
          </w:tcPr>
          <w:p>
            <w:pPr>
              <w:ind w:left="100"/>
              <w:spacing w:after="0"/>
              <w:rPr>
                <w:sz w:val="20"/>
                <w:szCs w:val="20"/>
                <w:color w:val="auto"/>
              </w:rPr>
            </w:pPr>
            <w:r>
              <w:rPr>
                <w:rFonts w:ascii="Arial" w:cs="Arial" w:eastAsia="Arial" w:hAnsi="Arial"/>
                <w:sz w:val="16"/>
                <w:szCs w:val="16"/>
                <w:color w:val="092E44"/>
              </w:rPr>
              <w:t>FOR, AGAINST, or</w:t>
            </w:r>
          </w:p>
        </w:tc>
        <w:tc>
          <w:tcPr>
            <w:tcW w:w="1360" w:type="dxa"/>
            <w:vAlign w:val="bottom"/>
          </w:tcPr>
          <w:p>
            <w:pPr>
              <w:ind w:left="160"/>
              <w:spacing w:after="0"/>
              <w:rPr>
                <w:sz w:val="20"/>
                <w:szCs w:val="20"/>
                <w:color w:val="auto"/>
              </w:rPr>
            </w:pPr>
            <w:r>
              <w:rPr>
                <w:rFonts w:ascii="Arial" w:cs="Arial" w:eastAsia="Arial" w:hAnsi="Arial"/>
                <w:sz w:val="16"/>
                <w:szCs w:val="16"/>
                <w:b w:val="1"/>
                <w:bCs w:val="1"/>
                <w:color w:val="E14A6A"/>
              </w:rPr>
              <w:t xml:space="preserve">FOR </w:t>
            </w:r>
            <w:r>
              <w:rPr>
                <w:rFonts w:ascii="Arial" w:cs="Arial" w:eastAsia="Arial" w:hAnsi="Arial"/>
                <w:sz w:val="16"/>
                <w:szCs w:val="16"/>
                <w:b w:val="1"/>
                <w:bCs w:val="1"/>
                <w:color w:val="092E44"/>
              </w:rPr>
              <w:t>each</w:t>
            </w:r>
          </w:p>
        </w:tc>
        <w:tc>
          <w:tcPr>
            <w:tcW w:w="4560" w:type="dxa"/>
            <w:vAlign w:val="bottom"/>
          </w:tcPr>
          <w:p>
            <w:pPr>
              <w:ind w:left="160"/>
              <w:spacing w:after="0"/>
              <w:rPr>
                <w:sz w:val="20"/>
                <w:szCs w:val="20"/>
                <w:color w:val="auto"/>
              </w:rPr>
            </w:pPr>
            <w:r>
              <w:rPr>
                <w:rFonts w:ascii="Arial" w:cs="Arial" w:eastAsia="Arial" w:hAnsi="Arial"/>
                <w:sz w:val="16"/>
                <w:szCs w:val="16"/>
                <w:color w:val="092E44"/>
              </w:rPr>
              <w:t>Each nominee must receive the affirmative vote of a majority</w:t>
            </w:r>
          </w:p>
        </w:tc>
        <w:tc>
          <w:tcPr>
            <w:tcW w:w="1100" w:type="dxa"/>
            <w:vAlign w:val="bottom"/>
          </w:tcPr>
          <w:p>
            <w:pPr>
              <w:ind w:left="60"/>
              <w:spacing w:after="0"/>
              <w:rPr>
                <w:sz w:val="20"/>
                <w:szCs w:val="20"/>
                <w:color w:val="auto"/>
              </w:rPr>
            </w:pPr>
            <w:r>
              <w:rPr>
                <w:rFonts w:ascii="Arial" w:cs="Arial" w:eastAsia="Arial" w:hAnsi="Arial"/>
                <w:sz w:val="16"/>
                <w:szCs w:val="16"/>
                <w:color w:val="092E44"/>
              </w:rPr>
              <w:t>No effect</w:t>
            </w:r>
          </w:p>
        </w:tc>
      </w:tr>
      <w:tr>
        <w:trPr>
          <w:trHeight w:val="187"/>
        </w:trPr>
        <w:tc>
          <w:tcPr>
            <w:tcW w:w="2300" w:type="dxa"/>
            <w:vAlign w:val="bottom"/>
          </w:tcPr>
          <w:p>
            <w:pPr>
              <w:spacing w:after="0"/>
              <w:rPr>
                <w:sz w:val="16"/>
                <w:szCs w:val="16"/>
                <w:color w:val="auto"/>
              </w:rPr>
            </w:pPr>
          </w:p>
        </w:tc>
        <w:tc>
          <w:tcPr>
            <w:tcW w:w="1600" w:type="dxa"/>
            <w:vAlign w:val="bottom"/>
          </w:tcPr>
          <w:p>
            <w:pPr>
              <w:ind w:left="100"/>
              <w:spacing w:after="0"/>
              <w:rPr>
                <w:sz w:val="20"/>
                <w:szCs w:val="20"/>
                <w:color w:val="auto"/>
              </w:rPr>
            </w:pPr>
            <w:r>
              <w:rPr>
                <w:rFonts w:ascii="Arial" w:cs="Arial" w:eastAsia="Arial" w:hAnsi="Arial"/>
                <w:sz w:val="16"/>
                <w:szCs w:val="16"/>
                <w:color w:val="092E44"/>
              </w:rPr>
              <w:t>ABSTAIN for</w:t>
            </w:r>
          </w:p>
        </w:tc>
        <w:tc>
          <w:tcPr>
            <w:tcW w:w="1360" w:type="dxa"/>
            <w:vAlign w:val="bottom"/>
          </w:tcPr>
          <w:p>
            <w:pPr>
              <w:ind w:left="160"/>
              <w:spacing w:after="0"/>
              <w:rPr>
                <w:sz w:val="20"/>
                <w:szCs w:val="20"/>
                <w:color w:val="auto"/>
              </w:rPr>
            </w:pPr>
            <w:r>
              <w:rPr>
                <w:rFonts w:ascii="Arial" w:cs="Arial" w:eastAsia="Arial" w:hAnsi="Arial"/>
                <w:sz w:val="16"/>
                <w:szCs w:val="16"/>
                <w:b w:val="1"/>
                <w:bCs w:val="1"/>
                <w:color w:val="092E44"/>
              </w:rPr>
              <w:t>nominee</w:t>
            </w:r>
          </w:p>
        </w:tc>
        <w:tc>
          <w:tcPr>
            <w:tcW w:w="4560" w:type="dxa"/>
            <w:vAlign w:val="bottom"/>
          </w:tcPr>
          <w:p>
            <w:pPr>
              <w:ind w:left="160"/>
              <w:spacing w:after="0"/>
              <w:rPr>
                <w:sz w:val="20"/>
                <w:szCs w:val="20"/>
                <w:color w:val="auto"/>
              </w:rPr>
            </w:pPr>
            <w:r>
              <w:rPr>
                <w:rFonts w:ascii="Arial" w:cs="Arial" w:eastAsia="Arial" w:hAnsi="Arial"/>
                <w:sz w:val="16"/>
                <w:szCs w:val="16"/>
                <w:color w:val="092E44"/>
              </w:rPr>
              <w:t>of the votes cast on the proposal.</w:t>
            </w:r>
          </w:p>
        </w:tc>
        <w:tc>
          <w:tcPr>
            <w:tcW w:w="1100" w:type="dxa"/>
            <w:vAlign w:val="bottom"/>
          </w:tcPr>
          <w:p>
            <w:pPr>
              <w:spacing w:after="0"/>
              <w:rPr>
                <w:sz w:val="16"/>
                <w:szCs w:val="16"/>
                <w:color w:val="auto"/>
              </w:rPr>
            </w:pPr>
          </w:p>
        </w:tc>
      </w:tr>
      <w:tr>
        <w:trPr>
          <w:trHeight w:val="211"/>
        </w:trPr>
        <w:tc>
          <w:tcPr>
            <w:tcW w:w="230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Arial" w:cs="Arial" w:eastAsia="Arial" w:hAnsi="Arial"/>
                <w:sz w:val="16"/>
                <w:szCs w:val="16"/>
                <w:color w:val="092E44"/>
              </w:rPr>
              <w:t>each nominee</w:t>
            </w:r>
          </w:p>
        </w:tc>
        <w:tc>
          <w:tcPr>
            <w:tcW w:w="13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57"/>
        </w:trPr>
        <w:tc>
          <w:tcPr>
            <w:tcW w:w="23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45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40"/>
        </w:trPr>
        <w:tc>
          <w:tcPr>
            <w:tcW w:w="2300" w:type="dxa"/>
            <w:vAlign w:val="bottom"/>
            <w:shd w:val="clear" w:color="auto" w:fill="DDE9F2"/>
          </w:tcPr>
          <w:p>
            <w:pPr>
              <w:ind w:left="80"/>
              <w:spacing w:after="0"/>
              <w:rPr>
                <w:sz w:val="20"/>
                <w:szCs w:val="20"/>
                <w:color w:val="auto"/>
              </w:rPr>
            </w:pPr>
            <w:r>
              <w:rPr>
                <w:rFonts w:ascii="Arial" w:cs="Arial" w:eastAsia="Arial" w:hAnsi="Arial"/>
                <w:sz w:val="16"/>
                <w:szCs w:val="16"/>
                <w:color w:val="092E44"/>
              </w:rPr>
              <w:t>Advisory vote on executive</w:t>
            </w:r>
          </w:p>
        </w:tc>
        <w:tc>
          <w:tcPr>
            <w:tcW w:w="1600" w:type="dxa"/>
            <w:vAlign w:val="bottom"/>
            <w:shd w:val="clear" w:color="auto" w:fill="DDE9F2"/>
          </w:tcPr>
          <w:p>
            <w:pPr>
              <w:ind w:left="100"/>
              <w:spacing w:after="0"/>
              <w:rPr>
                <w:sz w:val="20"/>
                <w:szCs w:val="20"/>
                <w:color w:val="auto"/>
              </w:rPr>
            </w:pPr>
            <w:r>
              <w:rPr>
                <w:rFonts w:ascii="Arial" w:cs="Arial" w:eastAsia="Arial" w:hAnsi="Arial"/>
                <w:sz w:val="16"/>
                <w:szCs w:val="16"/>
                <w:color w:val="092E44"/>
              </w:rPr>
              <w:t>FOR, AGAINST, or</w:t>
            </w:r>
          </w:p>
        </w:tc>
        <w:tc>
          <w:tcPr>
            <w:tcW w:w="1360" w:type="dxa"/>
            <w:vAlign w:val="bottom"/>
            <w:shd w:val="clear" w:color="auto" w:fill="DDE9F2"/>
          </w:tcPr>
          <w:p>
            <w:pPr>
              <w:ind w:left="160"/>
              <w:spacing w:after="0"/>
              <w:rPr>
                <w:sz w:val="20"/>
                <w:szCs w:val="20"/>
                <w:color w:val="auto"/>
              </w:rPr>
            </w:pPr>
            <w:r>
              <w:rPr>
                <w:rFonts w:ascii="Arial" w:cs="Arial" w:eastAsia="Arial" w:hAnsi="Arial"/>
                <w:sz w:val="16"/>
                <w:szCs w:val="16"/>
                <w:b w:val="1"/>
                <w:bCs w:val="1"/>
                <w:color w:val="E14A6A"/>
              </w:rPr>
              <w:t>FOR</w:t>
            </w:r>
          </w:p>
        </w:tc>
        <w:tc>
          <w:tcPr>
            <w:tcW w:w="4560" w:type="dxa"/>
            <w:vAlign w:val="bottom"/>
            <w:shd w:val="clear" w:color="auto" w:fill="DDE9F2"/>
          </w:tcPr>
          <w:p>
            <w:pPr>
              <w:ind w:left="160"/>
              <w:spacing w:after="0"/>
              <w:rPr>
                <w:sz w:val="20"/>
                <w:szCs w:val="20"/>
                <w:color w:val="auto"/>
              </w:rPr>
            </w:pPr>
            <w:r>
              <w:rPr>
                <w:rFonts w:ascii="Arial" w:cs="Arial" w:eastAsia="Arial" w:hAnsi="Arial"/>
                <w:sz w:val="16"/>
                <w:szCs w:val="16"/>
                <w:color w:val="092E44"/>
              </w:rPr>
              <w:t>As a non-binding, advisory vote, there is no specific approval</w:t>
            </w:r>
          </w:p>
        </w:tc>
        <w:tc>
          <w:tcPr>
            <w:tcW w:w="1100" w:type="dxa"/>
            <w:vAlign w:val="bottom"/>
            <w:shd w:val="clear" w:color="auto" w:fill="DDE9F2"/>
          </w:tcPr>
          <w:p>
            <w:pPr>
              <w:ind w:left="60"/>
              <w:spacing w:after="0"/>
              <w:rPr>
                <w:sz w:val="20"/>
                <w:szCs w:val="20"/>
                <w:color w:val="auto"/>
              </w:rPr>
            </w:pPr>
            <w:r>
              <w:rPr>
                <w:rFonts w:ascii="Arial" w:cs="Arial" w:eastAsia="Arial" w:hAnsi="Arial"/>
                <w:sz w:val="16"/>
                <w:szCs w:val="16"/>
                <w:color w:val="092E44"/>
              </w:rPr>
              <w:t>No effect</w:t>
            </w:r>
          </w:p>
        </w:tc>
      </w:tr>
      <w:tr>
        <w:trPr>
          <w:trHeight w:val="187"/>
        </w:trPr>
        <w:tc>
          <w:tcPr>
            <w:tcW w:w="2300" w:type="dxa"/>
            <w:vAlign w:val="bottom"/>
            <w:shd w:val="clear" w:color="auto" w:fill="DDE9F2"/>
          </w:tcPr>
          <w:p>
            <w:pPr>
              <w:ind w:left="80"/>
              <w:spacing w:after="0"/>
              <w:rPr>
                <w:sz w:val="20"/>
                <w:szCs w:val="20"/>
                <w:color w:val="auto"/>
              </w:rPr>
            </w:pPr>
            <w:r>
              <w:rPr>
                <w:rFonts w:ascii="Arial" w:cs="Arial" w:eastAsia="Arial" w:hAnsi="Arial"/>
                <w:sz w:val="16"/>
                <w:szCs w:val="16"/>
                <w:color w:val="092E44"/>
              </w:rPr>
              <w:t>compensation</w:t>
            </w:r>
          </w:p>
        </w:tc>
        <w:tc>
          <w:tcPr>
            <w:tcW w:w="1600" w:type="dxa"/>
            <w:vAlign w:val="bottom"/>
            <w:shd w:val="clear" w:color="auto" w:fill="DDE9F2"/>
          </w:tcPr>
          <w:p>
            <w:pPr>
              <w:ind w:left="100"/>
              <w:spacing w:after="0"/>
              <w:rPr>
                <w:sz w:val="20"/>
                <w:szCs w:val="20"/>
                <w:color w:val="auto"/>
              </w:rPr>
            </w:pPr>
            <w:r>
              <w:rPr>
                <w:rFonts w:ascii="Arial" w:cs="Arial" w:eastAsia="Arial" w:hAnsi="Arial"/>
                <w:sz w:val="16"/>
                <w:szCs w:val="16"/>
                <w:color w:val="092E44"/>
              </w:rPr>
              <w:t>ABSTAIN</w:t>
            </w:r>
          </w:p>
        </w:tc>
        <w:tc>
          <w:tcPr>
            <w:tcW w:w="1360" w:type="dxa"/>
            <w:vAlign w:val="bottom"/>
            <w:shd w:val="clear" w:color="auto" w:fill="DDE9F2"/>
          </w:tcPr>
          <w:p>
            <w:pPr>
              <w:spacing w:after="0"/>
              <w:rPr>
                <w:sz w:val="16"/>
                <w:szCs w:val="16"/>
                <w:color w:val="auto"/>
              </w:rPr>
            </w:pPr>
          </w:p>
        </w:tc>
        <w:tc>
          <w:tcPr>
            <w:tcW w:w="4560" w:type="dxa"/>
            <w:vAlign w:val="bottom"/>
            <w:shd w:val="clear" w:color="auto" w:fill="DDE9F2"/>
          </w:tcPr>
          <w:p>
            <w:pPr>
              <w:ind w:left="160"/>
              <w:spacing w:after="0"/>
              <w:rPr>
                <w:sz w:val="20"/>
                <w:szCs w:val="20"/>
                <w:color w:val="auto"/>
              </w:rPr>
            </w:pPr>
            <w:r>
              <w:rPr>
                <w:rFonts w:ascii="Arial" w:cs="Arial" w:eastAsia="Arial" w:hAnsi="Arial"/>
                <w:sz w:val="16"/>
                <w:szCs w:val="16"/>
                <w:color w:val="092E44"/>
              </w:rPr>
              <w:t>requirement. However, the Board of Directors will consider</w:t>
            </w:r>
          </w:p>
        </w:tc>
        <w:tc>
          <w:tcPr>
            <w:tcW w:w="1100" w:type="dxa"/>
            <w:vAlign w:val="bottom"/>
            <w:shd w:val="clear" w:color="auto" w:fill="DDE9F2"/>
          </w:tcPr>
          <w:p>
            <w:pPr>
              <w:spacing w:after="0"/>
              <w:rPr>
                <w:sz w:val="16"/>
                <w:szCs w:val="16"/>
                <w:color w:val="auto"/>
              </w:rPr>
            </w:pPr>
          </w:p>
        </w:tc>
      </w:tr>
      <w:tr>
        <w:trPr>
          <w:trHeight w:val="187"/>
        </w:trPr>
        <w:tc>
          <w:tcPr>
            <w:tcW w:w="2300" w:type="dxa"/>
            <w:vAlign w:val="bottom"/>
            <w:shd w:val="clear" w:color="auto" w:fill="DDE9F2"/>
          </w:tcPr>
          <w:p>
            <w:pPr>
              <w:spacing w:after="0"/>
              <w:rPr>
                <w:sz w:val="16"/>
                <w:szCs w:val="16"/>
                <w:color w:val="auto"/>
              </w:rPr>
            </w:pPr>
          </w:p>
        </w:tc>
        <w:tc>
          <w:tcPr>
            <w:tcW w:w="1600" w:type="dxa"/>
            <w:vAlign w:val="bottom"/>
            <w:shd w:val="clear" w:color="auto" w:fill="DDE9F2"/>
          </w:tcPr>
          <w:p>
            <w:pPr>
              <w:spacing w:after="0"/>
              <w:rPr>
                <w:sz w:val="16"/>
                <w:szCs w:val="16"/>
                <w:color w:val="auto"/>
              </w:rPr>
            </w:pPr>
          </w:p>
        </w:tc>
        <w:tc>
          <w:tcPr>
            <w:tcW w:w="1360" w:type="dxa"/>
            <w:vAlign w:val="bottom"/>
            <w:shd w:val="clear" w:color="auto" w:fill="DDE9F2"/>
          </w:tcPr>
          <w:p>
            <w:pPr>
              <w:spacing w:after="0"/>
              <w:rPr>
                <w:sz w:val="16"/>
                <w:szCs w:val="16"/>
                <w:color w:val="auto"/>
              </w:rPr>
            </w:pPr>
          </w:p>
        </w:tc>
        <w:tc>
          <w:tcPr>
            <w:tcW w:w="4560" w:type="dxa"/>
            <w:vAlign w:val="bottom"/>
            <w:shd w:val="clear" w:color="auto" w:fill="DDE9F2"/>
          </w:tcPr>
          <w:p>
            <w:pPr>
              <w:ind w:left="160"/>
              <w:spacing w:after="0"/>
              <w:rPr>
                <w:sz w:val="20"/>
                <w:szCs w:val="20"/>
                <w:color w:val="auto"/>
              </w:rPr>
            </w:pPr>
            <w:r>
              <w:rPr>
                <w:rFonts w:ascii="Arial" w:cs="Arial" w:eastAsia="Arial" w:hAnsi="Arial"/>
                <w:sz w:val="16"/>
                <w:szCs w:val="16"/>
                <w:color w:val="092E44"/>
              </w:rPr>
              <w:t>that the stockholders have approved executive compensation</w:t>
            </w:r>
          </w:p>
        </w:tc>
        <w:tc>
          <w:tcPr>
            <w:tcW w:w="1100" w:type="dxa"/>
            <w:vAlign w:val="bottom"/>
            <w:shd w:val="clear" w:color="auto" w:fill="DDE9F2"/>
          </w:tcPr>
          <w:p>
            <w:pPr>
              <w:spacing w:after="0"/>
              <w:rPr>
                <w:sz w:val="16"/>
                <w:szCs w:val="16"/>
                <w:color w:val="auto"/>
              </w:rPr>
            </w:pPr>
          </w:p>
        </w:tc>
      </w:tr>
      <w:tr>
        <w:trPr>
          <w:trHeight w:val="187"/>
        </w:trPr>
        <w:tc>
          <w:tcPr>
            <w:tcW w:w="2300" w:type="dxa"/>
            <w:vAlign w:val="bottom"/>
            <w:shd w:val="clear" w:color="auto" w:fill="DDE9F2"/>
          </w:tcPr>
          <w:p>
            <w:pPr>
              <w:spacing w:after="0"/>
              <w:rPr>
                <w:sz w:val="16"/>
                <w:szCs w:val="16"/>
                <w:color w:val="auto"/>
              </w:rPr>
            </w:pPr>
          </w:p>
        </w:tc>
        <w:tc>
          <w:tcPr>
            <w:tcW w:w="1600" w:type="dxa"/>
            <w:vAlign w:val="bottom"/>
            <w:shd w:val="clear" w:color="auto" w:fill="DDE9F2"/>
          </w:tcPr>
          <w:p>
            <w:pPr>
              <w:spacing w:after="0"/>
              <w:rPr>
                <w:sz w:val="16"/>
                <w:szCs w:val="16"/>
                <w:color w:val="auto"/>
              </w:rPr>
            </w:pPr>
          </w:p>
        </w:tc>
        <w:tc>
          <w:tcPr>
            <w:tcW w:w="1360" w:type="dxa"/>
            <w:vAlign w:val="bottom"/>
            <w:shd w:val="clear" w:color="auto" w:fill="DDE9F2"/>
          </w:tcPr>
          <w:p>
            <w:pPr>
              <w:spacing w:after="0"/>
              <w:rPr>
                <w:sz w:val="16"/>
                <w:szCs w:val="16"/>
                <w:color w:val="auto"/>
              </w:rPr>
            </w:pPr>
          </w:p>
        </w:tc>
        <w:tc>
          <w:tcPr>
            <w:tcW w:w="4560" w:type="dxa"/>
            <w:vAlign w:val="bottom"/>
            <w:shd w:val="clear" w:color="auto" w:fill="DDE9F2"/>
          </w:tcPr>
          <w:p>
            <w:pPr>
              <w:ind w:left="160"/>
              <w:spacing w:after="0"/>
              <w:rPr>
                <w:sz w:val="20"/>
                <w:szCs w:val="20"/>
                <w:color w:val="auto"/>
              </w:rPr>
            </w:pPr>
            <w:r>
              <w:rPr>
                <w:rFonts w:ascii="Arial" w:cs="Arial" w:eastAsia="Arial" w:hAnsi="Arial"/>
                <w:sz w:val="16"/>
                <w:szCs w:val="16"/>
                <w:color w:val="092E44"/>
              </w:rPr>
              <w:t>if the advisory vote receives the affirmative vote of a majority</w:t>
            </w:r>
          </w:p>
        </w:tc>
        <w:tc>
          <w:tcPr>
            <w:tcW w:w="1100" w:type="dxa"/>
            <w:vAlign w:val="bottom"/>
            <w:shd w:val="clear" w:color="auto" w:fill="DDE9F2"/>
          </w:tcPr>
          <w:p>
            <w:pPr>
              <w:spacing w:after="0"/>
              <w:rPr>
                <w:sz w:val="16"/>
                <w:szCs w:val="16"/>
                <w:color w:val="auto"/>
              </w:rPr>
            </w:pPr>
          </w:p>
        </w:tc>
      </w:tr>
      <w:tr>
        <w:trPr>
          <w:trHeight w:val="248"/>
        </w:trPr>
        <w:tc>
          <w:tcPr>
            <w:tcW w:w="2300" w:type="dxa"/>
            <w:vAlign w:val="bottom"/>
            <w:tcBorders>
              <w:bottom w:val="single" w:sz="8" w:color="DDE9F2"/>
            </w:tcBorders>
            <w:shd w:val="clear" w:color="auto" w:fill="DDE9F2"/>
          </w:tcPr>
          <w:p>
            <w:pPr>
              <w:spacing w:after="0"/>
              <w:rPr>
                <w:sz w:val="21"/>
                <w:szCs w:val="21"/>
                <w:color w:val="auto"/>
              </w:rPr>
            </w:pPr>
          </w:p>
        </w:tc>
        <w:tc>
          <w:tcPr>
            <w:tcW w:w="1600" w:type="dxa"/>
            <w:vAlign w:val="bottom"/>
            <w:tcBorders>
              <w:bottom w:val="single" w:sz="8" w:color="DDE9F2"/>
            </w:tcBorders>
            <w:shd w:val="clear" w:color="auto" w:fill="DDE9F2"/>
          </w:tcPr>
          <w:p>
            <w:pPr>
              <w:spacing w:after="0"/>
              <w:rPr>
                <w:sz w:val="21"/>
                <w:szCs w:val="21"/>
                <w:color w:val="auto"/>
              </w:rPr>
            </w:pPr>
          </w:p>
        </w:tc>
        <w:tc>
          <w:tcPr>
            <w:tcW w:w="1360" w:type="dxa"/>
            <w:vAlign w:val="bottom"/>
            <w:tcBorders>
              <w:bottom w:val="single" w:sz="8" w:color="DDE9F2"/>
            </w:tcBorders>
            <w:shd w:val="clear" w:color="auto" w:fill="DDE9F2"/>
          </w:tcPr>
          <w:p>
            <w:pPr>
              <w:spacing w:after="0"/>
              <w:rPr>
                <w:sz w:val="21"/>
                <w:szCs w:val="21"/>
                <w:color w:val="auto"/>
              </w:rPr>
            </w:pPr>
          </w:p>
        </w:tc>
        <w:tc>
          <w:tcPr>
            <w:tcW w:w="4560" w:type="dxa"/>
            <w:vAlign w:val="bottom"/>
            <w:tcBorders>
              <w:bottom w:val="single" w:sz="8" w:color="DDE9F2"/>
            </w:tcBorders>
            <w:shd w:val="clear" w:color="auto" w:fill="DDE9F2"/>
          </w:tcPr>
          <w:p>
            <w:pPr>
              <w:ind w:left="160"/>
              <w:spacing w:after="0"/>
              <w:rPr>
                <w:sz w:val="20"/>
                <w:szCs w:val="20"/>
                <w:color w:val="auto"/>
              </w:rPr>
            </w:pPr>
            <w:r>
              <w:rPr>
                <w:rFonts w:ascii="Arial" w:cs="Arial" w:eastAsia="Arial" w:hAnsi="Arial"/>
                <w:sz w:val="16"/>
                <w:szCs w:val="16"/>
                <w:color w:val="092E44"/>
              </w:rPr>
              <w:t>of the votes cast on such proposal.</w:t>
            </w:r>
          </w:p>
        </w:tc>
        <w:tc>
          <w:tcPr>
            <w:tcW w:w="1100" w:type="dxa"/>
            <w:vAlign w:val="bottom"/>
            <w:tcBorders>
              <w:bottom w:val="single" w:sz="8" w:color="DDE9F2"/>
            </w:tcBorders>
            <w:shd w:val="clear" w:color="auto" w:fill="DDE9F2"/>
          </w:tcPr>
          <w:p>
            <w:pPr>
              <w:spacing w:after="0"/>
              <w:rPr>
                <w:sz w:val="21"/>
                <w:szCs w:val="21"/>
                <w:color w:val="auto"/>
              </w:rPr>
            </w:pPr>
          </w:p>
        </w:tc>
      </w:tr>
      <w:tr>
        <w:trPr>
          <w:trHeight w:val="240"/>
        </w:trPr>
        <w:tc>
          <w:tcPr>
            <w:tcW w:w="2300" w:type="dxa"/>
            <w:vAlign w:val="bottom"/>
          </w:tcPr>
          <w:p>
            <w:pPr>
              <w:ind w:left="80"/>
              <w:spacing w:after="0"/>
              <w:rPr>
                <w:sz w:val="20"/>
                <w:szCs w:val="20"/>
                <w:color w:val="auto"/>
              </w:rPr>
            </w:pPr>
            <w:r>
              <w:rPr>
                <w:rFonts w:ascii="Arial" w:cs="Arial" w:eastAsia="Arial" w:hAnsi="Arial"/>
                <w:sz w:val="16"/>
                <w:szCs w:val="16"/>
                <w:color w:val="092E44"/>
              </w:rPr>
              <w:t>Ratification of the independent</w:t>
            </w:r>
          </w:p>
        </w:tc>
        <w:tc>
          <w:tcPr>
            <w:tcW w:w="1600" w:type="dxa"/>
            <w:vAlign w:val="bottom"/>
          </w:tcPr>
          <w:p>
            <w:pPr>
              <w:ind w:left="100"/>
              <w:spacing w:after="0"/>
              <w:rPr>
                <w:sz w:val="20"/>
                <w:szCs w:val="20"/>
                <w:color w:val="auto"/>
              </w:rPr>
            </w:pPr>
            <w:r>
              <w:rPr>
                <w:rFonts w:ascii="Arial" w:cs="Arial" w:eastAsia="Arial" w:hAnsi="Arial"/>
                <w:sz w:val="16"/>
                <w:szCs w:val="16"/>
                <w:color w:val="092E44"/>
              </w:rPr>
              <w:t>FOR, AGAINST, or</w:t>
            </w:r>
          </w:p>
        </w:tc>
        <w:tc>
          <w:tcPr>
            <w:tcW w:w="1360" w:type="dxa"/>
            <w:vAlign w:val="bottom"/>
          </w:tcPr>
          <w:p>
            <w:pPr>
              <w:ind w:left="160"/>
              <w:spacing w:after="0"/>
              <w:rPr>
                <w:sz w:val="20"/>
                <w:szCs w:val="20"/>
                <w:color w:val="auto"/>
              </w:rPr>
            </w:pPr>
            <w:r>
              <w:rPr>
                <w:rFonts w:ascii="Arial" w:cs="Arial" w:eastAsia="Arial" w:hAnsi="Arial"/>
                <w:sz w:val="16"/>
                <w:szCs w:val="16"/>
                <w:b w:val="1"/>
                <w:bCs w:val="1"/>
                <w:color w:val="E14A6A"/>
              </w:rPr>
              <w:t>FOR</w:t>
            </w:r>
          </w:p>
        </w:tc>
        <w:tc>
          <w:tcPr>
            <w:tcW w:w="4560" w:type="dxa"/>
            <w:vAlign w:val="bottom"/>
          </w:tcPr>
          <w:p>
            <w:pPr>
              <w:ind w:left="160"/>
              <w:spacing w:after="0"/>
              <w:rPr>
                <w:sz w:val="20"/>
                <w:szCs w:val="20"/>
                <w:color w:val="auto"/>
              </w:rPr>
            </w:pPr>
            <w:r>
              <w:rPr>
                <w:rFonts w:ascii="Arial" w:cs="Arial" w:eastAsia="Arial" w:hAnsi="Arial"/>
                <w:sz w:val="16"/>
                <w:szCs w:val="16"/>
                <w:color w:val="092E44"/>
              </w:rPr>
              <w:t>The affirmative vote of a majority of the votes cast on the</w:t>
            </w:r>
          </w:p>
        </w:tc>
        <w:tc>
          <w:tcPr>
            <w:tcW w:w="1100" w:type="dxa"/>
            <w:vAlign w:val="bottom"/>
          </w:tcPr>
          <w:p>
            <w:pPr>
              <w:ind w:left="60"/>
              <w:spacing w:after="0"/>
              <w:rPr>
                <w:sz w:val="20"/>
                <w:szCs w:val="20"/>
                <w:color w:val="auto"/>
              </w:rPr>
            </w:pPr>
            <w:r>
              <w:rPr>
                <w:rFonts w:ascii="Arial" w:cs="Arial" w:eastAsia="Arial" w:hAnsi="Arial"/>
                <w:sz w:val="16"/>
                <w:szCs w:val="16"/>
                <w:color w:val="092E44"/>
              </w:rPr>
              <w:t>Abstentions</w:t>
            </w:r>
          </w:p>
        </w:tc>
      </w:tr>
      <w:tr>
        <w:trPr>
          <w:trHeight w:val="187"/>
        </w:trPr>
        <w:tc>
          <w:tcPr>
            <w:tcW w:w="2300" w:type="dxa"/>
            <w:vAlign w:val="bottom"/>
          </w:tcPr>
          <w:p>
            <w:pPr>
              <w:ind w:left="80"/>
              <w:spacing w:after="0"/>
              <w:rPr>
                <w:sz w:val="20"/>
                <w:szCs w:val="20"/>
                <w:color w:val="auto"/>
              </w:rPr>
            </w:pPr>
            <w:r>
              <w:rPr>
                <w:rFonts w:ascii="Arial" w:cs="Arial" w:eastAsia="Arial" w:hAnsi="Arial"/>
                <w:sz w:val="16"/>
                <w:szCs w:val="16"/>
                <w:color w:val="092E44"/>
              </w:rPr>
              <w:t>auditors</w:t>
            </w:r>
          </w:p>
        </w:tc>
        <w:tc>
          <w:tcPr>
            <w:tcW w:w="1600" w:type="dxa"/>
            <w:vAlign w:val="bottom"/>
          </w:tcPr>
          <w:p>
            <w:pPr>
              <w:ind w:left="100"/>
              <w:spacing w:after="0"/>
              <w:rPr>
                <w:sz w:val="20"/>
                <w:szCs w:val="20"/>
                <w:color w:val="auto"/>
              </w:rPr>
            </w:pPr>
            <w:r>
              <w:rPr>
                <w:rFonts w:ascii="Arial" w:cs="Arial" w:eastAsia="Arial" w:hAnsi="Arial"/>
                <w:sz w:val="16"/>
                <w:szCs w:val="16"/>
                <w:color w:val="092E44"/>
              </w:rPr>
              <w:t>ABSTAIN</w:t>
            </w:r>
          </w:p>
        </w:tc>
        <w:tc>
          <w:tcPr>
            <w:tcW w:w="1360" w:type="dxa"/>
            <w:vAlign w:val="bottom"/>
          </w:tcPr>
          <w:p>
            <w:pPr>
              <w:spacing w:after="0"/>
              <w:rPr>
                <w:sz w:val="16"/>
                <w:szCs w:val="16"/>
                <w:color w:val="auto"/>
              </w:rPr>
            </w:pPr>
          </w:p>
        </w:tc>
        <w:tc>
          <w:tcPr>
            <w:tcW w:w="4560" w:type="dxa"/>
            <w:vAlign w:val="bottom"/>
          </w:tcPr>
          <w:p>
            <w:pPr>
              <w:ind w:left="160"/>
              <w:spacing w:after="0"/>
              <w:rPr>
                <w:sz w:val="20"/>
                <w:szCs w:val="20"/>
                <w:color w:val="auto"/>
              </w:rPr>
            </w:pPr>
            <w:r>
              <w:rPr>
                <w:rFonts w:ascii="Arial" w:cs="Arial" w:eastAsia="Arial" w:hAnsi="Arial"/>
                <w:sz w:val="16"/>
                <w:szCs w:val="16"/>
                <w:color w:val="092E44"/>
              </w:rPr>
              <w:t>proposal.</w:t>
            </w:r>
          </w:p>
        </w:tc>
        <w:tc>
          <w:tcPr>
            <w:tcW w:w="1100" w:type="dxa"/>
            <w:vAlign w:val="bottom"/>
          </w:tcPr>
          <w:p>
            <w:pPr>
              <w:ind w:left="60"/>
              <w:spacing w:after="0"/>
              <w:rPr>
                <w:sz w:val="20"/>
                <w:szCs w:val="20"/>
                <w:color w:val="auto"/>
              </w:rPr>
            </w:pPr>
            <w:r>
              <w:rPr>
                <w:rFonts w:ascii="Arial" w:cs="Arial" w:eastAsia="Arial" w:hAnsi="Arial"/>
                <w:sz w:val="16"/>
                <w:szCs w:val="16"/>
                <w:color w:val="092E44"/>
              </w:rPr>
              <w:t>will have</w:t>
            </w:r>
          </w:p>
        </w:tc>
      </w:tr>
      <w:tr>
        <w:trPr>
          <w:trHeight w:val="187"/>
        </w:trPr>
        <w:tc>
          <w:tcPr>
            <w:tcW w:w="2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Arial" w:cs="Arial" w:eastAsia="Arial" w:hAnsi="Arial"/>
                <w:sz w:val="16"/>
                <w:szCs w:val="16"/>
                <w:color w:val="092E44"/>
              </w:rPr>
              <w:t>no effect.</w:t>
            </w:r>
          </w:p>
        </w:tc>
      </w:tr>
      <w:tr>
        <w:trPr>
          <w:trHeight w:val="187"/>
        </w:trPr>
        <w:tc>
          <w:tcPr>
            <w:tcW w:w="2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Arial" w:cs="Arial" w:eastAsia="Arial" w:hAnsi="Arial"/>
                <w:sz w:val="16"/>
                <w:szCs w:val="16"/>
                <w:color w:val="092E44"/>
              </w:rPr>
              <w:t>Broker non-</w:t>
            </w:r>
          </w:p>
        </w:tc>
      </w:tr>
      <w:tr>
        <w:trPr>
          <w:trHeight w:val="187"/>
        </w:trPr>
        <w:tc>
          <w:tcPr>
            <w:tcW w:w="2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Arial" w:cs="Arial" w:eastAsia="Arial" w:hAnsi="Arial"/>
                <w:sz w:val="16"/>
                <w:szCs w:val="16"/>
                <w:color w:val="092E44"/>
              </w:rPr>
              <w:t>votes, if any,</w:t>
            </w:r>
          </w:p>
        </w:tc>
      </w:tr>
      <w:tr>
        <w:trPr>
          <w:trHeight w:val="187"/>
        </w:trPr>
        <w:tc>
          <w:tcPr>
            <w:tcW w:w="2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Arial" w:cs="Arial" w:eastAsia="Arial" w:hAnsi="Arial"/>
                <w:sz w:val="16"/>
                <w:szCs w:val="16"/>
                <w:color w:val="092E44"/>
              </w:rPr>
              <w:t>will have no</w:t>
            </w:r>
          </w:p>
        </w:tc>
      </w:tr>
      <w:tr>
        <w:trPr>
          <w:trHeight w:val="211"/>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100" w:type="dxa"/>
            <w:vAlign w:val="bottom"/>
          </w:tcPr>
          <w:p>
            <w:pPr>
              <w:ind w:left="60"/>
              <w:spacing w:after="0"/>
              <w:rPr>
                <w:sz w:val="20"/>
                <w:szCs w:val="20"/>
                <w:color w:val="auto"/>
              </w:rPr>
            </w:pPr>
            <w:r>
              <w:rPr>
                <w:rFonts w:ascii="Arial" w:cs="Arial" w:eastAsia="Arial" w:hAnsi="Arial"/>
                <w:sz w:val="16"/>
                <w:szCs w:val="16"/>
                <w:color w:val="092E44"/>
              </w:rPr>
              <w:t>effect.</w:t>
            </w:r>
          </w:p>
        </w:tc>
      </w:tr>
      <w:tr>
        <w:trPr>
          <w:trHeight w:val="57"/>
        </w:trPr>
        <w:tc>
          <w:tcPr>
            <w:tcW w:w="23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45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40"/>
        </w:trPr>
        <w:tc>
          <w:tcPr>
            <w:tcW w:w="2300" w:type="dxa"/>
            <w:vAlign w:val="bottom"/>
            <w:shd w:val="clear" w:color="auto" w:fill="DDE9F2"/>
          </w:tcPr>
          <w:p>
            <w:pPr>
              <w:ind w:left="80"/>
              <w:spacing w:after="0"/>
              <w:rPr>
                <w:sz w:val="20"/>
                <w:szCs w:val="20"/>
                <w:color w:val="auto"/>
              </w:rPr>
            </w:pPr>
            <w:r>
              <w:rPr>
                <w:rFonts w:ascii="Arial" w:cs="Arial" w:eastAsia="Arial" w:hAnsi="Arial"/>
                <w:sz w:val="16"/>
                <w:szCs w:val="16"/>
                <w:color w:val="092E44"/>
              </w:rPr>
              <w:t>Approval of additional shares</w:t>
            </w:r>
          </w:p>
        </w:tc>
        <w:tc>
          <w:tcPr>
            <w:tcW w:w="1600" w:type="dxa"/>
            <w:vAlign w:val="bottom"/>
            <w:shd w:val="clear" w:color="auto" w:fill="DDE9F2"/>
          </w:tcPr>
          <w:p>
            <w:pPr>
              <w:ind w:left="100"/>
              <w:spacing w:after="0"/>
              <w:rPr>
                <w:sz w:val="20"/>
                <w:szCs w:val="20"/>
                <w:color w:val="auto"/>
              </w:rPr>
            </w:pPr>
            <w:r>
              <w:rPr>
                <w:rFonts w:ascii="Arial" w:cs="Arial" w:eastAsia="Arial" w:hAnsi="Arial"/>
                <w:sz w:val="16"/>
                <w:szCs w:val="16"/>
                <w:color w:val="092E44"/>
              </w:rPr>
              <w:t>FOR, AGAINST, or</w:t>
            </w:r>
          </w:p>
        </w:tc>
        <w:tc>
          <w:tcPr>
            <w:tcW w:w="1360" w:type="dxa"/>
            <w:vAlign w:val="bottom"/>
            <w:shd w:val="clear" w:color="auto" w:fill="DDE9F2"/>
          </w:tcPr>
          <w:p>
            <w:pPr>
              <w:ind w:left="160"/>
              <w:spacing w:after="0"/>
              <w:rPr>
                <w:sz w:val="20"/>
                <w:szCs w:val="20"/>
                <w:color w:val="auto"/>
              </w:rPr>
            </w:pPr>
            <w:r>
              <w:rPr>
                <w:rFonts w:ascii="Arial" w:cs="Arial" w:eastAsia="Arial" w:hAnsi="Arial"/>
                <w:sz w:val="16"/>
                <w:szCs w:val="16"/>
                <w:b w:val="1"/>
                <w:bCs w:val="1"/>
                <w:color w:val="E14A6A"/>
              </w:rPr>
              <w:t>FOR</w:t>
            </w:r>
          </w:p>
        </w:tc>
        <w:tc>
          <w:tcPr>
            <w:tcW w:w="4560" w:type="dxa"/>
            <w:vAlign w:val="bottom"/>
            <w:shd w:val="clear" w:color="auto" w:fill="DDE9F2"/>
          </w:tcPr>
          <w:p>
            <w:pPr>
              <w:ind w:left="160"/>
              <w:spacing w:after="0"/>
              <w:rPr>
                <w:sz w:val="20"/>
                <w:szCs w:val="20"/>
                <w:color w:val="auto"/>
              </w:rPr>
            </w:pPr>
            <w:r>
              <w:rPr>
                <w:rFonts w:ascii="Arial" w:cs="Arial" w:eastAsia="Arial" w:hAnsi="Arial"/>
                <w:sz w:val="16"/>
                <w:szCs w:val="16"/>
                <w:color w:val="092E44"/>
              </w:rPr>
              <w:t>The affirmative vote of a majority of the votes cast on the</w:t>
            </w:r>
          </w:p>
        </w:tc>
        <w:tc>
          <w:tcPr>
            <w:tcW w:w="1100" w:type="dxa"/>
            <w:vAlign w:val="bottom"/>
            <w:shd w:val="clear" w:color="auto" w:fill="DDE9F2"/>
          </w:tcPr>
          <w:p>
            <w:pPr>
              <w:ind w:left="60"/>
              <w:spacing w:after="0"/>
              <w:rPr>
                <w:sz w:val="20"/>
                <w:szCs w:val="20"/>
                <w:color w:val="auto"/>
              </w:rPr>
            </w:pPr>
            <w:r>
              <w:rPr>
                <w:rFonts w:ascii="Arial" w:cs="Arial" w:eastAsia="Arial" w:hAnsi="Arial"/>
                <w:sz w:val="16"/>
                <w:szCs w:val="16"/>
                <w:color w:val="092E44"/>
              </w:rPr>
              <w:t>No effect</w:t>
            </w:r>
          </w:p>
        </w:tc>
      </w:tr>
      <w:tr>
        <w:trPr>
          <w:trHeight w:val="187"/>
        </w:trPr>
        <w:tc>
          <w:tcPr>
            <w:tcW w:w="2300" w:type="dxa"/>
            <w:vAlign w:val="bottom"/>
            <w:shd w:val="clear" w:color="auto" w:fill="DDE9F2"/>
          </w:tcPr>
          <w:p>
            <w:pPr>
              <w:ind w:left="80"/>
              <w:spacing w:after="0"/>
              <w:rPr>
                <w:sz w:val="20"/>
                <w:szCs w:val="20"/>
                <w:color w:val="auto"/>
              </w:rPr>
            </w:pPr>
            <w:r>
              <w:rPr>
                <w:rFonts w:ascii="Arial" w:cs="Arial" w:eastAsia="Arial" w:hAnsi="Arial"/>
                <w:sz w:val="16"/>
                <w:szCs w:val="16"/>
                <w:color w:val="092E44"/>
              </w:rPr>
              <w:t>to be available for grant under</w:t>
            </w:r>
          </w:p>
        </w:tc>
        <w:tc>
          <w:tcPr>
            <w:tcW w:w="1600" w:type="dxa"/>
            <w:vAlign w:val="bottom"/>
            <w:shd w:val="clear" w:color="auto" w:fill="DDE9F2"/>
          </w:tcPr>
          <w:p>
            <w:pPr>
              <w:ind w:left="100"/>
              <w:spacing w:after="0"/>
              <w:rPr>
                <w:sz w:val="20"/>
                <w:szCs w:val="20"/>
                <w:color w:val="auto"/>
              </w:rPr>
            </w:pPr>
            <w:r>
              <w:rPr>
                <w:rFonts w:ascii="Arial" w:cs="Arial" w:eastAsia="Arial" w:hAnsi="Arial"/>
                <w:sz w:val="16"/>
                <w:szCs w:val="16"/>
                <w:color w:val="092E44"/>
              </w:rPr>
              <w:t>ABSTAIN</w:t>
            </w:r>
          </w:p>
        </w:tc>
        <w:tc>
          <w:tcPr>
            <w:tcW w:w="1360" w:type="dxa"/>
            <w:vAlign w:val="bottom"/>
            <w:shd w:val="clear" w:color="auto" w:fill="DDE9F2"/>
          </w:tcPr>
          <w:p>
            <w:pPr>
              <w:spacing w:after="0"/>
              <w:rPr>
                <w:sz w:val="16"/>
                <w:szCs w:val="16"/>
                <w:color w:val="auto"/>
              </w:rPr>
            </w:pPr>
          </w:p>
        </w:tc>
        <w:tc>
          <w:tcPr>
            <w:tcW w:w="4560" w:type="dxa"/>
            <w:vAlign w:val="bottom"/>
            <w:shd w:val="clear" w:color="auto" w:fill="DDE9F2"/>
          </w:tcPr>
          <w:p>
            <w:pPr>
              <w:ind w:left="160"/>
              <w:spacing w:after="0"/>
              <w:rPr>
                <w:sz w:val="20"/>
                <w:szCs w:val="20"/>
                <w:color w:val="auto"/>
              </w:rPr>
            </w:pPr>
            <w:r>
              <w:rPr>
                <w:rFonts w:ascii="Arial" w:cs="Arial" w:eastAsia="Arial" w:hAnsi="Arial"/>
                <w:sz w:val="16"/>
                <w:szCs w:val="16"/>
                <w:color w:val="092E44"/>
              </w:rPr>
              <w:t>proposal.</w:t>
            </w:r>
          </w:p>
        </w:tc>
        <w:tc>
          <w:tcPr>
            <w:tcW w:w="1100" w:type="dxa"/>
            <w:vAlign w:val="bottom"/>
            <w:shd w:val="clear" w:color="auto" w:fill="DDE9F2"/>
          </w:tcPr>
          <w:p>
            <w:pPr>
              <w:spacing w:after="0"/>
              <w:rPr>
                <w:sz w:val="16"/>
                <w:szCs w:val="16"/>
                <w:color w:val="auto"/>
              </w:rPr>
            </w:pPr>
          </w:p>
        </w:tc>
      </w:tr>
      <w:tr>
        <w:trPr>
          <w:trHeight w:val="187"/>
        </w:trPr>
        <w:tc>
          <w:tcPr>
            <w:tcW w:w="2300" w:type="dxa"/>
            <w:vAlign w:val="bottom"/>
            <w:shd w:val="clear" w:color="auto" w:fill="DDE9F2"/>
          </w:tcPr>
          <w:p>
            <w:pPr>
              <w:ind w:left="80"/>
              <w:spacing w:after="0"/>
              <w:rPr>
                <w:sz w:val="20"/>
                <w:szCs w:val="20"/>
                <w:color w:val="auto"/>
              </w:rPr>
            </w:pPr>
            <w:r>
              <w:rPr>
                <w:rFonts w:ascii="Arial" w:cs="Arial" w:eastAsia="Arial" w:hAnsi="Arial"/>
                <w:sz w:val="16"/>
                <w:szCs w:val="16"/>
                <w:color w:val="092E44"/>
              </w:rPr>
              <w:t>the 2016 Incentive Plan, as</w:t>
            </w:r>
          </w:p>
        </w:tc>
        <w:tc>
          <w:tcPr>
            <w:tcW w:w="1600" w:type="dxa"/>
            <w:vAlign w:val="bottom"/>
            <w:shd w:val="clear" w:color="auto" w:fill="DDE9F2"/>
          </w:tcPr>
          <w:p>
            <w:pPr>
              <w:spacing w:after="0"/>
              <w:rPr>
                <w:sz w:val="16"/>
                <w:szCs w:val="16"/>
                <w:color w:val="auto"/>
              </w:rPr>
            </w:pPr>
          </w:p>
        </w:tc>
        <w:tc>
          <w:tcPr>
            <w:tcW w:w="1360" w:type="dxa"/>
            <w:vAlign w:val="bottom"/>
            <w:shd w:val="clear" w:color="auto" w:fill="DDE9F2"/>
          </w:tcPr>
          <w:p>
            <w:pPr>
              <w:spacing w:after="0"/>
              <w:rPr>
                <w:sz w:val="16"/>
                <w:szCs w:val="16"/>
                <w:color w:val="auto"/>
              </w:rPr>
            </w:pPr>
          </w:p>
        </w:tc>
        <w:tc>
          <w:tcPr>
            <w:tcW w:w="4560" w:type="dxa"/>
            <w:vAlign w:val="bottom"/>
            <w:shd w:val="clear" w:color="auto" w:fill="DDE9F2"/>
          </w:tcPr>
          <w:p>
            <w:pPr>
              <w:spacing w:after="0"/>
              <w:rPr>
                <w:sz w:val="16"/>
                <w:szCs w:val="16"/>
                <w:color w:val="auto"/>
              </w:rPr>
            </w:pPr>
          </w:p>
        </w:tc>
        <w:tc>
          <w:tcPr>
            <w:tcW w:w="1100" w:type="dxa"/>
            <w:vAlign w:val="bottom"/>
            <w:shd w:val="clear" w:color="auto" w:fill="DDE9F2"/>
          </w:tcPr>
          <w:p>
            <w:pPr>
              <w:spacing w:after="0"/>
              <w:rPr>
                <w:sz w:val="16"/>
                <w:szCs w:val="16"/>
                <w:color w:val="auto"/>
              </w:rPr>
            </w:pPr>
          </w:p>
        </w:tc>
      </w:tr>
      <w:tr>
        <w:trPr>
          <w:trHeight w:val="187"/>
        </w:trPr>
        <w:tc>
          <w:tcPr>
            <w:tcW w:w="2300" w:type="dxa"/>
            <w:vAlign w:val="bottom"/>
            <w:shd w:val="clear" w:color="auto" w:fill="DDE9F2"/>
          </w:tcPr>
          <w:p>
            <w:pPr>
              <w:ind w:left="80"/>
              <w:spacing w:after="0"/>
              <w:rPr>
                <w:sz w:val="20"/>
                <w:szCs w:val="20"/>
                <w:color w:val="auto"/>
              </w:rPr>
            </w:pPr>
            <w:r>
              <w:rPr>
                <w:rFonts w:ascii="Arial" w:cs="Arial" w:eastAsia="Arial" w:hAnsi="Arial"/>
                <w:sz w:val="16"/>
                <w:szCs w:val="16"/>
                <w:color w:val="092E44"/>
              </w:rPr>
              <w:t>amended by the Sixth</w:t>
            </w:r>
          </w:p>
        </w:tc>
        <w:tc>
          <w:tcPr>
            <w:tcW w:w="1600" w:type="dxa"/>
            <w:vAlign w:val="bottom"/>
            <w:shd w:val="clear" w:color="auto" w:fill="DDE9F2"/>
          </w:tcPr>
          <w:p>
            <w:pPr>
              <w:spacing w:after="0"/>
              <w:rPr>
                <w:sz w:val="16"/>
                <w:szCs w:val="16"/>
                <w:color w:val="auto"/>
              </w:rPr>
            </w:pPr>
          </w:p>
        </w:tc>
        <w:tc>
          <w:tcPr>
            <w:tcW w:w="1360" w:type="dxa"/>
            <w:vAlign w:val="bottom"/>
            <w:shd w:val="clear" w:color="auto" w:fill="DDE9F2"/>
          </w:tcPr>
          <w:p>
            <w:pPr>
              <w:spacing w:after="0"/>
              <w:rPr>
                <w:sz w:val="16"/>
                <w:szCs w:val="16"/>
                <w:color w:val="auto"/>
              </w:rPr>
            </w:pPr>
          </w:p>
        </w:tc>
        <w:tc>
          <w:tcPr>
            <w:tcW w:w="4560" w:type="dxa"/>
            <w:vAlign w:val="bottom"/>
            <w:shd w:val="clear" w:color="auto" w:fill="DDE9F2"/>
          </w:tcPr>
          <w:p>
            <w:pPr>
              <w:spacing w:after="0"/>
              <w:rPr>
                <w:sz w:val="16"/>
                <w:szCs w:val="16"/>
                <w:color w:val="auto"/>
              </w:rPr>
            </w:pPr>
          </w:p>
        </w:tc>
        <w:tc>
          <w:tcPr>
            <w:tcW w:w="1100" w:type="dxa"/>
            <w:vAlign w:val="bottom"/>
            <w:shd w:val="clear" w:color="auto" w:fill="DDE9F2"/>
          </w:tcPr>
          <w:p>
            <w:pPr>
              <w:spacing w:after="0"/>
              <w:rPr>
                <w:sz w:val="16"/>
                <w:szCs w:val="16"/>
                <w:color w:val="auto"/>
              </w:rPr>
            </w:pPr>
          </w:p>
        </w:tc>
      </w:tr>
      <w:tr>
        <w:trPr>
          <w:trHeight w:val="248"/>
        </w:trPr>
        <w:tc>
          <w:tcPr>
            <w:tcW w:w="2300" w:type="dxa"/>
            <w:vAlign w:val="bottom"/>
            <w:tcBorders>
              <w:bottom w:val="single" w:sz="8" w:color="DDE9F2"/>
            </w:tcBorders>
            <w:shd w:val="clear" w:color="auto" w:fill="DDE9F2"/>
          </w:tcPr>
          <w:p>
            <w:pPr>
              <w:ind w:left="80"/>
              <w:spacing w:after="0"/>
              <w:rPr>
                <w:sz w:val="20"/>
                <w:szCs w:val="20"/>
                <w:color w:val="auto"/>
              </w:rPr>
            </w:pPr>
            <w:r>
              <w:rPr>
                <w:rFonts w:ascii="Arial" w:cs="Arial" w:eastAsia="Arial" w:hAnsi="Arial"/>
                <w:sz w:val="16"/>
                <w:szCs w:val="16"/>
                <w:color w:val="092E44"/>
              </w:rPr>
              <w:t>Amendment</w:t>
            </w:r>
          </w:p>
        </w:tc>
        <w:tc>
          <w:tcPr>
            <w:tcW w:w="1600" w:type="dxa"/>
            <w:vAlign w:val="bottom"/>
            <w:tcBorders>
              <w:bottom w:val="single" w:sz="8" w:color="DDE9F2"/>
            </w:tcBorders>
            <w:shd w:val="clear" w:color="auto" w:fill="DDE9F2"/>
          </w:tcPr>
          <w:p>
            <w:pPr>
              <w:spacing w:after="0"/>
              <w:rPr>
                <w:sz w:val="21"/>
                <w:szCs w:val="21"/>
                <w:color w:val="auto"/>
              </w:rPr>
            </w:pPr>
          </w:p>
        </w:tc>
        <w:tc>
          <w:tcPr>
            <w:tcW w:w="1360" w:type="dxa"/>
            <w:vAlign w:val="bottom"/>
            <w:tcBorders>
              <w:bottom w:val="single" w:sz="8" w:color="DDE9F2"/>
            </w:tcBorders>
            <w:shd w:val="clear" w:color="auto" w:fill="DDE9F2"/>
          </w:tcPr>
          <w:p>
            <w:pPr>
              <w:spacing w:after="0"/>
              <w:rPr>
                <w:sz w:val="21"/>
                <w:szCs w:val="21"/>
                <w:color w:val="auto"/>
              </w:rPr>
            </w:pPr>
          </w:p>
        </w:tc>
        <w:tc>
          <w:tcPr>
            <w:tcW w:w="4560" w:type="dxa"/>
            <w:vAlign w:val="bottom"/>
            <w:tcBorders>
              <w:bottom w:val="single" w:sz="8" w:color="DDE9F2"/>
            </w:tcBorders>
            <w:shd w:val="clear" w:color="auto" w:fill="DDE9F2"/>
          </w:tcPr>
          <w:p>
            <w:pPr>
              <w:spacing w:after="0"/>
              <w:rPr>
                <w:sz w:val="21"/>
                <w:szCs w:val="21"/>
                <w:color w:val="auto"/>
              </w:rPr>
            </w:pPr>
          </w:p>
        </w:tc>
        <w:tc>
          <w:tcPr>
            <w:tcW w:w="1100" w:type="dxa"/>
            <w:vAlign w:val="bottom"/>
            <w:tcBorders>
              <w:bottom w:val="single" w:sz="8" w:color="DDE9F2"/>
            </w:tcBorders>
            <w:shd w:val="clear" w:color="auto" w:fill="DDE9F2"/>
          </w:tcPr>
          <w:p>
            <w:pPr>
              <w:spacing w:after="0"/>
              <w:rPr>
                <w:sz w:val="21"/>
                <w:szCs w:val="21"/>
                <w:color w:val="auto"/>
              </w:rPr>
            </w:pPr>
          </w:p>
        </w:tc>
      </w:tr>
      <w:tr>
        <w:trPr>
          <w:trHeight w:val="20"/>
        </w:trPr>
        <w:tc>
          <w:tcPr>
            <w:tcW w:w="2300" w:type="dxa"/>
            <w:vAlign w:val="bottom"/>
            <w:shd w:val="clear" w:color="auto" w:fill="092E44"/>
          </w:tcPr>
          <w:p>
            <w:pPr>
              <w:spacing w:after="0" w:line="20" w:lineRule="exact"/>
              <w:rPr>
                <w:sz w:val="1"/>
                <w:szCs w:val="1"/>
                <w:color w:val="auto"/>
              </w:rPr>
            </w:pPr>
          </w:p>
        </w:tc>
        <w:tc>
          <w:tcPr>
            <w:tcW w:w="1600" w:type="dxa"/>
            <w:vAlign w:val="bottom"/>
            <w:shd w:val="clear" w:color="auto" w:fill="092E44"/>
          </w:tcPr>
          <w:p>
            <w:pPr>
              <w:spacing w:after="0" w:line="20" w:lineRule="exact"/>
              <w:rPr>
                <w:sz w:val="1"/>
                <w:szCs w:val="1"/>
                <w:color w:val="auto"/>
              </w:rPr>
            </w:pPr>
          </w:p>
        </w:tc>
        <w:tc>
          <w:tcPr>
            <w:tcW w:w="1360" w:type="dxa"/>
            <w:vAlign w:val="bottom"/>
            <w:shd w:val="clear" w:color="auto" w:fill="092E44"/>
          </w:tcPr>
          <w:p>
            <w:pPr>
              <w:spacing w:after="0" w:line="20" w:lineRule="exact"/>
              <w:rPr>
                <w:sz w:val="1"/>
                <w:szCs w:val="1"/>
                <w:color w:val="auto"/>
              </w:rPr>
            </w:pPr>
          </w:p>
        </w:tc>
        <w:tc>
          <w:tcPr>
            <w:tcW w:w="4560" w:type="dxa"/>
            <w:vAlign w:val="bottom"/>
            <w:shd w:val="clear" w:color="auto" w:fill="092E44"/>
          </w:tcPr>
          <w:p>
            <w:pPr>
              <w:spacing w:after="0" w:line="20" w:lineRule="exact"/>
              <w:rPr>
                <w:sz w:val="1"/>
                <w:szCs w:val="1"/>
                <w:color w:val="auto"/>
              </w:rPr>
            </w:pPr>
          </w:p>
        </w:tc>
        <w:tc>
          <w:tcPr>
            <w:tcW w:w="1100" w:type="dxa"/>
            <w:vAlign w:val="bottom"/>
            <w:shd w:val="clear" w:color="auto" w:fill="092E44"/>
          </w:tcPr>
          <w:p>
            <w:pPr>
              <w:spacing w:after="0" w:line="20" w:lineRule="exact"/>
              <w:rPr>
                <w:sz w:val="1"/>
                <w:szCs w:val="1"/>
                <w:color w:val="auto"/>
              </w:rPr>
            </w:pPr>
          </w:p>
        </w:tc>
      </w:tr>
    </w:tbl>
    <w:p>
      <w:pPr>
        <w:spacing w:after="0" w:line="49" w:lineRule="exact"/>
        <w:rPr>
          <w:sz w:val="20"/>
          <w:szCs w:val="20"/>
          <w:color w:val="auto"/>
        </w:rPr>
      </w:pPr>
    </w:p>
    <w:p>
      <w:pPr>
        <w:ind w:left="480" w:hanging="313"/>
        <w:spacing w:after="0"/>
        <w:tabs>
          <w:tab w:leader="none" w:pos="480" w:val="left"/>
        </w:tabs>
        <w:numPr>
          <w:ilvl w:val="0"/>
          <w:numId w:val="35"/>
        </w:numPr>
        <w:rPr>
          <w:rFonts w:ascii="Arial" w:cs="Arial" w:eastAsia="Arial" w:hAnsi="Arial"/>
          <w:sz w:val="12"/>
          <w:szCs w:val="12"/>
          <w:color w:val="092E44"/>
        </w:rPr>
      </w:pPr>
      <w:r>
        <w:rPr>
          <w:rFonts w:ascii="Arial" w:cs="Arial" w:eastAsia="Arial" w:hAnsi="Arial"/>
          <w:sz w:val="12"/>
          <w:szCs w:val="12"/>
          <w:color w:val="092E44"/>
        </w:rPr>
        <w:t>for an explanation of broker non-votes, please see “How can I vote if I hold my Commvault stock through a broker?”</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How can I vote if I do not plan to attend the Annual Meeting?</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Registered stockholders of record may provide voting instructions before the Annual Meeting in one of three ways:</w:t>
      </w:r>
    </w:p>
    <w:p>
      <w:pPr>
        <w:spacing w:after="0" w:line="220" w:lineRule="exact"/>
        <w:rPr>
          <w:sz w:val="20"/>
          <w:szCs w:val="20"/>
          <w:color w:val="auto"/>
        </w:rPr>
      </w:pPr>
    </w:p>
    <w:p>
      <w:pPr>
        <w:ind w:left="1040"/>
        <w:spacing w:after="0"/>
        <w:tabs>
          <w:tab w:leader="none" w:pos="4066" w:val="left"/>
        </w:tabs>
        <w:rPr>
          <w:sz w:val="20"/>
          <w:szCs w:val="20"/>
          <w:color w:val="auto"/>
        </w:rPr>
      </w:pPr>
      <w:r>
        <w:rPr>
          <w:rFonts w:ascii="Arial" w:cs="Arial" w:eastAsia="Arial" w:hAnsi="Arial"/>
          <w:sz w:val="18"/>
          <w:szCs w:val="18"/>
          <w:b w:val="1"/>
          <w:bCs w:val="1"/>
          <w:color w:val="E14A6A"/>
        </w:rPr>
        <w:t>Mail:</w:t>
      </w:r>
      <w:r>
        <w:rPr>
          <w:sz w:val="20"/>
          <w:szCs w:val="20"/>
          <w:color w:val="auto"/>
        </w:rPr>
        <w:tab/>
      </w:r>
      <w:r>
        <w:rPr>
          <w:sz w:val="1"/>
          <w:szCs w:val="1"/>
          <w:color w:val="auto"/>
        </w:rPr>
        <w:drawing>
          <wp:inline distT="0" distB="0" distL="0" distR="0">
            <wp:extent cx="322580" cy="29718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22580" cy="297180"/>
                    </a:xfrm>
                    <a:prstGeom prst="rect">
                      <a:avLst/>
                    </a:prstGeom>
                    <a:noFill/>
                    <a:ln>
                      <a:noFill/>
                    </a:ln>
                  </pic:spPr>
                </pic:pic>
              </a:graphicData>
            </a:graphic>
          </wp:inline>
        </w:drawing>
      </w:r>
      <w:r>
        <w:rPr>
          <w:rFonts w:ascii="Arial" w:cs="Arial" w:eastAsia="Arial" w:hAnsi="Arial"/>
          <w:sz w:val="18"/>
          <w:szCs w:val="18"/>
          <w:b w:val="1"/>
          <w:bCs w:val="1"/>
          <w:color w:val="E14A6A"/>
        </w:rPr>
        <w:t xml:space="preserve">   Online before the Meeting:      </w:t>
      </w:r>
      <w:r>
        <w:rPr>
          <w:sz w:val="1"/>
          <w:szCs w:val="1"/>
          <w:color w:val="auto"/>
        </w:rPr>
        <w:drawing>
          <wp:inline distT="0" distB="0" distL="0" distR="0">
            <wp:extent cx="297180" cy="29718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97180" cy="297180"/>
                    </a:xfrm>
                    <a:prstGeom prst="rect">
                      <a:avLst/>
                    </a:prstGeom>
                    <a:noFill/>
                    <a:ln>
                      <a:noFill/>
                    </a:ln>
                  </pic:spPr>
                </pic:pic>
              </a:graphicData>
            </a:graphic>
          </wp:inline>
        </w:drawing>
      </w:r>
      <w:r>
        <w:rPr>
          <w:rFonts w:ascii="Arial" w:cs="Arial" w:eastAsia="Arial" w:hAnsi="Arial"/>
          <w:sz w:val="18"/>
          <w:szCs w:val="18"/>
          <w:b w:val="1"/>
          <w:bCs w:val="1"/>
          <w:color w:val="E14A6A"/>
        </w:rPr>
        <w:t xml:space="preserve">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-296545</wp:posOffset>
            </wp:positionV>
            <wp:extent cx="347980" cy="2292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7980" cy="22923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93" w:lineRule="exact"/>
        <w:rPr>
          <w:sz w:val="20"/>
          <w:szCs w:val="20"/>
          <w:color w:val="auto"/>
        </w:rPr>
      </w:pPr>
    </w:p>
    <w:p>
      <w:pPr>
        <w:ind w:left="160" w:right="100"/>
        <w:spacing w:after="0" w:line="279" w:lineRule="auto"/>
        <w:rPr>
          <w:sz w:val="20"/>
          <w:szCs w:val="20"/>
          <w:color w:val="auto"/>
        </w:rPr>
      </w:pPr>
      <w:r>
        <w:rPr>
          <w:rFonts w:ascii="Arial" w:cs="Arial" w:eastAsia="Arial" w:hAnsi="Arial"/>
          <w:sz w:val="16"/>
          <w:szCs w:val="16"/>
          <w:color w:val="092E44"/>
        </w:rPr>
        <w:t>Sign, date and return your proxy card in the enclosed envelope</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380" w:type="dxa"/>
            <w:vAlign w:val="bottom"/>
            <w:gridSpan w:val="3"/>
          </w:tcPr>
          <w:p>
            <w:pPr>
              <w:spacing w:after="0"/>
              <w:rPr>
                <w:sz w:val="20"/>
                <w:szCs w:val="20"/>
                <w:color w:val="auto"/>
              </w:rPr>
            </w:pPr>
            <w:r>
              <w:rPr>
                <w:rFonts w:ascii="Arial" w:cs="Arial" w:eastAsia="Arial" w:hAnsi="Arial"/>
                <w:sz w:val="16"/>
                <w:szCs w:val="16"/>
                <w:color w:val="092E44"/>
              </w:rPr>
              <w:t xml:space="preserve">Visit </w:t>
            </w:r>
            <w:r>
              <w:rPr>
                <w:rFonts w:ascii="Arial" w:cs="Arial" w:eastAsia="Arial" w:hAnsi="Arial"/>
                <w:sz w:val="16"/>
                <w:szCs w:val="16"/>
                <w:color w:val="E14A6A"/>
              </w:rPr>
              <w:t>www.investorvote.com/CVLT</w:t>
            </w:r>
            <w:r>
              <w:rPr>
                <w:rFonts w:ascii="Arial" w:cs="Arial" w:eastAsia="Arial" w:hAnsi="Arial"/>
                <w:sz w:val="16"/>
                <w:szCs w:val="16"/>
                <w:color w:val="092E44"/>
              </w:rPr>
              <w:t xml:space="preserve"> and finish</w:t>
            </w:r>
          </w:p>
        </w:tc>
        <w:tc>
          <w:tcPr>
            <w:tcW w:w="3540" w:type="dxa"/>
            <w:vAlign w:val="bottom"/>
          </w:tcPr>
          <w:p>
            <w:pPr>
              <w:ind w:left="280"/>
              <w:spacing w:after="0"/>
              <w:rPr>
                <w:sz w:val="20"/>
                <w:szCs w:val="20"/>
                <w:color w:val="auto"/>
              </w:rPr>
            </w:pPr>
            <w:r>
              <w:rPr>
                <w:rFonts w:ascii="Arial" w:cs="Arial" w:eastAsia="Arial" w:hAnsi="Arial"/>
                <w:sz w:val="16"/>
                <w:szCs w:val="16"/>
                <w:color w:val="092E44"/>
                <w:w w:val="99"/>
              </w:rPr>
              <w:t>Call the telephone number on your proxy card</w:t>
            </w:r>
          </w:p>
        </w:tc>
      </w:tr>
      <w:tr>
        <w:trPr>
          <w:trHeight w:val="180"/>
        </w:trPr>
        <w:tc>
          <w:tcPr>
            <w:tcW w:w="360" w:type="dxa"/>
            <w:vAlign w:val="bottom"/>
          </w:tcPr>
          <w:p>
            <w:pPr>
              <w:spacing w:after="0" w:line="180" w:lineRule="exact"/>
              <w:rPr>
                <w:sz w:val="20"/>
                <w:szCs w:val="20"/>
                <w:color w:val="auto"/>
              </w:rPr>
            </w:pPr>
            <w:r>
              <w:rPr>
                <w:rFonts w:ascii="Arial" w:cs="Arial" w:eastAsia="Arial" w:hAnsi="Arial"/>
                <w:sz w:val="16"/>
                <w:szCs w:val="16"/>
                <w:color w:val="092E44"/>
                <w:w w:val="79"/>
              </w:rPr>
              <w:t>voting</w:t>
            </w:r>
          </w:p>
        </w:tc>
        <w:tc>
          <w:tcPr>
            <w:tcW w:w="2040" w:type="dxa"/>
            <w:vAlign w:val="bottom"/>
            <w:tcBorders>
              <w:top w:val="single" w:sz="8" w:color="E14A6A"/>
            </w:tcBorders>
          </w:tcPr>
          <w:p>
            <w:pPr>
              <w:ind w:left="120"/>
              <w:spacing w:after="0" w:line="180" w:lineRule="exact"/>
              <w:rPr>
                <w:sz w:val="20"/>
                <w:szCs w:val="20"/>
                <w:color w:val="auto"/>
              </w:rPr>
            </w:pPr>
            <w:r>
              <w:rPr>
                <w:rFonts w:ascii="Arial" w:cs="Arial" w:eastAsia="Arial" w:hAnsi="Arial"/>
                <w:sz w:val="16"/>
                <w:szCs w:val="16"/>
                <w:color w:val="092E44"/>
              </w:rPr>
              <w:t>before 3:00 a.m. EST on</w:t>
            </w:r>
          </w:p>
        </w:tc>
        <w:tc>
          <w:tcPr>
            <w:tcW w:w="980" w:type="dxa"/>
            <w:vAlign w:val="bottom"/>
          </w:tcPr>
          <w:p>
            <w:pPr>
              <w:spacing w:after="0" w:line="180" w:lineRule="exact"/>
              <w:rPr>
                <w:sz w:val="20"/>
                <w:szCs w:val="20"/>
                <w:color w:val="auto"/>
              </w:rPr>
            </w:pPr>
            <w:r>
              <w:rPr>
                <w:rFonts w:ascii="Arial" w:cs="Arial" w:eastAsia="Arial" w:hAnsi="Arial"/>
                <w:sz w:val="16"/>
                <w:szCs w:val="16"/>
                <w:color w:val="092E44"/>
              </w:rPr>
              <w:t>August 24,</w:t>
            </w:r>
          </w:p>
        </w:tc>
        <w:tc>
          <w:tcPr>
            <w:tcW w:w="3540" w:type="dxa"/>
            <w:vAlign w:val="bottom"/>
          </w:tcPr>
          <w:p>
            <w:pPr>
              <w:spacing w:after="0"/>
              <w:rPr>
                <w:sz w:val="15"/>
                <w:szCs w:val="15"/>
                <w:color w:val="auto"/>
              </w:rPr>
            </w:pPr>
          </w:p>
        </w:tc>
      </w:tr>
      <w:tr>
        <w:trPr>
          <w:trHeight w:val="211"/>
        </w:trPr>
        <w:tc>
          <w:tcPr>
            <w:tcW w:w="2400" w:type="dxa"/>
            <w:vAlign w:val="bottom"/>
            <w:gridSpan w:val="2"/>
          </w:tcPr>
          <w:p>
            <w:pPr>
              <w:spacing w:after="0"/>
              <w:rPr>
                <w:sz w:val="20"/>
                <w:szCs w:val="20"/>
                <w:color w:val="auto"/>
              </w:rPr>
            </w:pPr>
            <w:r>
              <w:rPr>
                <w:rFonts w:ascii="Arial" w:cs="Arial" w:eastAsia="Arial" w:hAnsi="Arial"/>
                <w:sz w:val="16"/>
                <w:szCs w:val="16"/>
                <w:color w:val="092E44"/>
              </w:rPr>
              <w:t>2022.</w:t>
            </w:r>
          </w:p>
        </w:tc>
        <w:tc>
          <w:tcPr>
            <w:tcW w:w="980" w:type="dxa"/>
            <w:vAlign w:val="bottom"/>
          </w:tcPr>
          <w:p>
            <w:pPr>
              <w:spacing w:after="0"/>
              <w:rPr>
                <w:sz w:val="18"/>
                <w:szCs w:val="18"/>
                <w:color w:val="auto"/>
              </w:rPr>
            </w:pPr>
          </w:p>
        </w:tc>
        <w:tc>
          <w:tcPr>
            <w:tcW w:w="3540" w:type="dxa"/>
            <w:vAlign w:val="bottom"/>
          </w:tcPr>
          <w:p>
            <w:pPr>
              <w:spacing w:after="0"/>
              <w:rPr>
                <w:sz w:val="18"/>
                <w:szCs w:val="18"/>
                <w:color w:val="auto"/>
              </w:rPr>
            </w:pPr>
          </w:p>
        </w:tc>
      </w:tr>
    </w:tbl>
    <w:p>
      <w:pPr>
        <w:spacing w:after="0" w:line="83" w:lineRule="exact"/>
        <w:rPr>
          <w:sz w:val="20"/>
          <w:szCs w:val="20"/>
          <w:color w:val="auto"/>
        </w:rPr>
      </w:pPr>
    </w:p>
    <w:p>
      <w:pPr>
        <w:sectPr>
          <w:pgSz w:w="11900" w:h="16838" w:orient="portrait"/>
          <w:cols w:equalWidth="0" w:num="2">
            <w:col w:w="3360" w:space="720"/>
            <w:col w:w="7000"/>
          </w:cols>
          <w:pgMar w:left="320" w:top="454" w:right="499" w:bottom="1440" w:gutter="0" w:footer="0" w:header="0"/>
          <w:type w:val="continuous"/>
        </w:sectPr>
      </w:pPr>
    </w:p>
    <w:p>
      <w:pPr>
        <w:ind w:left="160" w:right="360"/>
        <w:spacing w:after="0" w:line="279" w:lineRule="auto"/>
        <w:rPr>
          <w:sz w:val="20"/>
          <w:szCs w:val="20"/>
          <w:color w:val="auto"/>
        </w:rPr>
      </w:pPr>
      <w:r>
        <w:rPr>
          <w:rFonts w:ascii="Arial" w:cs="Arial" w:eastAsia="Arial" w:hAnsi="Arial"/>
          <w:sz w:val="16"/>
          <w:szCs w:val="16"/>
          <w:color w:val="092E44"/>
        </w:rPr>
        <w:t>All properly completed, unrevoked proxies received prior to the close of voting at the Annual Meeting will be voted in accordance with the instructions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221615</wp:posOffset>
            </wp:positionV>
            <wp:extent cx="220980" cy="2120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61</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80"/>
          </w:cols>
          <w:pgMar w:left="320" w:top="454" w:right="49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ADDITIONAL INFORMATION ABOUT THE ANNUAL MEETING</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How can I vote if I hold my Commvault stock through a broker?</w:t>
      </w:r>
    </w:p>
    <w:p>
      <w:pPr>
        <w:spacing w:after="0" w:line="67" w:lineRule="exact"/>
        <w:rPr>
          <w:sz w:val="20"/>
          <w:szCs w:val="20"/>
          <w:color w:val="auto"/>
        </w:rPr>
      </w:pPr>
    </w:p>
    <w:p>
      <w:pPr>
        <w:ind w:left="160" w:right="20"/>
        <w:spacing w:after="0" w:line="249" w:lineRule="auto"/>
        <w:rPr>
          <w:sz w:val="20"/>
          <w:szCs w:val="20"/>
          <w:color w:val="auto"/>
        </w:rPr>
      </w:pPr>
      <w:r>
        <w:rPr>
          <w:rFonts w:ascii="Arial" w:cs="Arial" w:eastAsia="Arial" w:hAnsi="Arial"/>
          <w:sz w:val="16"/>
          <w:szCs w:val="16"/>
          <w:color w:val="092E44"/>
        </w:rPr>
        <w:t>If you hold your shares through a bank, broker, or other nominee (meaning you are the “beneficial owner” of shares owned by someone else) your broker will ask how you want your shares to be voted. If you give voting instructions, your broker will vote your shares as you direct. If you do not provide voting instructions, your broker is only permitted to vote your shares on Proposal 3 regarding ratification of the auditors. Brokers holding shares beneficially owned by their clients do not have the authority to cast votes with respect to the election of directors, executive compensation, or amendments to our incentive plans unless they have received instructions from the beneficial owner of the shares. If you do not provide instructions to your broker, your vote will not be counted with respect to Proposal No. 1 (the election of six directors for a one-year term), Proposal No. 2 (the advisory vote on executive compensation), or Proposal No. 4 (the approval of additional shares to be available for grant under the 2016 Incentive Plan). This is called a “broker non-vote.” Please submit voting instructions to your broker by 11:59 p.m. Eastern time on August 23, 2022.</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What if I return a proxy card but don’t mark all of my choices?</w:t>
      </w:r>
    </w:p>
    <w:p>
      <w:pPr>
        <w:spacing w:after="0" w:line="67" w:lineRule="exact"/>
        <w:rPr>
          <w:sz w:val="20"/>
          <w:szCs w:val="20"/>
          <w:color w:val="auto"/>
        </w:rPr>
      </w:pPr>
    </w:p>
    <w:p>
      <w:pPr>
        <w:ind w:left="160" w:right="100"/>
        <w:spacing w:after="0" w:line="251" w:lineRule="auto"/>
        <w:rPr>
          <w:sz w:val="20"/>
          <w:szCs w:val="20"/>
          <w:color w:val="auto"/>
        </w:rPr>
      </w:pPr>
      <w:r>
        <w:rPr>
          <w:rFonts w:ascii="Arial" w:cs="Arial" w:eastAsia="Arial" w:hAnsi="Arial"/>
          <w:sz w:val="16"/>
          <w:szCs w:val="16"/>
          <w:color w:val="092E44"/>
        </w:rPr>
        <w:t>If we have a properly executed, unrevoked proxy card that does not specifically direct the voting of shares, the shares represented by such proxy will be voted (i) FOR the election of all nominees for election as director described in this proxy statement, (ii) FOR approval, on an advisory basis, of our executive compensation, (iii) FOR the ratification of the appointment of Ernst &amp; Young LLP as our independent public accountants for the fiscal year ending March 31, 2023, (iv) FOR the approval of additional shares to be available for grant under the 2016 Incentive Plan, as amended by the Sixth Amendment, and (v) in accordance with the judgment of the individuals named on the proxy card as to such other matters as may properly come before the Annual Meeting.</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What if I change my mind after I vote?</w:t>
      </w:r>
    </w:p>
    <w:p>
      <w:pPr>
        <w:spacing w:after="0" w:line="67" w:lineRule="exact"/>
        <w:rPr>
          <w:sz w:val="20"/>
          <w:szCs w:val="20"/>
          <w:color w:val="auto"/>
        </w:rPr>
      </w:pPr>
    </w:p>
    <w:p>
      <w:pPr>
        <w:ind w:left="160" w:right="240"/>
        <w:spacing w:after="0" w:line="262" w:lineRule="auto"/>
        <w:rPr>
          <w:sz w:val="20"/>
          <w:szCs w:val="20"/>
          <w:color w:val="auto"/>
        </w:rPr>
      </w:pPr>
      <w:r>
        <w:rPr>
          <w:rFonts w:ascii="Arial" w:cs="Arial" w:eastAsia="Arial" w:hAnsi="Arial"/>
          <w:sz w:val="16"/>
          <w:szCs w:val="16"/>
          <w:color w:val="092E44"/>
        </w:rPr>
        <w:t>You can revoke your proxy at any time prior to the voting at the Annual Meeting by submitting a later-dated proxy (including a later-dated proxy via the Internet or telephone), by giving timely written notice of such revocation to our Corporate Secretary, or by attending the Annual Meeting and voting in person (virtually). If you attend the Annual Meeting and do not vote, it will not affect any previously submitted proxy or voting instructions.</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Who is paying for this solicitation?</w:t>
      </w:r>
    </w:p>
    <w:p>
      <w:pPr>
        <w:spacing w:after="0" w:line="67" w:lineRule="exact"/>
        <w:rPr>
          <w:sz w:val="20"/>
          <w:szCs w:val="20"/>
          <w:color w:val="auto"/>
        </w:rPr>
      </w:pPr>
    </w:p>
    <w:p>
      <w:pPr>
        <w:ind w:left="160" w:right="340"/>
        <w:spacing w:after="0" w:line="262" w:lineRule="auto"/>
        <w:rPr>
          <w:sz w:val="20"/>
          <w:szCs w:val="20"/>
          <w:color w:val="auto"/>
        </w:rPr>
      </w:pPr>
      <w:r>
        <w:rPr>
          <w:rFonts w:ascii="Arial" w:cs="Arial" w:eastAsia="Arial" w:hAnsi="Arial"/>
          <w:sz w:val="16"/>
          <w:szCs w:val="16"/>
          <w:color w:val="092E44"/>
        </w:rPr>
        <w:t>Commvault will pay all expenses related to the solicitation of proxies. Solicitation will be made by mail, and may be made by directors, officers, and employees, personally or by telephone, email, or other electronic means. Proxy cards and material also will be distributed to beneficial owners of our stock through brokers, custodians, nominees, and other like parties, and we expect to reimburse such parties for their charges and expenses.</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92E44"/>
        </w:rPr>
        <w:t>How can I submit a proposal or a nomination for the 2023 annual meeting?</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8"/>
          <w:szCs w:val="18"/>
          <w:color w:val="E14A6A"/>
        </w:rPr>
        <w:t>Stockholder proposals to be included in Commvault’s Proxy Statement</w:t>
      </w:r>
    </w:p>
    <w:p>
      <w:pPr>
        <w:spacing w:after="0" w:line="52" w:lineRule="exact"/>
        <w:rPr>
          <w:sz w:val="20"/>
          <w:szCs w:val="20"/>
          <w:color w:val="auto"/>
        </w:rPr>
      </w:pPr>
    </w:p>
    <w:p>
      <w:pPr>
        <w:ind w:left="160" w:right="40"/>
        <w:spacing w:after="0" w:line="279" w:lineRule="auto"/>
        <w:rPr>
          <w:sz w:val="20"/>
          <w:szCs w:val="20"/>
          <w:color w:val="auto"/>
        </w:rPr>
      </w:pPr>
      <w:r>
        <w:rPr>
          <w:rFonts w:ascii="Arial" w:cs="Arial" w:eastAsia="Arial" w:hAnsi="Arial"/>
          <w:sz w:val="16"/>
          <w:szCs w:val="16"/>
          <w:color w:val="092E44"/>
        </w:rPr>
        <w:t>We must receive any stockholder proposal to be considered for inclusion in our proxy statement and form of proxy relating to the 2023 annual meeting of stockholders by March 17, 2023.</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color w:val="E14A6A"/>
        </w:rPr>
        <w:t>Stockholder nominations under proxy access</w:t>
      </w:r>
    </w:p>
    <w:p>
      <w:pPr>
        <w:spacing w:after="0" w:line="52"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092E44"/>
        </w:rPr>
        <w:t>Our Bylaws permit qualifying stockholders to include a certain number of director nominees in our proxy statement. For any such nomination for our 2023 annual meeting to be timely, we must receive notice and certain required information at our principal executive offices between February 15, 2023, and March 17, 2023. Stockholders who make nominations pursuant to our proxy access provision should be mindful of the requirements set forth in our Bylaws, which are available on the Investor Relations section of our website.</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8"/>
          <w:szCs w:val="18"/>
          <w:color w:val="E14A6A"/>
        </w:rPr>
        <w:t>Other stockholder proposals</w:t>
      </w:r>
    </w:p>
    <w:p>
      <w:pPr>
        <w:spacing w:after="0" w:line="52" w:lineRule="exact"/>
        <w:rPr>
          <w:sz w:val="20"/>
          <w:szCs w:val="20"/>
          <w:color w:val="auto"/>
        </w:rPr>
      </w:pPr>
    </w:p>
    <w:p>
      <w:pPr>
        <w:jc w:val="both"/>
        <w:ind w:left="160" w:right="240"/>
        <w:spacing w:after="0" w:line="262" w:lineRule="auto"/>
        <w:rPr>
          <w:sz w:val="20"/>
          <w:szCs w:val="20"/>
          <w:color w:val="auto"/>
        </w:rPr>
      </w:pPr>
      <w:r>
        <w:rPr>
          <w:rFonts w:ascii="Arial" w:cs="Arial" w:eastAsia="Arial" w:hAnsi="Arial"/>
          <w:sz w:val="16"/>
          <w:szCs w:val="16"/>
          <w:color w:val="092E44"/>
        </w:rPr>
        <w:t>If you wish to submit a proposal for consideration at the 2023 stockholder meeting or to nominate a candidate for election as a director at that meeting without utilizing our proxy access provision, you may do so by providing us with written notice of your intention to make such a proposal or nomination before April 16, 2023. Any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229235</wp:posOffset>
            </wp:positionV>
            <wp:extent cx="220980" cy="2120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62</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20"/>
          </w:cols>
          <w:pgMar w:left="320" w:top="454" w:right="5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ADDITIONAL INFORMATION ABOUT THE ANNUAL MEETING</w:t>
      </w:r>
    </w:p>
    <w:p>
      <w:pPr>
        <w:spacing w:after="0" w:line="140" w:lineRule="exact"/>
        <w:rPr>
          <w:sz w:val="20"/>
          <w:szCs w:val="20"/>
          <w:color w:val="auto"/>
        </w:rPr>
      </w:pPr>
    </w:p>
    <w:p>
      <w:pPr>
        <w:ind w:left="160" w:right="200"/>
        <w:spacing w:after="0" w:line="279" w:lineRule="auto"/>
        <w:rPr>
          <w:sz w:val="20"/>
          <w:szCs w:val="20"/>
          <w:color w:val="auto"/>
        </w:rPr>
      </w:pPr>
      <w:r>
        <w:rPr>
          <w:rFonts w:ascii="Arial" w:cs="Arial" w:eastAsia="Arial" w:hAnsi="Arial"/>
          <w:sz w:val="16"/>
          <w:szCs w:val="16"/>
          <w:color w:val="092E44"/>
        </w:rPr>
        <w:t>notice must describe the proposal or nomination in sufficient detail for the matter to be summarized on the agenda for the meeting. Among other things, the notice must set forth:</w:t>
      </w:r>
    </w:p>
    <w:p>
      <w:pPr>
        <w:spacing w:after="0" w:line="40" w:lineRule="exact"/>
        <w:rPr>
          <w:sz w:val="20"/>
          <w:szCs w:val="20"/>
          <w:color w:val="auto"/>
        </w:rPr>
      </w:pPr>
    </w:p>
    <w:p>
      <w:pPr>
        <w:ind w:left="380" w:right="20" w:hanging="213"/>
        <w:spacing w:after="0" w:line="278" w:lineRule="auto"/>
        <w:tabs>
          <w:tab w:leader="none" w:pos="380" w:val="left"/>
        </w:tabs>
        <w:numPr>
          <w:ilvl w:val="0"/>
          <w:numId w:val="36"/>
        </w:numPr>
        <w:rPr>
          <w:rFonts w:ascii="Times New Roman" w:cs="Times New Roman" w:eastAsia="Times New Roman" w:hAnsi="Times New Roman"/>
          <w:sz w:val="16"/>
          <w:szCs w:val="16"/>
          <w:color w:val="E14A6A"/>
        </w:rPr>
      </w:pPr>
      <w:r>
        <w:rPr>
          <w:rFonts w:ascii="Arial" w:cs="Arial" w:eastAsia="Arial" w:hAnsi="Arial"/>
          <w:sz w:val="16"/>
          <w:szCs w:val="16"/>
          <w:color w:val="092E44"/>
        </w:rPr>
        <w:t>the name and address, as it appears on our books, of the stockholder who intends to make the proposal or nomination and the beneficial owner, if any, on whose behalf the nomination or proposal is made;</w:t>
      </w:r>
    </w:p>
    <w:p>
      <w:pPr>
        <w:spacing w:after="0" w:line="14" w:lineRule="exact"/>
        <w:rPr>
          <w:rFonts w:ascii="Times New Roman" w:cs="Times New Roman" w:eastAsia="Times New Roman" w:hAnsi="Times New Roman"/>
          <w:sz w:val="16"/>
          <w:szCs w:val="16"/>
          <w:color w:val="E14A6A"/>
        </w:rPr>
      </w:pPr>
    </w:p>
    <w:p>
      <w:pPr>
        <w:ind w:left="380" w:right="20" w:hanging="213"/>
        <w:spacing w:after="0" w:line="278" w:lineRule="auto"/>
        <w:tabs>
          <w:tab w:leader="none" w:pos="380" w:val="left"/>
        </w:tabs>
        <w:numPr>
          <w:ilvl w:val="0"/>
          <w:numId w:val="36"/>
        </w:numPr>
        <w:rPr>
          <w:rFonts w:ascii="Times New Roman" w:cs="Times New Roman" w:eastAsia="Times New Roman" w:hAnsi="Times New Roman"/>
          <w:sz w:val="16"/>
          <w:szCs w:val="16"/>
          <w:color w:val="E14A6A"/>
        </w:rPr>
      </w:pPr>
      <w:r>
        <w:rPr>
          <w:rFonts w:ascii="Arial" w:cs="Arial" w:eastAsia="Arial" w:hAnsi="Arial"/>
          <w:sz w:val="16"/>
          <w:szCs w:val="16"/>
          <w:color w:val="092E44"/>
        </w:rPr>
        <w:t>a representation that the stockholder is a holder of record of our stock entitled to vote at the meeting and intends to appear in person or by proxy at the meeting to present such proposal or nomination;</w:t>
      </w:r>
    </w:p>
    <w:p>
      <w:pPr>
        <w:spacing w:after="0" w:line="14" w:lineRule="exact"/>
        <w:rPr>
          <w:rFonts w:ascii="Times New Roman" w:cs="Times New Roman" w:eastAsia="Times New Roman" w:hAnsi="Times New Roman"/>
          <w:sz w:val="16"/>
          <w:szCs w:val="16"/>
          <w:color w:val="E14A6A"/>
        </w:rPr>
      </w:pPr>
    </w:p>
    <w:p>
      <w:pPr>
        <w:ind w:left="380" w:hanging="213"/>
        <w:spacing w:after="0"/>
        <w:tabs>
          <w:tab w:leader="none" w:pos="380" w:val="left"/>
        </w:tabs>
        <w:numPr>
          <w:ilvl w:val="0"/>
          <w:numId w:val="36"/>
        </w:numPr>
        <w:rPr>
          <w:rFonts w:ascii="Times New Roman" w:cs="Times New Roman" w:eastAsia="Times New Roman" w:hAnsi="Times New Roman"/>
          <w:sz w:val="16"/>
          <w:szCs w:val="16"/>
          <w:color w:val="E14A6A"/>
        </w:rPr>
      </w:pPr>
      <w:r>
        <w:rPr>
          <w:rFonts w:ascii="Arial" w:cs="Arial" w:eastAsia="Arial" w:hAnsi="Arial"/>
          <w:sz w:val="16"/>
          <w:szCs w:val="16"/>
          <w:color w:val="092E44"/>
        </w:rPr>
        <w:t>whether the stockholder plans to deliver or solicit proxies from other stockholders; and</w:t>
      </w:r>
    </w:p>
    <w:p>
      <w:pPr>
        <w:spacing w:after="0" w:line="82" w:lineRule="exact"/>
        <w:rPr>
          <w:rFonts w:ascii="Times New Roman" w:cs="Times New Roman" w:eastAsia="Times New Roman" w:hAnsi="Times New Roman"/>
          <w:sz w:val="16"/>
          <w:szCs w:val="16"/>
          <w:color w:val="E14A6A"/>
        </w:rPr>
      </w:pPr>
    </w:p>
    <w:p>
      <w:pPr>
        <w:ind w:left="380" w:hanging="213"/>
        <w:spacing w:after="0"/>
        <w:tabs>
          <w:tab w:leader="none" w:pos="380" w:val="left"/>
        </w:tabs>
        <w:numPr>
          <w:ilvl w:val="0"/>
          <w:numId w:val="36"/>
        </w:numPr>
        <w:rPr>
          <w:rFonts w:ascii="Times New Roman" w:cs="Times New Roman" w:eastAsia="Times New Roman" w:hAnsi="Times New Roman"/>
          <w:sz w:val="16"/>
          <w:szCs w:val="16"/>
          <w:color w:val="E14A6A"/>
        </w:rPr>
      </w:pPr>
      <w:r>
        <w:rPr>
          <w:rFonts w:ascii="Arial" w:cs="Arial" w:eastAsia="Arial" w:hAnsi="Arial"/>
          <w:sz w:val="16"/>
          <w:szCs w:val="16"/>
          <w:color w:val="092E44"/>
        </w:rPr>
        <w:t>the class and number of our shares that the stockholder beneficially owns.</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If you are nominating a candidate to be elected as a director, your notice must include the following additional information:</w:t>
      </w:r>
    </w:p>
    <w:p>
      <w:pPr>
        <w:spacing w:after="0" w:line="124" w:lineRule="exact"/>
        <w:rPr>
          <w:sz w:val="20"/>
          <w:szCs w:val="20"/>
          <w:color w:val="auto"/>
        </w:rPr>
      </w:pPr>
    </w:p>
    <w:p>
      <w:pPr>
        <w:ind w:left="600" w:hanging="433"/>
        <w:spacing w:after="0"/>
        <w:tabs>
          <w:tab w:leader="none" w:pos="600" w:val="left"/>
        </w:tabs>
        <w:numPr>
          <w:ilvl w:val="0"/>
          <w:numId w:val="37"/>
        </w:numPr>
        <w:rPr>
          <w:rFonts w:ascii="Arial" w:cs="Arial" w:eastAsia="Arial" w:hAnsi="Arial"/>
          <w:sz w:val="16"/>
          <w:szCs w:val="16"/>
          <w:color w:val="092E44"/>
        </w:rPr>
      </w:pPr>
      <w:r>
        <w:rPr>
          <w:rFonts w:ascii="Arial" w:cs="Arial" w:eastAsia="Arial" w:hAnsi="Arial"/>
          <w:sz w:val="16"/>
          <w:szCs w:val="16"/>
          <w:color w:val="092E44"/>
        </w:rPr>
        <w:t>the name and address of any person to be nominated,</w:t>
      </w:r>
    </w:p>
    <w:p>
      <w:pPr>
        <w:spacing w:after="0" w:line="123" w:lineRule="exact"/>
        <w:rPr>
          <w:rFonts w:ascii="Arial" w:cs="Arial" w:eastAsia="Arial" w:hAnsi="Arial"/>
          <w:sz w:val="16"/>
          <w:szCs w:val="16"/>
          <w:color w:val="092E44"/>
        </w:rPr>
      </w:pPr>
    </w:p>
    <w:p>
      <w:pPr>
        <w:ind w:left="600" w:right="420" w:hanging="433"/>
        <w:spacing w:after="0" w:line="279" w:lineRule="auto"/>
        <w:tabs>
          <w:tab w:leader="none" w:pos="600" w:val="left"/>
        </w:tabs>
        <w:numPr>
          <w:ilvl w:val="0"/>
          <w:numId w:val="37"/>
        </w:numPr>
        <w:rPr>
          <w:rFonts w:ascii="Arial" w:cs="Arial" w:eastAsia="Arial" w:hAnsi="Arial"/>
          <w:sz w:val="16"/>
          <w:szCs w:val="16"/>
          <w:color w:val="092E44"/>
        </w:rPr>
      </w:pPr>
      <w:r>
        <w:rPr>
          <w:rFonts w:ascii="Arial" w:cs="Arial" w:eastAsia="Arial" w:hAnsi="Arial"/>
          <w:sz w:val="16"/>
          <w:szCs w:val="16"/>
          <w:color w:val="092E44"/>
        </w:rPr>
        <w:t>a description of all arrangements or understandings between you and each nominee and any other person or persons (naming such person or persons) pursuant to which the nomination or nominations are to be made,</w:t>
      </w:r>
    </w:p>
    <w:p>
      <w:pPr>
        <w:spacing w:after="0" w:line="67" w:lineRule="exact"/>
        <w:rPr>
          <w:rFonts w:ascii="Arial" w:cs="Arial" w:eastAsia="Arial" w:hAnsi="Arial"/>
          <w:sz w:val="16"/>
          <w:szCs w:val="16"/>
          <w:color w:val="092E44"/>
        </w:rPr>
      </w:pPr>
    </w:p>
    <w:p>
      <w:pPr>
        <w:ind w:left="600" w:hanging="433"/>
        <w:spacing w:after="0" w:line="279" w:lineRule="auto"/>
        <w:tabs>
          <w:tab w:leader="none" w:pos="600" w:val="left"/>
        </w:tabs>
        <w:numPr>
          <w:ilvl w:val="0"/>
          <w:numId w:val="37"/>
        </w:numPr>
        <w:rPr>
          <w:rFonts w:ascii="Arial" w:cs="Arial" w:eastAsia="Arial" w:hAnsi="Arial"/>
          <w:sz w:val="16"/>
          <w:szCs w:val="16"/>
          <w:color w:val="092E44"/>
        </w:rPr>
      </w:pPr>
      <w:r>
        <w:rPr>
          <w:rFonts w:ascii="Arial" w:cs="Arial" w:eastAsia="Arial" w:hAnsi="Arial"/>
          <w:sz w:val="16"/>
          <w:szCs w:val="16"/>
          <w:color w:val="092E44"/>
        </w:rPr>
        <w:t>such other information regarding each nominee as would be required to be included in a proxy statement filed pursuant to Regulation 14A under the Securities Exchange Act of 1934, as amended,</w:t>
      </w:r>
    </w:p>
    <w:p>
      <w:pPr>
        <w:spacing w:after="0" w:line="67" w:lineRule="exact"/>
        <w:rPr>
          <w:rFonts w:ascii="Arial" w:cs="Arial" w:eastAsia="Arial" w:hAnsi="Arial"/>
          <w:sz w:val="16"/>
          <w:szCs w:val="16"/>
          <w:color w:val="092E44"/>
        </w:rPr>
      </w:pPr>
    </w:p>
    <w:p>
      <w:pPr>
        <w:ind w:left="600" w:hanging="433"/>
        <w:spacing w:after="0"/>
        <w:tabs>
          <w:tab w:leader="none" w:pos="600" w:val="left"/>
        </w:tabs>
        <w:numPr>
          <w:ilvl w:val="0"/>
          <w:numId w:val="37"/>
        </w:numPr>
        <w:rPr>
          <w:rFonts w:ascii="Arial" w:cs="Arial" w:eastAsia="Arial" w:hAnsi="Arial"/>
          <w:sz w:val="16"/>
          <w:szCs w:val="16"/>
          <w:color w:val="092E44"/>
        </w:rPr>
      </w:pPr>
      <w:r>
        <w:rPr>
          <w:rFonts w:ascii="Arial" w:cs="Arial" w:eastAsia="Arial" w:hAnsi="Arial"/>
          <w:sz w:val="16"/>
          <w:szCs w:val="16"/>
          <w:color w:val="092E44"/>
        </w:rPr>
        <w:t>the consent of each nominee to serve as a director if so elected, and</w:t>
      </w:r>
    </w:p>
    <w:p>
      <w:pPr>
        <w:spacing w:after="0" w:line="123" w:lineRule="exact"/>
        <w:rPr>
          <w:rFonts w:ascii="Arial" w:cs="Arial" w:eastAsia="Arial" w:hAnsi="Arial"/>
          <w:sz w:val="16"/>
          <w:szCs w:val="16"/>
          <w:color w:val="092E44"/>
        </w:rPr>
      </w:pPr>
    </w:p>
    <w:p>
      <w:pPr>
        <w:ind w:left="600" w:right="380" w:hanging="433"/>
        <w:spacing w:after="0" w:line="279" w:lineRule="auto"/>
        <w:tabs>
          <w:tab w:leader="none" w:pos="600" w:val="left"/>
        </w:tabs>
        <w:numPr>
          <w:ilvl w:val="0"/>
          <w:numId w:val="37"/>
        </w:numPr>
        <w:rPr>
          <w:rFonts w:ascii="Arial" w:cs="Arial" w:eastAsia="Arial" w:hAnsi="Arial"/>
          <w:sz w:val="16"/>
          <w:szCs w:val="16"/>
          <w:color w:val="092E44"/>
        </w:rPr>
      </w:pPr>
      <w:r>
        <w:rPr>
          <w:rFonts w:ascii="Arial" w:cs="Arial" w:eastAsia="Arial" w:hAnsi="Arial"/>
          <w:sz w:val="16"/>
          <w:szCs w:val="16"/>
          <w:color w:val="092E44"/>
        </w:rPr>
        <w:t>such other information as is set forth in our Fourth Amended and Restated Bylaws, which are available on the Investor Relations section of our website.</w:t>
      </w:r>
    </w:p>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092E44"/>
        </w:rPr>
        <w:t>****</w:t>
      </w:r>
    </w:p>
    <w:p>
      <w:pPr>
        <w:spacing w:after="0" w:line="217" w:lineRule="exact"/>
        <w:rPr>
          <w:sz w:val="20"/>
          <w:szCs w:val="20"/>
          <w:color w:val="auto"/>
        </w:rPr>
      </w:pPr>
    </w:p>
    <w:p>
      <w:pPr>
        <w:ind w:left="160" w:right="120"/>
        <w:spacing w:after="0" w:line="256" w:lineRule="auto"/>
        <w:rPr>
          <w:sz w:val="20"/>
          <w:szCs w:val="20"/>
          <w:color w:val="auto"/>
        </w:rPr>
      </w:pPr>
      <w:r>
        <w:rPr>
          <w:rFonts w:ascii="Arial" w:cs="Arial" w:eastAsia="Arial" w:hAnsi="Arial"/>
          <w:sz w:val="16"/>
          <w:szCs w:val="16"/>
          <w:color w:val="092E44"/>
        </w:rPr>
        <w:t>To the extent this proxy statement is incorporated by reference in any other filing by us under the Securities Act of 1933, as amended, or the Securities Exchange Act of 1934, as amended, the information included or incorporated in the sections of this proxy statement entitled “Executive Compensation— Commvault Systems, Inc. TMCC Report on Executive Compensation” and “Report of Audit Committee” will not be deemed to be incorporated, unless specifically provided otherwise in such filing.</w:t>
      </w:r>
    </w:p>
    <w:p>
      <w:pPr>
        <w:spacing w:after="0" w:line="58" w:lineRule="exact"/>
        <w:rPr>
          <w:sz w:val="20"/>
          <w:szCs w:val="20"/>
          <w:color w:val="auto"/>
        </w:rPr>
      </w:pPr>
    </w:p>
    <w:p>
      <w:pPr>
        <w:ind w:left="160" w:right="20"/>
        <w:spacing w:after="0" w:line="253" w:lineRule="auto"/>
        <w:rPr>
          <w:sz w:val="20"/>
          <w:szCs w:val="20"/>
          <w:color w:val="auto"/>
        </w:rPr>
      </w:pPr>
      <w:r>
        <w:rPr>
          <w:rFonts w:ascii="Arial" w:cs="Arial" w:eastAsia="Arial" w:hAnsi="Arial"/>
          <w:sz w:val="16"/>
          <w:szCs w:val="16"/>
          <w:color w:val="092E44"/>
        </w:rPr>
        <w:t xml:space="preserve">We will furnish without charge to each person whose proxy is being solicited, upon written request, a copy of our annual report on Form 10-K for the fiscal year ended March 31, 2022, as filed with the SEC, including the financial statements and schedules thereto. Requests for copies of such report should be directed to Danielle Sheer, Vice President, Chief Legal and Compliance Officer, Commvault Systems, Inc., 1 Commvault Way, Tinton Falls, New Jersey 07724. A copy of our annual report on Form 10-K for the fiscal year ended March 31, 2022, is also being made available concurrently with the proxy statement at </w:t>
      </w:r>
      <w:r>
        <w:rPr>
          <w:rFonts w:ascii="Arial" w:cs="Arial" w:eastAsia="Arial" w:hAnsi="Arial"/>
          <w:sz w:val="16"/>
          <w:szCs w:val="16"/>
          <w:u w:val="single" w:color="auto"/>
          <w:color w:val="E14A6A"/>
        </w:rPr>
        <w:t>www.edocumentview.com/CVLT</w:t>
      </w:r>
      <w:r>
        <w:rPr>
          <w:rFonts w:ascii="Arial" w:cs="Arial" w:eastAsia="Arial" w:hAnsi="Arial"/>
          <w:sz w:val="16"/>
          <w:szCs w:val="16"/>
          <w:color w:val="092E4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140335</wp:posOffset>
            </wp:positionV>
            <wp:extent cx="1010285" cy="4330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010285" cy="433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92E44"/>
        </w:rPr>
        <w:t>Danielle Sheer</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092E44"/>
        </w:rPr>
        <w:t>Chief Legal and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247015</wp:posOffset>
            </wp:positionV>
            <wp:extent cx="220980" cy="2120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63</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80"/>
          </w:cols>
          <w:pgMar w:left="320" w:top="454" w:right="4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6929755" cy="19615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29755" cy="196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Arial" w:cs="Arial" w:eastAsia="Arial" w:hAnsi="Arial"/>
          <w:sz w:val="46"/>
          <w:szCs w:val="46"/>
          <w:b w:val="1"/>
          <w:bCs w:val="1"/>
          <w:color w:val="E14A6A"/>
        </w:rPr>
        <w:t>Annex A:</w:t>
      </w:r>
    </w:p>
    <w:p>
      <w:pPr>
        <w:spacing w:after="0" w:line="41" w:lineRule="exact"/>
        <w:rPr>
          <w:sz w:val="20"/>
          <w:szCs w:val="20"/>
          <w:color w:val="auto"/>
        </w:rPr>
      </w:pPr>
    </w:p>
    <w:p>
      <w:pPr>
        <w:ind w:left="160" w:right="4120"/>
        <w:spacing w:after="0" w:line="265" w:lineRule="auto"/>
        <w:rPr>
          <w:sz w:val="20"/>
          <w:szCs w:val="20"/>
          <w:color w:val="auto"/>
        </w:rPr>
      </w:pPr>
      <w:r>
        <w:rPr>
          <w:rFonts w:ascii="Arial" w:cs="Arial" w:eastAsia="Arial" w:hAnsi="Arial"/>
          <w:sz w:val="46"/>
          <w:szCs w:val="46"/>
          <w:b w:val="1"/>
          <w:bCs w:val="1"/>
          <w:color w:val="092E44"/>
        </w:rPr>
        <w:t>Reconciliation of GAAP to Non-GAAP Financial Measures</w:t>
      </w:r>
    </w:p>
    <w:p>
      <w:pPr>
        <w:spacing w:after="0" w:line="200" w:lineRule="exact"/>
        <w:rPr>
          <w:sz w:val="20"/>
          <w:szCs w:val="20"/>
          <w:color w:val="auto"/>
        </w:rPr>
      </w:pPr>
    </w:p>
    <w:p>
      <w:pPr>
        <w:spacing w:after="0" w:line="375" w:lineRule="exact"/>
        <w:rPr>
          <w:sz w:val="20"/>
          <w:szCs w:val="20"/>
          <w:color w:val="auto"/>
        </w:rPr>
      </w:pPr>
    </w:p>
    <w:p>
      <w:pPr>
        <w:jc w:val="both"/>
        <w:ind w:left="160" w:right="240"/>
        <w:spacing w:after="0" w:line="262" w:lineRule="auto"/>
        <w:rPr>
          <w:sz w:val="20"/>
          <w:szCs w:val="20"/>
          <w:color w:val="auto"/>
        </w:rPr>
      </w:pPr>
      <w:r>
        <w:rPr>
          <w:rFonts w:ascii="Arial" w:cs="Arial" w:eastAsia="Arial" w:hAnsi="Arial"/>
          <w:sz w:val="16"/>
          <w:szCs w:val="16"/>
          <w:color w:val="092E44"/>
        </w:rPr>
        <w:t>The following table provides a reconciliation of our reported GAAP results to the non-GAAP financial measures discussed above and used in certain of our named executive officers’ fiscal 2022 compensation arrangements. The following results are based on the accounting principles that were used to prepare the fiscal 2022 consolidated financial statements included in our Annual Report on Form 10-K for the year ended March 31, 2022.</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tcPr>
          <w:p>
            <w:pPr>
              <w:jc w:val="right"/>
              <w:ind w:right="460"/>
              <w:spacing w:after="0"/>
              <w:rPr>
                <w:sz w:val="20"/>
                <w:szCs w:val="20"/>
                <w:color w:val="auto"/>
              </w:rPr>
            </w:pPr>
            <w:r>
              <w:rPr>
                <w:rFonts w:ascii="Arial" w:cs="Arial" w:eastAsia="Arial" w:hAnsi="Arial"/>
                <w:sz w:val="14"/>
                <w:szCs w:val="14"/>
                <w:color w:val="092E44"/>
              </w:rPr>
              <w:t>Fiscal Year Ended</w:t>
            </w:r>
          </w:p>
        </w:tc>
        <w:tc>
          <w:tcPr>
            <w:tcW w:w="0" w:type="dxa"/>
            <w:vAlign w:val="bottom"/>
          </w:tcPr>
          <w:p>
            <w:pPr>
              <w:spacing w:after="0"/>
              <w:rPr>
                <w:sz w:val="1"/>
                <w:szCs w:val="1"/>
                <w:color w:val="auto"/>
              </w:rPr>
            </w:pPr>
          </w:p>
        </w:tc>
      </w:tr>
      <w:tr>
        <w:trPr>
          <w:trHeight w:val="170"/>
        </w:trPr>
        <w:tc>
          <w:tcPr>
            <w:tcW w:w="8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092E44"/>
            </w:tcBorders>
          </w:tcPr>
          <w:p>
            <w:pPr>
              <w:spacing w:after="0"/>
              <w:rPr>
                <w:sz w:val="14"/>
                <w:szCs w:val="14"/>
                <w:color w:val="auto"/>
              </w:rPr>
            </w:pPr>
          </w:p>
        </w:tc>
        <w:tc>
          <w:tcPr>
            <w:tcW w:w="1760" w:type="dxa"/>
            <w:vAlign w:val="bottom"/>
            <w:tcBorders>
              <w:bottom w:val="single" w:sz="8" w:color="092E44"/>
            </w:tcBorders>
            <w:gridSpan w:val="5"/>
          </w:tcPr>
          <w:p>
            <w:pPr>
              <w:jc w:val="right"/>
              <w:ind w:right="720"/>
              <w:spacing w:after="0"/>
              <w:rPr>
                <w:sz w:val="20"/>
                <w:szCs w:val="20"/>
                <w:color w:val="auto"/>
              </w:rPr>
            </w:pPr>
            <w:r>
              <w:rPr>
                <w:rFonts w:ascii="Arial" w:cs="Arial" w:eastAsia="Arial" w:hAnsi="Arial"/>
                <w:sz w:val="14"/>
                <w:szCs w:val="14"/>
                <w:color w:val="092E44"/>
              </w:rPr>
              <w:t>March 31,</w:t>
            </w:r>
          </w:p>
        </w:tc>
        <w:tc>
          <w:tcPr>
            <w:tcW w:w="0" w:type="dxa"/>
            <w:vAlign w:val="bottom"/>
          </w:tcPr>
          <w:p>
            <w:pPr>
              <w:spacing w:after="0"/>
              <w:rPr>
                <w:sz w:val="1"/>
                <w:szCs w:val="1"/>
                <w:color w:val="auto"/>
              </w:rPr>
            </w:pPr>
          </w:p>
        </w:tc>
      </w:tr>
      <w:tr>
        <w:trPr>
          <w:trHeight w:val="186"/>
        </w:trPr>
        <w:tc>
          <w:tcPr>
            <w:tcW w:w="8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092E44"/>
              </w:rPr>
              <w:t>2022</w:t>
            </w:r>
          </w:p>
        </w:tc>
        <w:tc>
          <w:tcPr>
            <w:tcW w:w="1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092E44"/>
              </w:rPr>
              <w:t>2021</w:t>
            </w:r>
          </w:p>
        </w:tc>
        <w:tc>
          <w:tcPr>
            <w:tcW w:w="0" w:type="dxa"/>
            <w:vAlign w:val="bottom"/>
          </w:tcPr>
          <w:p>
            <w:pPr>
              <w:spacing w:after="0"/>
              <w:rPr>
                <w:sz w:val="1"/>
                <w:szCs w:val="1"/>
                <w:color w:val="auto"/>
              </w:rPr>
            </w:pPr>
          </w:p>
        </w:tc>
      </w:tr>
      <w:tr>
        <w:trPr>
          <w:trHeight w:val="61"/>
        </w:trPr>
        <w:tc>
          <w:tcPr>
            <w:tcW w:w="8720" w:type="dxa"/>
            <w:vAlign w:val="bottom"/>
            <w:tcBorders>
              <w:bottom w:val="single" w:sz="8" w:color="E14A6A"/>
            </w:tcBorders>
          </w:tcPr>
          <w:p>
            <w:pPr>
              <w:spacing w:after="0"/>
              <w:rPr>
                <w:sz w:val="5"/>
                <w:szCs w:val="5"/>
                <w:color w:val="auto"/>
              </w:rPr>
            </w:pPr>
          </w:p>
        </w:tc>
        <w:tc>
          <w:tcPr>
            <w:tcW w:w="320" w:type="dxa"/>
            <w:vAlign w:val="bottom"/>
            <w:tcBorders>
              <w:bottom w:val="single" w:sz="8" w:color="E14A6A"/>
            </w:tcBorders>
          </w:tcPr>
          <w:p>
            <w:pPr>
              <w:spacing w:after="0"/>
              <w:rPr>
                <w:sz w:val="5"/>
                <w:szCs w:val="5"/>
                <w:color w:val="auto"/>
              </w:rPr>
            </w:pPr>
          </w:p>
        </w:tc>
        <w:tc>
          <w:tcPr>
            <w:tcW w:w="120" w:type="dxa"/>
            <w:vAlign w:val="bottom"/>
            <w:tcBorders>
              <w:bottom w:val="single" w:sz="8" w:color="E14A6A"/>
            </w:tcBorders>
          </w:tcPr>
          <w:p>
            <w:pPr>
              <w:spacing w:after="0"/>
              <w:rPr>
                <w:sz w:val="5"/>
                <w:szCs w:val="5"/>
                <w:color w:val="auto"/>
              </w:rPr>
            </w:pPr>
          </w:p>
        </w:tc>
        <w:tc>
          <w:tcPr>
            <w:tcW w:w="600" w:type="dxa"/>
            <w:vAlign w:val="bottom"/>
            <w:tcBorders>
              <w:bottom w:val="single" w:sz="8" w:color="E14A6A"/>
            </w:tcBorders>
          </w:tcPr>
          <w:p>
            <w:pPr>
              <w:spacing w:after="0"/>
              <w:rPr>
                <w:sz w:val="5"/>
                <w:szCs w:val="5"/>
                <w:color w:val="auto"/>
              </w:rPr>
            </w:pPr>
          </w:p>
        </w:tc>
        <w:tc>
          <w:tcPr>
            <w:tcW w:w="220" w:type="dxa"/>
            <w:vAlign w:val="bottom"/>
            <w:tcBorders>
              <w:bottom w:val="single" w:sz="8" w:color="E14A6A"/>
            </w:tcBorders>
          </w:tcPr>
          <w:p>
            <w:pPr>
              <w:spacing w:after="0"/>
              <w:rPr>
                <w:sz w:val="5"/>
                <w:szCs w:val="5"/>
                <w:color w:val="auto"/>
              </w:rPr>
            </w:pPr>
          </w:p>
        </w:tc>
        <w:tc>
          <w:tcPr>
            <w:tcW w:w="120" w:type="dxa"/>
            <w:vAlign w:val="bottom"/>
            <w:tcBorders>
              <w:bottom w:val="single" w:sz="8" w:color="E14A6A"/>
            </w:tcBorders>
          </w:tcPr>
          <w:p>
            <w:pPr>
              <w:spacing w:after="0"/>
              <w:rPr>
                <w:sz w:val="5"/>
                <w:szCs w:val="5"/>
                <w:color w:val="auto"/>
              </w:rPr>
            </w:pPr>
          </w:p>
        </w:tc>
        <w:tc>
          <w:tcPr>
            <w:tcW w:w="600" w:type="dxa"/>
            <w:vAlign w:val="bottom"/>
            <w:tcBorders>
              <w:bottom w:val="single" w:sz="8" w:color="E14A6A"/>
            </w:tcBorders>
          </w:tcPr>
          <w:p>
            <w:pPr>
              <w:spacing w:after="0"/>
              <w:rPr>
                <w:sz w:val="5"/>
                <w:szCs w:val="5"/>
                <w:color w:val="auto"/>
              </w:rPr>
            </w:pPr>
          </w:p>
        </w:tc>
        <w:tc>
          <w:tcPr>
            <w:tcW w:w="220" w:type="dxa"/>
            <w:vAlign w:val="bottom"/>
            <w:tcBorders>
              <w:bottom w:val="single" w:sz="8" w:color="E14A6A"/>
            </w:tcBorders>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8720" w:type="dxa"/>
            <w:vAlign w:val="bottom"/>
          </w:tcPr>
          <w:p>
            <w:pPr>
              <w:ind w:left="80"/>
              <w:spacing w:after="0"/>
              <w:rPr>
                <w:sz w:val="20"/>
                <w:szCs w:val="20"/>
                <w:color w:val="auto"/>
              </w:rPr>
            </w:pPr>
            <w:r>
              <w:rPr>
                <w:rFonts w:ascii="Arial" w:cs="Arial" w:eastAsia="Arial" w:hAnsi="Arial"/>
                <w:sz w:val="16"/>
                <w:szCs w:val="16"/>
                <w:b w:val="1"/>
                <w:bCs w:val="1"/>
                <w:color w:val="092E44"/>
              </w:rPr>
              <w:t>Non-GAAP financial measures and reconciliation:</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8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720" w:type="dxa"/>
            <w:vAlign w:val="bottom"/>
            <w:shd w:val="clear" w:color="auto" w:fill="DDE9F2"/>
          </w:tcPr>
          <w:p>
            <w:pPr>
              <w:ind w:left="240"/>
              <w:spacing w:after="0"/>
              <w:rPr>
                <w:sz w:val="20"/>
                <w:szCs w:val="20"/>
                <w:color w:val="auto"/>
              </w:rPr>
            </w:pPr>
            <w:r>
              <w:rPr>
                <w:rFonts w:ascii="Arial" w:cs="Arial" w:eastAsia="Arial" w:hAnsi="Arial"/>
                <w:sz w:val="16"/>
                <w:szCs w:val="16"/>
                <w:color w:val="092E44"/>
              </w:rPr>
              <w:t>GAAP income (loss) from operations</w:t>
            </w:r>
          </w:p>
        </w:tc>
        <w:tc>
          <w:tcPr>
            <w:tcW w:w="440" w:type="dxa"/>
            <w:vAlign w:val="bottom"/>
            <w:gridSpan w:val="2"/>
            <w:shd w:val="clear" w:color="auto" w:fill="DDE9F2"/>
          </w:tcPr>
          <w:p>
            <w:pPr>
              <w:jc w:val="right"/>
              <w:spacing w:after="0"/>
              <w:rPr>
                <w:sz w:val="20"/>
                <w:szCs w:val="20"/>
                <w:color w:val="auto"/>
              </w:rPr>
            </w:pPr>
            <w:r>
              <w:rPr>
                <w:rFonts w:ascii="Arial" w:cs="Arial" w:eastAsia="Arial" w:hAnsi="Arial"/>
                <w:sz w:val="16"/>
                <w:szCs w:val="16"/>
                <w:color w:val="092E44"/>
              </w:rPr>
              <w:t>$</w:t>
            </w:r>
          </w:p>
        </w:tc>
        <w:tc>
          <w:tcPr>
            <w:tcW w:w="820" w:type="dxa"/>
            <w:vAlign w:val="bottom"/>
            <w:gridSpan w:val="2"/>
            <w:shd w:val="clear" w:color="auto" w:fill="DDE9F2"/>
          </w:tcPr>
          <w:p>
            <w:pPr>
              <w:jc w:val="right"/>
              <w:ind w:right="220"/>
              <w:spacing w:after="0"/>
              <w:rPr>
                <w:sz w:val="20"/>
                <w:szCs w:val="20"/>
                <w:color w:val="auto"/>
              </w:rPr>
            </w:pPr>
            <w:r>
              <w:rPr>
                <w:rFonts w:ascii="Arial" w:cs="Arial" w:eastAsia="Arial" w:hAnsi="Arial"/>
                <w:sz w:val="16"/>
                <w:szCs w:val="16"/>
                <w:color w:val="092E44"/>
              </w:rPr>
              <w:t>41,566</w:t>
            </w:r>
          </w:p>
        </w:tc>
        <w:tc>
          <w:tcPr>
            <w:tcW w:w="120" w:type="dxa"/>
            <w:vAlign w:val="bottom"/>
            <w:shd w:val="clear" w:color="auto" w:fill="DDE9F2"/>
          </w:tcPr>
          <w:p>
            <w:pPr>
              <w:jc w:val="right"/>
              <w:spacing w:after="0"/>
              <w:rPr>
                <w:sz w:val="20"/>
                <w:szCs w:val="20"/>
                <w:color w:val="auto"/>
              </w:rPr>
            </w:pPr>
            <w:r>
              <w:rPr>
                <w:rFonts w:ascii="Arial" w:cs="Arial" w:eastAsia="Arial" w:hAnsi="Arial"/>
                <w:sz w:val="15"/>
                <w:szCs w:val="15"/>
                <w:color w:val="092E44"/>
                <w:w w:val="71"/>
              </w:rPr>
              <w:t>$</w:t>
            </w:r>
          </w:p>
        </w:tc>
        <w:tc>
          <w:tcPr>
            <w:tcW w:w="820" w:type="dxa"/>
            <w:vAlign w:val="bottom"/>
            <w:gridSpan w:val="2"/>
            <w:shd w:val="clear" w:color="auto" w:fill="DDE9F2"/>
          </w:tcPr>
          <w:p>
            <w:pPr>
              <w:jc w:val="right"/>
              <w:ind w:right="160"/>
              <w:spacing w:after="0"/>
              <w:rPr>
                <w:sz w:val="20"/>
                <w:szCs w:val="20"/>
                <w:color w:val="auto"/>
              </w:rPr>
            </w:pPr>
            <w:r>
              <w:rPr>
                <w:rFonts w:ascii="Arial" w:cs="Arial" w:eastAsia="Arial" w:hAnsi="Arial"/>
                <w:sz w:val="16"/>
                <w:szCs w:val="16"/>
                <w:color w:val="092E44"/>
              </w:rPr>
              <w:t>(22,263)</w:t>
            </w:r>
          </w:p>
        </w:tc>
        <w:tc>
          <w:tcPr>
            <w:tcW w:w="0" w:type="dxa"/>
            <w:vAlign w:val="bottom"/>
          </w:tcPr>
          <w:p>
            <w:pPr>
              <w:spacing w:after="0"/>
              <w:rPr>
                <w:sz w:val="1"/>
                <w:szCs w:val="1"/>
                <w:color w:val="auto"/>
              </w:rPr>
            </w:pPr>
          </w:p>
        </w:tc>
      </w:tr>
      <w:tr>
        <w:trPr>
          <w:trHeight w:val="187"/>
        </w:trPr>
        <w:tc>
          <w:tcPr>
            <w:tcW w:w="8720" w:type="dxa"/>
            <w:vAlign w:val="bottom"/>
          </w:tcPr>
          <w:p>
            <w:pPr>
              <w:ind w:left="400"/>
              <w:spacing w:after="0"/>
              <w:rPr>
                <w:sz w:val="20"/>
                <w:szCs w:val="20"/>
                <w:color w:val="auto"/>
              </w:rPr>
            </w:pPr>
            <w:r>
              <w:rPr>
                <w:rFonts w:ascii="Arial" w:cs="Arial" w:eastAsia="Arial" w:hAnsi="Arial"/>
                <w:sz w:val="16"/>
                <w:szCs w:val="16"/>
                <w:color w:val="092E44"/>
              </w:rPr>
              <w:t>Noncash stock-based compensation(1)</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092E44"/>
              </w:rPr>
              <w:t>103,454</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092E44"/>
              </w:rPr>
              <w:t>82,086</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720" w:type="dxa"/>
            <w:vAlign w:val="bottom"/>
            <w:shd w:val="clear" w:color="auto" w:fill="DDE9F2"/>
          </w:tcPr>
          <w:p>
            <w:pPr>
              <w:ind w:left="400"/>
              <w:spacing w:after="0"/>
              <w:rPr>
                <w:sz w:val="20"/>
                <w:szCs w:val="20"/>
                <w:color w:val="auto"/>
              </w:rPr>
            </w:pPr>
            <w:r>
              <w:rPr>
                <w:rFonts w:ascii="Arial" w:cs="Arial" w:eastAsia="Arial" w:hAnsi="Arial"/>
                <w:sz w:val="16"/>
                <w:szCs w:val="16"/>
                <w:color w:val="092E44"/>
              </w:rPr>
              <w:t>FICA and payroll tax expense related to stock-based compensation(2)</w:t>
            </w:r>
          </w:p>
        </w:tc>
        <w:tc>
          <w:tcPr>
            <w:tcW w:w="320" w:type="dxa"/>
            <w:vAlign w:val="bottom"/>
            <w:shd w:val="clear" w:color="auto" w:fill="DDE9F2"/>
          </w:tcPr>
          <w:p>
            <w:pPr>
              <w:spacing w:after="0"/>
              <w:rPr>
                <w:sz w:val="16"/>
                <w:szCs w:val="16"/>
                <w:color w:val="auto"/>
              </w:rPr>
            </w:pPr>
          </w:p>
        </w:tc>
        <w:tc>
          <w:tcPr>
            <w:tcW w:w="120" w:type="dxa"/>
            <w:vAlign w:val="bottom"/>
            <w:shd w:val="clear" w:color="auto" w:fill="DDE9F2"/>
          </w:tcPr>
          <w:p>
            <w:pPr>
              <w:spacing w:after="0"/>
              <w:rPr>
                <w:sz w:val="16"/>
                <w:szCs w:val="16"/>
                <w:color w:val="auto"/>
              </w:rPr>
            </w:pPr>
          </w:p>
        </w:tc>
        <w:tc>
          <w:tcPr>
            <w:tcW w:w="820" w:type="dxa"/>
            <w:vAlign w:val="bottom"/>
            <w:gridSpan w:val="2"/>
            <w:shd w:val="clear" w:color="auto" w:fill="DDE9F2"/>
          </w:tcPr>
          <w:p>
            <w:pPr>
              <w:jc w:val="right"/>
              <w:ind w:right="220"/>
              <w:spacing w:after="0"/>
              <w:rPr>
                <w:sz w:val="20"/>
                <w:szCs w:val="20"/>
                <w:color w:val="auto"/>
              </w:rPr>
            </w:pPr>
            <w:r>
              <w:rPr>
                <w:rFonts w:ascii="Arial" w:cs="Arial" w:eastAsia="Arial" w:hAnsi="Arial"/>
                <w:sz w:val="16"/>
                <w:szCs w:val="16"/>
                <w:color w:val="092E44"/>
              </w:rPr>
              <w:t>3,261</w:t>
            </w:r>
          </w:p>
        </w:tc>
        <w:tc>
          <w:tcPr>
            <w:tcW w:w="120" w:type="dxa"/>
            <w:vAlign w:val="bottom"/>
            <w:shd w:val="clear" w:color="auto" w:fill="DDE9F2"/>
          </w:tcPr>
          <w:p>
            <w:pPr>
              <w:spacing w:after="0"/>
              <w:rPr>
                <w:sz w:val="16"/>
                <w:szCs w:val="16"/>
                <w:color w:val="auto"/>
              </w:rPr>
            </w:pPr>
          </w:p>
        </w:tc>
        <w:tc>
          <w:tcPr>
            <w:tcW w:w="820" w:type="dxa"/>
            <w:vAlign w:val="bottom"/>
            <w:gridSpan w:val="2"/>
            <w:shd w:val="clear" w:color="auto" w:fill="DDE9F2"/>
          </w:tcPr>
          <w:p>
            <w:pPr>
              <w:jc w:val="right"/>
              <w:ind w:right="220"/>
              <w:spacing w:after="0"/>
              <w:rPr>
                <w:sz w:val="20"/>
                <w:szCs w:val="20"/>
                <w:color w:val="auto"/>
              </w:rPr>
            </w:pPr>
            <w:r>
              <w:rPr>
                <w:rFonts w:ascii="Arial" w:cs="Arial" w:eastAsia="Arial" w:hAnsi="Arial"/>
                <w:sz w:val="16"/>
                <w:szCs w:val="16"/>
                <w:color w:val="092E44"/>
              </w:rPr>
              <w:t>2,196</w:t>
            </w:r>
          </w:p>
        </w:tc>
        <w:tc>
          <w:tcPr>
            <w:tcW w:w="0" w:type="dxa"/>
            <w:vAlign w:val="bottom"/>
          </w:tcPr>
          <w:p>
            <w:pPr>
              <w:spacing w:after="0"/>
              <w:rPr>
                <w:sz w:val="1"/>
                <w:szCs w:val="1"/>
                <w:color w:val="auto"/>
              </w:rPr>
            </w:pPr>
          </w:p>
        </w:tc>
      </w:tr>
      <w:tr>
        <w:trPr>
          <w:trHeight w:val="187"/>
        </w:trPr>
        <w:tc>
          <w:tcPr>
            <w:tcW w:w="8720" w:type="dxa"/>
            <w:vAlign w:val="bottom"/>
          </w:tcPr>
          <w:p>
            <w:pPr>
              <w:ind w:left="400"/>
              <w:spacing w:after="0"/>
              <w:rPr>
                <w:sz w:val="20"/>
                <w:szCs w:val="20"/>
                <w:color w:val="auto"/>
              </w:rPr>
            </w:pPr>
            <w:r>
              <w:rPr>
                <w:rFonts w:ascii="Arial" w:cs="Arial" w:eastAsia="Arial" w:hAnsi="Arial"/>
                <w:sz w:val="16"/>
                <w:szCs w:val="16"/>
                <w:color w:val="092E44"/>
              </w:rPr>
              <w:t>Restructuring(3)</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092E44"/>
              </w:rPr>
              <w:t>6,192</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092E44"/>
              </w:rPr>
              <w:t>23,471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720" w:type="dxa"/>
            <w:vAlign w:val="bottom"/>
            <w:shd w:val="clear" w:color="auto" w:fill="DDE9F2"/>
          </w:tcPr>
          <w:p>
            <w:pPr>
              <w:ind w:left="400"/>
              <w:spacing w:after="0"/>
              <w:rPr>
                <w:sz w:val="20"/>
                <w:szCs w:val="20"/>
                <w:color w:val="auto"/>
              </w:rPr>
            </w:pPr>
            <w:r>
              <w:rPr>
                <w:rFonts w:ascii="Arial" w:cs="Arial" w:eastAsia="Arial" w:hAnsi="Arial"/>
                <w:sz w:val="16"/>
                <w:szCs w:val="16"/>
                <w:color w:val="092E44"/>
              </w:rPr>
              <w:t>Hedvig deferred payments(4)</w:t>
            </w:r>
          </w:p>
        </w:tc>
        <w:tc>
          <w:tcPr>
            <w:tcW w:w="320" w:type="dxa"/>
            <w:vAlign w:val="bottom"/>
            <w:shd w:val="clear" w:color="auto" w:fill="DDE9F2"/>
          </w:tcPr>
          <w:p>
            <w:pPr>
              <w:spacing w:after="0"/>
              <w:rPr>
                <w:sz w:val="16"/>
                <w:szCs w:val="16"/>
                <w:color w:val="auto"/>
              </w:rPr>
            </w:pPr>
          </w:p>
        </w:tc>
        <w:tc>
          <w:tcPr>
            <w:tcW w:w="120" w:type="dxa"/>
            <w:vAlign w:val="bottom"/>
            <w:shd w:val="clear" w:color="auto" w:fill="DDE9F2"/>
          </w:tcPr>
          <w:p>
            <w:pPr>
              <w:spacing w:after="0"/>
              <w:rPr>
                <w:sz w:val="16"/>
                <w:szCs w:val="16"/>
                <w:color w:val="auto"/>
              </w:rPr>
            </w:pPr>
          </w:p>
        </w:tc>
        <w:tc>
          <w:tcPr>
            <w:tcW w:w="820" w:type="dxa"/>
            <w:vAlign w:val="bottom"/>
            <w:gridSpan w:val="2"/>
            <w:shd w:val="clear" w:color="auto" w:fill="DDE9F2"/>
          </w:tcPr>
          <w:p>
            <w:pPr>
              <w:jc w:val="right"/>
              <w:ind w:right="220"/>
              <w:spacing w:after="0"/>
              <w:rPr>
                <w:sz w:val="20"/>
                <w:szCs w:val="20"/>
                <w:color w:val="auto"/>
              </w:rPr>
            </w:pPr>
            <w:r>
              <w:rPr>
                <w:rFonts w:ascii="Arial" w:cs="Arial" w:eastAsia="Arial" w:hAnsi="Arial"/>
                <w:sz w:val="16"/>
                <w:szCs w:val="16"/>
                <w:color w:val="092E44"/>
              </w:rPr>
              <w:t>5,622</w:t>
            </w:r>
          </w:p>
        </w:tc>
        <w:tc>
          <w:tcPr>
            <w:tcW w:w="120" w:type="dxa"/>
            <w:vAlign w:val="bottom"/>
            <w:shd w:val="clear" w:color="auto" w:fill="DDE9F2"/>
          </w:tcPr>
          <w:p>
            <w:pPr>
              <w:spacing w:after="0"/>
              <w:rPr>
                <w:sz w:val="16"/>
                <w:szCs w:val="16"/>
                <w:color w:val="auto"/>
              </w:rPr>
            </w:pPr>
          </w:p>
        </w:tc>
        <w:tc>
          <w:tcPr>
            <w:tcW w:w="820" w:type="dxa"/>
            <w:vAlign w:val="bottom"/>
            <w:gridSpan w:val="2"/>
            <w:shd w:val="clear" w:color="auto" w:fill="DDE9F2"/>
          </w:tcPr>
          <w:p>
            <w:pPr>
              <w:jc w:val="right"/>
              <w:ind w:right="220"/>
              <w:spacing w:after="0"/>
              <w:rPr>
                <w:sz w:val="20"/>
                <w:szCs w:val="20"/>
                <w:color w:val="auto"/>
              </w:rPr>
            </w:pPr>
            <w:r>
              <w:rPr>
                <w:rFonts w:ascii="Arial" w:cs="Arial" w:eastAsia="Arial" w:hAnsi="Arial"/>
                <w:sz w:val="16"/>
                <w:szCs w:val="16"/>
                <w:color w:val="092E44"/>
              </w:rPr>
              <w:t>5,624</w:t>
            </w:r>
          </w:p>
        </w:tc>
        <w:tc>
          <w:tcPr>
            <w:tcW w:w="0" w:type="dxa"/>
            <w:vAlign w:val="bottom"/>
          </w:tcPr>
          <w:p>
            <w:pPr>
              <w:spacing w:after="0"/>
              <w:rPr>
                <w:sz w:val="1"/>
                <w:szCs w:val="1"/>
                <w:color w:val="auto"/>
              </w:rPr>
            </w:pPr>
          </w:p>
        </w:tc>
      </w:tr>
      <w:tr>
        <w:trPr>
          <w:trHeight w:val="187"/>
        </w:trPr>
        <w:tc>
          <w:tcPr>
            <w:tcW w:w="8720" w:type="dxa"/>
            <w:vAlign w:val="bottom"/>
          </w:tcPr>
          <w:p>
            <w:pPr>
              <w:ind w:left="400"/>
              <w:spacing w:after="0"/>
              <w:rPr>
                <w:sz w:val="20"/>
                <w:szCs w:val="20"/>
                <w:color w:val="auto"/>
              </w:rPr>
            </w:pPr>
            <w:r>
              <w:rPr>
                <w:rFonts w:ascii="Arial" w:cs="Arial" w:eastAsia="Arial" w:hAnsi="Arial"/>
                <w:sz w:val="16"/>
                <w:szCs w:val="16"/>
                <w:color w:val="092E44"/>
              </w:rPr>
              <w:t>Amortization of intangible assets(5)</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092E44"/>
              </w:rPr>
              <w:t>208</w:t>
            </w:r>
          </w:p>
        </w:tc>
        <w:tc>
          <w:tcPr>
            <w:tcW w:w="1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092E44"/>
              </w:rPr>
              <w:t>5,650</w:t>
            </w:r>
          </w:p>
        </w:tc>
        <w:tc>
          <w:tcPr>
            <w:tcW w:w="0" w:type="dxa"/>
            <w:vAlign w:val="bottom"/>
          </w:tcPr>
          <w:p>
            <w:pPr>
              <w:spacing w:after="0"/>
              <w:rPr>
                <w:sz w:val="1"/>
                <w:szCs w:val="1"/>
                <w:color w:val="auto"/>
              </w:rPr>
            </w:pPr>
          </w:p>
        </w:tc>
      </w:tr>
      <w:tr>
        <w:trPr>
          <w:trHeight w:val="187"/>
        </w:trPr>
        <w:tc>
          <w:tcPr>
            <w:tcW w:w="8720" w:type="dxa"/>
            <w:vAlign w:val="bottom"/>
            <w:shd w:val="clear" w:color="auto" w:fill="DDE9F2"/>
          </w:tcPr>
          <w:p>
            <w:pPr>
              <w:ind w:left="400"/>
              <w:spacing w:after="0"/>
              <w:rPr>
                <w:sz w:val="20"/>
                <w:szCs w:val="20"/>
                <w:color w:val="auto"/>
              </w:rPr>
            </w:pPr>
            <w:r>
              <w:rPr>
                <w:rFonts w:ascii="Arial" w:cs="Arial" w:eastAsia="Arial" w:hAnsi="Arial"/>
                <w:sz w:val="16"/>
                <w:szCs w:val="16"/>
                <w:color w:val="092E44"/>
              </w:rPr>
              <w:t>Impairment of intangible assets(6)</w:t>
            </w:r>
          </w:p>
        </w:tc>
        <w:tc>
          <w:tcPr>
            <w:tcW w:w="320" w:type="dxa"/>
            <w:vAlign w:val="bottom"/>
            <w:shd w:val="clear" w:color="auto" w:fill="DDE9F2"/>
          </w:tcPr>
          <w:p>
            <w:pPr>
              <w:spacing w:after="0"/>
              <w:rPr>
                <w:sz w:val="16"/>
                <w:szCs w:val="16"/>
                <w:color w:val="auto"/>
              </w:rPr>
            </w:pPr>
          </w:p>
        </w:tc>
        <w:tc>
          <w:tcPr>
            <w:tcW w:w="120" w:type="dxa"/>
            <w:vAlign w:val="bottom"/>
            <w:shd w:val="clear" w:color="auto" w:fill="DDE9F2"/>
          </w:tcPr>
          <w:p>
            <w:pPr>
              <w:spacing w:after="0"/>
              <w:rPr>
                <w:sz w:val="16"/>
                <w:szCs w:val="16"/>
                <w:color w:val="auto"/>
              </w:rPr>
            </w:pPr>
          </w:p>
        </w:tc>
        <w:tc>
          <w:tcPr>
            <w:tcW w:w="820" w:type="dxa"/>
            <w:vAlign w:val="bottom"/>
            <w:gridSpan w:val="2"/>
            <w:shd w:val="clear" w:color="auto" w:fill="DDE9F2"/>
          </w:tcPr>
          <w:p>
            <w:pPr>
              <w:jc w:val="right"/>
              <w:ind w:right="220"/>
              <w:spacing w:after="0"/>
              <w:rPr>
                <w:sz w:val="20"/>
                <w:szCs w:val="20"/>
                <w:color w:val="auto"/>
              </w:rPr>
            </w:pPr>
            <w:r>
              <w:rPr>
                <w:rFonts w:ascii="Arial" w:cs="Arial" w:eastAsia="Arial" w:hAnsi="Arial"/>
                <w:sz w:val="16"/>
                <w:szCs w:val="16"/>
                <w:color w:val="092E44"/>
              </w:rPr>
              <w:t>—</w:t>
            </w:r>
          </w:p>
        </w:tc>
        <w:tc>
          <w:tcPr>
            <w:tcW w:w="120" w:type="dxa"/>
            <w:vAlign w:val="bottom"/>
            <w:shd w:val="clear" w:color="auto" w:fill="DDE9F2"/>
          </w:tcPr>
          <w:p>
            <w:pPr>
              <w:spacing w:after="0"/>
              <w:rPr>
                <w:sz w:val="16"/>
                <w:szCs w:val="16"/>
                <w:color w:val="auto"/>
              </w:rPr>
            </w:pPr>
          </w:p>
        </w:tc>
        <w:tc>
          <w:tcPr>
            <w:tcW w:w="600" w:type="dxa"/>
            <w:vAlign w:val="bottom"/>
            <w:shd w:val="clear" w:color="auto" w:fill="DDE9F2"/>
          </w:tcPr>
          <w:p>
            <w:pPr>
              <w:jc w:val="right"/>
              <w:spacing w:after="0"/>
              <w:rPr>
                <w:sz w:val="20"/>
                <w:szCs w:val="20"/>
                <w:color w:val="auto"/>
              </w:rPr>
            </w:pPr>
            <w:r>
              <w:rPr>
                <w:rFonts w:ascii="Arial" w:cs="Arial" w:eastAsia="Arial" w:hAnsi="Arial"/>
                <w:sz w:val="16"/>
                <w:szCs w:val="16"/>
                <w:color w:val="092E44"/>
              </w:rPr>
              <w:t>40,700</w:t>
            </w:r>
          </w:p>
        </w:tc>
        <w:tc>
          <w:tcPr>
            <w:tcW w:w="220" w:type="dxa"/>
            <w:vAlign w:val="bottom"/>
            <w:shd w:val="clear" w:color="auto" w:fill="DDE9F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720" w:type="dxa"/>
            <w:vAlign w:val="bottom"/>
          </w:tcPr>
          <w:p>
            <w:pPr>
              <w:ind w:left="400"/>
              <w:spacing w:after="0"/>
              <w:rPr>
                <w:sz w:val="20"/>
                <w:szCs w:val="20"/>
                <w:color w:val="auto"/>
              </w:rPr>
            </w:pPr>
            <w:r>
              <w:rPr>
                <w:rFonts w:ascii="Arial" w:cs="Arial" w:eastAsia="Arial" w:hAnsi="Arial"/>
                <w:sz w:val="16"/>
                <w:szCs w:val="16"/>
                <w:color w:val="092E44"/>
              </w:rPr>
              <w:t>Acquisition costs(7)</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092E44"/>
              </w:rPr>
              <w:t>1,379</w:t>
            </w:r>
          </w:p>
        </w:tc>
        <w:tc>
          <w:tcPr>
            <w:tcW w:w="1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092E44"/>
              </w:rPr>
              <w:t>—</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092E44"/>
            </w:tcBorders>
          </w:tcPr>
          <w:p>
            <w:pPr>
              <w:spacing w:after="0" w:line="20" w:lineRule="exact"/>
              <w:rPr>
                <w:sz w:val="1"/>
                <w:szCs w:val="1"/>
                <w:color w:val="auto"/>
              </w:rPr>
            </w:pPr>
          </w:p>
        </w:tc>
        <w:tc>
          <w:tcPr>
            <w:tcW w:w="600" w:type="dxa"/>
            <w:vAlign w:val="bottom"/>
            <w:tcBorders>
              <w:top w:val="single" w:sz="8" w:color="092E44"/>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092E44"/>
            </w:tcBorders>
          </w:tcPr>
          <w:p>
            <w:pPr>
              <w:spacing w:after="0" w:line="20" w:lineRule="exact"/>
              <w:rPr>
                <w:sz w:val="1"/>
                <w:szCs w:val="1"/>
                <w:color w:val="auto"/>
              </w:rPr>
            </w:pPr>
          </w:p>
        </w:tc>
        <w:tc>
          <w:tcPr>
            <w:tcW w:w="600" w:type="dxa"/>
            <w:vAlign w:val="bottom"/>
            <w:tcBorders>
              <w:top w:val="single" w:sz="8" w:color="092E44"/>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8720" w:type="dxa"/>
            <w:vAlign w:val="bottom"/>
            <w:tcBorders>
              <w:bottom w:val="single" w:sz="8" w:color="DDE9F2"/>
            </w:tcBorders>
            <w:shd w:val="clear" w:color="auto" w:fill="DDE9F2"/>
          </w:tcPr>
          <w:p>
            <w:pPr>
              <w:ind w:left="80"/>
              <w:spacing w:after="0"/>
              <w:rPr>
                <w:sz w:val="20"/>
                <w:szCs w:val="20"/>
                <w:color w:val="auto"/>
              </w:rPr>
            </w:pPr>
            <w:r>
              <w:rPr>
                <w:rFonts w:ascii="Arial" w:cs="Arial" w:eastAsia="Arial" w:hAnsi="Arial"/>
                <w:sz w:val="16"/>
                <w:szCs w:val="16"/>
                <w:b w:val="1"/>
                <w:bCs w:val="1"/>
                <w:color w:val="092E44"/>
              </w:rPr>
              <w:t>Non-GAAP income from operations</w:t>
            </w:r>
          </w:p>
        </w:tc>
        <w:tc>
          <w:tcPr>
            <w:tcW w:w="320" w:type="dxa"/>
            <w:vAlign w:val="bottom"/>
            <w:tcBorders>
              <w:bottom w:val="single" w:sz="8" w:color="DDE9F2"/>
            </w:tcBorders>
            <w:shd w:val="clear" w:color="auto" w:fill="DDE9F2"/>
          </w:tcPr>
          <w:p>
            <w:pPr>
              <w:spacing w:after="0"/>
              <w:rPr>
                <w:sz w:val="24"/>
                <w:szCs w:val="24"/>
                <w:color w:val="auto"/>
              </w:rPr>
            </w:pPr>
          </w:p>
        </w:tc>
        <w:tc>
          <w:tcPr>
            <w:tcW w:w="120" w:type="dxa"/>
            <w:vAlign w:val="bottom"/>
            <w:tcBorders>
              <w:bottom w:val="single" w:sz="8" w:color="DDE9F2"/>
            </w:tcBorders>
            <w:shd w:val="clear" w:color="auto" w:fill="DDE9F2"/>
          </w:tcPr>
          <w:p>
            <w:pPr>
              <w:jc w:val="right"/>
              <w:spacing w:after="0"/>
              <w:rPr>
                <w:sz w:val="20"/>
                <w:szCs w:val="20"/>
                <w:color w:val="auto"/>
              </w:rPr>
            </w:pPr>
            <w:r>
              <w:rPr>
                <w:rFonts w:ascii="Arial" w:cs="Arial" w:eastAsia="Arial" w:hAnsi="Arial"/>
                <w:sz w:val="16"/>
                <w:szCs w:val="16"/>
                <w:b w:val="1"/>
                <w:bCs w:val="1"/>
                <w:color w:val="092E44"/>
                <w:w w:val="89"/>
              </w:rPr>
              <w:t>$</w:t>
            </w:r>
          </w:p>
        </w:tc>
        <w:tc>
          <w:tcPr>
            <w:tcW w:w="820" w:type="dxa"/>
            <w:vAlign w:val="bottom"/>
            <w:tcBorders>
              <w:bottom w:val="single" w:sz="8" w:color="DDE9F2"/>
            </w:tcBorders>
            <w:gridSpan w:val="2"/>
            <w:shd w:val="clear" w:color="auto" w:fill="DDE9F2"/>
          </w:tcPr>
          <w:p>
            <w:pPr>
              <w:jc w:val="right"/>
              <w:ind w:right="220"/>
              <w:spacing w:after="0"/>
              <w:rPr>
                <w:sz w:val="20"/>
                <w:szCs w:val="20"/>
                <w:color w:val="auto"/>
              </w:rPr>
            </w:pPr>
            <w:r>
              <w:rPr>
                <w:rFonts w:ascii="Arial" w:cs="Arial" w:eastAsia="Arial" w:hAnsi="Arial"/>
                <w:sz w:val="16"/>
                <w:szCs w:val="16"/>
                <w:b w:val="1"/>
                <w:bCs w:val="1"/>
                <w:color w:val="092E44"/>
              </w:rPr>
              <w:t>161,682</w:t>
            </w:r>
          </w:p>
        </w:tc>
        <w:tc>
          <w:tcPr>
            <w:tcW w:w="120" w:type="dxa"/>
            <w:vAlign w:val="bottom"/>
            <w:tcBorders>
              <w:bottom w:val="single" w:sz="8" w:color="DDE9F2"/>
            </w:tcBorders>
            <w:shd w:val="clear" w:color="auto" w:fill="DDE9F2"/>
          </w:tcPr>
          <w:p>
            <w:pPr>
              <w:jc w:val="right"/>
              <w:spacing w:after="0"/>
              <w:rPr>
                <w:sz w:val="20"/>
                <w:szCs w:val="20"/>
                <w:color w:val="auto"/>
              </w:rPr>
            </w:pPr>
            <w:r>
              <w:rPr>
                <w:rFonts w:ascii="Arial" w:cs="Arial" w:eastAsia="Arial" w:hAnsi="Arial"/>
                <w:sz w:val="15"/>
                <w:szCs w:val="15"/>
                <w:b w:val="1"/>
                <w:bCs w:val="1"/>
                <w:color w:val="092E44"/>
                <w:w w:val="71"/>
              </w:rPr>
              <w:t>$</w:t>
            </w:r>
          </w:p>
        </w:tc>
        <w:tc>
          <w:tcPr>
            <w:tcW w:w="600" w:type="dxa"/>
            <w:vAlign w:val="bottom"/>
            <w:tcBorders>
              <w:bottom w:val="single" w:sz="8" w:color="DDE9F2"/>
            </w:tcBorders>
            <w:shd w:val="clear" w:color="auto" w:fill="DDE9F2"/>
          </w:tcPr>
          <w:p>
            <w:pPr>
              <w:jc w:val="right"/>
              <w:spacing w:after="0"/>
              <w:rPr>
                <w:sz w:val="20"/>
                <w:szCs w:val="20"/>
                <w:color w:val="auto"/>
              </w:rPr>
            </w:pPr>
            <w:r>
              <w:rPr>
                <w:rFonts w:ascii="Arial" w:cs="Arial" w:eastAsia="Arial" w:hAnsi="Arial"/>
                <w:sz w:val="16"/>
                <w:szCs w:val="16"/>
                <w:b w:val="1"/>
                <w:bCs w:val="1"/>
                <w:color w:val="092E44"/>
              </w:rPr>
              <w:t>137,464</w:t>
            </w:r>
          </w:p>
        </w:tc>
        <w:tc>
          <w:tcPr>
            <w:tcW w:w="220" w:type="dxa"/>
            <w:vAlign w:val="bottom"/>
            <w:tcBorders>
              <w:bottom w:val="single" w:sz="8" w:color="DDE9F2"/>
            </w:tcBorders>
            <w:shd w:val="clear" w:color="auto" w:fill="DDE9F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720" w:type="dxa"/>
            <w:vAlign w:val="bottom"/>
            <w:vMerge w:val="restart"/>
          </w:tcPr>
          <w:p>
            <w:pPr>
              <w:ind w:left="240"/>
              <w:spacing w:after="0"/>
              <w:rPr>
                <w:sz w:val="20"/>
                <w:szCs w:val="20"/>
                <w:color w:val="auto"/>
              </w:rPr>
            </w:pPr>
            <w:r>
              <w:rPr>
                <w:rFonts w:ascii="Arial" w:cs="Arial" w:eastAsia="Arial" w:hAnsi="Arial"/>
                <w:sz w:val="16"/>
                <w:szCs w:val="16"/>
                <w:color w:val="092E44"/>
              </w:rPr>
              <w:t>GAAP net income (loss)</w:t>
            </w:r>
          </w:p>
        </w:tc>
        <w:tc>
          <w:tcPr>
            <w:tcW w:w="320" w:type="dxa"/>
            <w:vAlign w:val="bottom"/>
          </w:tcPr>
          <w:p>
            <w:pPr>
              <w:spacing w:after="0" w:line="20" w:lineRule="exact"/>
              <w:rPr>
                <w:sz w:val="1"/>
                <w:szCs w:val="1"/>
                <w:color w:val="auto"/>
              </w:rPr>
            </w:pPr>
          </w:p>
        </w:tc>
        <w:tc>
          <w:tcPr>
            <w:tcW w:w="120" w:type="dxa"/>
            <w:vAlign w:val="bottom"/>
            <w:tcBorders>
              <w:top w:val="single" w:sz="8" w:color="092E44"/>
              <w:bottom w:val="single" w:sz="8" w:color="092E44"/>
            </w:tcBorders>
          </w:tcPr>
          <w:p>
            <w:pPr>
              <w:spacing w:after="0" w:line="20" w:lineRule="exact"/>
              <w:rPr>
                <w:sz w:val="1"/>
                <w:szCs w:val="1"/>
                <w:color w:val="auto"/>
              </w:rPr>
            </w:pPr>
          </w:p>
        </w:tc>
        <w:tc>
          <w:tcPr>
            <w:tcW w:w="600" w:type="dxa"/>
            <w:vAlign w:val="bottom"/>
            <w:tcBorders>
              <w:top w:val="single" w:sz="8" w:color="092E44"/>
              <w:bottom w:val="single" w:sz="8" w:color="092E44"/>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092E44"/>
              <w:bottom w:val="single" w:sz="8" w:color="092E44"/>
            </w:tcBorders>
          </w:tcPr>
          <w:p>
            <w:pPr>
              <w:spacing w:after="0" w:line="20" w:lineRule="exact"/>
              <w:rPr>
                <w:sz w:val="1"/>
                <w:szCs w:val="1"/>
                <w:color w:val="auto"/>
              </w:rPr>
            </w:pPr>
          </w:p>
        </w:tc>
        <w:tc>
          <w:tcPr>
            <w:tcW w:w="600" w:type="dxa"/>
            <w:vAlign w:val="bottom"/>
            <w:tcBorders>
              <w:top w:val="single" w:sz="8" w:color="092E44"/>
              <w:bottom w:val="single" w:sz="8" w:color="092E44"/>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8720" w:type="dxa"/>
            <w:vAlign w:val="bottom"/>
            <w:vMerge w:val="continue"/>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092E44"/>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092E44"/>
              </w:rPr>
              <w:t>33,624</w:t>
            </w:r>
          </w:p>
        </w:tc>
        <w:tc>
          <w:tcPr>
            <w:tcW w:w="120" w:type="dxa"/>
            <w:vAlign w:val="bottom"/>
          </w:tcPr>
          <w:p>
            <w:pPr>
              <w:jc w:val="right"/>
              <w:spacing w:after="0"/>
              <w:rPr>
                <w:sz w:val="20"/>
                <w:szCs w:val="20"/>
                <w:color w:val="auto"/>
              </w:rPr>
            </w:pPr>
            <w:r>
              <w:rPr>
                <w:rFonts w:ascii="Arial" w:cs="Arial" w:eastAsia="Arial" w:hAnsi="Arial"/>
                <w:sz w:val="15"/>
                <w:szCs w:val="15"/>
                <w:color w:val="092E44"/>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092E44"/>
              </w:rPr>
              <w:t>(30,954)</w:t>
            </w:r>
          </w:p>
        </w:tc>
        <w:tc>
          <w:tcPr>
            <w:tcW w:w="0" w:type="dxa"/>
            <w:vAlign w:val="bottom"/>
          </w:tcPr>
          <w:p>
            <w:pPr>
              <w:spacing w:after="0"/>
              <w:rPr>
                <w:sz w:val="1"/>
                <w:szCs w:val="1"/>
                <w:color w:val="auto"/>
              </w:rPr>
            </w:pPr>
          </w:p>
        </w:tc>
      </w:tr>
      <w:tr>
        <w:trPr>
          <w:trHeight w:val="187"/>
        </w:trPr>
        <w:tc>
          <w:tcPr>
            <w:tcW w:w="8720" w:type="dxa"/>
            <w:vAlign w:val="bottom"/>
            <w:shd w:val="clear" w:color="auto" w:fill="DDE9F2"/>
          </w:tcPr>
          <w:p>
            <w:pPr>
              <w:ind w:left="400"/>
              <w:spacing w:after="0"/>
              <w:rPr>
                <w:sz w:val="20"/>
                <w:szCs w:val="20"/>
                <w:color w:val="auto"/>
              </w:rPr>
            </w:pPr>
            <w:r>
              <w:rPr>
                <w:rFonts w:ascii="Arial" w:cs="Arial" w:eastAsia="Arial" w:hAnsi="Arial"/>
                <w:sz w:val="16"/>
                <w:szCs w:val="16"/>
                <w:color w:val="092E44"/>
              </w:rPr>
              <w:t>Noncash stock-based compensation(1)</w:t>
            </w:r>
          </w:p>
        </w:tc>
        <w:tc>
          <w:tcPr>
            <w:tcW w:w="320" w:type="dxa"/>
            <w:vAlign w:val="bottom"/>
            <w:shd w:val="clear" w:color="auto" w:fill="DDE9F2"/>
          </w:tcPr>
          <w:p>
            <w:pPr>
              <w:spacing w:after="0"/>
              <w:rPr>
                <w:sz w:val="16"/>
                <w:szCs w:val="16"/>
                <w:color w:val="auto"/>
              </w:rPr>
            </w:pPr>
          </w:p>
        </w:tc>
        <w:tc>
          <w:tcPr>
            <w:tcW w:w="120" w:type="dxa"/>
            <w:vAlign w:val="bottom"/>
            <w:shd w:val="clear" w:color="auto" w:fill="DDE9F2"/>
          </w:tcPr>
          <w:p>
            <w:pPr>
              <w:spacing w:after="0"/>
              <w:rPr>
                <w:sz w:val="16"/>
                <w:szCs w:val="16"/>
                <w:color w:val="auto"/>
              </w:rPr>
            </w:pPr>
          </w:p>
        </w:tc>
        <w:tc>
          <w:tcPr>
            <w:tcW w:w="820" w:type="dxa"/>
            <w:vAlign w:val="bottom"/>
            <w:gridSpan w:val="2"/>
            <w:shd w:val="clear" w:color="auto" w:fill="DDE9F2"/>
          </w:tcPr>
          <w:p>
            <w:pPr>
              <w:jc w:val="right"/>
              <w:ind w:right="220"/>
              <w:spacing w:after="0"/>
              <w:rPr>
                <w:sz w:val="20"/>
                <w:szCs w:val="20"/>
                <w:color w:val="auto"/>
              </w:rPr>
            </w:pPr>
            <w:r>
              <w:rPr>
                <w:rFonts w:ascii="Arial" w:cs="Arial" w:eastAsia="Arial" w:hAnsi="Arial"/>
                <w:sz w:val="16"/>
                <w:szCs w:val="16"/>
                <w:color w:val="092E44"/>
              </w:rPr>
              <w:t>103,454</w:t>
            </w:r>
          </w:p>
        </w:tc>
        <w:tc>
          <w:tcPr>
            <w:tcW w:w="120" w:type="dxa"/>
            <w:vAlign w:val="bottom"/>
            <w:shd w:val="clear" w:color="auto" w:fill="DDE9F2"/>
          </w:tcPr>
          <w:p>
            <w:pPr>
              <w:spacing w:after="0"/>
              <w:rPr>
                <w:sz w:val="16"/>
                <w:szCs w:val="16"/>
                <w:color w:val="auto"/>
              </w:rPr>
            </w:pPr>
          </w:p>
        </w:tc>
        <w:tc>
          <w:tcPr>
            <w:tcW w:w="600" w:type="dxa"/>
            <w:vAlign w:val="bottom"/>
            <w:shd w:val="clear" w:color="auto" w:fill="DDE9F2"/>
          </w:tcPr>
          <w:p>
            <w:pPr>
              <w:jc w:val="right"/>
              <w:spacing w:after="0"/>
              <w:rPr>
                <w:sz w:val="20"/>
                <w:szCs w:val="20"/>
                <w:color w:val="auto"/>
              </w:rPr>
            </w:pPr>
            <w:r>
              <w:rPr>
                <w:rFonts w:ascii="Arial" w:cs="Arial" w:eastAsia="Arial" w:hAnsi="Arial"/>
                <w:sz w:val="16"/>
                <w:szCs w:val="16"/>
                <w:color w:val="092E44"/>
              </w:rPr>
              <w:t>82,086</w:t>
            </w:r>
          </w:p>
        </w:tc>
        <w:tc>
          <w:tcPr>
            <w:tcW w:w="220" w:type="dxa"/>
            <w:vAlign w:val="bottom"/>
            <w:shd w:val="clear" w:color="auto" w:fill="DDE9F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720" w:type="dxa"/>
            <w:vAlign w:val="bottom"/>
          </w:tcPr>
          <w:p>
            <w:pPr>
              <w:ind w:left="400"/>
              <w:spacing w:after="0"/>
              <w:rPr>
                <w:sz w:val="20"/>
                <w:szCs w:val="20"/>
                <w:color w:val="auto"/>
              </w:rPr>
            </w:pPr>
            <w:r>
              <w:rPr>
                <w:rFonts w:ascii="Arial" w:cs="Arial" w:eastAsia="Arial" w:hAnsi="Arial"/>
                <w:sz w:val="16"/>
                <w:szCs w:val="16"/>
                <w:color w:val="092E44"/>
              </w:rPr>
              <w:t>FICA and payroll tax expense related to stock-based compensation(2)</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092E44"/>
              </w:rPr>
              <w:t>3,261</w:t>
            </w:r>
          </w:p>
        </w:tc>
        <w:tc>
          <w:tcPr>
            <w:tcW w:w="1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092E44"/>
              </w:rPr>
              <w:t>2,196</w:t>
            </w:r>
          </w:p>
        </w:tc>
        <w:tc>
          <w:tcPr>
            <w:tcW w:w="0" w:type="dxa"/>
            <w:vAlign w:val="bottom"/>
          </w:tcPr>
          <w:p>
            <w:pPr>
              <w:spacing w:after="0"/>
              <w:rPr>
                <w:sz w:val="1"/>
                <w:szCs w:val="1"/>
                <w:color w:val="auto"/>
              </w:rPr>
            </w:pPr>
          </w:p>
        </w:tc>
      </w:tr>
      <w:tr>
        <w:trPr>
          <w:trHeight w:val="187"/>
        </w:trPr>
        <w:tc>
          <w:tcPr>
            <w:tcW w:w="8720" w:type="dxa"/>
            <w:vAlign w:val="bottom"/>
            <w:shd w:val="clear" w:color="auto" w:fill="DDE9F2"/>
          </w:tcPr>
          <w:p>
            <w:pPr>
              <w:ind w:left="400"/>
              <w:spacing w:after="0"/>
              <w:rPr>
                <w:sz w:val="20"/>
                <w:szCs w:val="20"/>
                <w:color w:val="auto"/>
              </w:rPr>
            </w:pPr>
            <w:r>
              <w:rPr>
                <w:rFonts w:ascii="Arial" w:cs="Arial" w:eastAsia="Arial" w:hAnsi="Arial"/>
                <w:sz w:val="16"/>
                <w:szCs w:val="16"/>
                <w:color w:val="092E44"/>
              </w:rPr>
              <w:t>Restructuring(3)</w:t>
            </w:r>
          </w:p>
        </w:tc>
        <w:tc>
          <w:tcPr>
            <w:tcW w:w="320" w:type="dxa"/>
            <w:vAlign w:val="bottom"/>
            <w:shd w:val="clear" w:color="auto" w:fill="DDE9F2"/>
          </w:tcPr>
          <w:p>
            <w:pPr>
              <w:spacing w:after="0"/>
              <w:rPr>
                <w:sz w:val="16"/>
                <w:szCs w:val="16"/>
                <w:color w:val="auto"/>
              </w:rPr>
            </w:pPr>
          </w:p>
        </w:tc>
        <w:tc>
          <w:tcPr>
            <w:tcW w:w="120" w:type="dxa"/>
            <w:vAlign w:val="bottom"/>
            <w:shd w:val="clear" w:color="auto" w:fill="DDE9F2"/>
          </w:tcPr>
          <w:p>
            <w:pPr>
              <w:spacing w:after="0"/>
              <w:rPr>
                <w:sz w:val="16"/>
                <w:szCs w:val="16"/>
                <w:color w:val="auto"/>
              </w:rPr>
            </w:pPr>
          </w:p>
        </w:tc>
        <w:tc>
          <w:tcPr>
            <w:tcW w:w="820" w:type="dxa"/>
            <w:vAlign w:val="bottom"/>
            <w:gridSpan w:val="2"/>
            <w:shd w:val="clear" w:color="auto" w:fill="DDE9F2"/>
          </w:tcPr>
          <w:p>
            <w:pPr>
              <w:jc w:val="right"/>
              <w:ind w:right="220"/>
              <w:spacing w:after="0"/>
              <w:rPr>
                <w:sz w:val="20"/>
                <w:szCs w:val="20"/>
                <w:color w:val="auto"/>
              </w:rPr>
            </w:pPr>
            <w:r>
              <w:rPr>
                <w:rFonts w:ascii="Arial" w:cs="Arial" w:eastAsia="Arial" w:hAnsi="Arial"/>
                <w:sz w:val="16"/>
                <w:szCs w:val="16"/>
                <w:color w:val="092E44"/>
              </w:rPr>
              <w:t>6,192</w:t>
            </w:r>
          </w:p>
        </w:tc>
        <w:tc>
          <w:tcPr>
            <w:tcW w:w="120" w:type="dxa"/>
            <w:vAlign w:val="bottom"/>
            <w:shd w:val="clear" w:color="auto" w:fill="DDE9F2"/>
          </w:tcPr>
          <w:p>
            <w:pPr>
              <w:spacing w:after="0"/>
              <w:rPr>
                <w:sz w:val="16"/>
                <w:szCs w:val="16"/>
                <w:color w:val="auto"/>
              </w:rPr>
            </w:pPr>
          </w:p>
        </w:tc>
        <w:tc>
          <w:tcPr>
            <w:tcW w:w="600" w:type="dxa"/>
            <w:vAlign w:val="bottom"/>
            <w:shd w:val="clear" w:color="auto" w:fill="DDE9F2"/>
          </w:tcPr>
          <w:p>
            <w:pPr>
              <w:jc w:val="right"/>
              <w:spacing w:after="0"/>
              <w:rPr>
                <w:sz w:val="20"/>
                <w:szCs w:val="20"/>
                <w:color w:val="auto"/>
              </w:rPr>
            </w:pPr>
            <w:r>
              <w:rPr>
                <w:rFonts w:ascii="Arial" w:cs="Arial" w:eastAsia="Arial" w:hAnsi="Arial"/>
                <w:sz w:val="16"/>
                <w:szCs w:val="16"/>
                <w:color w:val="092E44"/>
              </w:rPr>
              <w:t>23,471</w:t>
            </w:r>
          </w:p>
        </w:tc>
        <w:tc>
          <w:tcPr>
            <w:tcW w:w="220" w:type="dxa"/>
            <w:vAlign w:val="bottom"/>
            <w:shd w:val="clear" w:color="auto" w:fill="DDE9F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720" w:type="dxa"/>
            <w:vAlign w:val="bottom"/>
          </w:tcPr>
          <w:p>
            <w:pPr>
              <w:ind w:left="400"/>
              <w:spacing w:after="0"/>
              <w:rPr>
                <w:sz w:val="20"/>
                <w:szCs w:val="20"/>
                <w:color w:val="auto"/>
              </w:rPr>
            </w:pPr>
            <w:r>
              <w:rPr>
                <w:rFonts w:ascii="Arial" w:cs="Arial" w:eastAsia="Arial" w:hAnsi="Arial"/>
                <w:sz w:val="16"/>
                <w:szCs w:val="16"/>
                <w:color w:val="092E44"/>
              </w:rPr>
              <w:t>Hedvig deferred payments(4)</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092E44"/>
              </w:rPr>
              <w:t>5,622</w:t>
            </w:r>
          </w:p>
        </w:tc>
        <w:tc>
          <w:tcPr>
            <w:tcW w:w="1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092E44"/>
              </w:rPr>
              <w:t>5,624</w:t>
            </w:r>
          </w:p>
        </w:tc>
        <w:tc>
          <w:tcPr>
            <w:tcW w:w="0" w:type="dxa"/>
            <w:vAlign w:val="bottom"/>
          </w:tcPr>
          <w:p>
            <w:pPr>
              <w:spacing w:after="0"/>
              <w:rPr>
                <w:sz w:val="1"/>
                <w:szCs w:val="1"/>
                <w:color w:val="auto"/>
              </w:rPr>
            </w:pPr>
          </w:p>
        </w:tc>
      </w:tr>
      <w:tr>
        <w:trPr>
          <w:trHeight w:val="187"/>
        </w:trPr>
        <w:tc>
          <w:tcPr>
            <w:tcW w:w="8720" w:type="dxa"/>
            <w:vAlign w:val="bottom"/>
            <w:shd w:val="clear" w:color="auto" w:fill="DDE9F2"/>
          </w:tcPr>
          <w:p>
            <w:pPr>
              <w:ind w:left="400"/>
              <w:spacing w:after="0"/>
              <w:rPr>
                <w:sz w:val="20"/>
                <w:szCs w:val="20"/>
                <w:color w:val="auto"/>
              </w:rPr>
            </w:pPr>
            <w:r>
              <w:rPr>
                <w:rFonts w:ascii="Arial" w:cs="Arial" w:eastAsia="Arial" w:hAnsi="Arial"/>
                <w:sz w:val="16"/>
                <w:szCs w:val="16"/>
                <w:color w:val="092E44"/>
              </w:rPr>
              <w:t>Amortization of intangible assets(5)</w:t>
            </w:r>
          </w:p>
        </w:tc>
        <w:tc>
          <w:tcPr>
            <w:tcW w:w="320" w:type="dxa"/>
            <w:vAlign w:val="bottom"/>
            <w:shd w:val="clear" w:color="auto" w:fill="DDE9F2"/>
          </w:tcPr>
          <w:p>
            <w:pPr>
              <w:spacing w:after="0"/>
              <w:rPr>
                <w:sz w:val="16"/>
                <w:szCs w:val="16"/>
                <w:color w:val="auto"/>
              </w:rPr>
            </w:pPr>
          </w:p>
        </w:tc>
        <w:tc>
          <w:tcPr>
            <w:tcW w:w="120" w:type="dxa"/>
            <w:vAlign w:val="bottom"/>
            <w:shd w:val="clear" w:color="auto" w:fill="DDE9F2"/>
          </w:tcPr>
          <w:p>
            <w:pPr>
              <w:spacing w:after="0"/>
              <w:rPr>
                <w:sz w:val="16"/>
                <w:szCs w:val="16"/>
                <w:color w:val="auto"/>
              </w:rPr>
            </w:pPr>
          </w:p>
        </w:tc>
        <w:tc>
          <w:tcPr>
            <w:tcW w:w="820" w:type="dxa"/>
            <w:vAlign w:val="bottom"/>
            <w:gridSpan w:val="2"/>
            <w:shd w:val="clear" w:color="auto" w:fill="DDE9F2"/>
          </w:tcPr>
          <w:p>
            <w:pPr>
              <w:jc w:val="right"/>
              <w:ind w:right="220"/>
              <w:spacing w:after="0"/>
              <w:rPr>
                <w:sz w:val="20"/>
                <w:szCs w:val="20"/>
                <w:color w:val="auto"/>
              </w:rPr>
            </w:pPr>
            <w:r>
              <w:rPr>
                <w:rFonts w:ascii="Arial" w:cs="Arial" w:eastAsia="Arial" w:hAnsi="Arial"/>
                <w:sz w:val="16"/>
                <w:szCs w:val="16"/>
                <w:color w:val="092E44"/>
              </w:rPr>
              <w:t>208</w:t>
            </w:r>
          </w:p>
        </w:tc>
        <w:tc>
          <w:tcPr>
            <w:tcW w:w="120" w:type="dxa"/>
            <w:vAlign w:val="bottom"/>
            <w:shd w:val="clear" w:color="auto" w:fill="DDE9F2"/>
          </w:tcPr>
          <w:p>
            <w:pPr>
              <w:spacing w:after="0"/>
              <w:rPr>
                <w:sz w:val="16"/>
                <w:szCs w:val="16"/>
                <w:color w:val="auto"/>
              </w:rPr>
            </w:pPr>
          </w:p>
        </w:tc>
        <w:tc>
          <w:tcPr>
            <w:tcW w:w="820" w:type="dxa"/>
            <w:vAlign w:val="bottom"/>
            <w:gridSpan w:val="2"/>
            <w:shd w:val="clear" w:color="auto" w:fill="DDE9F2"/>
          </w:tcPr>
          <w:p>
            <w:pPr>
              <w:jc w:val="right"/>
              <w:ind w:right="220"/>
              <w:spacing w:after="0"/>
              <w:rPr>
                <w:sz w:val="20"/>
                <w:szCs w:val="20"/>
                <w:color w:val="auto"/>
              </w:rPr>
            </w:pPr>
            <w:r>
              <w:rPr>
                <w:rFonts w:ascii="Arial" w:cs="Arial" w:eastAsia="Arial" w:hAnsi="Arial"/>
                <w:sz w:val="16"/>
                <w:szCs w:val="16"/>
                <w:color w:val="092E44"/>
              </w:rPr>
              <w:t>5,650</w:t>
            </w:r>
          </w:p>
        </w:tc>
        <w:tc>
          <w:tcPr>
            <w:tcW w:w="0" w:type="dxa"/>
            <w:vAlign w:val="bottom"/>
          </w:tcPr>
          <w:p>
            <w:pPr>
              <w:spacing w:after="0"/>
              <w:rPr>
                <w:sz w:val="1"/>
                <w:szCs w:val="1"/>
                <w:color w:val="auto"/>
              </w:rPr>
            </w:pPr>
          </w:p>
        </w:tc>
      </w:tr>
      <w:tr>
        <w:trPr>
          <w:trHeight w:val="187"/>
        </w:trPr>
        <w:tc>
          <w:tcPr>
            <w:tcW w:w="8720" w:type="dxa"/>
            <w:vAlign w:val="bottom"/>
          </w:tcPr>
          <w:p>
            <w:pPr>
              <w:ind w:left="400"/>
              <w:spacing w:after="0"/>
              <w:rPr>
                <w:sz w:val="20"/>
                <w:szCs w:val="20"/>
                <w:color w:val="auto"/>
              </w:rPr>
            </w:pPr>
            <w:r>
              <w:rPr>
                <w:rFonts w:ascii="Arial" w:cs="Arial" w:eastAsia="Arial" w:hAnsi="Arial"/>
                <w:sz w:val="16"/>
                <w:szCs w:val="16"/>
                <w:color w:val="092E44"/>
              </w:rPr>
              <w:t>Impairment of intangible assets(6)</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092E44"/>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092E44"/>
              </w:rPr>
              <w:t>40,700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720" w:type="dxa"/>
            <w:vAlign w:val="bottom"/>
            <w:shd w:val="clear" w:color="auto" w:fill="DDE9F2"/>
          </w:tcPr>
          <w:p>
            <w:pPr>
              <w:ind w:left="400"/>
              <w:spacing w:after="0"/>
              <w:rPr>
                <w:sz w:val="20"/>
                <w:szCs w:val="20"/>
                <w:color w:val="auto"/>
              </w:rPr>
            </w:pPr>
            <w:r>
              <w:rPr>
                <w:rFonts w:ascii="Arial" w:cs="Arial" w:eastAsia="Arial" w:hAnsi="Arial"/>
                <w:sz w:val="16"/>
                <w:szCs w:val="16"/>
                <w:color w:val="092E44"/>
              </w:rPr>
              <w:t>Acquisition costs(7)</w:t>
            </w:r>
          </w:p>
        </w:tc>
        <w:tc>
          <w:tcPr>
            <w:tcW w:w="320" w:type="dxa"/>
            <w:vAlign w:val="bottom"/>
            <w:shd w:val="clear" w:color="auto" w:fill="DDE9F2"/>
          </w:tcPr>
          <w:p>
            <w:pPr>
              <w:spacing w:after="0"/>
              <w:rPr>
                <w:sz w:val="16"/>
                <w:szCs w:val="16"/>
                <w:color w:val="auto"/>
              </w:rPr>
            </w:pPr>
          </w:p>
        </w:tc>
        <w:tc>
          <w:tcPr>
            <w:tcW w:w="120" w:type="dxa"/>
            <w:vAlign w:val="bottom"/>
            <w:shd w:val="clear" w:color="auto" w:fill="DDE9F2"/>
          </w:tcPr>
          <w:p>
            <w:pPr>
              <w:spacing w:after="0"/>
              <w:rPr>
                <w:sz w:val="16"/>
                <w:szCs w:val="16"/>
                <w:color w:val="auto"/>
              </w:rPr>
            </w:pPr>
          </w:p>
        </w:tc>
        <w:tc>
          <w:tcPr>
            <w:tcW w:w="820" w:type="dxa"/>
            <w:vAlign w:val="bottom"/>
            <w:gridSpan w:val="2"/>
            <w:shd w:val="clear" w:color="auto" w:fill="DDE9F2"/>
          </w:tcPr>
          <w:p>
            <w:pPr>
              <w:jc w:val="right"/>
              <w:ind w:right="220"/>
              <w:spacing w:after="0"/>
              <w:rPr>
                <w:sz w:val="20"/>
                <w:szCs w:val="20"/>
                <w:color w:val="auto"/>
              </w:rPr>
            </w:pPr>
            <w:r>
              <w:rPr>
                <w:rFonts w:ascii="Arial" w:cs="Arial" w:eastAsia="Arial" w:hAnsi="Arial"/>
                <w:sz w:val="16"/>
                <w:szCs w:val="16"/>
                <w:color w:val="092E44"/>
              </w:rPr>
              <w:t>1,379</w:t>
            </w:r>
          </w:p>
        </w:tc>
        <w:tc>
          <w:tcPr>
            <w:tcW w:w="120" w:type="dxa"/>
            <w:vAlign w:val="bottom"/>
            <w:shd w:val="clear" w:color="auto" w:fill="DDE9F2"/>
          </w:tcPr>
          <w:p>
            <w:pPr>
              <w:spacing w:after="0"/>
              <w:rPr>
                <w:sz w:val="16"/>
                <w:szCs w:val="16"/>
                <w:color w:val="auto"/>
              </w:rPr>
            </w:pPr>
          </w:p>
        </w:tc>
        <w:tc>
          <w:tcPr>
            <w:tcW w:w="820" w:type="dxa"/>
            <w:vAlign w:val="bottom"/>
            <w:gridSpan w:val="2"/>
            <w:shd w:val="clear" w:color="auto" w:fill="DDE9F2"/>
          </w:tcPr>
          <w:p>
            <w:pPr>
              <w:jc w:val="right"/>
              <w:ind w:right="220"/>
              <w:spacing w:after="0"/>
              <w:rPr>
                <w:sz w:val="20"/>
                <w:szCs w:val="20"/>
                <w:color w:val="auto"/>
              </w:rPr>
            </w:pPr>
            <w:r>
              <w:rPr>
                <w:rFonts w:ascii="Arial" w:cs="Arial" w:eastAsia="Arial" w:hAnsi="Arial"/>
                <w:sz w:val="16"/>
                <w:szCs w:val="16"/>
                <w:color w:val="092E44"/>
              </w:rPr>
              <w:t>—</w:t>
            </w:r>
          </w:p>
        </w:tc>
        <w:tc>
          <w:tcPr>
            <w:tcW w:w="0" w:type="dxa"/>
            <w:vAlign w:val="bottom"/>
          </w:tcPr>
          <w:p>
            <w:pPr>
              <w:spacing w:after="0"/>
              <w:rPr>
                <w:sz w:val="1"/>
                <w:szCs w:val="1"/>
                <w:color w:val="auto"/>
              </w:rPr>
            </w:pPr>
          </w:p>
        </w:tc>
      </w:tr>
      <w:tr>
        <w:trPr>
          <w:trHeight w:val="187"/>
        </w:trPr>
        <w:tc>
          <w:tcPr>
            <w:tcW w:w="8720" w:type="dxa"/>
            <w:vAlign w:val="bottom"/>
          </w:tcPr>
          <w:p>
            <w:pPr>
              <w:ind w:left="400"/>
              <w:spacing w:after="0"/>
              <w:rPr>
                <w:sz w:val="20"/>
                <w:szCs w:val="20"/>
                <w:color w:val="auto"/>
              </w:rPr>
            </w:pPr>
            <w:r>
              <w:rPr>
                <w:rFonts w:ascii="Arial" w:cs="Arial" w:eastAsia="Arial" w:hAnsi="Arial"/>
                <w:sz w:val="16"/>
                <w:szCs w:val="16"/>
                <w:color w:val="092E44"/>
              </w:rPr>
              <w:t>Gain on sale of equity method investment(8)</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092E44"/>
              </w:rPr>
              <w:t>(1,000)</w:t>
            </w:r>
          </w:p>
        </w:tc>
        <w:tc>
          <w:tcPr>
            <w:tcW w:w="1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092E44"/>
              </w:rPr>
              <w:t>—</w:t>
            </w:r>
          </w:p>
        </w:tc>
        <w:tc>
          <w:tcPr>
            <w:tcW w:w="0" w:type="dxa"/>
            <w:vAlign w:val="bottom"/>
          </w:tcPr>
          <w:p>
            <w:pPr>
              <w:spacing w:after="0"/>
              <w:rPr>
                <w:sz w:val="1"/>
                <w:szCs w:val="1"/>
                <w:color w:val="auto"/>
              </w:rPr>
            </w:pPr>
          </w:p>
        </w:tc>
      </w:tr>
      <w:tr>
        <w:trPr>
          <w:trHeight w:val="187"/>
        </w:trPr>
        <w:tc>
          <w:tcPr>
            <w:tcW w:w="8720" w:type="dxa"/>
            <w:vAlign w:val="bottom"/>
            <w:shd w:val="clear" w:color="auto" w:fill="DDE9F2"/>
          </w:tcPr>
          <w:p>
            <w:pPr>
              <w:ind w:left="400"/>
              <w:spacing w:after="0"/>
              <w:rPr>
                <w:sz w:val="20"/>
                <w:szCs w:val="20"/>
                <w:color w:val="auto"/>
              </w:rPr>
            </w:pPr>
            <w:r>
              <w:rPr>
                <w:rFonts w:ascii="Arial" w:cs="Arial" w:eastAsia="Arial" w:hAnsi="Arial"/>
                <w:sz w:val="16"/>
                <w:szCs w:val="16"/>
                <w:color w:val="092E44"/>
              </w:rPr>
              <w:t>Non-GAAP provision for income taxes adjustment(9)</w:t>
            </w:r>
          </w:p>
        </w:tc>
        <w:tc>
          <w:tcPr>
            <w:tcW w:w="320" w:type="dxa"/>
            <w:vAlign w:val="bottom"/>
            <w:shd w:val="clear" w:color="auto" w:fill="DDE9F2"/>
          </w:tcPr>
          <w:p>
            <w:pPr>
              <w:spacing w:after="0"/>
              <w:rPr>
                <w:sz w:val="16"/>
                <w:szCs w:val="16"/>
                <w:color w:val="auto"/>
              </w:rPr>
            </w:pPr>
          </w:p>
        </w:tc>
        <w:tc>
          <w:tcPr>
            <w:tcW w:w="120" w:type="dxa"/>
            <w:vAlign w:val="bottom"/>
            <w:shd w:val="clear" w:color="auto" w:fill="DDE9F2"/>
          </w:tcPr>
          <w:p>
            <w:pPr>
              <w:spacing w:after="0"/>
              <w:rPr>
                <w:sz w:val="16"/>
                <w:szCs w:val="16"/>
                <w:color w:val="auto"/>
              </w:rPr>
            </w:pPr>
          </w:p>
        </w:tc>
        <w:tc>
          <w:tcPr>
            <w:tcW w:w="820" w:type="dxa"/>
            <w:vAlign w:val="bottom"/>
            <w:gridSpan w:val="2"/>
            <w:shd w:val="clear" w:color="auto" w:fill="DDE9F2"/>
          </w:tcPr>
          <w:p>
            <w:pPr>
              <w:jc w:val="right"/>
              <w:ind w:right="160"/>
              <w:spacing w:after="0"/>
              <w:rPr>
                <w:sz w:val="20"/>
                <w:szCs w:val="20"/>
                <w:color w:val="auto"/>
              </w:rPr>
            </w:pPr>
            <w:r>
              <w:rPr>
                <w:rFonts w:ascii="Arial" w:cs="Arial" w:eastAsia="Arial" w:hAnsi="Arial"/>
                <w:sz w:val="16"/>
                <w:szCs w:val="16"/>
                <w:color w:val="092E44"/>
              </w:rPr>
              <w:t>(34,090)</w:t>
            </w:r>
          </w:p>
        </w:tc>
        <w:tc>
          <w:tcPr>
            <w:tcW w:w="120" w:type="dxa"/>
            <w:vAlign w:val="bottom"/>
            <w:shd w:val="clear" w:color="auto" w:fill="DDE9F2"/>
          </w:tcPr>
          <w:p>
            <w:pPr>
              <w:spacing w:after="0"/>
              <w:rPr>
                <w:sz w:val="16"/>
                <w:szCs w:val="16"/>
                <w:color w:val="auto"/>
              </w:rPr>
            </w:pPr>
          </w:p>
        </w:tc>
        <w:tc>
          <w:tcPr>
            <w:tcW w:w="820" w:type="dxa"/>
            <w:vAlign w:val="bottom"/>
            <w:gridSpan w:val="2"/>
            <w:shd w:val="clear" w:color="auto" w:fill="DDE9F2"/>
          </w:tcPr>
          <w:p>
            <w:pPr>
              <w:jc w:val="right"/>
              <w:ind w:right="160"/>
              <w:spacing w:after="0"/>
              <w:rPr>
                <w:sz w:val="20"/>
                <w:szCs w:val="20"/>
                <w:color w:val="auto"/>
              </w:rPr>
            </w:pPr>
            <w:r>
              <w:rPr>
                <w:rFonts w:ascii="Arial" w:cs="Arial" w:eastAsia="Arial" w:hAnsi="Arial"/>
                <w:sz w:val="16"/>
                <w:szCs w:val="16"/>
                <w:color w:val="092E44"/>
              </w:rPr>
              <w:t>(27,674)</w:t>
            </w:r>
          </w:p>
        </w:tc>
        <w:tc>
          <w:tcPr>
            <w:tcW w:w="0" w:type="dxa"/>
            <w:vAlign w:val="bottom"/>
          </w:tcPr>
          <w:p>
            <w:pPr>
              <w:spacing w:after="0"/>
              <w:rPr>
                <w:sz w:val="1"/>
                <w:szCs w:val="1"/>
                <w:color w:val="auto"/>
              </w:rPr>
            </w:pPr>
          </w:p>
        </w:tc>
      </w:tr>
      <w:tr>
        <w:trPr>
          <w:trHeight w:val="281"/>
        </w:trPr>
        <w:tc>
          <w:tcPr>
            <w:tcW w:w="8720" w:type="dxa"/>
            <w:vAlign w:val="bottom"/>
          </w:tcPr>
          <w:p>
            <w:pPr>
              <w:ind w:left="80"/>
              <w:spacing w:after="0"/>
              <w:rPr>
                <w:sz w:val="20"/>
                <w:szCs w:val="20"/>
                <w:color w:val="auto"/>
              </w:rPr>
            </w:pPr>
            <w:r>
              <w:rPr>
                <w:rFonts w:ascii="Arial" w:cs="Arial" w:eastAsia="Arial" w:hAnsi="Arial"/>
                <w:sz w:val="16"/>
                <w:szCs w:val="16"/>
                <w:b w:val="1"/>
                <w:bCs w:val="1"/>
                <w:color w:val="092E44"/>
              </w:rPr>
              <w:t>Non-GAAP net income</w:t>
            </w:r>
          </w:p>
        </w:tc>
        <w:tc>
          <w:tcPr>
            <w:tcW w:w="320" w:type="dxa"/>
            <w:vAlign w:val="bottom"/>
          </w:tcPr>
          <w:p>
            <w:pPr>
              <w:spacing w:after="0"/>
              <w:rPr>
                <w:sz w:val="24"/>
                <w:szCs w:val="24"/>
                <w:color w:val="auto"/>
              </w:rPr>
            </w:pPr>
          </w:p>
        </w:tc>
        <w:tc>
          <w:tcPr>
            <w:tcW w:w="120" w:type="dxa"/>
            <w:vAlign w:val="bottom"/>
            <w:tcBorders>
              <w:top w:val="single" w:sz="8" w:color="092E44"/>
            </w:tcBorders>
          </w:tcPr>
          <w:p>
            <w:pPr>
              <w:jc w:val="right"/>
              <w:spacing w:after="0"/>
              <w:rPr>
                <w:sz w:val="20"/>
                <w:szCs w:val="20"/>
                <w:color w:val="auto"/>
              </w:rPr>
            </w:pPr>
            <w:r>
              <w:rPr>
                <w:rFonts w:ascii="Arial" w:cs="Arial" w:eastAsia="Arial" w:hAnsi="Arial"/>
                <w:sz w:val="16"/>
                <w:szCs w:val="16"/>
                <w:b w:val="1"/>
                <w:bCs w:val="1"/>
                <w:color w:val="092E44"/>
                <w:w w:val="89"/>
              </w:rPr>
              <w:t>$</w:t>
            </w:r>
          </w:p>
        </w:tc>
        <w:tc>
          <w:tcPr>
            <w:tcW w:w="600" w:type="dxa"/>
            <w:vAlign w:val="bottom"/>
            <w:tcBorders>
              <w:top w:val="single" w:sz="8" w:color="092E44"/>
            </w:tcBorders>
          </w:tcPr>
          <w:p>
            <w:pPr>
              <w:jc w:val="right"/>
              <w:spacing w:after="0"/>
              <w:rPr>
                <w:sz w:val="20"/>
                <w:szCs w:val="20"/>
                <w:color w:val="auto"/>
              </w:rPr>
            </w:pPr>
            <w:r>
              <w:rPr>
                <w:rFonts w:ascii="Arial" w:cs="Arial" w:eastAsia="Arial" w:hAnsi="Arial"/>
                <w:sz w:val="16"/>
                <w:szCs w:val="16"/>
                <w:b w:val="1"/>
                <w:bCs w:val="1"/>
                <w:color w:val="092E44"/>
              </w:rPr>
              <w:t>118,650</w:t>
            </w:r>
          </w:p>
        </w:tc>
        <w:tc>
          <w:tcPr>
            <w:tcW w:w="220" w:type="dxa"/>
            <w:vAlign w:val="bottom"/>
          </w:tcPr>
          <w:p>
            <w:pPr>
              <w:spacing w:after="0"/>
              <w:rPr>
                <w:sz w:val="24"/>
                <w:szCs w:val="24"/>
                <w:color w:val="auto"/>
              </w:rPr>
            </w:pPr>
          </w:p>
        </w:tc>
        <w:tc>
          <w:tcPr>
            <w:tcW w:w="120" w:type="dxa"/>
            <w:vAlign w:val="bottom"/>
            <w:tcBorders>
              <w:top w:val="single" w:sz="8" w:color="092E44"/>
            </w:tcBorders>
          </w:tcPr>
          <w:p>
            <w:pPr>
              <w:jc w:val="right"/>
              <w:spacing w:after="0"/>
              <w:rPr>
                <w:sz w:val="20"/>
                <w:szCs w:val="20"/>
                <w:color w:val="auto"/>
              </w:rPr>
            </w:pPr>
            <w:r>
              <w:rPr>
                <w:rFonts w:ascii="Arial" w:cs="Arial" w:eastAsia="Arial" w:hAnsi="Arial"/>
                <w:sz w:val="15"/>
                <w:szCs w:val="15"/>
                <w:b w:val="1"/>
                <w:bCs w:val="1"/>
                <w:color w:val="092E44"/>
                <w:w w:val="71"/>
              </w:rPr>
              <w:t>$</w:t>
            </w:r>
          </w:p>
        </w:tc>
        <w:tc>
          <w:tcPr>
            <w:tcW w:w="600" w:type="dxa"/>
            <w:vAlign w:val="bottom"/>
            <w:tcBorders>
              <w:top w:val="single" w:sz="8" w:color="092E44"/>
            </w:tcBorders>
          </w:tcPr>
          <w:p>
            <w:pPr>
              <w:jc w:val="right"/>
              <w:spacing w:after="0"/>
              <w:rPr>
                <w:sz w:val="20"/>
                <w:szCs w:val="20"/>
                <w:color w:val="auto"/>
              </w:rPr>
            </w:pPr>
            <w:r>
              <w:rPr>
                <w:rFonts w:ascii="Arial" w:cs="Arial" w:eastAsia="Arial" w:hAnsi="Arial"/>
                <w:sz w:val="16"/>
                <w:szCs w:val="16"/>
                <w:b w:val="1"/>
                <w:bCs w:val="1"/>
                <w:color w:val="092E44"/>
              </w:rPr>
              <w:t>101,099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8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Borders>
              <w:bottom w:val="single" w:sz="8" w:color="092E44"/>
            </w:tcBorders>
          </w:tcPr>
          <w:p>
            <w:pPr>
              <w:spacing w:after="0"/>
              <w:rPr>
                <w:sz w:val="4"/>
                <w:szCs w:val="4"/>
                <w:color w:val="auto"/>
              </w:rPr>
            </w:pPr>
          </w:p>
        </w:tc>
        <w:tc>
          <w:tcPr>
            <w:tcW w:w="600" w:type="dxa"/>
            <w:vAlign w:val="bottom"/>
            <w:tcBorders>
              <w:bottom w:val="single" w:sz="8" w:color="092E44"/>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bottom w:val="single" w:sz="8" w:color="092E44"/>
            </w:tcBorders>
          </w:tcPr>
          <w:p>
            <w:pPr>
              <w:spacing w:after="0"/>
              <w:rPr>
                <w:sz w:val="4"/>
                <w:szCs w:val="4"/>
                <w:color w:val="auto"/>
              </w:rPr>
            </w:pPr>
          </w:p>
        </w:tc>
        <w:tc>
          <w:tcPr>
            <w:tcW w:w="600" w:type="dxa"/>
            <w:vAlign w:val="bottom"/>
            <w:tcBorders>
              <w:bottom w:val="single" w:sz="8" w:color="092E44"/>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92E44"/>
            </w:tcBorders>
          </w:tcPr>
          <w:p>
            <w:pPr>
              <w:spacing w:after="0" w:line="20" w:lineRule="exact"/>
              <w:rPr>
                <w:sz w:val="1"/>
                <w:szCs w:val="1"/>
                <w:color w:val="auto"/>
              </w:rPr>
            </w:pPr>
          </w:p>
        </w:tc>
        <w:tc>
          <w:tcPr>
            <w:tcW w:w="600" w:type="dxa"/>
            <w:vAlign w:val="bottom"/>
            <w:tcBorders>
              <w:bottom w:val="single" w:sz="8" w:color="092E44"/>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092E44"/>
            </w:tcBorders>
          </w:tcPr>
          <w:p>
            <w:pPr>
              <w:spacing w:after="0" w:line="20" w:lineRule="exact"/>
              <w:rPr>
                <w:sz w:val="1"/>
                <w:szCs w:val="1"/>
                <w:color w:val="auto"/>
              </w:rPr>
            </w:pPr>
          </w:p>
        </w:tc>
        <w:tc>
          <w:tcPr>
            <w:tcW w:w="600" w:type="dxa"/>
            <w:vAlign w:val="bottom"/>
            <w:tcBorders>
              <w:bottom w:val="single" w:sz="8" w:color="092E44"/>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8720" w:type="dxa"/>
            <w:vAlign w:val="bottom"/>
            <w:tcBorders>
              <w:bottom w:val="single" w:sz="8" w:color="DDE9F2"/>
            </w:tcBorders>
            <w:shd w:val="clear" w:color="auto" w:fill="DDE9F2"/>
          </w:tcPr>
          <w:p>
            <w:pPr>
              <w:ind w:left="80"/>
              <w:spacing w:after="0"/>
              <w:rPr>
                <w:sz w:val="20"/>
                <w:szCs w:val="20"/>
                <w:color w:val="auto"/>
              </w:rPr>
            </w:pPr>
            <w:r>
              <w:rPr>
                <w:rFonts w:ascii="Arial" w:cs="Arial" w:eastAsia="Arial" w:hAnsi="Arial"/>
                <w:sz w:val="16"/>
                <w:szCs w:val="16"/>
                <w:color w:val="092E44"/>
              </w:rPr>
              <w:t>Diluted weighted average shares outstanding</w:t>
            </w:r>
          </w:p>
        </w:tc>
        <w:tc>
          <w:tcPr>
            <w:tcW w:w="320" w:type="dxa"/>
            <w:vAlign w:val="bottom"/>
            <w:tcBorders>
              <w:bottom w:val="single" w:sz="8" w:color="DDE9F2"/>
            </w:tcBorders>
            <w:shd w:val="clear" w:color="auto" w:fill="DDE9F2"/>
          </w:tcPr>
          <w:p>
            <w:pPr>
              <w:spacing w:after="0"/>
              <w:rPr>
                <w:sz w:val="24"/>
                <w:szCs w:val="24"/>
                <w:color w:val="auto"/>
              </w:rPr>
            </w:pPr>
          </w:p>
        </w:tc>
        <w:tc>
          <w:tcPr>
            <w:tcW w:w="120" w:type="dxa"/>
            <w:vAlign w:val="bottom"/>
            <w:tcBorders>
              <w:bottom w:val="single" w:sz="8" w:color="DDE9F2"/>
            </w:tcBorders>
            <w:shd w:val="clear" w:color="auto" w:fill="DDE9F2"/>
          </w:tcPr>
          <w:p>
            <w:pPr>
              <w:spacing w:after="0"/>
              <w:rPr>
                <w:sz w:val="24"/>
                <w:szCs w:val="24"/>
                <w:color w:val="auto"/>
              </w:rPr>
            </w:pPr>
          </w:p>
        </w:tc>
        <w:tc>
          <w:tcPr>
            <w:tcW w:w="820" w:type="dxa"/>
            <w:vAlign w:val="bottom"/>
            <w:tcBorders>
              <w:bottom w:val="single" w:sz="8" w:color="DDE9F2"/>
            </w:tcBorders>
            <w:gridSpan w:val="2"/>
            <w:shd w:val="clear" w:color="auto" w:fill="DDE9F2"/>
          </w:tcPr>
          <w:p>
            <w:pPr>
              <w:jc w:val="right"/>
              <w:ind w:right="220"/>
              <w:spacing w:after="0"/>
              <w:rPr>
                <w:sz w:val="20"/>
                <w:szCs w:val="20"/>
                <w:color w:val="auto"/>
              </w:rPr>
            </w:pPr>
            <w:r>
              <w:rPr>
                <w:rFonts w:ascii="Arial" w:cs="Arial" w:eastAsia="Arial" w:hAnsi="Arial"/>
                <w:sz w:val="16"/>
                <w:szCs w:val="16"/>
                <w:color w:val="092E44"/>
              </w:rPr>
              <w:t>47,220</w:t>
            </w:r>
          </w:p>
        </w:tc>
        <w:tc>
          <w:tcPr>
            <w:tcW w:w="120" w:type="dxa"/>
            <w:vAlign w:val="bottom"/>
            <w:tcBorders>
              <w:bottom w:val="single" w:sz="8" w:color="DDE9F2"/>
            </w:tcBorders>
            <w:shd w:val="clear" w:color="auto" w:fill="DDE9F2"/>
          </w:tcPr>
          <w:p>
            <w:pPr>
              <w:spacing w:after="0"/>
              <w:rPr>
                <w:sz w:val="24"/>
                <w:szCs w:val="24"/>
                <w:color w:val="auto"/>
              </w:rPr>
            </w:pPr>
          </w:p>
        </w:tc>
        <w:tc>
          <w:tcPr>
            <w:tcW w:w="600" w:type="dxa"/>
            <w:vAlign w:val="bottom"/>
            <w:tcBorders>
              <w:bottom w:val="single" w:sz="8" w:color="DDE9F2"/>
            </w:tcBorders>
            <w:shd w:val="clear" w:color="auto" w:fill="DDE9F2"/>
          </w:tcPr>
          <w:p>
            <w:pPr>
              <w:jc w:val="right"/>
              <w:spacing w:after="0"/>
              <w:rPr>
                <w:sz w:val="20"/>
                <w:szCs w:val="20"/>
                <w:color w:val="auto"/>
              </w:rPr>
            </w:pPr>
            <w:r>
              <w:rPr>
                <w:rFonts w:ascii="Arial" w:cs="Arial" w:eastAsia="Arial" w:hAnsi="Arial"/>
                <w:sz w:val="16"/>
                <w:szCs w:val="16"/>
                <w:color w:val="092E44"/>
              </w:rPr>
              <w:t>47,803</w:t>
            </w:r>
          </w:p>
        </w:tc>
        <w:tc>
          <w:tcPr>
            <w:tcW w:w="220" w:type="dxa"/>
            <w:vAlign w:val="bottom"/>
            <w:tcBorders>
              <w:bottom w:val="single" w:sz="8" w:color="DDE9F2"/>
            </w:tcBorders>
            <w:shd w:val="clear" w:color="auto" w:fill="DDE9F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092E44"/>
              <w:bottom w:val="single" w:sz="8" w:color="092E44"/>
            </w:tcBorders>
          </w:tcPr>
          <w:p>
            <w:pPr>
              <w:spacing w:after="0" w:line="20" w:lineRule="exact"/>
              <w:rPr>
                <w:sz w:val="1"/>
                <w:szCs w:val="1"/>
                <w:color w:val="auto"/>
              </w:rPr>
            </w:pPr>
          </w:p>
        </w:tc>
        <w:tc>
          <w:tcPr>
            <w:tcW w:w="600" w:type="dxa"/>
            <w:vAlign w:val="bottom"/>
            <w:tcBorders>
              <w:top w:val="single" w:sz="8" w:color="092E44"/>
              <w:bottom w:val="single" w:sz="8" w:color="092E44"/>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092E44"/>
              <w:bottom w:val="single" w:sz="8" w:color="092E44"/>
            </w:tcBorders>
          </w:tcPr>
          <w:p>
            <w:pPr>
              <w:spacing w:after="0" w:line="20" w:lineRule="exact"/>
              <w:rPr>
                <w:sz w:val="1"/>
                <w:szCs w:val="1"/>
                <w:color w:val="auto"/>
              </w:rPr>
            </w:pPr>
          </w:p>
        </w:tc>
        <w:tc>
          <w:tcPr>
            <w:tcW w:w="600" w:type="dxa"/>
            <w:vAlign w:val="bottom"/>
            <w:tcBorders>
              <w:top w:val="single" w:sz="8" w:color="092E44"/>
              <w:bottom w:val="single" w:sz="8" w:color="092E44"/>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8720" w:type="dxa"/>
            <w:vAlign w:val="bottom"/>
          </w:tcPr>
          <w:p>
            <w:pPr>
              <w:ind w:left="80"/>
              <w:spacing w:after="0"/>
              <w:rPr>
                <w:sz w:val="20"/>
                <w:szCs w:val="20"/>
                <w:color w:val="auto"/>
              </w:rPr>
            </w:pPr>
            <w:r>
              <w:rPr>
                <w:rFonts w:ascii="Arial" w:cs="Arial" w:eastAsia="Arial" w:hAnsi="Arial"/>
                <w:sz w:val="16"/>
                <w:szCs w:val="16"/>
                <w:b w:val="1"/>
                <w:bCs w:val="1"/>
                <w:color w:val="092E44"/>
              </w:rPr>
              <w:t>Non-GAAP diluted earnings per share</w:t>
            </w:r>
          </w:p>
        </w:tc>
        <w:tc>
          <w:tcPr>
            <w:tcW w:w="440" w:type="dxa"/>
            <w:vAlign w:val="bottom"/>
            <w:gridSpan w:val="2"/>
          </w:tcPr>
          <w:p>
            <w:pPr>
              <w:jc w:val="right"/>
              <w:spacing w:after="0"/>
              <w:rPr>
                <w:sz w:val="20"/>
                <w:szCs w:val="20"/>
                <w:color w:val="auto"/>
              </w:rPr>
            </w:pPr>
            <w:r>
              <w:rPr>
                <w:rFonts w:ascii="Arial" w:cs="Arial" w:eastAsia="Arial" w:hAnsi="Arial"/>
                <w:sz w:val="16"/>
                <w:szCs w:val="16"/>
                <w:b w:val="1"/>
                <w:bCs w:val="1"/>
                <w:color w:val="092E44"/>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092E44"/>
              </w:rPr>
              <w:t>2.51</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092E44"/>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092E44"/>
              </w:rPr>
              <w:t>2.11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29845</wp:posOffset>
            </wp:positionV>
            <wp:extent cx="69297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89" w:lineRule="exact"/>
        <w:rPr>
          <w:sz w:val="20"/>
          <w:szCs w:val="20"/>
          <w:color w:val="auto"/>
        </w:rPr>
      </w:pPr>
    </w:p>
    <w:p>
      <w:pPr>
        <w:ind w:left="480" w:right="100" w:hanging="313"/>
        <w:spacing w:after="0" w:line="243" w:lineRule="auto"/>
        <w:tabs>
          <w:tab w:leader="none" w:pos="480" w:val="left"/>
        </w:tabs>
        <w:numPr>
          <w:ilvl w:val="0"/>
          <w:numId w:val="38"/>
        </w:numPr>
        <w:rPr>
          <w:rFonts w:ascii="Arial" w:cs="Arial" w:eastAsia="Arial" w:hAnsi="Arial"/>
          <w:sz w:val="12"/>
          <w:szCs w:val="12"/>
          <w:color w:val="092E44"/>
        </w:rPr>
      </w:pPr>
      <w:r>
        <w:rPr>
          <w:rFonts w:ascii="Arial" w:cs="Arial" w:eastAsia="Arial" w:hAnsi="Arial"/>
          <w:sz w:val="12"/>
          <w:szCs w:val="12"/>
          <w:color w:val="092E44"/>
        </w:rPr>
        <w:t>Represents noncash stock-based compensation charges associated with stock options and, restricted stock units granted under our 2016 Incentive Plan and purchase rights issued under our Employee Stock Purchase Plan.</w:t>
      </w:r>
    </w:p>
    <w:p>
      <w:pPr>
        <w:ind w:left="480" w:hanging="313"/>
        <w:spacing w:after="0" w:line="232" w:lineRule="auto"/>
        <w:tabs>
          <w:tab w:leader="none" w:pos="480" w:val="left"/>
        </w:tabs>
        <w:numPr>
          <w:ilvl w:val="0"/>
          <w:numId w:val="38"/>
        </w:numPr>
        <w:rPr>
          <w:rFonts w:ascii="Arial" w:cs="Arial" w:eastAsia="Arial" w:hAnsi="Arial"/>
          <w:sz w:val="12"/>
          <w:szCs w:val="12"/>
          <w:color w:val="092E44"/>
        </w:rPr>
      </w:pPr>
      <w:r>
        <w:rPr>
          <w:rFonts w:ascii="Arial" w:cs="Arial" w:eastAsia="Arial" w:hAnsi="Arial"/>
          <w:sz w:val="12"/>
          <w:szCs w:val="12"/>
          <w:color w:val="092E44"/>
        </w:rPr>
        <w:t>Represents additional FICA and related payroll tax expenses incurred by Commvault when employees exercise in the money stock options or vest in restricted stock awards.</w:t>
      </w:r>
    </w:p>
    <w:p>
      <w:pPr>
        <w:ind w:left="480" w:right="20" w:hanging="313"/>
        <w:spacing w:after="0" w:line="245" w:lineRule="auto"/>
        <w:tabs>
          <w:tab w:leader="none" w:pos="480" w:val="left"/>
        </w:tabs>
        <w:numPr>
          <w:ilvl w:val="0"/>
          <w:numId w:val="38"/>
        </w:numPr>
        <w:rPr>
          <w:rFonts w:ascii="Arial" w:cs="Arial" w:eastAsia="Arial" w:hAnsi="Arial"/>
          <w:sz w:val="12"/>
          <w:szCs w:val="12"/>
          <w:color w:val="092E44"/>
        </w:rPr>
      </w:pPr>
      <w:r>
        <w:rPr>
          <w:rFonts w:ascii="Arial" w:cs="Arial" w:eastAsia="Arial" w:hAnsi="Arial"/>
          <w:sz w:val="12"/>
          <w:szCs w:val="12"/>
          <w:color w:val="092E44"/>
        </w:rPr>
        <w:t>In recent fiscal years, Commvault initiated restructuring plans to increase efficiency in its sales, marketing and distribution functions as well as reduce costs across all functional areas. These restructuring charges relate primarily to severance and related costs associated with headcount reductions, as well as the closure of offices. During the fourth quarter of fiscal 2022, Commvault initiated a restructuring plan to combine the management of its EMEA and APJ field operations. Restructuring includes stock-based compensation related to modifications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236220</wp:posOffset>
            </wp:positionV>
            <wp:extent cx="220980" cy="2120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64</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80"/>
          </w:cols>
          <w:pgMar w:left="320" w:top="454"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1"/>
          <w:szCs w:val="11"/>
          <w:color w:val="092E44"/>
        </w:rPr>
        <w:t>ANNEX A:RECONCILIATION OF GAAP TO NON-GAAP FINANCIAL MEASURES</w:t>
      </w:r>
    </w:p>
    <w:p>
      <w:pPr>
        <w:spacing w:after="0" w:line="136" w:lineRule="exact"/>
        <w:rPr>
          <w:sz w:val="20"/>
          <w:szCs w:val="20"/>
          <w:color w:val="auto"/>
        </w:rPr>
      </w:pPr>
    </w:p>
    <w:p>
      <w:pPr>
        <w:ind w:left="480" w:right="440"/>
        <w:spacing w:after="0" w:line="243" w:lineRule="auto"/>
        <w:rPr>
          <w:sz w:val="20"/>
          <w:szCs w:val="20"/>
          <w:color w:val="auto"/>
        </w:rPr>
      </w:pPr>
      <w:r>
        <w:rPr>
          <w:rFonts w:ascii="Arial" w:cs="Arial" w:eastAsia="Arial" w:hAnsi="Arial"/>
          <w:sz w:val="12"/>
          <w:szCs w:val="12"/>
          <w:color w:val="092E44"/>
        </w:rPr>
        <w:t>awards granted to former employees. Management believes, when used as a supplement to GAAP results, that the exclusion of these charges will help investors and financial analysts understand Commvault’s operating results and underlying operational trends as compared to prior periods.</w:t>
      </w:r>
    </w:p>
    <w:p>
      <w:pPr>
        <w:ind w:left="480" w:right="360" w:hanging="313"/>
        <w:spacing w:after="0" w:line="232" w:lineRule="auto"/>
        <w:tabs>
          <w:tab w:leader="none" w:pos="480" w:val="left"/>
        </w:tabs>
        <w:numPr>
          <w:ilvl w:val="0"/>
          <w:numId w:val="39"/>
        </w:numPr>
        <w:rPr>
          <w:rFonts w:ascii="Arial" w:cs="Arial" w:eastAsia="Arial" w:hAnsi="Arial"/>
          <w:sz w:val="12"/>
          <w:szCs w:val="12"/>
          <w:color w:val="092E44"/>
        </w:rPr>
      </w:pPr>
      <w:r>
        <w:rPr>
          <w:rFonts w:ascii="Arial" w:cs="Arial" w:eastAsia="Arial" w:hAnsi="Arial"/>
          <w:sz w:val="12"/>
          <w:szCs w:val="12"/>
          <w:color w:val="092E44"/>
        </w:rPr>
        <w:t>In connection with the acquisition of Hedvig Inc., certain Hedvig shareholders will receive cash payments for the 30 months following the date of acquisition, subject to their continued employment with Commvault. While these payments are proportionate to these shareholders’ ownership of Hedvig, under GAAP they are accounted for as compensation expense within Research and development expenses over the course of the 30 month service period. Management believes, when used as a supplement to GAAP results, that the exclusion of these non-routine expenses will help investors and financial analysts understand Commvault’s operating results and underlying operational trends as compared to prior periods.</w:t>
      </w:r>
    </w:p>
    <w:p>
      <w:pPr>
        <w:spacing w:after="0" w:line="1" w:lineRule="exact"/>
        <w:rPr>
          <w:rFonts w:ascii="Arial" w:cs="Arial" w:eastAsia="Arial" w:hAnsi="Arial"/>
          <w:sz w:val="12"/>
          <w:szCs w:val="12"/>
          <w:color w:val="092E44"/>
        </w:rPr>
      </w:pPr>
    </w:p>
    <w:p>
      <w:pPr>
        <w:ind w:left="480" w:hanging="313"/>
        <w:spacing w:after="0" w:line="232" w:lineRule="auto"/>
        <w:tabs>
          <w:tab w:leader="none" w:pos="480" w:val="left"/>
        </w:tabs>
        <w:numPr>
          <w:ilvl w:val="0"/>
          <w:numId w:val="39"/>
        </w:numPr>
        <w:rPr>
          <w:rFonts w:ascii="Arial" w:cs="Arial" w:eastAsia="Arial" w:hAnsi="Arial"/>
          <w:sz w:val="12"/>
          <w:szCs w:val="12"/>
          <w:color w:val="092E44"/>
        </w:rPr>
      </w:pPr>
      <w:r>
        <w:rPr>
          <w:rFonts w:ascii="Arial" w:cs="Arial" w:eastAsia="Arial" w:hAnsi="Arial"/>
          <w:sz w:val="12"/>
          <w:szCs w:val="12"/>
          <w:color w:val="092E44"/>
        </w:rPr>
        <w:t>Represents noncash amortization of intangible assets.</w:t>
      </w:r>
    </w:p>
    <w:p>
      <w:pPr>
        <w:ind w:left="480" w:right="60" w:hanging="313"/>
        <w:spacing w:after="0" w:line="232" w:lineRule="auto"/>
        <w:tabs>
          <w:tab w:leader="none" w:pos="480" w:val="left"/>
        </w:tabs>
        <w:numPr>
          <w:ilvl w:val="0"/>
          <w:numId w:val="39"/>
        </w:numPr>
        <w:rPr>
          <w:rFonts w:ascii="Arial" w:cs="Arial" w:eastAsia="Arial" w:hAnsi="Arial"/>
          <w:sz w:val="12"/>
          <w:szCs w:val="12"/>
          <w:color w:val="092E44"/>
        </w:rPr>
      </w:pPr>
      <w:r>
        <w:rPr>
          <w:rFonts w:ascii="Arial" w:cs="Arial" w:eastAsia="Arial" w:hAnsi="Arial"/>
          <w:sz w:val="12"/>
          <w:szCs w:val="12"/>
          <w:color w:val="092E44"/>
        </w:rPr>
        <w:t>In the second quarter of fiscal 2021, Commvault recorded an impairment of its acquired intangible assets. These noncash charges are not representative of ongoing costs to the business and are not expected to recur. As a result, these charges are being excluded to provide investors with a more comparable measure of costs associated with ongoing operations.</w:t>
      </w:r>
    </w:p>
    <w:p>
      <w:pPr>
        <w:ind w:left="480" w:hanging="313"/>
        <w:spacing w:after="0" w:line="232" w:lineRule="auto"/>
        <w:tabs>
          <w:tab w:leader="none" w:pos="480" w:val="left"/>
        </w:tabs>
        <w:numPr>
          <w:ilvl w:val="0"/>
          <w:numId w:val="39"/>
        </w:numPr>
        <w:rPr>
          <w:rFonts w:ascii="Arial" w:cs="Arial" w:eastAsia="Arial" w:hAnsi="Arial"/>
          <w:sz w:val="12"/>
          <w:szCs w:val="12"/>
          <w:color w:val="092E44"/>
        </w:rPr>
      </w:pPr>
      <w:r>
        <w:rPr>
          <w:rFonts w:ascii="Arial" w:cs="Arial" w:eastAsia="Arial" w:hAnsi="Arial"/>
          <w:sz w:val="12"/>
          <w:szCs w:val="12"/>
          <w:color w:val="092E44"/>
        </w:rPr>
        <w:t>During the fourth quarter of fiscal 2022, Commvault incurred costs related to the acquisition of TrapX. Management believes, when used as a supplement to GAAP results, that the exclusion of these costs will help investors and financial analysts understand Commvault’s operating results and underlying operational trends as compared to other periods.</w:t>
      </w:r>
    </w:p>
    <w:p>
      <w:pPr>
        <w:ind w:left="480" w:hanging="313"/>
        <w:spacing w:after="0" w:line="232" w:lineRule="auto"/>
        <w:tabs>
          <w:tab w:leader="none" w:pos="480" w:val="left"/>
        </w:tabs>
        <w:numPr>
          <w:ilvl w:val="0"/>
          <w:numId w:val="39"/>
        </w:numPr>
        <w:rPr>
          <w:rFonts w:ascii="Arial" w:cs="Arial" w:eastAsia="Arial" w:hAnsi="Arial"/>
          <w:sz w:val="12"/>
          <w:szCs w:val="12"/>
          <w:color w:val="092E44"/>
        </w:rPr>
      </w:pPr>
      <w:r>
        <w:rPr>
          <w:rFonts w:ascii="Arial" w:cs="Arial" w:eastAsia="Arial" w:hAnsi="Arial"/>
          <w:sz w:val="12"/>
          <w:szCs w:val="12"/>
          <w:color w:val="092E44"/>
        </w:rPr>
        <w:t>Represents the gain on the sale of Commvault’s equity investment in Laitek, Inc.</w:t>
      </w:r>
    </w:p>
    <w:p>
      <w:pPr>
        <w:ind w:left="480" w:hanging="313"/>
        <w:spacing w:after="0"/>
        <w:tabs>
          <w:tab w:leader="none" w:pos="480" w:val="left"/>
        </w:tabs>
        <w:numPr>
          <w:ilvl w:val="0"/>
          <w:numId w:val="39"/>
        </w:numPr>
        <w:rPr>
          <w:rFonts w:ascii="Arial" w:cs="Arial" w:eastAsia="Arial" w:hAnsi="Arial"/>
          <w:sz w:val="12"/>
          <w:szCs w:val="12"/>
          <w:color w:val="092E44"/>
        </w:rPr>
      </w:pPr>
      <w:r>
        <w:rPr>
          <w:rFonts w:ascii="Arial" w:cs="Arial" w:eastAsia="Arial" w:hAnsi="Arial"/>
          <w:sz w:val="12"/>
          <w:szCs w:val="12"/>
          <w:color w:val="092E44"/>
        </w:rPr>
        <w:t>The provision for income taxes is adjusted to reflect Commvault’s estimated non-GAAP effective tax rate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247650</wp:posOffset>
            </wp:positionV>
            <wp:extent cx="220980" cy="2120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65</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40"/>
          </w:cols>
          <w:pgMar w:left="320" w:top="454" w:right="5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6929755" cy="19615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29755" cy="196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Arial" w:cs="Arial" w:eastAsia="Arial" w:hAnsi="Arial"/>
          <w:sz w:val="46"/>
          <w:szCs w:val="46"/>
          <w:b w:val="1"/>
          <w:bCs w:val="1"/>
          <w:color w:val="E14A6A"/>
        </w:rPr>
        <w:t>Annex B:</w:t>
      </w:r>
    </w:p>
    <w:p>
      <w:pPr>
        <w:spacing w:after="0" w:line="41" w:lineRule="exact"/>
        <w:rPr>
          <w:sz w:val="20"/>
          <w:szCs w:val="20"/>
          <w:color w:val="auto"/>
        </w:rPr>
      </w:pPr>
    </w:p>
    <w:p>
      <w:pPr>
        <w:ind w:left="160" w:right="640"/>
        <w:spacing w:after="0" w:line="265" w:lineRule="auto"/>
        <w:rPr>
          <w:sz w:val="20"/>
          <w:szCs w:val="20"/>
          <w:color w:val="auto"/>
        </w:rPr>
      </w:pPr>
      <w:r>
        <w:rPr>
          <w:rFonts w:ascii="Arial" w:cs="Arial" w:eastAsia="Arial" w:hAnsi="Arial"/>
          <w:sz w:val="46"/>
          <w:szCs w:val="46"/>
          <w:b w:val="1"/>
          <w:bCs w:val="1"/>
          <w:color w:val="092E44"/>
        </w:rPr>
        <w:t>Sixth Amendment to Commvault Systems, Inc. Omnibus Incentive Plan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60"/>
        <w:spacing w:after="0" w:line="279" w:lineRule="auto"/>
        <w:rPr>
          <w:sz w:val="20"/>
          <w:szCs w:val="20"/>
          <w:color w:val="auto"/>
        </w:rPr>
      </w:pPr>
      <w:r>
        <w:rPr>
          <w:rFonts w:ascii="Arial" w:cs="Arial" w:eastAsia="Arial" w:hAnsi="Arial"/>
          <w:sz w:val="16"/>
          <w:szCs w:val="16"/>
          <w:color w:val="092E44"/>
        </w:rPr>
        <w:t>This “Sixth Amendment” to the Commvault Systems, Inc. Omnibus Incentive Plan, as amended (the “Plan”) is made as of August 24, 2022. Defined terms used herein have the same definition ascribed to them in the Plan.</w:t>
      </w:r>
    </w:p>
    <w:p>
      <w:pPr>
        <w:spacing w:after="0" w:line="40" w:lineRule="exact"/>
        <w:rPr>
          <w:sz w:val="20"/>
          <w:szCs w:val="20"/>
          <w:color w:val="auto"/>
        </w:rPr>
      </w:pPr>
    </w:p>
    <w:p>
      <w:pPr>
        <w:ind w:left="160" w:right="80"/>
        <w:spacing w:after="0" w:line="279" w:lineRule="auto"/>
        <w:rPr>
          <w:sz w:val="20"/>
          <w:szCs w:val="20"/>
          <w:color w:val="auto"/>
        </w:rPr>
      </w:pPr>
      <w:r>
        <w:rPr>
          <w:rFonts w:ascii="Arial" w:cs="Arial" w:eastAsia="Arial" w:hAnsi="Arial"/>
          <w:sz w:val="16"/>
          <w:szCs w:val="16"/>
          <w:b w:val="1"/>
          <w:bCs w:val="1"/>
          <w:color w:val="092E44"/>
        </w:rPr>
        <w:t xml:space="preserve">WHEREAS, </w:t>
      </w:r>
      <w:r>
        <w:rPr>
          <w:rFonts w:ascii="Arial" w:cs="Arial" w:eastAsia="Arial" w:hAnsi="Arial"/>
          <w:sz w:val="16"/>
          <w:szCs w:val="16"/>
          <w:color w:val="092E44"/>
        </w:rPr>
        <w:t>Section 10 of the Plan permits the Board to amend the Plan, subject to approval by the Company’s stockholders if such approval is required</w:t>
      </w:r>
      <w:r>
        <w:rPr>
          <w:rFonts w:ascii="Arial" w:cs="Arial" w:eastAsia="Arial" w:hAnsi="Arial"/>
          <w:sz w:val="16"/>
          <w:szCs w:val="16"/>
          <w:b w:val="1"/>
          <w:bCs w:val="1"/>
          <w:color w:val="092E44"/>
        </w:rPr>
        <w:t xml:space="preserve"> </w:t>
      </w:r>
      <w:r>
        <w:rPr>
          <w:rFonts w:ascii="Arial" w:cs="Arial" w:eastAsia="Arial" w:hAnsi="Arial"/>
          <w:sz w:val="16"/>
          <w:szCs w:val="16"/>
          <w:color w:val="092E44"/>
        </w:rPr>
        <w:t>by law or the rules of the stock exchange in which the Common Stock is listed;</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92E44"/>
        </w:rPr>
        <w:t xml:space="preserve">WHEREAS, </w:t>
      </w:r>
      <w:r>
        <w:rPr>
          <w:rFonts w:ascii="Arial" w:cs="Arial" w:eastAsia="Arial" w:hAnsi="Arial"/>
          <w:sz w:val="16"/>
          <w:szCs w:val="16"/>
          <w:color w:val="092E44"/>
        </w:rPr>
        <w:t>the Board desires to amend the Plan to allow for the increase of Common Stock available for grant under the Plan from time to time;</w:t>
      </w:r>
    </w:p>
    <w:p>
      <w:pPr>
        <w:spacing w:after="0" w:line="83" w:lineRule="exact"/>
        <w:rPr>
          <w:sz w:val="20"/>
          <w:szCs w:val="20"/>
          <w:color w:val="auto"/>
        </w:rPr>
      </w:pPr>
    </w:p>
    <w:p>
      <w:pPr>
        <w:ind w:left="160"/>
        <w:spacing w:after="0" w:line="279" w:lineRule="auto"/>
        <w:rPr>
          <w:sz w:val="20"/>
          <w:szCs w:val="20"/>
          <w:color w:val="auto"/>
        </w:rPr>
      </w:pPr>
      <w:r>
        <w:rPr>
          <w:rFonts w:ascii="Arial" w:cs="Arial" w:eastAsia="Arial" w:hAnsi="Arial"/>
          <w:sz w:val="16"/>
          <w:szCs w:val="16"/>
          <w:b w:val="1"/>
          <w:bCs w:val="1"/>
          <w:color w:val="092E44"/>
        </w:rPr>
        <w:t>WHEREAS</w:t>
      </w:r>
      <w:r>
        <w:rPr>
          <w:rFonts w:ascii="Arial" w:cs="Arial" w:eastAsia="Arial" w:hAnsi="Arial"/>
          <w:sz w:val="16"/>
          <w:szCs w:val="16"/>
          <w:color w:val="092E44"/>
        </w:rPr>
        <w:t>, this Sixth Amendment shall be submitted to the Company’s stockholders for approval, and shall become effective as of the date on which the</w:t>
      </w:r>
      <w:r>
        <w:rPr>
          <w:rFonts w:ascii="Arial" w:cs="Arial" w:eastAsia="Arial" w:hAnsi="Arial"/>
          <w:sz w:val="16"/>
          <w:szCs w:val="16"/>
          <w:b w:val="1"/>
          <w:bCs w:val="1"/>
          <w:color w:val="092E44"/>
        </w:rPr>
        <w:t xml:space="preserve"> </w:t>
      </w:r>
      <w:r>
        <w:rPr>
          <w:rFonts w:ascii="Arial" w:cs="Arial" w:eastAsia="Arial" w:hAnsi="Arial"/>
          <w:sz w:val="16"/>
          <w:szCs w:val="16"/>
          <w:color w:val="092E44"/>
        </w:rPr>
        <w:t>Company’s stockholders approve this Sixth Amendment (the “Effective Date”);</w:t>
      </w:r>
    </w:p>
    <w:p>
      <w:pPr>
        <w:spacing w:after="0" w:line="40" w:lineRule="exact"/>
        <w:rPr>
          <w:sz w:val="20"/>
          <w:szCs w:val="20"/>
          <w:color w:val="auto"/>
        </w:rPr>
      </w:pPr>
    </w:p>
    <w:p>
      <w:pPr>
        <w:ind w:left="160" w:right="80"/>
        <w:spacing w:after="0" w:line="279" w:lineRule="auto"/>
        <w:rPr>
          <w:sz w:val="20"/>
          <w:szCs w:val="20"/>
          <w:color w:val="auto"/>
        </w:rPr>
      </w:pPr>
      <w:r>
        <w:rPr>
          <w:rFonts w:ascii="Arial" w:cs="Arial" w:eastAsia="Arial" w:hAnsi="Arial"/>
          <w:sz w:val="16"/>
          <w:szCs w:val="16"/>
          <w:b w:val="1"/>
          <w:bCs w:val="1"/>
          <w:color w:val="092E44"/>
        </w:rPr>
        <w:t>WHEREAS</w:t>
      </w:r>
      <w:r>
        <w:rPr>
          <w:rFonts w:ascii="Arial" w:cs="Arial" w:eastAsia="Arial" w:hAnsi="Arial"/>
          <w:sz w:val="16"/>
          <w:szCs w:val="16"/>
          <w:color w:val="092E44"/>
        </w:rPr>
        <w:t>, if the Company’s stockholders approve this Sixth Amendment, the number of shares of Common Stock which may be issued with respect to</w:t>
      </w:r>
      <w:r>
        <w:rPr>
          <w:rFonts w:ascii="Arial" w:cs="Arial" w:eastAsia="Arial" w:hAnsi="Arial"/>
          <w:sz w:val="16"/>
          <w:szCs w:val="16"/>
          <w:b w:val="1"/>
          <w:bCs w:val="1"/>
          <w:color w:val="092E44"/>
        </w:rPr>
        <w:t xml:space="preserve"> </w:t>
      </w:r>
      <w:r>
        <w:rPr>
          <w:rFonts w:ascii="Arial" w:cs="Arial" w:eastAsia="Arial" w:hAnsi="Arial"/>
          <w:sz w:val="16"/>
          <w:szCs w:val="16"/>
          <w:color w:val="092E44"/>
        </w:rPr>
        <w:t>Awards under the Plan shall be equal to 1,000,000; and</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92E44"/>
        </w:rPr>
        <w:t>WHEREAS</w:t>
      </w:r>
      <w:r>
        <w:rPr>
          <w:rFonts w:ascii="Arial" w:cs="Arial" w:eastAsia="Arial" w:hAnsi="Arial"/>
          <w:sz w:val="16"/>
          <w:szCs w:val="16"/>
          <w:color w:val="092E44"/>
        </w:rPr>
        <w:t>, if the Company’s stockholders fail to approve this Sixth Amendment, the existing Plan shall continue in full force and effect.</w:t>
      </w:r>
    </w:p>
    <w:p>
      <w:pPr>
        <w:spacing w:after="0" w:line="8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92E44"/>
        </w:rPr>
        <w:t>NOW THEREFORE</w:t>
      </w:r>
      <w:r>
        <w:rPr>
          <w:rFonts w:ascii="Arial" w:cs="Arial" w:eastAsia="Arial" w:hAnsi="Arial"/>
          <w:sz w:val="16"/>
          <w:szCs w:val="16"/>
          <w:color w:val="092E44"/>
        </w:rPr>
        <w:t>, pursuant to Section 10 of the Plan, the Plan is hereby amended as follows, effective as of the Effective Date:</w:t>
      </w:r>
    </w:p>
    <w:p>
      <w:pPr>
        <w:spacing w:after="0" w:line="97" w:lineRule="exact"/>
        <w:rPr>
          <w:sz w:val="20"/>
          <w:szCs w:val="20"/>
          <w:color w:val="auto"/>
        </w:rPr>
      </w:pPr>
    </w:p>
    <w:p>
      <w:pPr>
        <w:ind w:left="600" w:hanging="433"/>
        <w:spacing w:after="0"/>
        <w:tabs>
          <w:tab w:leader="none" w:pos="600" w:val="left"/>
        </w:tabs>
        <w:numPr>
          <w:ilvl w:val="0"/>
          <w:numId w:val="40"/>
        </w:numPr>
        <w:rPr>
          <w:rFonts w:ascii="Arial" w:cs="Arial" w:eastAsia="Arial" w:hAnsi="Arial"/>
          <w:sz w:val="16"/>
          <w:szCs w:val="16"/>
          <w:color w:val="092E44"/>
        </w:rPr>
      </w:pPr>
      <w:r>
        <w:rPr>
          <w:rFonts w:ascii="Arial" w:cs="Arial" w:eastAsia="Arial" w:hAnsi="Arial"/>
          <w:sz w:val="16"/>
          <w:szCs w:val="16"/>
          <w:color w:val="092E44"/>
        </w:rPr>
        <w:t>The first sentence of Section 4.1(b) of the Plan is hereby amended and restated as follows:</w:t>
      </w:r>
    </w:p>
    <w:p>
      <w:pPr>
        <w:spacing w:after="0" w:line="56" w:lineRule="exact"/>
        <w:rPr>
          <w:rFonts w:ascii="Arial" w:cs="Arial" w:eastAsia="Arial" w:hAnsi="Arial"/>
          <w:sz w:val="16"/>
          <w:szCs w:val="16"/>
          <w:color w:val="092E44"/>
        </w:rPr>
      </w:pPr>
    </w:p>
    <w:p>
      <w:pPr>
        <w:ind w:left="600"/>
        <w:spacing w:after="0" w:line="279" w:lineRule="auto"/>
        <w:rPr>
          <w:rFonts w:ascii="Arial" w:cs="Arial" w:eastAsia="Arial" w:hAnsi="Arial"/>
          <w:sz w:val="16"/>
          <w:szCs w:val="16"/>
          <w:color w:val="092E44"/>
        </w:rPr>
      </w:pPr>
      <w:r>
        <w:rPr>
          <w:rFonts w:ascii="Arial" w:cs="Arial" w:eastAsia="Arial" w:hAnsi="Arial"/>
          <w:sz w:val="16"/>
          <w:szCs w:val="16"/>
          <w:color w:val="092E44"/>
        </w:rPr>
        <w:t>(b) Subject to the provisions of subsection 4.2, the number of shares of Common Stock which may be issued with respect to Awards under the Plan shall be equal to the number of shares of Common Stock approved by the Company’s stockholders from time to time.</w:t>
      </w:r>
    </w:p>
    <w:p>
      <w:pPr>
        <w:spacing w:after="0" w:line="13" w:lineRule="exact"/>
        <w:rPr>
          <w:rFonts w:ascii="Arial" w:cs="Arial" w:eastAsia="Arial" w:hAnsi="Arial"/>
          <w:sz w:val="16"/>
          <w:szCs w:val="16"/>
          <w:color w:val="092E44"/>
        </w:rPr>
      </w:pPr>
    </w:p>
    <w:p>
      <w:pPr>
        <w:ind w:left="600" w:right="400" w:hanging="433"/>
        <w:spacing w:after="0" w:line="262" w:lineRule="auto"/>
        <w:tabs>
          <w:tab w:leader="none" w:pos="600" w:val="left"/>
        </w:tabs>
        <w:numPr>
          <w:ilvl w:val="0"/>
          <w:numId w:val="40"/>
        </w:numPr>
        <w:rPr>
          <w:rFonts w:ascii="Arial" w:cs="Arial" w:eastAsia="Arial" w:hAnsi="Arial"/>
          <w:sz w:val="16"/>
          <w:szCs w:val="16"/>
          <w:color w:val="092E44"/>
        </w:rPr>
      </w:pPr>
      <w:r>
        <w:rPr>
          <w:rFonts w:ascii="Arial" w:cs="Arial" w:eastAsia="Arial" w:hAnsi="Arial"/>
          <w:sz w:val="16"/>
          <w:szCs w:val="16"/>
          <w:color w:val="092E44"/>
        </w:rPr>
        <w:t>Except as expressly amended by this Sixth Amendment, all terms and conditions of the Plan shall remain in full force and effect. This Sixth Amendment shall be governed by and construed in accordance with the laws of the State of Delaware, without giving effect to the principles of conflicts of laws.</w:t>
      </w:r>
    </w:p>
    <w:p>
      <w:pPr>
        <w:spacing w:after="0" w:line="53" w:lineRule="exact"/>
        <w:rPr>
          <w:sz w:val="20"/>
          <w:szCs w:val="20"/>
          <w:color w:val="auto"/>
        </w:rPr>
      </w:pPr>
    </w:p>
    <w:p>
      <w:pPr>
        <w:ind w:left="160" w:right="500"/>
        <w:spacing w:after="0" w:line="279" w:lineRule="auto"/>
        <w:rPr>
          <w:sz w:val="20"/>
          <w:szCs w:val="20"/>
          <w:color w:val="auto"/>
        </w:rPr>
      </w:pPr>
      <w:r>
        <w:rPr>
          <w:rFonts w:ascii="Arial" w:cs="Arial" w:eastAsia="Arial" w:hAnsi="Arial"/>
          <w:sz w:val="16"/>
          <w:szCs w:val="16"/>
          <w:color w:val="092E44"/>
        </w:rPr>
        <w:t>IN WITNESS WHEREOF, the Company, by its duly authorized officer, has executed this Sixth Amendment to the Plan, as of the date first indicated above.</w:t>
      </w:r>
    </w:p>
    <w:p>
      <w:pPr>
        <w:spacing w:after="0" w:line="67" w:lineRule="exact"/>
        <w:rPr>
          <w:sz w:val="20"/>
          <w:szCs w:val="20"/>
          <w:color w:val="auto"/>
        </w:rPr>
      </w:pPr>
    </w:p>
    <w:p>
      <w:pPr>
        <w:ind w:left="6720"/>
        <w:spacing w:after="0"/>
        <w:rPr>
          <w:sz w:val="20"/>
          <w:szCs w:val="20"/>
          <w:color w:val="auto"/>
        </w:rPr>
      </w:pPr>
      <w:r>
        <w:rPr>
          <w:rFonts w:ascii="Arial" w:cs="Arial" w:eastAsia="Arial" w:hAnsi="Arial"/>
          <w:sz w:val="16"/>
          <w:szCs w:val="16"/>
          <w:color w:val="092E44"/>
        </w:rPr>
        <w:t>COMMVAULT SYSTEMS, INC.</w:t>
      </w:r>
    </w:p>
    <w:p>
      <w:pPr>
        <w:spacing w:after="0" w:line="217" w:lineRule="exact"/>
        <w:rPr>
          <w:sz w:val="20"/>
          <w:szCs w:val="20"/>
          <w:color w:val="auto"/>
        </w:rPr>
      </w:pPr>
    </w:p>
    <w:p>
      <w:pPr>
        <w:ind w:left="6720"/>
        <w:spacing w:after="0"/>
        <w:rPr>
          <w:sz w:val="20"/>
          <w:szCs w:val="20"/>
          <w:color w:val="auto"/>
        </w:rPr>
      </w:pPr>
      <w:r>
        <w:rPr>
          <w:rFonts w:ascii="Arial" w:cs="Arial" w:eastAsia="Arial" w:hAnsi="Arial"/>
          <w:sz w:val="16"/>
          <w:szCs w:val="16"/>
          <w:color w:val="092E44"/>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10795</wp:posOffset>
            </wp:positionV>
            <wp:extent cx="25730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573020" cy="8255"/>
                    </a:xfrm>
                    <a:prstGeom prst="rect">
                      <a:avLst/>
                    </a:prstGeom>
                    <a:noFill/>
                  </pic:spPr>
                </pic:pic>
              </a:graphicData>
            </a:graphic>
          </wp:anchor>
        </w:drawing>
      </w:r>
    </w:p>
    <w:p>
      <w:pPr>
        <w:spacing w:after="0" w:line="10" w:lineRule="exact"/>
        <w:rPr>
          <w:sz w:val="20"/>
          <w:szCs w:val="20"/>
          <w:color w:val="auto"/>
        </w:rPr>
      </w:pPr>
    </w:p>
    <w:p>
      <w:pPr>
        <w:ind w:left="6720"/>
        <w:spacing w:after="0"/>
        <w:rPr>
          <w:sz w:val="20"/>
          <w:szCs w:val="20"/>
          <w:color w:val="auto"/>
        </w:rPr>
      </w:pPr>
      <w:r>
        <w:rPr>
          <w:rFonts w:ascii="Arial" w:cs="Arial" w:eastAsia="Arial" w:hAnsi="Arial"/>
          <w:sz w:val="16"/>
          <w:szCs w:val="16"/>
          <w:color w:val="092E44"/>
        </w:rPr>
        <w:t>Sanjay Mirchandani</w:t>
      </w:r>
    </w:p>
    <w:p>
      <w:pPr>
        <w:spacing w:after="0" w:line="19" w:lineRule="exact"/>
        <w:rPr>
          <w:sz w:val="20"/>
          <w:szCs w:val="20"/>
          <w:color w:val="auto"/>
        </w:rPr>
      </w:pPr>
    </w:p>
    <w:p>
      <w:pPr>
        <w:ind w:left="6720"/>
        <w:spacing w:after="0"/>
        <w:rPr>
          <w:sz w:val="20"/>
          <w:szCs w:val="20"/>
          <w:color w:val="auto"/>
        </w:rPr>
      </w:pPr>
      <w:r>
        <w:rPr>
          <w:rFonts w:ascii="Arial" w:cs="Arial" w:eastAsia="Arial" w:hAnsi="Arial"/>
          <w:sz w:val="16"/>
          <w:szCs w:val="16"/>
          <w:color w:val="092E44"/>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247015</wp:posOffset>
            </wp:positionV>
            <wp:extent cx="220980" cy="2120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1"/>
          <w:szCs w:val="11"/>
          <w:color w:val="092E44"/>
        </w:rPr>
        <w:t>66</w:t>
      </w:r>
      <w:r>
        <w:rPr>
          <w:sz w:val="20"/>
          <w:szCs w:val="20"/>
          <w:color w:val="auto"/>
        </w:rPr>
        <w:tab/>
      </w:r>
      <w:r>
        <w:rPr>
          <w:rFonts w:ascii="Arial" w:cs="Arial" w:eastAsia="Arial" w:hAnsi="Arial"/>
          <w:sz w:val="11"/>
          <w:szCs w:val="11"/>
          <w:b w:val="1"/>
          <w:bCs w:val="1"/>
          <w:color w:val="092E44"/>
        </w:rPr>
        <w:t xml:space="preserve">COMMVAULT SYSTEMS, INC. </w:t>
      </w:r>
      <w:r>
        <w:rPr>
          <w:rFonts w:ascii="Arial" w:cs="Arial" w:eastAsia="Arial" w:hAnsi="Arial"/>
          <w:sz w:val="11"/>
          <w:szCs w:val="11"/>
          <w:color w:val="E14A6A"/>
        </w:rPr>
        <w:t>|</w:t>
      </w:r>
      <w:r>
        <w:rPr>
          <w:rFonts w:ascii="Arial" w:cs="Arial" w:eastAsia="Arial" w:hAnsi="Arial"/>
          <w:sz w:val="11"/>
          <w:szCs w:val="11"/>
          <w:b w:val="1"/>
          <w:bCs w:val="1"/>
          <w:color w:val="092E44"/>
        </w:rPr>
        <w:t xml:space="preserve"> </w:t>
      </w:r>
      <w:r>
        <w:rPr>
          <w:rFonts w:ascii="Arial" w:cs="Arial" w:eastAsia="Arial" w:hAnsi="Arial"/>
          <w:sz w:val="11"/>
          <w:szCs w:val="11"/>
          <w:color w:val="092E44"/>
        </w:rPr>
        <w:t>2022 PROXY STATEMENT</w:t>
      </w:r>
    </w:p>
    <w:p>
      <w:pPr>
        <w:sectPr>
          <w:pgSz w:w="11900" w:h="16838" w:orient="portrait"/>
          <w:cols w:equalWidth="0" w:num="1">
            <w:col w:w="11060"/>
          </w:cols>
          <w:pgMar w:left="320" w:top="454" w:right="5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211455</wp:posOffset>
            </wp:positionV>
            <wp:extent cx="5774690" cy="74733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774690" cy="747331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210820</wp:posOffset>
            </wp:positionV>
            <wp:extent cx="5774690" cy="74733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774690" cy="747331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210820</wp:posOffset>
            </wp:positionV>
            <wp:extent cx="5774690" cy="74733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774690" cy="747331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sectPr>
      <w:pgSz w:w="11900" w:h="16838" w:orient="portrait"/>
      <w:cols w:equalWidth="0" w:num="1">
        <w:col w:w="10139"/>
      </w:cols>
      <w:pgMar w:left="320" w:top="4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5"/>
      <w:numFmt w:val="bullet"/>
      <w:start w:val="1"/>
    </w:lvl>
  </w:abstractNum>
  <w:abstractNum w:abstractNumId="6">
    <w:nsid w:val="6763845E"/>
    <w:multiLevelType w:val="hybridMultilevel"/>
    <w:lvl w:ilvl="0">
      <w:lvlJc w:val="left"/>
      <w:lvlText w:val="9"/>
      <w:numFmt w:val="bullet"/>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lowerRoman"/>
      <w:start w:val="2"/>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lowerRoman"/>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4"/>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2022-07-01T08:05:30Z</dcterms:created>
  <dcterms:modified xsi:type="dcterms:W3CDTF">2022-07-01T08:05:30Z</dcterms:modified>
</cp:coreProperties>
</file>