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81915</wp:posOffset>
            </wp:positionV>
            <wp:extent cx="198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3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259715</wp:posOffset>
            </wp:positionV>
            <wp:extent cx="198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70" w:lineRule="exact"/>
        <w:rPr>
          <w:sz w:val="24"/>
          <w:szCs w:val="24"/>
          <w:color w:val="auto"/>
        </w:rPr>
      </w:pPr>
    </w:p>
    <w:p>
      <w:pPr>
        <w:ind w:left="1780" w:hanging="235"/>
        <w:spacing w:after="0"/>
        <w:tabs>
          <w:tab w:leader="none" w:pos="17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240665</wp:posOffset>
            </wp:positionV>
            <wp:extent cx="198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120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463550</wp:posOffset>
            </wp:positionV>
            <wp:extent cx="278701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701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79"/>
        <w:spacing w:after="0"/>
        <w:rPr>
          <w:sz w:val="20"/>
          <w:szCs w:val="20"/>
          <w:color w:val="auto"/>
        </w:rPr>
      </w:pPr>
      <w:r>
        <w:rPr>
          <w:rFonts w:ascii="Arial" w:cs="Arial" w:eastAsia="Arial" w:hAnsi="Arial"/>
          <w:sz w:val="42"/>
          <w:szCs w:val="42"/>
          <w:b w:val="1"/>
          <w:bCs w:val="1"/>
          <w:color w:val="auto"/>
        </w:rPr>
        <w:t>Commvault Systems, Inc.</w:t>
      </w:r>
    </w:p>
    <w:p>
      <w:pPr>
        <w:spacing w:after="0" w:line="5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227965</wp:posOffset>
            </wp:positionV>
            <wp:extent cx="1981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3"/>
              </w:rPr>
              <w:t>Delaware</w:t>
            </w:r>
          </w:p>
        </w:tc>
        <w:tc>
          <w:tcPr>
            <w:tcW w:w="5020" w:type="dxa"/>
            <w:vAlign w:val="bottom"/>
            <w:gridSpan w:val="2"/>
          </w:tcPr>
          <w:p>
            <w:pPr>
              <w:jc w:val="right"/>
              <w:ind w:right="37"/>
              <w:spacing w:after="0"/>
              <w:rPr>
                <w:sz w:val="20"/>
                <w:szCs w:val="20"/>
                <w:color w:val="auto"/>
              </w:rPr>
            </w:pPr>
            <w:r>
              <w:rPr>
                <w:rFonts w:ascii="Arial" w:cs="Arial" w:eastAsia="Arial" w:hAnsi="Arial"/>
                <w:sz w:val="16"/>
                <w:szCs w:val="16"/>
                <w:b w:val="1"/>
                <w:bCs w:val="1"/>
                <w:color w:val="auto"/>
              </w:rPr>
              <w:t>22-3447504</w:t>
            </w:r>
          </w:p>
        </w:tc>
      </w:tr>
      <w:tr>
        <w:trPr>
          <w:trHeight w:val="190"/>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8"/>
              </w:rPr>
              <w:t>(State or other jurisdiction of</w:t>
            </w:r>
          </w:p>
        </w:tc>
        <w:tc>
          <w:tcPr>
            <w:tcW w:w="3120" w:type="dxa"/>
            <w:vAlign w:val="bottom"/>
          </w:tcPr>
          <w:p>
            <w:pPr>
              <w:spacing w:after="0"/>
              <w:rPr>
                <w:sz w:val="16"/>
                <w:szCs w:val="16"/>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9"/>
              </w:rPr>
              <w:t>incorporation or organization)</w:t>
            </w:r>
          </w:p>
        </w:tc>
        <w:tc>
          <w:tcPr>
            <w:tcW w:w="3120" w:type="dxa"/>
            <w:vAlign w:val="bottom"/>
          </w:tcPr>
          <w:p>
            <w:pPr>
              <w:spacing w:after="0"/>
              <w:rPr>
                <w:sz w:val="14"/>
                <w:szCs w:val="14"/>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89"/>
              </w:rPr>
              <w:t>Identification No.)</w:t>
            </w:r>
          </w:p>
        </w:tc>
      </w:tr>
      <w:tr>
        <w:trPr>
          <w:trHeight w:val="353"/>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4"/>
              </w:rPr>
              <w:t>1 Commvault Way</w:t>
            </w:r>
          </w:p>
        </w:tc>
        <w:tc>
          <w:tcPr>
            <w:tcW w:w="3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1"/>
              </w:rPr>
              <w:t>Tinton Falls, New Jersey</w:t>
            </w:r>
          </w:p>
        </w:tc>
        <w:tc>
          <w:tcPr>
            <w:tcW w:w="5020" w:type="dxa"/>
            <w:vAlign w:val="bottom"/>
            <w:gridSpan w:val="2"/>
          </w:tcPr>
          <w:p>
            <w:pPr>
              <w:jc w:val="right"/>
              <w:ind w:right="237"/>
              <w:spacing w:after="0"/>
              <w:rPr>
                <w:sz w:val="20"/>
                <w:szCs w:val="20"/>
                <w:color w:val="auto"/>
              </w:rPr>
            </w:pPr>
            <w:r>
              <w:rPr>
                <w:rFonts w:ascii="Arial" w:cs="Arial" w:eastAsia="Arial" w:hAnsi="Arial"/>
                <w:sz w:val="16"/>
                <w:szCs w:val="16"/>
                <w:b w:val="1"/>
                <w:bCs w:val="1"/>
                <w:color w:val="auto"/>
              </w:rPr>
              <w:t>07724</w:t>
            </w:r>
          </w:p>
        </w:tc>
      </w:tr>
      <w:tr>
        <w:trPr>
          <w:trHeight w:val="206"/>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120" w:type="dxa"/>
            <w:vAlign w:val="bottom"/>
          </w:tcPr>
          <w:p>
            <w:pPr>
              <w:spacing w:after="0"/>
              <w:rPr>
                <w:sz w:val="17"/>
                <w:szCs w:val="17"/>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(Zip Code)</w:t>
            </w:r>
          </w:p>
        </w:tc>
      </w:tr>
      <w:tr>
        <w:trPr>
          <w:trHeight w:val="227"/>
        </w:trPr>
        <w:tc>
          <w:tcPr>
            <w:tcW w:w="2400" w:type="dxa"/>
            <w:vAlign w:val="bottom"/>
          </w:tcPr>
          <w:p>
            <w:pPr>
              <w:spacing w:after="0"/>
              <w:rPr>
                <w:sz w:val="19"/>
                <w:szCs w:val="19"/>
                <w:color w:val="auto"/>
              </w:rPr>
            </w:pPr>
          </w:p>
        </w:tc>
        <w:tc>
          <w:tcPr>
            <w:tcW w:w="3120" w:type="dxa"/>
            <w:vAlign w:val="bottom"/>
          </w:tcPr>
          <w:p>
            <w:pPr>
              <w:jc w:val="right"/>
              <w:ind w:right="983"/>
              <w:spacing w:after="0"/>
              <w:rPr>
                <w:sz w:val="20"/>
                <w:szCs w:val="20"/>
                <w:color w:val="auto"/>
              </w:rPr>
            </w:pPr>
            <w:r>
              <w:rPr>
                <w:rFonts w:ascii="Arial" w:cs="Arial" w:eastAsia="Arial" w:hAnsi="Arial"/>
                <w:sz w:val="16"/>
                <w:szCs w:val="16"/>
                <w:b w:val="1"/>
                <w:bCs w:val="1"/>
                <w:color w:val="auto"/>
              </w:rPr>
              <w:t>(732) 870-4000</w:t>
            </w:r>
          </w:p>
        </w:tc>
        <w:tc>
          <w:tcPr>
            <w:tcW w:w="1900" w:type="dxa"/>
            <w:vAlign w:val="bottom"/>
          </w:tcPr>
          <w:p>
            <w:pPr>
              <w:spacing w:after="0"/>
              <w:rPr>
                <w:sz w:val="19"/>
                <w:szCs w:val="19"/>
                <w:color w:val="auto"/>
              </w:rPr>
            </w:pPr>
          </w:p>
        </w:tc>
      </w:tr>
      <w:tr>
        <w:trPr>
          <w:trHeight w:val="164"/>
        </w:trPr>
        <w:tc>
          <w:tcPr>
            <w:tcW w:w="2400" w:type="dxa"/>
            <w:vAlign w:val="bottom"/>
          </w:tcPr>
          <w:p>
            <w:pPr>
              <w:spacing w:after="0"/>
              <w:rPr>
                <w:sz w:val="14"/>
                <w:szCs w:val="14"/>
                <w:color w:val="auto"/>
              </w:rPr>
            </w:pPr>
          </w:p>
        </w:tc>
        <w:tc>
          <w:tcPr>
            <w:tcW w:w="5020" w:type="dxa"/>
            <w:vAlign w:val="bottom"/>
            <w:gridSpan w:val="2"/>
          </w:tcPr>
          <w:p>
            <w:pPr>
              <w:jc w:val="center"/>
              <w:ind w:right="1877"/>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138"/>
        </w:trPr>
        <w:tc>
          <w:tcPr>
            <w:tcW w:w="2400" w:type="dxa"/>
            <w:vAlign w:val="bottom"/>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r>
    </w:tbl>
    <w:p>
      <w:pPr>
        <w:spacing w:after="0" w:line="31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4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x No </w:t>
      </w:r>
      <w:r>
        <w:rPr>
          <w:rFonts w:ascii="MS PGothic" w:cs="MS PGothic" w:eastAsia="MS PGothic" w:hAnsi="MS PGothic"/>
          <w:sz w:val="13"/>
          <w:szCs w:val="13"/>
          <w:color w:val="auto"/>
        </w:rPr>
        <w:t>☐</w:t>
      </w:r>
    </w:p>
    <w:p>
      <w:pPr>
        <w:spacing w:after="0" w:line="180"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“accelerated filer and large accelerated filer” in rule 12b-2 of the Exchange Act. (Check one):</w:t>
      </w:r>
    </w:p>
    <w:p>
      <w:pPr>
        <w:sectPr>
          <w:pgSz w:w="11900" w:h="16838" w:orient="portrait"/>
          <w:cols w:equalWidth="0" w:num="1">
            <w:col w:w="11240"/>
          </w:cols>
          <w:pgMar w:left="240" w:top="233" w:right="419" w:bottom="1440"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720" w:space="720"/>
            <w:col w:w="5320" w:space="720"/>
            <w:col w:w="1900" w:space="720"/>
            <w:col w:w="140"/>
          </w:cols>
          <w:pgMar w:left="240" w:top="233" w:right="41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o (Do not check if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720" w:space="720"/>
            <w:col w:w="5320" w:space="720"/>
            <w:col w:w="1900" w:space="720"/>
            <w:col w:w="140"/>
          </w:cols>
          <w:pgMar w:left="240" w:top="233" w:right="41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200" w:lineRule="exact"/>
        <w:rPr>
          <w:sz w:val="24"/>
          <w:szCs w:val="24"/>
          <w:color w:val="auto"/>
        </w:rPr>
      </w:pPr>
    </w:p>
    <w:p>
      <w:pPr>
        <w:sectPr>
          <w:pgSz w:w="11900" w:h="16838" w:orient="portrait"/>
          <w:cols w:equalWidth="0" w:num="4">
            <w:col w:w="6540" w:space="140"/>
            <w:col w:w="220" w:space="60"/>
            <w:col w:w="140" w:space="140"/>
            <w:col w:w="4000"/>
          </w:cols>
          <w:pgMar w:left="240" w:top="233" w:right="419" w:bottom="1440" w:gutter="0" w:footer="0" w:header="0"/>
          <w:type w:val="continuous"/>
        </w:sectPr>
      </w:pPr>
    </w:p>
    <w:p>
      <w:pPr>
        <w:spacing w:after="0" w:line="17" w:lineRule="exact"/>
        <w:rPr>
          <w:sz w:val="24"/>
          <w:szCs w:val="24"/>
          <w:color w:val="auto"/>
        </w:rPr>
      </w:pPr>
    </w:p>
    <w:p>
      <w:pPr>
        <w:spacing w:after="0"/>
        <w:rPr>
          <w:sz w:val="20"/>
          <w:szCs w:val="20"/>
          <w:color w:val="auto"/>
        </w:rPr>
      </w:pPr>
      <w:r>
        <w:rPr>
          <w:rFonts w:ascii="Arial" w:cs="Arial" w:eastAsia="Arial" w:hAnsi="Arial"/>
          <w:sz w:val="12"/>
          <w:szCs w:val="12"/>
          <w:color w:val="auto"/>
        </w:rPr>
        <w:t>As of July 26, 2016, there were 44,422,865 shares of the registrant’s common stock, $0.01 par value, outstanding.</w:t>
      </w:r>
    </w:p>
    <w:p>
      <w:pPr>
        <w:sectPr>
          <w:pgSz w:w="11900" w:h="16838" w:orient="portrait"/>
          <w:cols w:equalWidth="0" w:num="1">
            <w:col w:w="11240"/>
          </w:cols>
          <w:pgMar w:left="240" w:top="233" w:right="4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color w:val="auto"/>
                <w:w w:val="85"/>
              </w:rPr>
              <w:t>Page</w:t>
            </w:r>
          </w:p>
        </w:tc>
      </w:tr>
      <w:tr>
        <w:trPr>
          <w:trHeight w:val="230"/>
        </w:trPr>
        <w:tc>
          <w:tcPr>
            <w:tcW w:w="10700" w:type="dxa"/>
            <w:vAlign w:val="bottom"/>
            <w:gridSpan w:val="17"/>
          </w:tcPr>
          <w:p>
            <w:pPr>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15"/>
          </w:tcPr>
          <w:p>
            <w:pPr>
              <w:spacing w:after="0"/>
              <w:rPr>
                <w:sz w:val="20"/>
                <w:szCs w:val="20"/>
                <w:color w:val="auto"/>
              </w:rPr>
            </w:pPr>
            <w:r>
              <w:rPr>
                <w:rFonts w:ascii="Arial" w:cs="Arial" w:eastAsia="Arial" w:hAnsi="Arial"/>
                <w:sz w:val="18"/>
                <w:szCs w:val="18"/>
                <w:color w:val="auto"/>
              </w:rPr>
              <w:t>Financial Statements and Notes</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Balance Sheets as of June 30, 2016 and March 31, 2016</w:t>
              </w:r>
            </w:hyperlink>
          </w:p>
        </w:tc>
        <w:tc>
          <w:tcPr>
            <w:tcW w:w="3840" w:type="dxa"/>
            <w:vAlign w:val="bottom"/>
            <w:gridSpan w:val="6"/>
          </w:tcPr>
          <w:p>
            <w:pPr>
              <w:spacing w:after="0"/>
              <w:rPr>
                <w:sz w:val="19"/>
                <w:szCs w:val="19"/>
                <w:color w:val="auto"/>
              </w:rPr>
            </w:pPr>
          </w:p>
        </w:tc>
        <w:tc>
          <w:tcPr>
            <w:tcW w:w="56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19"/>
                <w:szCs w:val="19"/>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Loss for the three months ended June 30, 2016 and 2015</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8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Comprehensive Loss for the three months ended June 30, 2016 and 2015</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 of Stockholders’ Equity for the three months ended June 30, 2016</w:t>
              </w:r>
            </w:hyperlink>
          </w:p>
        </w:tc>
        <w:tc>
          <w:tcPr>
            <w:tcW w:w="760" w:type="dxa"/>
            <w:vAlign w:val="bottom"/>
            <w:tcBorders>
              <w:top w:val="single" w:sz="8" w:color="0000EE"/>
            </w:tcBorders>
            <w:gridSpan w:val="2"/>
          </w:tcPr>
          <w:p>
            <w:pPr>
              <w:spacing w:after="0"/>
              <w:rPr>
                <w:sz w:val="21"/>
                <w:szCs w:val="21"/>
                <w:color w:val="auto"/>
              </w:rPr>
            </w:pPr>
          </w:p>
        </w:tc>
        <w:tc>
          <w:tcPr>
            <w:tcW w:w="160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Unaudited Consolidated Statements of Cash Flows for the three months ended June 30, 2016 and 2015</w:t>
              </w:r>
            </w:hyperlink>
          </w:p>
        </w:tc>
        <w:tc>
          <w:tcPr>
            <w:tcW w:w="226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Consolidated Financial Statements (unaudited)</w:t>
              </w:r>
            </w:hyperlink>
          </w:p>
        </w:tc>
        <w:tc>
          <w:tcPr>
            <w:tcW w:w="5640" w:type="dxa"/>
            <w:vAlign w:val="bottom"/>
            <w:gridSpan w:val="8"/>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gridSpan w:val="10"/>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180" w:type="dxa"/>
            <w:vAlign w:val="bottom"/>
            <w:tcBorders>
              <w:left w:val="single" w:sz="8" w:color="0000EE"/>
            </w:tcBorders>
            <w:gridSpan w:val="2"/>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00" w:type="dxa"/>
            <w:vAlign w:val="bottom"/>
            <w:gridSpan w:val="1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32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380" w:type="dxa"/>
            <w:vAlign w:val="bottom"/>
            <w:tcBorders>
              <w:left w:val="single" w:sz="8" w:color="0000EE"/>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20" w:type="dxa"/>
            <w:vAlign w:val="bottom"/>
            <w:gridSpan w:val="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3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700" w:type="dxa"/>
            <w:vAlign w:val="bottom"/>
            <w:gridSpan w:val="17"/>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620" w:type="dxa"/>
            <w:vAlign w:val="bottom"/>
            <w:tcBorders>
              <w:top w:val="single" w:sz="8" w:color="0000EE"/>
            </w:tcBorders>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79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gridSpan w:val="2"/>
          </w:tcPr>
          <w:p>
            <w:pPr>
              <w:spacing w:after="0"/>
              <w:rPr>
                <w:rFonts w:ascii="Arial" w:cs="Arial" w:eastAsia="Arial" w:hAnsi="Arial"/>
                <w:sz w:val="18"/>
                <w:szCs w:val="18"/>
                <w:color w:val="0000EE"/>
                <w:w w:val="81"/>
              </w:rPr>
            </w:pPr>
            <w:hyperlink w:anchor="page27">
              <w:r>
                <w:rPr>
                  <w:rFonts w:ascii="Arial" w:cs="Arial" w:eastAsia="Arial" w:hAnsi="Arial"/>
                  <w:sz w:val="18"/>
                  <w:szCs w:val="18"/>
                  <w:color w:val="0000EE"/>
                  <w:w w:val="81"/>
                </w:rPr>
                <w:t>Risk Factors</w:t>
              </w:r>
            </w:hyperlink>
          </w:p>
        </w:tc>
        <w:tc>
          <w:tcPr>
            <w:tcW w:w="400" w:type="dxa"/>
            <w:vAlign w:val="bottom"/>
          </w:tcPr>
          <w:p>
            <w:pPr>
              <w:spacing w:after="0"/>
              <w:rPr>
                <w:sz w:val="21"/>
                <w:szCs w:val="21"/>
                <w:color w:val="auto"/>
              </w:rPr>
            </w:pPr>
          </w:p>
        </w:tc>
        <w:tc>
          <w:tcPr>
            <w:tcW w:w="836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20" w:type="dxa"/>
            <w:vAlign w:val="bottom"/>
            <w:gridSpan w:val="8"/>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Unregistered Sale of Equity Securities and Use of Proceeds</w:t>
              </w:r>
            </w:hyperlink>
          </w:p>
        </w:tc>
        <w:tc>
          <w:tcPr>
            <w:tcW w:w="53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60" w:type="dxa"/>
            <w:vAlign w:val="bottom"/>
            <w:gridSpan w:val="6"/>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Defaults Upon Senior Securities</w:t>
              </w:r>
            </w:hyperlink>
          </w:p>
        </w:tc>
        <w:tc>
          <w:tcPr>
            <w:tcW w:w="1960" w:type="dxa"/>
            <w:vAlign w:val="bottom"/>
            <w:gridSpan w:val="2"/>
          </w:tcPr>
          <w:p>
            <w:pPr>
              <w:spacing w:after="0"/>
              <w:rPr>
                <w:sz w:val="21"/>
                <w:szCs w:val="21"/>
                <w:color w:val="auto"/>
              </w:rPr>
            </w:pPr>
          </w:p>
        </w:tc>
        <w:tc>
          <w:tcPr>
            <w:tcW w:w="53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60" w:type="dxa"/>
            <w:vAlign w:val="bottom"/>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734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90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00" w:type="dxa"/>
            <w:vAlign w:val="bottom"/>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790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36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540" w:type="dxa"/>
            <w:vAlign w:val="bottom"/>
          </w:tcPr>
          <w:p>
            <w:pPr>
              <w:spacing w:after="0"/>
              <w:rPr>
                <w:rFonts w:ascii="Arial" w:cs="Arial" w:eastAsia="Arial" w:hAnsi="Arial"/>
                <w:sz w:val="18"/>
                <w:szCs w:val="18"/>
                <w:color w:val="0000EE"/>
                <w:w w:val="82"/>
              </w:rPr>
            </w:pPr>
            <w:hyperlink w:anchor="page27">
              <w:r>
                <w:rPr>
                  <w:rFonts w:ascii="Arial" w:cs="Arial" w:eastAsia="Arial" w:hAnsi="Arial"/>
                  <w:sz w:val="18"/>
                  <w:szCs w:val="18"/>
                  <w:color w:val="0000EE"/>
                  <w:w w:val="82"/>
                </w:rPr>
                <w:t>Exhibits</w:t>
              </w:r>
            </w:hyperlink>
          </w:p>
        </w:tc>
        <w:tc>
          <w:tcPr>
            <w:tcW w:w="700" w:type="dxa"/>
            <w:vAlign w:val="bottom"/>
            <w:gridSpan w:val="2"/>
          </w:tcPr>
          <w:p>
            <w:pPr>
              <w:spacing w:after="0"/>
              <w:rPr>
                <w:sz w:val="21"/>
                <w:szCs w:val="21"/>
                <w:color w:val="auto"/>
              </w:rPr>
            </w:pPr>
          </w:p>
        </w:tc>
        <w:tc>
          <w:tcPr>
            <w:tcW w:w="836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0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SIGNATURES</w:t>
              </w:r>
            </w:hyperlink>
          </w:p>
        </w:tc>
        <w:tc>
          <w:tcPr>
            <w:tcW w:w="9600" w:type="dxa"/>
            <w:vAlign w:val="bottom"/>
            <w:gridSpan w:val="1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9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80" w:type="dxa"/>
            <w:vAlign w:val="bottom"/>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Exhibit Index</w:t>
              </w:r>
            </w:hyperlink>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980" w:type="dxa"/>
            <w:vAlign w:val="bottom"/>
            <w:shd w:val="clear" w:color="auto" w:fill="0000EE"/>
          </w:tcPr>
          <w:p>
            <w:pPr>
              <w:spacing w:after="0" w:line="20" w:lineRule="exact"/>
              <w:rPr>
                <w:sz w:val="1"/>
                <w:szCs w:val="1"/>
                <w:color w:val="auto"/>
              </w:rPr>
            </w:pPr>
          </w:p>
        </w:tc>
        <w:tc>
          <w:tcPr>
            <w:tcW w:w="97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700" w:type="dxa"/>
            <w:vAlign w:val="bottom"/>
            <w:gridSpan w:val="17"/>
          </w:tcPr>
          <w:p>
            <w:pPr>
              <w:ind w:left="340"/>
              <w:spacing w:after="0"/>
              <w:rPr>
                <w:sz w:val="20"/>
                <w:szCs w:val="20"/>
                <w:color w:val="auto"/>
              </w:rPr>
            </w:pPr>
            <w:r>
              <w:rPr>
                <w:rFonts w:ascii="Arial" w:cs="Arial" w:eastAsia="Arial" w:hAnsi="Arial"/>
                <w:sz w:val="18"/>
                <w:szCs w:val="18"/>
                <w:color w:val="auto"/>
              </w:rPr>
              <w:t>Exhibit 31.1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0700" w:type="dxa"/>
            <w:vAlign w:val="bottom"/>
            <w:gridSpan w:val="17"/>
          </w:tcPr>
          <w:p>
            <w:pPr>
              <w:ind w:left="340"/>
              <w:spacing w:after="0"/>
              <w:rPr>
                <w:sz w:val="20"/>
                <w:szCs w:val="20"/>
                <w:color w:val="auto"/>
              </w:rPr>
            </w:pPr>
            <w:r>
              <w:rPr>
                <w:rFonts w:ascii="Arial" w:cs="Arial" w:eastAsia="Arial" w:hAnsi="Arial"/>
                <w:sz w:val="18"/>
                <w:szCs w:val="18"/>
                <w:color w:val="auto"/>
              </w:rPr>
              <w:t>Exhibit 31.2</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Exhibit 32.1</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Exhibit 32.2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51"/>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0"/>
        </w:trPr>
        <w:tc>
          <w:tcPr>
            <w:tcW w:w="8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8360" w:type="dxa"/>
            <w:vAlign w:val="bottom"/>
            <w:tcBorders>
              <w:bottom w:val="single" w:sz="8" w:color="CCEEFF"/>
            </w:tcBorders>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288,107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107,933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99,072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Trade accounts receivable, less allowance for doubtful accounts of $328 at June 30, 2016 and $315 at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March 31, 2016</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113,429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19,803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16,769</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530,669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517,377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54,432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49,976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135,904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Equity method investment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4,579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730,305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714,573</w:t>
            </w:r>
          </w:p>
        </w:tc>
      </w:tr>
      <w:tr>
        <w:trPr>
          <w:trHeight w:val="67"/>
        </w:trPr>
        <w:tc>
          <w:tcPr>
            <w:tcW w:w="8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21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66,574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69,678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194,977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260,541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264,964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49,889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3,452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Preferred stock, $0.01 par value: 50,000 shares authorized, no shares issued and outstanding at June 30, 2016 and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7"/>
              </w:rPr>
              <w:t>Common stock, $0.01 par value: 250,000 shares authorized, 44,305 shares and 44,134 shares issued and</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outstanding at June 30, 2016 and March 31, 2016, respectively</w:t>
            </w:r>
          </w:p>
        </w:tc>
        <w:tc>
          <w:tcPr>
            <w:tcW w:w="2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602,999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(197,962)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411,560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396,268</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730,305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714,573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Consolidated Statements of Loss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p>
      <w:pPr>
        <w:jc w:val="center"/>
        <w:ind w:left="6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1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13335</wp:posOffset>
            </wp:positionV>
            <wp:extent cx="156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87"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6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80"/>
              <w:spacing w:after="0"/>
              <w:rPr>
                <w:sz w:val="20"/>
                <w:szCs w:val="20"/>
                <w:color w:val="auto"/>
              </w:rPr>
            </w:pPr>
            <w:r>
              <w:rPr>
                <w:rFonts w:ascii="Arial" w:cs="Arial" w:eastAsia="Arial" w:hAnsi="Arial"/>
                <w:sz w:val="18"/>
                <w:szCs w:val="18"/>
                <w:color w:val="auto"/>
              </w:rPr>
              <w:t>Software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63,937</w:t>
            </w:r>
          </w:p>
        </w:tc>
        <w:tc>
          <w:tcPr>
            <w:tcW w:w="1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56,493</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88,476</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82,630</w:t>
            </w: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152,413</w:t>
            </w: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139,123</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8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20,234</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20,010</w:t>
            </w: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20,995</w:t>
            </w: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20,547</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131,418</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118,576</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92,690</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85,782</w:t>
            </w:r>
          </w:p>
        </w:tc>
        <w:tc>
          <w:tcPr>
            <w:tcW w:w="0" w:type="dxa"/>
            <w:vAlign w:val="bottom"/>
          </w:tcPr>
          <w:p>
            <w:pPr>
              <w:spacing w:after="0"/>
              <w:rPr>
                <w:sz w:val="1"/>
                <w:szCs w:val="1"/>
                <w:color w:val="auto"/>
              </w:rPr>
            </w:pPr>
          </w:p>
        </w:tc>
      </w:tr>
      <w:tr>
        <w:trPr>
          <w:trHeight w:val="243"/>
        </w:trPr>
        <w:tc>
          <w:tcPr>
            <w:tcW w:w="61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19,228</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16,778</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19,938</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19,809</w:t>
            </w:r>
          </w:p>
        </w:tc>
        <w:tc>
          <w:tcPr>
            <w:tcW w:w="0" w:type="dxa"/>
            <w:vAlign w:val="bottom"/>
          </w:tcPr>
          <w:p>
            <w:pPr>
              <w:spacing w:after="0"/>
              <w:rPr>
                <w:sz w:val="1"/>
                <w:szCs w:val="1"/>
                <w:color w:val="auto"/>
              </w:rPr>
            </w:pPr>
          </w:p>
        </w:tc>
      </w:tr>
      <w:tr>
        <w:trPr>
          <w:trHeight w:val="243"/>
        </w:trPr>
        <w:tc>
          <w:tcPr>
            <w:tcW w:w="6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2,110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133,966</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124,831</w:t>
            </w: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(6,255)</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loss of affiliate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1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44,244</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45,285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44,244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45,285</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125"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 June 30,</w:t>
            </w:r>
          </w:p>
        </w:tc>
      </w:tr>
      <w:tr>
        <w:trPr>
          <w:trHeight w:val="264"/>
        </w:trPr>
        <w:tc>
          <w:tcPr>
            <w:tcW w:w="5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w:t>
            </w: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2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25"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9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2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1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220" w:type="dxa"/>
            <w:vAlign w:val="bottom"/>
          </w:tcPr>
          <w:p>
            <w:pPr>
              <w:spacing w:after="0"/>
              <w:rPr>
                <w:sz w:val="6"/>
                <w:szCs w:val="6"/>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6"/>
                <w:szCs w:val="6"/>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2016</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602,999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396,268</w:t>
            </w:r>
          </w:p>
        </w:tc>
        <w:tc>
          <w:tcPr>
            <w:tcW w:w="0" w:type="dxa"/>
            <w:vAlign w:val="bottom"/>
          </w:tcPr>
          <w:p>
            <w:pPr>
              <w:spacing w:after="0"/>
              <w:rPr>
                <w:sz w:val="1"/>
                <w:szCs w:val="1"/>
                <w:color w:val="auto"/>
              </w:rPr>
            </w:pPr>
          </w:p>
        </w:tc>
      </w:tr>
      <w:tr>
        <w:trPr>
          <w:trHeight w:val="243"/>
        </w:trPr>
        <w:tc>
          <w:tcPr>
            <w:tcW w:w="42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17,340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17,340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benefits relating to stock-based payments</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9"/>
        </w:trPr>
        <w:tc>
          <w:tcPr>
            <w:tcW w:w="4220" w:type="dxa"/>
            <w:vAlign w:val="bottom"/>
          </w:tcPr>
          <w:p>
            <w:pPr>
              <w:ind w:left="360"/>
              <w:spacing w:after="0"/>
              <w:rPr>
                <w:sz w:val="20"/>
                <w:szCs w:val="20"/>
                <w:color w:val="auto"/>
              </w:rPr>
            </w:pPr>
            <w:r>
              <w:rPr>
                <w:rFonts w:ascii="Arial" w:cs="Arial" w:eastAsia="Arial" w:hAnsi="Arial"/>
                <w:sz w:val="18"/>
                <w:szCs w:val="18"/>
                <w:color w:val="auto"/>
              </w:rPr>
              <w:t>Share issuances related to stock-based</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60"/>
              <w:spacing w:after="0"/>
              <w:rPr>
                <w:sz w:val="20"/>
                <w:szCs w:val="20"/>
                <w:color w:val="auto"/>
              </w:rPr>
            </w:pPr>
            <w:r>
              <w:rPr>
                <w:rFonts w:ascii="Arial" w:cs="Arial" w:eastAsia="Arial" w:hAnsi="Arial"/>
                <w:sz w:val="18"/>
                <w:szCs w:val="18"/>
                <w:color w:val="auto"/>
              </w:rPr>
              <w:t>compensation</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43"/>
        </w:trPr>
        <w:tc>
          <w:tcPr>
            <w:tcW w:w="422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Balance as of June 30, 2016</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44,305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621,409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411,560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125" w:right="3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2,857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Equity in loss of affiliate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Trade accounts receivable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25,762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(13,048)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21,897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maturity of short-term investments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13,490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for corporate campus headquarters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1,785</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Effects of exchange rate — changes in cash</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2,137</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288,107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337,673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302,247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350,469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39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Commvault Systems, Inc. and its subsidiaries (“Commvault” or the “Company”) is a leading provider of data and information management software applications and related services. The Company develops, markets and sells a suite of software applications and services, primarily in North America, Europe, Australia and Asia, that provides its customers with data protection solutions supporting all major operating systems, applications, and databases on virtual and physical servers, NAS shares, cloud-based infrastructures, and mobile devices; management through a single console; multiple protection methods including backup and archive, snapshot management, replication, and content indexing for eDiscovery; efficient storage management using deduplication for disk, tape and cloud; integration with the industry's top storage arrays; complete virtual infrastructure management supporting multiple hypervisors; security capabilities to limit access to critical data; policy based data management; and an end-user experience that allows them to protect, find and recover their own data using common tools such as web browsers, Microsoft Outlook and File Explorer. The Company also provides its customers with a broad range of professional and customer support services.</w:t>
      </w:r>
    </w:p>
    <w:p>
      <w:pPr>
        <w:spacing w:after="0" w:line="128"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The consolidated financial statements as of June 30, 2016 and for the three months ended June 30, 2016 and 2015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on Form 10-K for fiscal 2016. The results reported in these financial statements should not necessarily be taken as indicative of results that may be expected for the entire fiscal year.</w:t>
      </w:r>
    </w:p>
    <w:p>
      <w:pPr>
        <w:spacing w:after="0" w:line="104"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allowance for doubtful accounts, income taxes and related reserves, stock-based compensation and accounting for research and development costs. Actual results could differ from those estimates.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There have been no significant changes in the Company’s accounting policies during the three months ended June 30, 2016 as compared to the significant accounting policies described in its Annual Report on Form 10-K for the year ended March 31,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May 2014, the FASB issued Accounting Standards Update ("ASU") No. 2014-09, "Revenue from Contracts with Customers (Topic 606)" (ASU 2014-</w:t>
      </w:r>
    </w:p>
    <w:p>
      <w:pPr>
        <w:spacing w:after="0" w:line="46" w:lineRule="exact"/>
        <w:rPr>
          <w:sz w:val="20"/>
          <w:szCs w:val="20"/>
          <w:color w:val="auto"/>
        </w:rPr>
      </w:pPr>
    </w:p>
    <w:p>
      <w:pPr>
        <w:ind w:firstLine="8"/>
        <w:spacing w:after="0" w:line="271" w:lineRule="auto"/>
        <w:tabs>
          <w:tab w:leader="none" w:pos="285" w:val="left"/>
        </w:tabs>
        <w:numPr>
          <w:ilvl w:val="0"/>
          <w:numId w:val="2"/>
        </w:numPr>
        <w:rPr>
          <w:rFonts w:ascii="Arial" w:cs="Arial" w:eastAsia="Arial" w:hAnsi="Arial"/>
          <w:sz w:val="17"/>
          <w:szCs w:val="17"/>
          <w:color w:val="auto"/>
        </w:rPr>
      </w:pPr>
      <w:r>
        <w:rPr>
          <w:rFonts w:ascii="Arial" w:cs="Arial" w:eastAsia="Arial" w:hAnsi="Arial"/>
          <w:sz w:val="17"/>
          <w:szCs w:val="17"/>
          <w:color w:val="auto"/>
        </w:rPr>
        <w:t>and has since modified the standard with ASU 2015-14, "Deferral of the Effective Date." These standards replace existing revenue recognition rules with a comprehensive revenue measurement and recognition standard and expanded disclosure requirements. The new standard becomes effective for the Company's fiscal 2019 with early adoption permitted in fiscal 2018. The Company is in the process of determining the impact of the standard on the financial statements and the timing of adoption. The FASB allows two adoption methods under the new standard. Under one method, a company will apply the rules to contracts in all reporting periods presented. The Company currently believes it will apply this method of adoption.</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20" w:firstLine="180"/>
        <w:spacing w:after="0" w:line="257" w:lineRule="auto"/>
        <w:rPr>
          <w:sz w:val="20"/>
          <w:szCs w:val="20"/>
          <w:color w:val="auto"/>
        </w:rPr>
      </w:pPr>
      <w:r>
        <w:rPr>
          <w:rFonts w:ascii="Arial" w:cs="Arial" w:eastAsia="Arial" w:hAnsi="Arial"/>
          <w:sz w:val="18"/>
          <w:szCs w:val="18"/>
          <w:color w:val="auto"/>
        </w:rPr>
        <w:t>In February 2016, the FASB issued ASU 2016-02 “Leases (Topic 842)” (“ASU 2016-02”). Under ASU 2016-02, a lessee will recognize in the balance sheet a liability to make lease payments (the lease liability) and a right-to-use asset representing its right to use the underlying asset for the lease term. The amendments of this ASU are effective for the Company's fiscal 2020, with early adoption permitted. A company will be required to recognize and measure leases at the beginning of the earliest period presented using a modified retrospective approach. The Company is currently assessing the impact the adoption of ASU 2016-02 will have on the financial statements.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20" w:firstLine="180"/>
        <w:spacing w:after="0" w:line="279" w:lineRule="auto"/>
        <w:rPr>
          <w:sz w:val="20"/>
          <w:szCs w:val="20"/>
          <w:color w:val="auto"/>
        </w:rPr>
      </w:pPr>
      <w:r>
        <w:rPr>
          <w:rFonts w:ascii="Arial" w:cs="Arial" w:eastAsia="Arial" w:hAnsi="Arial"/>
          <w:sz w:val="17"/>
          <w:szCs w:val="17"/>
          <w:color w:val="auto"/>
        </w:rPr>
        <w:t>In March 2016, the FASB issued ASU 2016-09, "Improvements to Employee Share-Based Payment Accounting," which simplifies several aspects of the accounting for employee share-based payment transactions, including the accounting for income taxes, forfeitures, and statutory tax withholding requirements, as well as classification in the statement of cash flows. The Company is required to adopt the new guidance in fiscal 2018 with early adoption permitted. The Company is currently assessing the impact the adoption of ASU 2016-09 will have on the financial statements.</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the Company which are expected to have a material impact on the Company’s financial position, results of operations or cash flows.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Company derives revenues from two primary sources: software licenses and services. Services include customer support, consulting, assessment and design services, installation services and training. A typical sales arrangement includes both licenses and services.</w:t>
      </w:r>
    </w:p>
    <w:p>
      <w:pPr>
        <w:spacing w:after="0" w:line="9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For sales arrangements involving multiple elements, the Company recognizes revenue using the residual method. Under the residual method, the Company allocates and defers revenue for the undelivered elements based on fair value and recognizes the difference between the total arrangement fee and the amount deferred for the undelivered elements as revenue. The determination of fair value of the undelivered elements in multiple-element arrangements is based on the price charged when such elements are sold separately, which is commonly referred to as vendor-specific objective-evidence, or VSOE.</w:t>
      </w:r>
    </w:p>
    <w:p>
      <w:pPr>
        <w:spacing w:after="0" w:line="10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Company’s software licenses typically provide for a perpetual right to use the Company’s software and are sold on a per-terabyte basis, on a per-copy basis, as site licenses or as a solution set. Software licenses sold on a capacity basis provide the customer with unlimited licenses of specified software products based on a defined level of terabytes of data under management. Site licenses give the customer the additional right to deploy the software on a limited basis during a specified term. Solution sets are generally sold on a per unit basis such as per virtual machine for our virtual machine backup, recovery and cloud management solution set; per mailbox for our email archive solution set and per user for our endpoint data protection solution set.</w:t>
      </w:r>
    </w:p>
    <w:p>
      <w:pPr>
        <w:spacing w:after="0" w:line="10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Company recognizes software revenue through direct sales channels upon receipt of a purchase order or other persuasive evidence and when all other basic revenue recognition criteria are met as described below. The Company recognizes software revenue through all indirect sales channels on a sell-through model. A sell-through model requires that the Company recognize revenue when the basic revenue recognition criteria are met as described below and these channels complete the sale of the Company’s software products to the end-user. Revenue from software licenses sold through an original equipment manufacturer partner is recognized upon the receipt of a royalty report or purchase order from that original equipment manufacturer partner.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Services revenue includes revenue from customer support and other professional services. Customer support includes software updates on a when-and-if-available basis, telephone support, integrated web-based support and bug fixes or patches. Customer support revenue is recognized ratably over the term of the customer support agreement, which is typically one year. To determine the price for the customer support element when sold separately, the Company primarily uses historical renewal rates. Historical renewal rates are supported by performing an analysis in which the Company segregates its customer support renewal contracts into different classes based on specific criteria including, but not limited to, the dollar amount of the software purchased, the level of customer support being provided and the distribution channel. As a result of this analysis, the Company has concluded that it has established VSOE for the different classes of customer support when the support is sold as part of a multiple-element sales arrangement. The Company’s determination of fair value for customer support has not changed for the periods presented.</w:t>
      </w:r>
    </w:p>
    <w:p>
      <w:pPr>
        <w:spacing w:after="0" w:line="1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Company’s other professional services include consulting services, implementation and post-deployment services and education services. Other professional services provided by the Company are not mandatory and can also be performed by the customer or a third-party. In addition to a signed purchase order, the Company’s consulting services and implementation and post-deployment services are, in some cases, evidenced by a Statement of Work, which defines the specific scope of such services to be performed when sold and performed on a stand-alone basis or included in multiple-element sales arrangements. Revenues from consulting services and implementation and post-deployment services are based upon a daily or weekly rate and are recognized when the services are completed. Education services include courses taught by the Company’s instructors or third-party contractors either at one of the Company’s facilities or at the customer’s site. Education services fees are recognized as revenue after the course has been provided. Based on the Company’s analysis of such other professional services transactions sold on a stand-alone basis, the Company has concluded it has established VSOE for such other professional services when sold in connection with a multiple-element sales arrangement. The Company generally performs its other professional services within 90 days of entering into an agreement. The Company’s determination of fair value for other professional services has not changed for the periods presented.</w:t>
      </w:r>
    </w:p>
    <w:p>
      <w:pPr>
        <w:spacing w:after="0" w:line="1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has analyzed all of the undelivered elements included in its multiple-element sales arrangements and determined that VSOE of fair value exists to allocate revenues to services. Accordingly, assuming all basic revenue recognition criteria are met, software revenue is recognized upon delivery of the software license using the residual method.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the four basic revenue recognition criteria for each of the elements as follows:</w:t>
      </w:r>
    </w:p>
    <w:p>
      <w:pPr>
        <w:spacing w:after="0" w:line="293" w:lineRule="exact"/>
        <w:rPr>
          <w:sz w:val="20"/>
          <w:szCs w:val="20"/>
          <w:color w:val="auto"/>
        </w:rPr>
      </w:pPr>
    </w:p>
    <w:p>
      <w:pPr>
        <w:ind w:left="1200" w:hanging="328"/>
        <w:spacing w:after="0" w:line="264"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with the customer exists. </w:t>
      </w:r>
      <w:r>
        <w:rPr>
          <w:rFonts w:ascii="Arial" w:cs="Arial" w:eastAsia="Arial" w:hAnsi="Arial"/>
          <w:sz w:val="18"/>
          <w:szCs w:val="18"/>
          <w:color w:val="auto"/>
        </w:rPr>
        <w:t>The Company’s customary practice is to require a purchase order and, in</w:t>
      </w:r>
      <w:r>
        <w:rPr>
          <w:rFonts w:ascii="Arial" w:cs="Arial" w:eastAsia="Arial" w:hAnsi="Arial"/>
          <w:sz w:val="18"/>
          <w:szCs w:val="18"/>
          <w:i w:val="1"/>
          <w:iCs w:val="1"/>
          <w:color w:val="auto"/>
        </w:rPr>
        <w:t xml:space="preserve"> </w:t>
      </w:r>
      <w:r>
        <w:rPr>
          <w:rFonts w:ascii="Arial" w:cs="Arial" w:eastAsia="Arial" w:hAnsi="Arial"/>
          <w:sz w:val="18"/>
          <w:szCs w:val="18"/>
          <w:color w:val="auto"/>
        </w:rPr>
        <w:t>some cases, a written contract signed by both the customer and the Company, or other persuasive evidence that an arrangement exists prior to recognizing revenue related to an arrangement.</w:t>
      </w:r>
    </w:p>
    <w:p>
      <w:pPr>
        <w:spacing w:after="0" w:line="181" w:lineRule="exact"/>
        <w:rPr>
          <w:rFonts w:ascii="Arial" w:cs="Arial" w:eastAsia="Arial" w:hAnsi="Arial"/>
          <w:sz w:val="18"/>
          <w:szCs w:val="18"/>
          <w:color w:val="auto"/>
        </w:rPr>
      </w:pPr>
    </w:p>
    <w:p>
      <w:pPr>
        <w:ind w:left="1200" w:right="40" w:hanging="328"/>
        <w:spacing w:after="0" w:line="255"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Delivery or performance has occurred. </w:t>
      </w:r>
      <w:r>
        <w:rPr>
          <w:rFonts w:ascii="Arial" w:cs="Arial" w:eastAsia="Arial" w:hAnsi="Arial"/>
          <w:sz w:val="18"/>
          <w:szCs w:val="18"/>
          <w:color w:val="auto"/>
        </w:rPr>
        <w:t>The Company’s software applications are either physically or electronically delivered to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with standard transfer terms such as FOB shipping point. Software and/or software license keys for add-on orders or software updates are typically delivered in an electronic format. If products that are essential to the functionality of the delivered software in an arrangement have not been delivered, the Company does not consider delivery to have occurred. Services revenue is recognized when the services are completed, except for customer support, which is recognized ratably over the term of the customer support agreement, which is typically one year.</w:t>
      </w:r>
    </w:p>
    <w:p>
      <w:pPr>
        <w:spacing w:after="0" w:line="193" w:lineRule="exact"/>
        <w:rPr>
          <w:rFonts w:ascii="Arial" w:cs="Arial" w:eastAsia="Arial" w:hAnsi="Arial"/>
          <w:sz w:val="18"/>
          <w:szCs w:val="18"/>
          <w:color w:val="auto"/>
        </w:rPr>
      </w:pPr>
    </w:p>
    <w:p>
      <w:pPr>
        <w:ind w:left="1200" w:right="180" w:hanging="328"/>
        <w:spacing w:after="0" w:line="259"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Vendor’s fee is fixed or determinable. </w:t>
      </w:r>
      <w:r>
        <w:rPr>
          <w:rFonts w:ascii="Arial" w:cs="Arial" w:eastAsia="Arial" w:hAnsi="Arial"/>
          <w:sz w:val="18"/>
          <w:szCs w:val="18"/>
          <w:color w:val="auto"/>
        </w:rPr>
        <w:t>The fee customers pay for software applications, customer support and other professional services is</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negotiated at the outset of a sales arrangement. The fees are therefore considered to be fixed or determinable at the inception of the arrangement. The Company evaluates instances when extended payment terms are granted to determine if revenue should be deferred until payment becomes due.</w:t>
      </w:r>
    </w:p>
    <w:p>
      <w:pPr>
        <w:spacing w:after="0" w:line="186" w:lineRule="exact"/>
        <w:rPr>
          <w:rFonts w:ascii="Arial" w:cs="Arial" w:eastAsia="Arial" w:hAnsi="Arial"/>
          <w:sz w:val="18"/>
          <w:szCs w:val="18"/>
          <w:color w:val="auto"/>
        </w:rPr>
      </w:pPr>
    </w:p>
    <w:p>
      <w:pPr>
        <w:ind w:left="1200" w:right="100" w:hanging="328"/>
        <w:spacing w:after="0" w:line="259"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Collection is probable. </w:t>
      </w:r>
      <w:r>
        <w:rPr>
          <w:rFonts w:ascii="Arial" w:cs="Arial" w:eastAsia="Arial" w:hAnsi="Arial"/>
          <w:sz w:val="18"/>
          <w:szCs w:val="18"/>
          <w:color w:val="auto"/>
        </w:rPr>
        <w:t>Probability of collection is assessed on a customer-by-customer basis. Each new customer undergoes a credit review</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to evaluate its financial position and ability to pay. If the Company determines from the outset of an arrangement that collection is not probable based upon the review process, revenue is recognized at the earlier of when cash is collected or when sufficient credit becomes available, assuming all of the other basic revenue recognition criteria are met.</w:t>
      </w:r>
    </w:p>
    <w:p>
      <w:pPr>
        <w:spacing w:after="0" w:line="133"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The Company’s sales arrangements generally do not include acceptance clauses. However, if an arrangement does include an acceptance clause, revenue for such an arrangement is deferred and recognized upon acceptance. Acceptance occurs upon the earliest of receipt of a written customer acceptance, waiver of customer acceptance or expiration of the acceptance period.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7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Deferred revenues represent amounts collected from, or invoiced to, customers in excess of revenues recognized. This results primarily from the billing of annual customer support agreements, and billings for other professional services fees that have not yet been performed by the Company and receipt of license fees that are deferred due to one or more of the revenue recognition criteria not being met. The value of deferred revenues will increase or decrease based on the timing of invoices and recognition of revenue. The Company expenses internal direct and incremental costs related to contract acquisition and origination as incurred.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revenue consists of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r>
      <w:tr>
        <w:trPr>
          <w:trHeight w:val="205"/>
        </w:trPr>
        <w:tc>
          <w:tcPr>
            <w:tcW w:w="83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software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1,578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services revenue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190,796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193,399</w:t>
            </w:r>
          </w:p>
        </w:tc>
      </w:tr>
      <w:tr>
        <w:trPr>
          <w:trHeight w:val="237"/>
        </w:trPr>
        <w:tc>
          <w:tcPr>
            <w:tcW w:w="83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193,803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194,977</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services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54,111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49,889</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247,914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244,866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16" w:lineRule="exact"/>
        <w:rPr>
          <w:sz w:val="20"/>
          <w:szCs w:val="20"/>
          <w:color w:val="auto"/>
        </w:rPr>
      </w:pPr>
    </w:p>
    <w:p>
      <w:pPr>
        <w:jc w:val="both"/>
        <w:ind w:right="640" w:firstLine="432"/>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34% and 35% of total revenues for the three months ended June 30, 2016 and 2015, respectively. Arrow accounted for approximately 46% of total accounts receivable as of June 30, 2016 and 43% of total accounts receivable as of March 31, 2016.</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and accounts payable approximate their fair values due to the short-term maturity of these instruments. The Company’s cash equivalents balance consists primarily of money market funds. The Company’s short-term investments balance consists of U.S. Treasury Bills with maturities of one year or less. The Company accounts for its short-term investments as held to maturity.</w:t>
      </w:r>
    </w:p>
    <w:p>
      <w:pPr>
        <w:spacing w:after="0" w:line="133"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such asset or liability in an orderly transaction between market participants on the measurement date. Valuation techniques used to measure fair value should maximize the use of observable inputs and minimize the use of unobservable inputs. To measure fair value, the Company uses the following fair value hierarchy based on three levels of inputs, of which the first two are considered observable and the last unobservable: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composition of the Company’s financial assets measured at fair value at June 30, 2016 and March 31, 2016:</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2016</w:t>
            </w:r>
          </w:p>
        </w:tc>
        <w:tc>
          <w:tcPr>
            <w:tcW w:w="32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880" w:type="dxa"/>
            <w:vAlign w:val="bottom"/>
            <w:gridSpan w:val="3"/>
          </w:tcPr>
          <w:p>
            <w:pPr>
              <w:jc w:val="right"/>
              <w:ind w:right="830"/>
              <w:spacing w:after="0"/>
              <w:rPr>
                <w:sz w:val="20"/>
                <w:szCs w:val="20"/>
                <w:color w:val="auto"/>
              </w:rPr>
            </w:pPr>
            <w:r>
              <w:rPr>
                <w:rFonts w:ascii="Arial" w:cs="Arial" w:eastAsia="Arial" w:hAnsi="Arial"/>
                <w:sz w:val="14"/>
                <w:szCs w:val="14"/>
                <w:b w:val="1"/>
                <w:bCs w:val="1"/>
                <w:color w:val="auto"/>
              </w:rPr>
              <w:t>Level 2</w:t>
            </w: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Level 3</w:t>
            </w:r>
          </w:p>
        </w:tc>
        <w:tc>
          <w:tcPr>
            <w:tcW w:w="280" w:type="dxa"/>
            <w:vAlign w:val="bottom"/>
          </w:tcPr>
          <w:p>
            <w:pPr>
              <w:spacing w:after="0"/>
              <w:rPr>
                <w:sz w:val="14"/>
                <w:szCs w:val="1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79,368</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79,368</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108,284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108,284</w:t>
            </w:r>
          </w:p>
        </w:tc>
      </w:tr>
      <w:tr>
        <w:trPr>
          <w:trHeight w:val="554"/>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2016</w:t>
            </w:r>
          </w:p>
        </w:tc>
        <w:tc>
          <w:tcPr>
            <w:tcW w:w="3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880" w:type="dxa"/>
            <w:vAlign w:val="bottom"/>
            <w:gridSpan w:val="3"/>
          </w:tcPr>
          <w:p>
            <w:pPr>
              <w:jc w:val="right"/>
              <w:ind w:right="830"/>
              <w:spacing w:after="0"/>
              <w:rPr>
                <w:sz w:val="20"/>
                <w:szCs w:val="20"/>
                <w:color w:val="auto"/>
              </w:rPr>
            </w:pPr>
            <w:r>
              <w:rPr>
                <w:rFonts w:ascii="Arial" w:cs="Arial" w:eastAsia="Arial" w:hAnsi="Arial"/>
                <w:sz w:val="14"/>
                <w:szCs w:val="14"/>
                <w:b w:val="1"/>
                <w:bCs w:val="1"/>
                <w:color w:val="auto"/>
              </w:rPr>
              <w:t>Level 2</w:t>
            </w: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Level 3</w:t>
            </w:r>
          </w:p>
        </w:tc>
        <w:tc>
          <w:tcPr>
            <w:tcW w:w="280" w:type="dxa"/>
            <w:vAlign w:val="bottom"/>
          </w:tcPr>
          <w:p>
            <w:pPr>
              <w:spacing w:after="0"/>
              <w:rPr>
                <w:sz w:val="24"/>
                <w:szCs w:val="2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95,735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95,735</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99,215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99,215</w:t>
            </w:r>
          </w:p>
        </w:tc>
      </w:tr>
      <w:tr>
        <w:trPr>
          <w:trHeight w:val="621"/>
        </w:trPr>
        <w:tc>
          <w:tcPr>
            <w:tcW w:w="5160" w:type="dxa"/>
            <w:vAlign w:val="bottom"/>
            <w:gridSpan w:val="4"/>
          </w:tcPr>
          <w:p>
            <w:pPr>
              <w:spacing w:after="0"/>
              <w:rPr>
                <w:sz w:val="20"/>
                <w:szCs w:val="20"/>
                <w:color w:val="auto"/>
              </w:rPr>
            </w:pPr>
            <w:r>
              <w:rPr>
                <w:rFonts w:ascii="Arial" w:cs="Arial" w:eastAsia="Arial" w:hAnsi="Arial"/>
                <w:sz w:val="18"/>
                <w:szCs w:val="18"/>
                <w:b w:val="1"/>
                <w:bCs w:val="1"/>
                <w:color w:val="auto"/>
              </w:rPr>
              <w:t>3.  Property and Equipment</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120" w:type="dxa"/>
            <w:vAlign w:val="bottom"/>
            <w:gridSpan w:val="3"/>
          </w:tcPr>
          <w:p>
            <w:pPr>
              <w:ind w:left="620"/>
              <w:spacing w:after="0"/>
              <w:rPr>
                <w:sz w:val="20"/>
                <w:szCs w:val="20"/>
                <w:color w:val="auto"/>
              </w:rPr>
            </w:pPr>
            <w:r>
              <w:rPr>
                <w:rFonts w:ascii="Arial" w:cs="Arial" w:eastAsia="Arial" w:hAnsi="Arial"/>
                <w:sz w:val="18"/>
                <w:szCs w:val="18"/>
                <w:color w:val="auto"/>
              </w:rPr>
              <w:t>Property and equipment consist of the following:</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24"/>
                <w:szCs w:val="2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9"/>
              </w:rPr>
              <w:t>March 31,</w:t>
            </w:r>
          </w:p>
        </w:tc>
      </w:tr>
      <w:tr>
        <w:trPr>
          <w:trHeight w:val="250"/>
        </w:trPr>
        <w:tc>
          <w:tcPr>
            <w:tcW w:w="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1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9,445</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103,193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103,193</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Computers, servers and other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33,120</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14,588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14,458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6,948</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Purchased software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1,279</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169,008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168,608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(32,704)</w:t>
            </w: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134,423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135,904</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recorded depreciation and amortization expense of $2,439 and $2,794 for the three months ended June 30, 2016 and 2015, respectively.</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Loss per Common Share</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Basic net loss per common share is computed by dividing net loss by the weighted average number of common shares during the period. Diluted net income (loss) per share is computed using the weighted average number of common shares and, if dilutive, potential common shares outstanding during the period. Potential common shares consist of the incremental common shares issuable upon the exercise of stock options, vesting of restricted stock units and shares to be purchased under the Employee Stock Purchase Plan. The dilutive effect of such potential common shares is reflected in diluted earnings per share by application of the treasury stock method.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392"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6"/>
              </w:rPr>
              <w:t>Three Months Ended June 30,</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net loss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44,244</w:t>
            </w: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45,285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loss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(0.05)</w:t>
            </w:r>
          </w:p>
        </w:tc>
        <w:tc>
          <w:tcPr>
            <w:tcW w:w="4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67"/>
        </w:trPr>
        <w:tc>
          <w:tcPr>
            <w:tcW w:w="62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net loss per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Diluted net loss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(0.05)</w:t>
            </w:r>
          </w:p>
        </w:tc>
        <w:tc>
          <w:tcPr>
            <w:tcW w:w="4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The diluted weighted average shares outstanding in the table above exclude outstanding stock options, restricted stock units, performance stock options, performance restricted stock units and shares to be purchased under the employee stock purchase plan totaling approximately 8,443 and 8,239 for the three months ended June 30, 2016 and 2015, respectively, because the effect would have been anti-dilutive.</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the normal course of its business, the Company may be involved in various claims, negotiations and legal actions. As of June 30, 2016, the Company is not aware of any asserted or unasserted claims, negotiations and legal actions for which a loss is considered reasonably possible of occurring and would require disclosure under the guidance.</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September 10, 2014, a purported class action complaint was filed in the United States District Court for the District of New Jersey against the Company, its Chief Executive Officer and its Chief Financial Officer. The case is captioned In re Commvault Systems, Inc. Securities Litigation (Master File No. 3:14-cv-05628-MAS-LHG). The suit alleges that the Company made materially false and misleading statements, or failed to disclose material facts, regarding the Company's financial results, business, operations and prospects in violation of Sections 10(b) and 20(a) of the Securities Exchange Act of 1934 and Rule 10b-5 promulgated thereunder. The suit asserts claims covering an alleged class period from May 7, 2013 through April 24, 2014. It is purportedly brought on behalf of purchasers of the Company's common stock during that period, and seeks compensatory damages, costs and expenses, as well as equitable or other relief. Lead plaintiff, the Arkansas Teachers Retirement System, was appointed on January 12, 2015, and on March 18, 2015, an amended complaint was filed by the plaintiffs. On December 17, 2015, the defendant motion to dismiss the case was granted and the case dismissed; however, the plaintiffs were permitted to re-file their claim, which they did on February 5, 2016. Defendants filed another motion to dismiss on April 5, 2016, which remains pending with the court. Due to the inherent uncertainties of litigation, the Company cannot accurately predict the ultimate outcome of this matter. The Company is unable at this time to determine whether the outcome of the litigation will have a material impact on its results of operations, financial condition or cash flows. As of June 30, 2016 the Company has not recorded a reserve for this matter.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Revolving Credit Facility</w:t>
      </w:r>
    </w:p>
    <w:p>
      <w:pPr>
        <w:spacing w:after="0" w:line="17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On June 30, 2014, the Company entered into a five-year $250,000 revolving credit facility (the “Credit Facility”).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the Company's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the Company's actual leverage. The unused balance on the Credit Facility is also subject to a 0.25% annual interest charge subject to increases based on the Company's actual leverage. As of June 30, 2016, there were no borrowings under the Credit Facility and the Company was in compliance with all covenants.</w:t>
      </w:r>
    </w:p>
    <w:p>
      <w:pPr>
        <w:spacing w:after="0" w:line="11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Company has deferred the expense related to debt issuance costs, which are classified as Other Assets, and will amortize the costs into interest expense over the term of the Credit Facility. Unamortized amounts at June 30, 2016 were $757. The amortization of debt issuance costs was $63 in the three months ended June 30, 2016 and 2015 and is included in Interest expense.</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Capitalization</w:t>
      </w:r>
    </w:p>
    <w:p>
      <w:pPr>
        <w:spacing w:after="0" w:line="17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company did not repurchase any of its shares during the three months ended June 30, 2016. As of June 30, 2016, $93,102 remained in the stock repurchase authorization that expires on March 31, 2017.</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Stock Plans</w:t>
      </w:r>
    </w:p>
    <w:p>
      <w:pPr>
        <w:spacing w:after="0" w:line="17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and General and administrative expenses for the three months ended June 30, 2016 and 2015. Stock-based compensation is attributable to stock options, restricted stock units, performance based awards and the employee stock purchase plan.</w:t>
      </w:r>
    </w:p>
    <w:p>
      <w:pPr>
        <w:spacing w:after="0" w:line="335" w:lineRule="exact"/>
        <w:rPr>
          <w:sz w:val="20"/>
          <w:szCs w:val="20"/>
          <w:color w:val="auto"/>
        </w:rPr>
      </w:pPr>
    </w:p>
    <w:tbl>
      <w:tblPr>
        <w:tblLayout w:type="fixed"/>
        <w:tblInd w:w="1580" w:type="dxa"/>
        <w:tblCellMar>
          <w:top w:w="0" w:type="dxa"/>
          <w:left w:w="0" w:type="dxa"/>
          <w:bottom w:w="0" w:type="dxa"/>
          <w:right w:w="0" w:type="dxa"/>
        </w:tblCellMar>
      </w:tblPr>
      <w:tr>
        <w:trPr>
          <w:trHeight w:val="205"/>
        </w:trPr>
        <w:tc>
          <w:tcPr>
            <w:tcW w:w="5140" w:type="dxa"/>
            <w:vAlign w:val="bottom"/>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7"/>
                <w:szCs w:val="17"/>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revenue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7,671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6,600</w:t>
            </w:r>
          </w:p>
        </w:tc>
      </w:tr>
      <w:tr>
        <w:trPr>
          <w:trHeight w:val="27"/>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7,120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6,408</w:t>
            </w:r>
          </w:p>
        </w:tc>
      </w:tr>
      <w:tr>
        <w:trPr>
          <w:trHeight w:val="27"/>
        </w:trPr>
        <w:tc>
          <w:tcPr>
            <w:tcW w:w="5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17,340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15,221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of June 30, 2016, there was approximately $108,592 of unrecognized stock-based compensation expense, net of estimated forfeitures, related to non-vested stock option and restricted stock unit awards that is expected to be recognized over a weighted average period of 1.97 years. To the extent the actual forfeiture rate is different from what the Company has estimated, stock-based compensation related to these awards will be different from the Company’s current estimate.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for the three months ended June 30, 2016 is as follows:</w:t>
      </w:r>
    </w:p>
    <w:p>
      <w:pPr>
        <w:spacing w:after="0" w:line="31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1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Options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10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Outstanding as of March 31, 2016</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granted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51.51</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expired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67.95</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Outstanding as of June 30, 2016</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5,801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51,988</w:t>
            </w:r>
          </w:p>
        </w:tc>
        <w:tc>
          <w:tcPr>
            <w:tcW w:w="0" w:type="dxa"/>
            <w:vAlign w:val="bottom"/>
          </w:tcPr>
          <w:p>
            <w:pPr>
              <w:spacing w:after="0"/>
              <w:rPr>
                <w:sz w:val="1"/>
                <w:szCs w:val="1"/>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496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shd w:val="clear" w:color="auto" w:fill="CCEEFF"/>
              </w:rPr>
              <w:t>Vested or expected to vest as of June 30, 2016</w:t>
            </w:r>
          </w:p>
        </w:tc>
        <w:tc>
          <w:tcPr>
            <w:tcW w:w="13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8"/>
                <w:szCs w:val="18"/>
                <w:color w:val="auto"/>
              </w:rPr>
              <w:t>5,759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6"/>
              <w:spacing w:after="0" w:line="183" w:lineRule="exact"/>
              <w:rPr>
                <w:sz w:val="20"/>
                <w:szCs w:val="20"/>
                <w:color w:val="auto"/>
              </w:rPr>
            </w:pPr>
            <w:r>
              <w:rPr>
                <w:rFonts w:ascii="Arial" w:cs="Arial" w:eastAsia="Arial" w:hAnsi="Arial"/>
                <w:sz w:val="18"/>
                <w:szCs w:val="18"/>
                <w:color w:val="auto"/>
              </w:rPr>
              <w:t>44.06</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3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9"/>
              <w:spacing w:after="0" w:line="183" w:lineRule="exact"/>
              <w:rPr>
                <w:sz w:val="20"/>
                <w:szCs w:val="20"/>
                <w:color w:val="auto"/>
              </w:rPr>
            </w:pPr>
            <w:r>
              <w:rPr>
                <w:rFonts w:ascii="Arial" w:cs="Arial" w:eastAsia="Arial" w:hAnsi="Arial"/>
                <w:sz w:val="18"/>
                <w:szCs w:val="18"/>
                <w:color w:val="auto"/>
              </w:rPr>
              <w:t>51,967</w:t>
            </w:r>
          </w:p>
        </w:tc>
        <w:tc>
          <w:tcPr>
            <w:tcW w:w="0" w:type="dxa"/>
            <w:vAlign w:val="bottom"/>
          </w:tcPr>
          <w:p>
            <w:pPr>
              <w:spacing w:after="0"/>
              <w:rPr>
                <w:sz w:val="1"/>
                <w:szCs w:val="1"/>
                <w:color w:val="auto"/>
              </w:rPr>
            </w:pPr>
          </w:p>
        </w:tc>
      </w:tr>
      <w:tr>
        <w:trPr>
          <w:trHeight w:val="68"/>
        </w:trPr>
        <w:tc>
          <w:tcPr>
            <w:tcW w:w="2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496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June 30, 2016</w:t>
            </w: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4,703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41.07</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51,613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32"/>
        <w:spacing w:after="0" w:line="286" w:lineRule="auto"/>
        <w:rPr>
          <w:sz w:val="20"/>
          <w:szCs w:val="20"/>
          <w:color w:val="auto"/>
        </w:rPr>
      </w:pPr>
      <w:r>
        <w:rPr>
          <w:rFonts w:ascii="Arial" w:cs="Arial" w:eastAsia="Arial" w:hAnsi="Arial"/>
          <w:sz w:val="17"/>
          <w:szCs w:val="17"/>
          <w:color w:val="auto"/>
        </w:rPr>
        <w:t>The weighted average fair value of stock options granted was $16.57 per option per option during the three months ended June 30, 2015. The total intrinsic value of options exercised was $1,369 for the three months ended June 30, 2016 and $6,324 for the three months ended June 30, 2015. The Company’s policy is to issue new shares upon exercise of options as the Company does not hold shares in treasury.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for the three months ended June 30, 2016 is as follows:</w:t>
      </w:r>
    </w:p>
    <w:p>
      <w:pPr>
        <w:spacing w:after="0" w:line="31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4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Non-vested Restricted Stock Units</w:t>
            </w: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March 31, 2016</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2,212</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Awarded</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498</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June 30, 2016</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2,532</w:t>
            </w: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weighted average fair value of restricted stock units awarded was $46.88 per unit during the three months ended June 30, 2016, and $45.45 per unit during the three months ended June 30,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2016, the Company granted 115 performance restricted stock units ("PSU") to certain executives. Vesting of these awards is contingent upon</w:t>
      </w:r>
    </w:p>
    <w:p>
      <w:pPr>
        <w:spacing w:after="0" w:line="46" w:lineRule="exact"/>
        <w:rPr>
          <w:sz w:val="20"/>
          <w:szCs w:val="20"/>
          <w:color w:val="auto"/>
        </w:rPr>
      </w:pPr>
    </w:p>
    <w:p>
      <w:pPr>
        <w:ind w:right="60" w:firstLine="8"/>
        <w:spacing w:after="0" w:line="292" w:lineRule="auto"/>
        <w:tabs>
          <w:tab w:leader="none" w:pos="15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meeting certain company-wide revenue and non-GAAP performance goals (performance-based) in fiscal 2017 and ii) the Company's customary service periods. The awards vest in three annual tranches and have a maximum potential to vest at 200% (230 shares) based on actual fiscal 2017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May 2016, the Company granted 115 market performance stock units to certain executives. The vesting of these awards is contingent upon the Company meeting certain total shareholder return ("TSR") levels as compared to a market index over the next three years. The awards vest in three annual tranches and have a maximum potential to vest at 200% (230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in May was $56.72. The awards are included in the restricted stock unit table.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Employee Stock Purchase Plan (the “Purchase Plan”) is a shareholder approved plan under which substantially all employees may purchase the Company’s common stock through payroll deductions at a price equal to 85% of the lower of the fair market values of the stock as of the beginning or the end of six-month offering periods. An employee’s payroll deductions under the Purchase Plan are limited to 10% of the employee’s salary and employees may not purchase more than $25 of stock during any calendar year. As of June 30, 2016, 2,643 shares were reserved for future issuance under the Purchase Plan. The Purchase Plan is considered compensatory and the fair value of the discount and look back provision are estimated using the Black-Scholes formula and recognized over the six month withholding period prior to purchase. The total expense associated with the Purchase Plan was $679 for the three months ended June 30, 2016 and $677 for the three months ended June 30, 2015.</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Income Taxes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Income tax benefit was $581 in the three months ended June 30, 2016, an effective tax rate of 22%. The effective rate is lower than the statuary rate primarily because of $616 of income tax expense related to a change in the estimated state tax rate applied to the state deferred tax assets and the state income tax payable.</w:t>
      </w:r>
    </w:p>
    <w:p>
      <w:pPr>
        <w:spacing w:after="0" w:line="46" w:lineRule="exact"/>
        <w:rPr>
          <w:sz w:val="20"/>
          <w:szCs w:val="20"/>
          <w:color w:val="auto"/>
        </w:rPr>
      </w:pPr>
    </w:p>
    <w:p>
      <w:pPr>
        <w:jc w:val="both"/>
        <w:ind w:right="100" w:firstLine="432"/>
        <w:spacing w:after="0" w:line="342" w:lineRule="auto"/>
        <w:rPr>
          <w:sz w:val="20"/>
          <w:szCs w:val="20"/>
          <w:color w:val="auto"/>
        </w:rPr>
      </w:pPr>
      <w:r>
        <w:rPr>
          <w:rFonts w:ascii="Arial" w:cs="Arial" w:eastAsia="Arial" w:hAnsi="Arial"/>
          <w:sz w:val="16"/>
          <w:szCs w:val="16"/>
          <w:color w:val="auto"/>
        </w:rPr>
        <w:t>Income tax benefit was $4,998 in the three months ended June 30, 2015, an effective tax rate of 79%. The effective rate in the three months ended June 30, 2015 is higher than the statuary rate because projected unfavorable permanent differences represented a greater percentage of projected loss before taxes.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Unrecognized Tax Benefits</w:t>
      </w:r>
    </w:p>
    <w:p>
      <w:pPr>
        <w:spacing w:after="0" w:line="90" w:lineRule="exact"/>
        <w:rPr>
          <w:sz w:val="20"/>
          <w:szCs w:val="20"/>
          <w:color w:val="auto"/>
        </w:rPr>
      </w:pPr>
    </w:p>
    <w:p>
      <w:pPr>
        <w:ind w:right="320" w:firstLine="432"/>
        <w:spacing w:after="0" w:line="286" w:lineRule="auto"/>
        <w:rPr>
          <w:sz w:val="20"/>
          <w:szCs w:val="20"/>
          <w:color w:val="auto"/>
        </w:rPr>
      </w:pPr>
      <w:r>
        <w:rPr>
          <w:rFonts w:ascii="Arial" w:cs="Arial" w:eastAsia="Arial" w:hAnsi="Arial"/>
          <w:sz w:val="17"/>
          <w:szCs w:val="17"/>
          <w:color w:val="auto"/>
        </w:rPr>
        <w:t>The calculation of the Company’s tax liabilities involves dealing with uncertainties in the application of complex tax regulations in each of its tax jurisdictions. The number of years with open tax audits varies depending on the tax jurisdiction. A number of years may lapse before a particular matter is audited and finally resolved. A reconciliation of the beginning and ending amounts of unrecognized tax benefits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March 31, 2016</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Additions for tax positions related to fiscal 2017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for tax positions related to prior years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Settlements and effective settlements with tax authorities and remeasurements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related to the expiration of statutes of limitations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14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9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All of the Company’s unrecognized tax benefits would favorably impact the effective tax rate if they were recognized. Components of the reserve are classified as either current or long-term in the Consolidated Balance Sheet based on when the Company expects each of the items to be settled. Unrecognized tax benefits and the related accrued interest and penalties totaling $2,083 are recorded as Other Liabilities on the Consolidated Balance Sheet, of</w:t>
      </w:r>
    </w:p>
    <w:p>
      <w:pPr>
        <w:ind w:right="220"/>
        <w:spacing w:after="0" w:line="261" w:lineRule="auto"/>
        <w:rPr>
          <w:sz w:val="20"/>
          <w:szCs w:val="20"/>
          <w:color w:val="auto"/>
        </w:rPr>
      </w:pPr>
      <w:r>
        <w:rPr>
          <w:rFonts w:ascii="Arial" w:cs="Arial" w:eastAsia="Arial" w:hAnsi="Arial"/>
          <w:sz w:val="18"/>
          <w:szCs w:val="18"/>
          <w:color w:val="auto"/>
        </w:rPr>
        <w:t>which $214 represents interest and penalties. The Company also has unrecognized tax benefits and related accrued interest and penalties totaling $237 as a reduction of Deferred Tax Assets on the Consolidated Balance Sheet, of which $94 represents interest and penalties.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Tax Items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conducts business globally and as a result, files income tax returns in the United States and in various state and foreign jurisdictions. In the normal course of business, the Company is subject to examination by taxing authorities throughout the world, including such major jurisdictions as the United States, Australia, Canada, Germany, Netherlands and United Kingdom. The years subject to income tax examination in the Company’s foreign jurisdictions cover the maximum time period with respect to these jurisdictions. Due to net operating loss ("NOL") carryforwards, in some cases the tax years continue to remain subject to examination with respect to such NOLs. As of June 30, 2016, none of the Company's legal entities are under audit by a major tax jurisdiction.</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5"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2016. Our actual results may differ materially from those contained in or implied by any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We are a leading provider of data and information management software applications and related services. Our software platform is an enterprise level, integrated data and information management solution, built from the ground up on a single platform and unified code base. Our platform contains software functionality that works together seamlessly, sharing a single code and common function set to deliver Data Protection - Backup &amp; Recovery; Cloud and Infrastructure Management; and Retention and Compliance across physical, virtual and cloud environments. All software functionality share the same back-end technologies to deliver the benefits of a holistic approach to protecting, managing, and accessing data. Our software addresses many aspects of data management in the enterprise, while providing scalability and control of data and information. Our software enables our customers to simply and cost-effectively protect and manage their enterprise data throughout its lifecycle, from the mobile worker to the remote office, to the data center, covering the leading operating systems, relational databases, virtualized environments and applications. We also provide our customers with a broad range of professional services that are delivered by our worldwide support and field operations. As of June 30, 2016, we had licensed our software applications to approximately 23,000 registered customers.</w:t>
      </w:r>
    </w:p>
    <w:p>
      <w:pPr>
        <w:spacing w:after="0" w:line="124"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Our software licenses typically provide for a perpetual right to use our software and are sold on a per-terabyte capacity basis, on a per-copy basis, as site licenses or as a solution set. During the three months ended June 30, 2016, approximately 68% of software license revenue was sold on a capacity basis. This compares to approximately 73% of software license revenue was sold on a capacity basis during fiscal 2016. Capacity-based software licenses provide our customers with unlimited licenses of specified software products based on a defined level of terabytes of data under management. As a result, when we sell our platform through a capacity license, certain of the various Commvault functionalities are bundled into one capacity-based price. We anticipate that capacity-based licenses will continue to account for the majority of our software license revenue for fiscal 2017. Site licenses give the customer the additional right to deploy the software on a limited basis during a specified term. Our primary solution sets in our software suite include virtual machine backup, recovery and cloud management; endpoint data protection; and email archive. These solution sets can be individually deployed or combined as part of a comprehensive data protection and information management solution. Our solution sets are generally sold on a per-unit basis such as per virtual machine for our virtual machine backup, recovery and cloud management solution set; per mailbox for our email archive solution set and per user for our endpoint data protection solution set.</w:t>
      </w:r>
    </w:p>
    <w:p>
      <w:pPr>
        <w:spacing w:after="0" w:line="12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Historically, an insignificant amount of our revenue has been sold under subscription, or term-based, license arrangements. In these arrangements, the customer has the right to use the software on either a capacity basis or per-copy or per-unit basis over a designated period of time. Revenue in these arrangements is recognized ratably over the term of the agreement. Over the next several years, we expect revenue from these types of arrangements to become a more significant portion of our total revenue.</w:t>
      </w:r>
    </w:p>
    <w:p>
      <w:pPr>
        <w:spacing w:after="0" w:line="13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industry in which we currently operate continues to go through accelerating changes as the result of compounding data growth and the introduction of new technologies. We remain focused on both the data and information management trends in the marketplace and, in fact, a material portion of our existing research and development expenses are utilized toward the development of such new technologies. While we are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1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Given the nature of the industry in which we operate, our software applications are subject to obsolescence.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 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6"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derive a significant portion of our total revenues from sales of licenses of our software applications. We do not customize our software for a specific end-user customer. We sell our software applications to end-user customers both directly through our sales force and indirectly through our global network of value-added reseller partners, systems integrators, corporate resellers and original equipment manufacturers. Our software revenue was 42% and 41% of our total revenues for the three months ended June 30, 2016 and 2015, respectively.</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recent fiscal periods, we have generated approximately three-quarters of our software revenue from our existing customer base and approximately one-quarter of our software revenue from new customers. In addition, our total software revenue in any particular period is, to a certain extent, dependent upon our ability to generate revenues from large customer software deals, which we refer to as enterprise software transactions. Enterprise software transactions (transactions greater than $0.1 million) represented approximately 52% and 49% of our total software revenue in the three months ended June 30, 2016 and 2015, respectively.</w:t>
      </w:r>
    </w:p>
    <w:p>
      <w:pPr>
        <w:spacing w:after="0" w:line="134"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Software revenue generated through indirect distribution channels was 83% of total software revenue in the three months ended June 30, 2016 and was approximately 89% of total software revenue in the three months ended June 30, 2015. Software revenue generated through direct distribution channels was approximately 17% of total software revenue in the three months ended June 30, 2016 and was approximately 11% of total software revenue in the three months ended June 30, 2015. The dollar value of software revenue generated through indirect distribution channels increased approximately $3.1 million, or 6%, in the three months ended June 30, 2016 compared to the three months ended June 30, 2015. The dollar value of software revenue generated through direct distribution channels increased approximately $4.4 million, or 70%, in the three months ended June 30, 2016 compared to the three months ended June 30, 2015. The increase in the dollar value of software revenue generated through our direct sales force is primarily the result of several large enterprise transactions.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revenue generated through our direct distribution channels from time-to-time. We believe that the growth of our software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7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primary original equipment manufacturer agreement is with Hitachi Data Systems ("HDS") and allows them to market, sell and support our software applications and services on a stand-alone basis and/or incorporate our software applications into their own hardware products. Our original equipment manufacturer partners, including HDS, have no obligation to recommend or offer our software applications exclusively or at all, and they have no minimum sales requirements and can terminate our relationship at any time. Sales through our original equipment manufacturer agreements, accounted for 15% of our total revenues for the three months ended June 30, 2016 and 18% of our total revenues for the three months ended June 30, 2015.</w:t>
      </w:r>
    </w:p>
    <w:p>
      <w:pPr>
        <w:spacing w:after="0" w:line="104"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also have non-exclusive distribution agreements covering our North American commercial markets and our U.S. Federal Government market with Arrow Enterprise Computing Solutions, Inc. ("Arrow"), a subsidiary of Arrow Electronics, Inc., and Avnet Technology Solutions ("Avnet"), a subsidiary of Avnet, Inc. Pursuant to these distribution agreements, these distributors’ primary role is to enable a more efficient and effective distribution channel for our products and services by managing our reseller partners and leveraging their own industry experience. We generated approximately 34% of our total revenues through Arrow in the three months ended June 30, 2016, and approximately 35% in the three months ended June 30, 2015. If Arrow or Avnet were to discontinue or reduce the sales of our products or if our agreement with Arrow or Avnet was terminated, and if we were unable to take back the management of our reseller channel or find another North American distributor to replace Arrow or Avnet, then it could have a material adverse effect on our future business.</w:t>
      </w:r>
    </w:p>
    <w:p>
      <w:pPr>
        <w:spacing w:after="0" w:line="13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services revenue was 58% of our total revenues for the three months ended June 30, 2016 and 59% of our total revenues for the three months ended June 30, 2015.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Most of our customer support agreements are for a one year term. As the end of the annual period approaches, we pursue the renewal of the agreement with the customer. Historically, maintenance renewals have represented a significant portion of our total revenue. Because of this characteristic of our business, if our customers choose not to renew their maintenance and support agreements with us on beneficial terms, or at all, our business, operating results and financial condition could be harmed. In addition, we are currently going through a re-alignment of our maintenance pricing to be more competitive in the market and make it easier for our customers to do business with Commvault. This maintenance pricing re-alignment will phase in over the current fiscal year and is primarily focused on the mid- to lower-end of the market (non-enterprise customers) which impacts approximately a quarter of our existing maintenance revenue dollar base. If we are not successful with our maintenance pricing re-alignment strategy, our business and financial performance might also be adversely impacted.</w:t>
      </w:r>
    </w:p>
    <w:p>
      <w:pPr>
        <w:spacing w:after="0" w:line="13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gross margin of our services revenue was 77% for the three months ended June 30, 2016 and 76% for the three months ended June 30, 2015. Overall, our services revenue has lower gross margins than our software revenue. The gross margin of our software revenue was approximately 99% for both the three months ended June 30, 2016 and for the three months ended June 30, 2015. An increase in the percentage of total revenues represented by services revenue may adversely affect our overall gross margins.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17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Sales outside the United States were approximately 44% of our total revenue for the three months ended June 30, 2016 and 45% of our total revenue for the three months ended June 30, 2015. The income statements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04"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Using the average foreign currency exchange rates from the three months ended June 30, 2015 our software revenue would have been higher by $0.9 million, our services revenue would have been higher by $0.9 million, our cost of sales would have been higher by approximately $0.1 million and our operating expenses would have been higher by $1.7 million from non-U.S. operations for the three months ended June 30, 2016.</w:t>
      </w:r>
    </w:p>
    <w:p>
      <w:pPr>
        <w:spacing w:after="0" w:line="111"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a net foreign currency transaction gain of $0.3 million in the three months ended June 30, 2016. We recognized net foreign currency transaction losses of approximately $0.2 million in the three months ended June 30,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3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60" w:lineRule="exact"/>
        <w:rPr>
          <w:sz w:val="20"/>
          <w:szCs w:val="20"/>
          <w:color w:val="auto"/>
        </w:rPr>
      </w:pPr>
    </w:p>
    <w:p>
      <w:pPr>
        <w:ind w:left="2020" w:hanging="310"/>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for Income Taxes; and</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three months ended June 30, 2016 as compared to the critical accounting policies and estimates disclosed in “Management’s Discussion and Analysis of Financial Condition and Results of Operations - Critical Accounting Policies” included in our Annual Report on Form 10-K for the year ended March 31, 2016. In addition, please see Note 2 of Notes to the Condensed Consolidated Financial Statements included in this Quarterly Report on Form 10-Q and Note 2 of the Notes to Consolidated Financial Statements included in our fiscal 2016 Annual Report on Form 10-K filed for a description of our accounting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sets forth each of our sources of revenues and costs of revenues for the specified periods as a percentage of our total revenues for those periods (due to rounding, numbers in column may not sum to totals):</w:t>
      </w:r>
    </w:p>
    <w:p>
      <w:pPr>
        <w:spacing w:after="0" w:line="270"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1989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03" w:lineRule="exact"/>
        <w:rPr>
          <w:sz w:val="20"/>
          <w:szCs w:val="20"/>
          <w:color w:val="auto"/>
        </w:rPr>
      </w:pPr>
    </w:p>
    <w:tbl>
      <w:tblPr>
        <w:tblLayout w:type="fixed"/>
        <w:tblInd w:w="1720" w:type="dxa"/>
        <w:tblCellMar>
          <w:top w:w="0" w:type="dxa"/>
          <w:left w:w="0" w:type="dxa"/>
          <w:bottom w:w="0" w:type="dxa"/>
          <w:right w:w="0" w:type="dxa"/>
        </w:tblCellMar>
      </w:tblPr>
      <w:tr>
        <w:trPr>
          <w:trHeight w:val="192"/>
        </w:trPr>
        <w:tc>
          <w:tcPr>
            <w:tcW w:w="5840" w:type="dxa"/>
            <w:vAlign w:val="bottom"/>
            <w:gridSpan w:val="2"/>
          </w:tcPr>
          <w:p>
            <w:pPr>
              <w:ind w:left="5480"/>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2015</w:t>
            </w:r>
          </w:p>
        </w:tc>
      </w:tr>
      <w:tr>
        <w:trPr>
          <w:trHeight w:val="250"/>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Software</w:t>
            </w: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67"/>
        </w:trPr>
        <w:tc>
          <w:tcPr>
            <w:tcW w:w="486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48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Cost of revenues:</w:t>
            </w: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Software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67"/>
        </w:trPr>
        <w:tc>
          <w:tcPr>
            <w:tcW w:w="486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24"/>
        </w:trPr>
        <w:tc>
          <w:tcPr>
            <w:tcW w:w="4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margin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48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compared to three months ended June 30, 2015</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Total revenues increased $13.3 million, or 10%, from $139.1 million in the three months ended June 30, 2015 to $152.4 million in the three months ended June 30, 2016.</w:t>
      </w:r>
    </w:p>
    <w:p>
      <w:pPr>
        <w:spacing w:after="0" w:line="116"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Software Revenue. </w:t>
      </w:r>
      <w:r>
        <w:rPr>
          <w:rFonts w:ascii="Arial" w:cs="Arial" w:eastAsia="Arial" w:hAnsi="Arial"/>
          <w:sz w:val="18"/>
          <w:szCs w:val="18"/>
          <w:color w:val="auto"/>
        </w:rPr>
        <w:t>Software revenue increased $7.4 million, or 13%, from $56.5 million in the three months ended June 30, 2015 to $63.9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2016. Software revenue represented 42% of our total revenues in the three months ended June 30, 2016 and compared to 41% of total revenues in the three months ended June 30, 2015.</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track software revenue on a geographic basis. The geographic regions that are tracked are the Americas (United States, Canada, Latin America), EMEA (Europe, Middle East, Africa) and APAC (Australia, New Zealand, Southeast Asia, China). Americas, EMEA and APAC represented 55%, 30% and 15% of total software revenue, respectively, for the three months ended June 30, 2016. The year-over-year increase of Software Revenue in the Americas, EMEA and APAC was 12%, 11% and 22%, respectively.</w:t>
      </w:r>
    </w:p>
    <w:p>
      <w:pPr>
        <w:spacing w:after="0" w:line="133" w:lineRule="exact"/>
        <w:rPr>
          <w:sz w:val="20"/>
          <w:szCs w:val="20"/>
          <w:color w:val="auto"/>
        </w:rPr>
      </w:pPr>
    </w:p>
    <w:p>
      <w:pPr>
        <w:ind w:left="660" w:right="5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Americas software revenue for the three months ended June 30, 2016 was the result of an increase in the number of enterprise revenue transactions.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EMEA software revenue increased primarily as a result of an increase in non-enterprise transaction revenue.</w:t>
      </w:r>
    </w:p>
    <w:p>
      <w:pPr>
        <w:spacing w:after="0" w:line="171" w:lineRule="exact"/>
        <w:rPr>
          <w:rFonts w:ascii="Arial" w:cs="Arial" w:eastAsia="Arial" w:hAnsi="Arial"/>
          <w:sz w:val="18"/>
          <w:szCs w:val="18"/>
          <w:color w:val="auto"/>
        </w:rPr>
      </w:pPr>
    </w:p>
    <w:p>
      <w:pPr>
        <w:ind w:left="660" w:right="8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increase in APAC software revenue was primarily the result of an increase in the average dollar amount of enterprise transactions. This increase was partially offset by the strengthening of the U.S. dollar relative to APAC currencies. Using exchange rates from the first three months of fiscal 2016, the increase in year-over-year software revenue would have been 28% compared to the actual increase of 22%.</w:t>
      </w:r>
    </w:p>
    <w:p>
      <w:pPr>
        <w:spacing w:after="0" w:line="111" w:lineRule="exact"/>
        <w:rPr>
          <w:rFonts w:ascii="Arial" w:cs="Arial" w:eastAsia="Arial" w:hAnsi="Arial"/>
          <w:sz w:val="17"/>
          <w:szCs w:val="17"/>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software revenue in EMEA and APAC is subject to changes in foreign exchange rates as more fully discussed above in the “Foreign Currency Exchange Rates’ Impact on Results of Operations” section.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85" w:lineRule="auto"/>
        <w:rPr>
          <w:sz w:val="20"/>
          <w:szCs w:val="20"/>
          <w:color w:val="auto"/>
        </w:rPr>
      </w:pPr>
      <w:r>
        <w:rPr>
          <w:rFonts w:ascii="Arial" w:cs="Arial" w:eastAsia="Arial" w:hAnsi="Arial"/>
          <w:sz w:val="16"/>
          <w:szCs w:val="16"/>
          <w:color w:val="auto"/>
        </w:rPr>
        <w:t>Software revenue derived from enterprise software transactions (transactions greater than $0.1 million) represented approximately 52% of our software revenue in the three months ended June 30, 2016 and approximately 49% of our software revenue in the three months ended June 30, 2015. Enterprise software transaction revenue increased by $5.3 million, or 19%, in the three months ended June 30, 2016 compared to the three months ended June 30, 2015. This increase was driven by a 23% increase in the number of transactions partially offset by a 4% decline in the average dollar amount of such transactions. The average sales price was approximately $242,000 in the three months ended June 30, 2016 and approximately $251,000 in the three months ended</w:t>
      </w:r>
    </w:p>
    <w:p>
      <w:pPr>
        <w:spacing w:after="0" w:line="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June 30, 2015. Software revenue derived from transactions less than $0.1 million increased $2.2 million, or 8%, in the three months ended June 30, 2016 compared to the three months ended June 30, 2015.</w:t>
      </w:r>
    </w:p>
    <w:p>
      <w:pPr>
        <w:spacing w:after="0" w:line="13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increased $5.8 million, or 7%, from $82.6 million in the three months ended June 30, 2015 to $88.5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2016. Services revenue represented 58% of our total revenues in the three months ended June 30, 2016 and 59% in the three months ended June 30, 2015. The increase in services revenue is due to a $6.6 million increase in revenue from customer support agreements as a result of software sales to new customers and renewal agreements with our installed software base. The increase in customer support revenue was partially offset by a decline in professional services revenue.</w:t>
      </w:r>
    </w:p>
    <w:p>
      <w:pPr>
        <w:spacing w:after="0" w:line="13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i w:val="1"/>
          <w:iCs w:val="1"/>
          <w:color w:val="auto"/>
        </w:rPr>
        <w:t>Cost of Revenues</w:t>
      </w:r>
      <w:r>
        <w:rPr>
          <w:rFonts w:ascii="Arial" w:cs="Arial" w:eastAsia="Arial" w:hAnsi="Arial"/>
          <w:sz w:val="18"/>
          <w:szCs w:val="18"/>
          <w:color w:val="auto"/>
        </w:rPr>
        <w:t>. Total cost of revenues increased $0.4 million, or 2%, from $20.5 million in the three months ended June 30, 2015 to $21.0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2016. Total cost of revenues represented 14% of our total revenues in the three months ended June 30, 2016 and 15% in the three months ended June 30,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$6.9 million, or 8%, from $85.8 million in the three months ended June 30, 2015 to $92.7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three months ended June 30, 2016. The increase is primarily due to a $4.2 million increase in employee compensation and related expenses, including $1.1 million in stock-based compensation, mainly attributable to the expansion of our sales force from the prior year. In addition, during the first quarter the Company held its first worldwide sales meeting in several years which also contributed to the year over year increase in sales and marketing expense. Sales and marketing expenses as a percentage of total revenues decreased to 61% in the three months ended June 30, 2016 from 62% in the three months ended June 30, 2015.</w:t>
      </w:r>
    </w:p>
    <w:p>
      <w:pPr>
        <w:spacing w:after="0" w:line="13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$2.5 million, or 15%, from $16.8 million in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2015 to $19.2 million in the three months ended June 30, 2016. The increase is due to a $1.9 million increase in salary and related expenses resulting from the expansion of our engineering group. Research and development expenses as a percentage of total revenues was 13% in the three months ended June 30, 2016 and 12% in the three months ended June 30, 2015. Investing in research and development has been a priority for Commvault, and we anticipate continued spending related to the development of our data and information management software applications.</w:t>
      </w:r>
    </w:p>
    <w:p>
      <w:pPr>
        <w:spacing w:after="0" w:line="11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$0.1 million, or 1%, from $19.8 million in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to $19.9 million in the three months ended June 30, 2016. General and administrative expenses in the three months ended June 30, 2016 includes approximately $0.3 million of net foreign currency transaction gains compared to approximately $0.2 million of net foreign currency transaction loss in the three months ended June 30, 2015. General and administrative expenses as a percentage of total revenues was 13% in the three months ended June 30, 2016 and 14% in the three months ended June 30, 2015.</w:t>
      </w:r>
    </w:p>
    <w:p>
      <w:pPr>
        <w:spacing w:after="0" w:line="13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decreased by $0.4 million from $2.5 million in the three months ended June 30, 2015 to $2.1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three months ended June 30, 2016.</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Benefit</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Income tax benefit was $0.6 million in the three months ended June 30, 2016 compared to a benefit of $5.0 million in the three months ended June 30, 2015. The effective tax rate in the three months ended June 30, 2016 was 22% as compared to 79% in the three months ended June 30, 2015. The effective rate in the three months ended June 30, 2016 is lower than the statutory rate primarily because of $0.6 million of income tax expense related to a change in the estimated state tax rate applied to the state deferred tax assets and the state income tax payable. The effective rate in the three months ended June 30, 2015 is higher than the statuary rate because projected unfavorable permanent differences represented a greater percentage of projected loss before taxes. We estimate that cash expenditures for income taxes in fiscal 2017 will be less than $5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As of June 30, 2016, our cash and cash equivalents balance of $302.2 million primarily consisted of cash and money market funds. In addition, as of June 30, 2016 we have short-term investments invested in U.S. Treasury Bills totaling $107.9 million. In recent fiscal years, our principal source of liquidity has been cash provided by operations.</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of June 30, 2016, the amount of cash and cash equivalents held outside of the United States by our foreign legal entities was approximately $147 million. These balances are dispersed across many international locations around the world. We believe that such dispersion meets the current and anticipated future liquidity needs of our foreign legal entities. In addition, it is our intention to indefinitely reinvest undistributed earnings of our foreign legal entities. In the event we needed to repatriate funds from outside of the United States, such repatriation would likely be subject to restrictions by local laws and/or tax consequences including foreign withholding taxes or U.S. income taxes. It is not currently practical to estimate the legal restrictions or tax liability that would arise from such repatriations.</w:t>
      </w:r>
    </w:p>
    <w:p>
      <w:pPr>
        <w:spacing w:after="0" w:line="139" w:lineRule="exact"/>
        <w:rPr>
          <w:sz w:val="20"/>
          <w:szCs w:val="20"/>
          <w:color w:val="auto"/>
        </w:rPr>
      </w:pPr>
    </w:p>
    <w:p>
      <w:pPr>
        <w:ind w:right="160" w:firstLine="405"/>
        <w:spacing w:after="0" w:line="289" w:lineRule="auto"/>
        <w:rPr>
          <w:sz w:val="20"/>
          <w:szCs w:val="20"/>
          <w:color w:val="auto"/>
        </w:rPr>
      </w:pPr>
      <w:r>
        <w:rPr>
          <w:rFonts w:ascii="Arial" w:cs="Arial" w:eastAsia="Arial" w:hAnsi="Arial"/>
          <w:sz w:val="16"/>
          <w:szCs w:val="16"/>
          <w:color w:val="auto"/>
        </w:rPr>
        <w:t>We have a five-year $250 million revolving credit facility (the “Credit Facility”) that expires in 2019.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our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the Company's actual leverage. The unused balance on the Credit Facility is also subject to a 0.25% annual interest charge subject to increases based on the Company's actual leverage. As of June 30, 2016, there were no borrowings under the Credit Facility and we believe we are in compliance with all covenants.</w:t>
      </w:r>
    </w:p>
    <w:p>
      <w:pPr>
        <w:spacing w:after="0" w:line="11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the three months ended June 30, 2016, we did not repurchase any of common stock shares under our share repurchase program. As of June 30, 2016, there was $93 million remaining in the share repurchase program which expires on March 31, 2017. Under our stock repurchase program, repurchased shares are constructively retired and returned to unissued status. Our stock repurchase program has been funded by our existing cash and cash equivalent balances as well as cash flows provided by our operations.</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 we believe is undervalued.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329"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2332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47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24,047</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21,897</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(9,894)</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(14,737)</w:t>
            </w:r>
          </w:p>
        </w:tc>
      </w:tr>
      <w:tr>
        <w:trPr>
          <w:trHeight w:val="27"/>
        </w:trPr>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3,499</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Effects of exchange rate-changes in cash</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(1,855)</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2,137</w:t>
            </w:r>
          </w:p>
        </w:tc>
      </w:tr>
      <w:tr>
        <w:trPr>
          <w:trHeight w:val="27"/>
        </w:trPr>
        <w:tc>
          <w:tcPr>
            <w:tcW w:w="4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14,140</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12,796</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Net cash provided by operating activities was $24.0 million in the three months ended June 30, 2016 and $21.9 million in the three months ended June 30, 2015. In the three months ended June 30, 2016, cash provided by operating activities was primarily due to net loss adjusted for the impact of non-cash charges, a decrease in accounts receivable due to timing of cash receipts and an increase in deferred revenue. These cash increases were partially offset by a decrease in accrued liabilities. In the three months ended June 30, 2015, cash provided by operating activities was primarily due to net loss adjusted for the impact of non-cash charges, and decreases in accounts receivable due to timing of cash receipts, partially offset by a reduction of accrued expenses.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Net cash used in investing activities was $9.9 million for the three months ended June 30, 2016 and $14.7 million in the three months ended June 30, 2015. In the three months ended June 30, 2016, cash used in investing activities was related to $8.9 million in net purchases of U.S. Treasury Bills and $1.0 million of capital expenditures. In the three months ended June 30, 2015, cash used in investing activities was primarily due to $10.9 million in net purchases of U.S. Treasury Bills, $2.1 million of incremental spending on the Company’s planned corporate campus headquarters, and $1.7 million of capital expenditures.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provided by financing activities was $1.8 million in the three months ended June 30, 2016 and $3.5 million in the three months ended June 30,</w:t>
      </w:r>
    </w:p>
    <w:p>
      <w:pPr>
        <w:spacing w:after="0" w:line="4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2015. The cash provided by financing activities in the three months ended June 30, 2016 was due to $1.6 million of proceeds from the exercise of stock options and $0.3 million of excess tax benefits recognized as a result of the stock option exercises and restricted stock vesting. The net cash provided by financing activities in the three months ended June 30, 2015 was primarily due to $1.8 million of excess tax benefits recognized as a result of the stock option exercises and $1.7 million of proceeds from the exercise of stock options.</w:t>
      </w:r>
    </w:p>
    <w:p>
      <w:pPr>
        <w:spacing w:after="0" w:line="13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Working capital increased $17.7 million from $252.4 million as of March 31, 2016 to $270.1 million as of June 30, 2016. The net increase in working capital is due primarily to a net increase in cash and short-term investments as a result of cash flow generated from operations. We believe that our existing cash, cash equivalents and our cash from operations will be sufficient to meet our anticipated cash needs for working capital, capital expenditures and potential stock repurchases for at least the next 12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including borrowing under our revolving credit facility,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640" w:firstLine="432"/>
        <w:spacing w:after="0" w:line="342" w:lineRule="auto"/>
        <w:rPr>
          <w:sz w:val="20"/>
          <w:szCs w:val="20"/>
          <w:color w:val="auto"/>
        </w:rPr>
      </w:pPr>
      <w:r>
        <w:rPr>
          <w:rFonts w:ascii="Arial" w:cs="Arial" w:eastAsia="Arial" w:hAnsi="Arial"/>
          <w:sz w:val="16"/>
          <w:szCs w:val="16"/>
          <w:color w:val="auto"/>
        </w:rPr>
        <w:t>As of June 30, 2016, other than our operating leases, we do not have off-balance sheet financing arrangements, including any relationships with unconsolidated entities or financial partnerships, such as entities often referred to as structured finance or special purpose entities.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May 2014, the FASB issued ASU No. 2014-09, "Revenue from Contracts with Customers (Topic 606)" (ASU 2014-09) and has since modified the standard with ASU 2015-14, "Deferral of the Effective Date." These standards replace existing revenue recognition rules with a comprehensive revenue measurement and recognition standard and expanded disclosure requirements. The new standard becomes effective for our fiscal 2019 with early adoption permitted in fiscal 2018. We are still in the process of determining the impact of the standard on our financial statements and the timing of our adoption. The FASB allows two adoption methods under the new standard. Under one method, a company will apply the rules to contracts in all reporting periods presented. We currently believe we will apply this method of adoption. While we continue to evaluate the impact of the new standard, we believe the standard may require us to implement new revenue recognition processes, which will change our internal controls over revenue recognition.</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February 2016, the FASB issued ASU 2016-02 “Leases (Topic 842)” (“ASU 2016-02”). Under ASU 2016-02, a lessee will recognize in the balance sheet a liability to make lease payments (the lease liability) and a right-to-use asset representing its right to use the underlying asset for the lease term. The amendments of this ASU are effective for our fiscal 2020, with early adoption permitted. An entity will be required to recognize and measure leases at the beginning of the earliest period presented using a modified retrospective approach. We are currently assessing the impact the adoption of ASU 2016-02 will have on our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March 2016, the FASB issued ASU 2016-09, "Improvements to Employee Share-Based Payment Accounting," which simplifies several aspects of the accounting for employee share-based payment transactions, including the accounting for income taxes, forfeitures, and statutory tax withholding requirements, as well as classification in the statement of cash flows. The Company is required to adopt the new guidance in fiscal 2018 with early adoption permitted. We are currently assessing the impact the adoption of ASU 2016-09 will have on the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June 30, 2016, our cash and cash equivalents and short-term investments consisted primarily of money market funds and U.S. Treasury Bills. Due to the short-term nature of these investments, we are not subject to any material interest rate risk on these balances.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As a global company, we face exposure to adverse movements in foreign currency exchange rates. Our international sales are generally denominated in foreign currencies and this revenue could be materially affected by currency fluctuations. Approximately 44% of our sales were outside the United States for the three months ended June 30, 2016.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2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Loss. We recognized a net foreign currency transaction gain of $0.3 million in the three months ended June 30, 2016. We recognized net foreign currency transaction losses of $0.2 million in the three months ended June 30, 2015. The net foreign currency transaction gains and losses recorded in “General and administrative” expenses include settlement gains and losses on forward contracts disclosed below.</w:t>
      </w:r>
    </w:p>
    <w:p>
      <w:pPr>
        <w:spacing w:after="0" w:line="13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To date, we have selectively hedged our exposure to foreign currency transaction gains and losses on the balance sheet through the use of forward contracts, which were not designated as hedging instruments. The duration of forward contracts utilized for hedging our balance sheet exposure is generally one to three months. Gains and losses from these contracts are recorded in general and administrative expenses. As of June 30, 2016 and March 31, 2016, we did not have any forward contracts outstanding. We recorded net realized gains and losses of less than $0.1 million related to the settlement of forward exchange contracts in the three months ended June 30, 2016 and 2015. In the future, we may enter into additional foreign currency based hedging contracts to reduce our exposure to significant fluctuations in currency exchange rates on the balance sheet.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Our management, with the participation of the Chief Executive Officer and Chief Financial Officer, has evaluated the effectiveness of the our disclosure controls and procedures, as defined in Rules 13a-15(e) and 15d-15(e) of the Securities Exchange Act of 1934, as of June 30, 2016. Based on that evaluation, the Chief Executive Officer and Chief Financial Officer concluded that our disclosure controls and procedures were effective as of June 30, 2016.</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first quarter of fiscal 2016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disclosures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Except as discussed below, we do not believe that we are currently party to any pending legal action that could reasonably be expected to have a material adverse effect on our business or operating results.</w:t>
      </w:r>
    </w:p>
    <w:p>
      <w:pPr>
        <w:spacing w:after="0" w:line="26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September 10, 2014, a purported class action complaint was filed in the United States District Court for the District of New Jersey against the Company, our Chief Executive Officer and our Chief Financial Officer. The case is captioned In re Commvault Systems, Inc. Securities Litigation (Master File No. 3:14-cv-05628-MAS-LHG). The suit alleges that we made materially false and misleading statements, or failed to disclose material facts, regarding our financial results, business, operations and prospects in violation of Sections 10(b) and 20(a) of the Securities Exchange Act of 1934 and Rule 10b-5 promulgated thereunder. The suit asserts claims covering an alleged class period from May 7, 2013 through April 24, 2014. It is purportedly brought on behalf of purchasers of our common stock during that period, and seeks compensatory damages, costs and expenses, as well as equitable or other relief. Lead plaintiff, the Arkansas Teachers Retirement System, was appointed on January 12, 2015, and on March 18, 2015, an amended complaint was filed by the plaintiffs. On December 17, 2015, the defendant motion to dismiss the case was granted and the case dismissed; however, the plaintiffs were permitted to re-file their claim, which they did on February 5, 2016. Defendants filed another motion to dismiss on April 5, 2016, which remains pending with the court. Due to the inherent uncertainties of litigation, we cannot accurately predict the ultimate outcome of this matter. We are unable at this time to determine whether the outcome of the litigation will have a material impact on our results of operations, financial condition or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March 31, 2016,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purchases of our common stock during the three months ended June 30, 2016.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list of exhibits filed herewith is included on the Exhibit Index, which immediately precedes such exhibits and is incorporated herein by reference.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00" w:type="dxa"/>
            <w:vAlign w:val="bottom"/>
          </w:tcPr>
          <w:p>
            <w:pPr>
              <w:ind w:left="840"/>
              <w:spacing w:after="0"/>
              <w:rPr>
                <w:sz w:val="20"/>
                <w:szCs w:val="20"/>
                <w:color w:val="auto"/>
              </w:rPr>
            </w:pPr>
            <w:r>
              <w:rPr>
                <w:rFonts w:ascii="Arial" w:cs="Arial" w:eastAsia="Arial" w:hAnsi="Arial"/>
                <w:sz w:val="18"/>
                <w:szCs w:val="18"/>
                <w:color w:val="auto"/>
              </w:rPr>
              <w:t>Commvault Systems, Inc.</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040" w:type="dxa"/>
            <w:vAlign w:val="bottom"/>
          </w:tcPr>
          <w:p>
            <w:pPr>
              <w:ind w:left="220"/>
              <w:spacing w:after="0"/>
              <w:rPr>
                <w:sz w:val="20"/>
                <w:szCs w:val="20"/>
                <w:color w:val="auto"/>
              </w:rPr>
            </w:pPr>
            <w:r>
              <w:rPr>
                <w:rFonts w:ascii="Arial" w:cs="Arial" w:eastAsia="Arial" w:hAnsi="Arial"/>
                <w:sz w:val="18"/>
                <w:szCs w:val="18"/>
                <w:color w:val="auto"/>
              </w:rPr>
              <w:t>July 28, 2016</w:t>
            </w:r>
          </w:p>
        </w:tc>
        <w:tc>
          <w:tcPr>
            <w:tcW w:w="3540" w:type="dxa"/>
            <w:vAlign w:val="bottom"/>
          </w:tcPr>
          <w:p>
            <w:pPr>
              <w:ind w:left="300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N. Robert Hammer</w:t>
            </w:r>
          </w:p>
        </w:tc>
      </w:tr>
      <w:tr>
        <w:trPr>
          <w:trHeight w:val="27"/>
        </w:trPr>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640" w:type="dxa"/>
            <w:vAlign w:val="bottom"/>
            <w:gridSpan w:val="2"/>
          </w:tcPr>
          <w:p>
            <w:pPr>
              <w:ind w:left="3000"/>
              <w:spacing w:after="0"/>
              <w:rPr>
                <w:sz w:val="20"/>
                <w:szCs w:val="20"/>
                <w:color w:val="auto"/>
              </w:rPr>
            </w:pPr>
            <w:r>
              <w:rPr>
                <w:rFonts w:ascii="Arial" w:cs="Arial" w:eastAsia="Arial" w:hAnsi="Arial"/>
                <w:sz w:val="18"/>
                <w:szCs w:val="18"/>
                <w:color w:val="auto"/>
              </w:rPr>
              <w:t>N. Robert Hammer</w:t>
            </w:r>
          </w:p>
        </w:tc>
      </w:tr>
      <w:tr>
        <w:trPr>
          <w:trHeight w:val="269"/>
        </w:trPr>
        <w:tc>
          <w:tcPr>
            <w:tcW w:w="7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7640" w:type="dxa"/>
            <w:vAlign w:val="bottom"/>
            <w:gridSpan w:val="2"/>
          </w:tcPr>
          <w:p>
            <w:pPr>
              <w:ind w:left="3000"/>
              <w:spacing w:after="0"/>
              <w:rPr>
                <w:sz w:val="20"/>
                <w:szCs w:val="20"/>
                <w:color w:val="auto"/>
              </w:rPr>
            </w:pPr>
            <w:r>
              <w:rPr>
                <w:rFonts w:ascii="Arial" w:cs="Arial" w:eastAsia="Arial" w:hAnsi="Arial"/>
                <w:sz w:val="18"/>
                <w:szCs w:val="18"/>
                <w:color w:val="auto"/>
              </w:rPr>
              <w:t>Chairman, President and Chief Executive Officer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040" w:type="dxa"/>
            <w:vAlign w:val="bottom"/>
          </w:tcPr>
          <w:p>
            <w:pPr>
              <w:ind w:left="220"/>
              <w:spacing w:after="0"/>
              <w:rPr>
                <w:sz w:val="20"/>
                <w:szCs w:val="20"/>
                <w:color w:val="auto"/>
              </w:rPr>
            </w:pPr>
            <w:r>
              <w:rPr>
                <w:rFonts w:ascii="Arial" w:cs="Arial" w:eastAsia="Arial" w:hAnsi="Arial"/>
                <w:sz w:val="18"/>
                <w:szCs w:val="18"/>
                <w:color w:val="auto"/>
              </w:rPr>
              <w:t>July 28, 2016</w:t>
            </w:r>
          </w:p>
        </w:tc>
        <w:tc>
          <w:tcPr>
            <w:tcW w:w="3540" w:type="dxa"/>
            <w:vAlign w:val="bottom"/>
          </w:tcPr>
          <w:p>
            <w:pPr>
              <w:ind w:left="300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Brian Carolan</w:t>
            </w:r>
          </w:p>
        </w:tc>
      </w:tr>
      <w:tr>
        <w:trPr>
          <w:trHeight w:val="27"/>
        </w:trPr>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64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540" w:type="dxa"/>
            <w:vAlign w:val="bottom"/>
          </w:tcPr>
          <w:p>
            <w:pPr>
              <w:ind w:left="3000"/>
              <w:spacing w:after="0"/>
              <w:rPr>
                <w:sz w:val="20"/>
                <w:szCs w:val="20"/>
                <w:color w:val="auto"/>
              </w:rPr>
            </w:pPr>
            <w:r>
              <w:rPr>
                <w:rFonts w:ascii="Arial" w:cs="Arial" w:eastAsia="Arial" w:hAnsi="Arial"/>
                <w:sz w:val="18"/>
                <w:szCs w:val="18"/>
                <w:color w:val="auto"/>
              </w:rPr>
              <w:t>Brian</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Carolan</w:t>
            </w:r>
          </w:p>
        </w:tc>
      </w:tr>
      <w:tr>
        <w:trPr>
          <w:trHeight w:val="269"/>
        </w:trPr>
        <w:tc>
          <w:tcPr>
            <w:tcW w:w="7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7640" w:type="dxa"/>
            <w:vAlign w:val="bottom"/>
            <w:gridSpan w:val="2"/>
          </w:tcPr>
          <w:p>
            <w:pPr>
              <w:ind w:left="3000"/>
              <w:spacing w:after="0"/>
              <w:rPr>
                <w:sz w:val="20"/>
                <w:szCs w:val="20"/>
                <w:color w:val="auto"/>
              </w:rPr>
            </w:pPr>
            <w:r>
              <w:rPr>
                <w:rFonts w:ascii="Arial" w:cs="Arial" w:eastAsia="Arial" w:hAnsi="Arial"/>
                <w:sz w:val="18"/>
                <w:szCs w:val="18"/>
                <w:color w:val="auto"/>
              </w:rPr>
              <w:t>Vice President and Chief Financial Officer</w:t>
            </w:r>
          </w:p>
        </w:tc>
      </w:tr>
      <w:tr>
        <w:trPr>
          <w:trHeight w:val="486"/>
        </w:trPr>
        <w:tc>
          <w:tcPr>
            <w:tcW w:w="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40" w:type="dxa"/>
            <w:vAlign w:val="bottom"/>
          </w:tcPr>
          <w:p>
            <w:pPr>
              <w:ind w:left="1840"/>
              <w:spacing w:after="0"/>
              <w:rPr>
                <w:sz w:val="20"/>
                <w:szCs w:val="20"/>
                <w:color w:val="auto"/>
              </w:rPr>
            </w:pPr>
            <w:r>
              <w:rPr>
                <w:rFonts w:ascii="Arial" w:cs="Arial" w:eastAsia="Arial" w:hAnsi="Arial"/>
                <w:sz w:val="18"/>
                <w:szCs w:val="18"/>
                <w:color w:val="auto"/>
              </w:rPr>
              <w:t>26</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7220" w:type="dxa"/>
            <w:vAlign w:val="bottom"/>
            <w:gridSpan w:val="3"/>
          </w:tcPr>
          <w:p>
            <w:pPr>
              <w:ind w:left="39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50"/>
        </w:trPr>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44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0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080" w:type="dxa"/>
            <w:vAlign w:val="bottom"/>
          </w:tcPr>
          <w:p>
            <w:pPr>
              <w:ind w:left="440"/>
              <w:spacing w:after="0" w:line="158" w:lineRule="exact"/>
              <w:rPr>
                <w:sz w:val="20"/>
                <w:szCs w:val="20"/>
                <w:color w:val="auto"/>
              </w:rPr>
            </w:pPr>
            <w:r>
              <w:rPr>
                <w:rFonts w:ascii="Arial" w:cs="Arial" w:eastAsia="Arial" w:hAnsi="Arial"/>
                <w:sz w:val="14"/>
                <w:szCs w:val="14"/>
                <w:b w:val="1"/>
                <w:bCs w:val="1"/>
                <w:color w:val="auto"/>
              </w:rPr>
              <w:t>No.</w:t>
            </w:r>
          </w:p>
        </w:tc>
        <w:tc>
          <w:tcPr>
            <w:tcW w:w="442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80" w:type="dxa"/>
            <w:vAlign w:val="bottom"/>
            <w:tcBorders>
              <w:bottom w:val="single" w:sz="8" w:color="auto"/>
            </w:tcBorders>
          </w:tcPr>
          <w:p>
            <w:pPr>
              <w:spacing w:after="0" w:line="20" w:lineRule="exact"/>
              <w:rPr>
                <w:sz w:val="1"/>
                <w:szCs w:val="1"/>
                <w:color w:val="auto"/>
              </w:rPr>
            </w:pPr>
          </w:p>
        </w:tc>
        <w:tc>
          <w:tcPr>
            <w:tcW w:w="7220" w:type="dxa"/>
            <w:vAlign w:val="bottom"/>
            <w:gridSpan w:val="3"/>
            <w:vMerge w:val="restart"/>
          </w:tcPr>
          <w:p>
            <w:pPr>
              <w:ind w:left="20"/>
              <w:spacing w:after="0"/>
              <w:rPr>
                <w:sz w:val="20"/>
                <w:szCs w:val="20"/>
                <w:color w:val="auto"/>
              </w:rPr>
            </w:pPr>
            <w:r>
              <w:rPr>
                <w:rFonts w:ascii="Arial" w:cs="Arial" w:eastAsia="Arial" w:hAnsi="Arial"/>
                <w:sz w:val="18"/>
                <w:szCs w:val="18"/>
                <w:color w:val="auto"/>
                <w:w w:val="92"/>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37"/>
        </w:trPr>
        <w:tc>
          <w:tcPr>
            <w:tcW w:w="1080" w:type="dxa"/>
            <w:vAlign w:val="bottom"/>
          </w:tcPr>
          <w:p>
            <w:pPr>
              <w:ind w:left="180"/>
              <w:spacing w:after="0"/>
              <w:rPr>
                <w:sz w:val="20"/>
                <w:szCs w:val="20"/>
                <w:color w:val="auto"/>
              </w:rPr>
            </w:pPr>
            <w:r>
              <w:rPr>
                <w:rFonts w:ascii="Arial" w:cs="Arial" w:eastAsia="Arial" w:hAnsi="Arial"/>
                <w:sz w:val="18"/>
                <w:szCs w:val="18"/>
                <w:color w:val="auto"/>
              </w:rPr>
              <w:t>31.1</w:t>
            </w:r>
          </w:p>
        </w:tc>
        <w:tc>
          <w:tcPr>
            <w:tcW w:w="72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80" w:type="dxa"/>
            <w:vAlign w:val="bottom"/>
          </w:tcPr>
          <w:p>
            <w:pPr>
              <w:ind w:left="180"/>
              <w:spacing w:after="0"/>
              <w:rPr>
                <w:sz w:val="20"/>
                <w:szCs w:val="20"/>
                <w:color w:val="auto"/>
              </w:rPr>
            </w:pPr>
            <w:r>
              <w:rPr>
                <w:rFonts w:ascii="Arial" w:cs="Arial" w:eastAsia="Arial" w:hAnsi="Arial"/>
                <w:sz w:val="18"/>
                <w:szCs w:val="18"/>
                <w:color w:val="auto"/>
              </w:rPr>
              <w:t>31.2</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70"/>
        </w:trPr>
        <w:tc>
          <w:tcPr>
            <w:tcW w:w="1080" w:type="dxa"/>
            <w:vAlign w:val="bottom"/>
          </w:tcPr>
          <w:p>
            <w:pPr>
              <w:ind w:left="180"/>
              <w:spacing w:after="0"/>
              <w:rPr>
                <w:sz w:val="20"/>
                <w:szCs w:val="20"/>
                <w:color w:val="auto"/>
              </w:rPr>
            </w:pPr>
            <w:r>
              <w:rPr>
                <w:rFonts w:ascii="Arial" w:cs="Arial" w:eastAsia="Arial" w:hAnsi="Arial"/>
                <w:sz w:val="18"/>
                <w:szCs w:val="18"/>
                <w:color w:val="auto"/>
              </w:rPr>
              <w:t>32.1</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70"/>
        </w:trPr>
        <w:tc>
          <w:tcPr>
            <w:tcW w:w="1080" w:type="dxa"/>
            <w:vAlign w:val="bottom"/>
          </w:tcPr>
          <w:p>
            <w:pPr>
              <w:ind w:left="180"/>
              <w:spacing w:after="0"/>
              <w:rPr>
                <w:sz w:val="20"/>
                <w:szCs w:val="20"/>
                <w:color w:val="auto"/>
              </w:rPr>
            </w:pPr>
            <w:r>
              <w:rPr>
                <w:rFonts w:ascii="Arial" w:cs="Arial" w:eastAsia="Arial" w:hAnsi="Arial"/>
                <w:sz w:val="18"/>
                <w:szCs w:val="18"/>
                <w:color w:val="auto"/>
              </w:rPr>
              <w:t>32.2</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101.INS</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101.SCH</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101.CAL</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101.DEF</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101.LAB</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101.PRE</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1080" w:type="dxa"/>
            <w:vAlign w:val="bottom"/>
          </w:tcPr>
          <w:p>
            <w:pPr>
              <w:spacing w:after="0"/>
              <w:rPr>
                <w:sz w:val="24"/>
                <w:szCs w:val="24"/>
                <w:color w:val="auto"/>
              </w:rPr>
            </w:pPr>
          </w:p>
        </w:tc>
        <w:tc>
          <w:tcPr>
            <w:tcW w:w="5140" w:type="dxa"/>
            <w:vAlign w:val="bottom"/>
            <w:gridSpan w:val="2"/>
          </w:tcPr>
          <w:p>
            <w:pPr>
              <w:ind w:left="4540"/>
              <w:spacing w:after="0"/>
              <w:rPr>
                <w:sz w:val="20"/>
                <w:szCs w:val="20"/>
                <w:color w:val="auto"/>
              </w:rPr>
            </w:pPr>
            <w:r>
              <w:rPr>
                <w:rFonts w:ascii="Arial" w:cs="Arial" w:eastAsia="Arial" w:hAnsi="Arial"/>
                <w:sz w:val="18"/>
                <w:szCs w:val="18"/>
                <w:color w:val="auto"/>
              </w:rPr>
              <w:t>27</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 Robert Hammer,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2016</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2016</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June 30, 2016 as filed with the Securities and Exchange Commission (the “Report”), I, N. Robert Hammer, Chairman, President and Chief Executive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July 28, 2016</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June 30, 2016 as filed with the Securities and Exchange Commission (the “Report”), I, Brian Carolan, Vice President and Chief Financial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July 28,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Roman"/>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2019-12-29T10:32:05Z</dcterms:created>
  <dcterms:modified xsi:type="dcterms:W3CDTF">2019-12-29T10:32:05Z</dcterms:modified>
</cp:coreProperties>
</file>