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346075</wp:posOffset>
            </wp:positionH>
            <wp:positionV relativeFrom="page">
              <wp:posOffset>337820</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354965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PURSUANT TO SECTION 13 OR 15(d)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2019</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180340</wp:posOffset>
            </wp:positionV>
            <wp:extent cx="301879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879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60" w:type="dxa"/>
            <w:vAlign w:val="bottom"/>
          </w:tcPr>
          <w:p>
            <w:pPr>
              <w:jc w:val="center"/>
              <w:ind w:left="1121"/>
              <w:spacing w:after="0"/>
              <w:rPr>
                <w:sz w:val="20"/>
                <w:szCs w:val="20"/>
                <w:color w:val="auto"/>
              </w:rPr>
            </w:pPr>
            <w:r>
              <w:rPr>
                <w:rFonts w:ascii="Arial" w:cs="Arial" w:eastAsia="Arial" w:hAnsi="Arial"/>
                <w:sz w:val="22"/>
                <w:szCs w:val="22"/>
                <w:b w:val="1"/>
                <w:bCs w:val="1"/>
                <w:color w:val="auto"/>
                <w:w w:val="88"/>
              </w:rPr>
              <w:t>Commvault Systems, Inc.</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15"/>
                <w:szCs w:val="15"/>
                <w:color w:val="auto"/>
              </w:rPr>
            </w:pPr>
          </w:p>
        </w:tc>
        <w:tc>
          <w:tcPr>
            <w:tcW w:w="4180" w:type="dxa"/>
            <w:vAlign w:val="bottom"/>
            <w:gridSpan w:val="2"/>
          </w:tcPr>
          <w:p>
            <w:pPr>
              <w:jc w:val="center"/>
              <w:ind w:left="481"/>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5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900" w:type="dxa"/>
            <w:vAlign w:val="bottom"/>
            <w:gridSpan w:val="2"/>
          </w:tcPr>
          <w:p>
            <w:pPr>
              <w:jc w:val="center"/>
              <w:ind w:right="1481"/>
              <w:spacing w:after="0"/>
              <w:rPr>
                <w:sz w:val="20"/>
                <w:szCs w:val="20"/>
                <w:color w:val="auto"/>
              </w:rPr>
            </w:pPr>
            <w:r>
              <w:rPr>
                <w:rFonts w:ascii="Arial" w:cs="Arial" w:eastAsia="Arial" w:hAnsi="Arial"/>
                <w:sz w:val="14"/>
                <w:szCs w:val="14"/>
                <w:b w:val="1"/>
                <w:bCs w:val="1"/>
                <w:color w:val="auto"/>
                <w:w w:val="94"/>
              </w:rPr>
              <w:t>Delaware</w:t>
            </w:r>
          </w:p>
        </w:tc>
        <w:tc>
          <w:tcPr>
            <w:tcW w:w="620" w:type="dxa"/>
            <w:vAlign w:val="bottom"/>
          </w:tcPr>
          <w:p>
            <w:pPr>
              <w:spacing w:after="0"/>
              <w:rPr>
                <w:sz w:val="24"/>
                <w:szCs w:val="24"/>
                <w:color w:val="auto"/>
              </w:rPr>
            </w:pPr>
          </w:p>
        </w:tc>
        <w:tc>
          <w:tcPr>
            <w:tcW w:w="330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rPr>
              <w:t>22-3447504</w:t>
            </w:r>
          </w:p>
        </w:tc>
        <w:tc>
          <w:tcPr>
            <w:tcW w:w="0" w:type="dxa"/>
            <w:vAlign w:val="bottom"/>
          </w:tcPr>
          <w:p>
            <w:pPr>
              <w:spacing w:after="0"/>
              <w:rPr>
                <w:sz w:val="1"/>
                <w:szCs w:val="1"/>
                <w:color w:val="auto"/>
              </w:rPr>
            </w:pPr>
          </w:p>
        </w:tc>
      </w:tr>
      <w:tr>
        <w:trPr>
          <w:trHeight w:val="169"/>
        </w:trPr>
        <w:tc>
          <w:tcPr>
            <w:tcW w:w="6900" w:type="dxa"/>
            <w:vAlign w:val="bottom"/>
            <w:gridSpan w:val="2"/>
          </w:tcPr>
          <w:p>
            <w:pPr>
              <w:jc w:val="center"/>
              <w:ind w:right="1501"/>
              <w:spacing w:after="0"/>
              <w:rPr>
                <w:sz w:val="20"/>
                <w:szCs w:val="20"/>
                <w:color w:val="auto"/>
              </w:rPr>
            </w:pPr>
            <w:r>
              <w:rPr>
                <w:rFonts w:ascii="Arial" w:cs="Arial" w:eastAsia="Arial" w:hAnsi="Arial"/>
                <w:sz w:val="14"/>
                <w:szCs w:val="14"/>
                <w:i w:val="1"/>
                <w:iCs w:val="1"/>
                <w:color w:val="auto"/>
                <w:w w:val="95"/>
              </w:rPr>
              <w:t>(State or other jurisdiction of</w:t>
            </w:r>
          </w:p>
        </w:tc>
        <w:tc>
          <w:tcPr>
            <w:tcW w:w="620" w:type="dxa"/>
            <w:vAlign w:val="bottom"/>
          </w:tcPr>
          <w:p>
            <w:pPr>
              <w:spacing w:after="0"/>
              <w:rPr>
                <w:sz w:val="14"/>
                <w:szCs w:val="14"/>
                <w:color w:val="auto"/>
              </w:rPr>
            </w:pPr>
          </w:p>
        </w:tc>
        <w:tc>
          <w:tcPr>
            <w:tcW w:w="3300" w:type="dxa"/>
            <w:vAlign w:val="bottom"/>
            <w:gridSpan w:val="2"/>
          </w:tcPr>
          <w:p>
            <w:pPr>
              <w:jc w:val="center"/>
              <w:ind w:right="1860"/>
              <w:spacing w:after="0"/>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6900" w:type="dxa"/>
            <w:vAlign w:val="bottom"/>
            <w:gridSpan w:val="2"/>
          </w:tcPr>
          <w:p>
            <w:pPr>
              <w:jc w:val="center"/>
              <w:ind w:right="1481"/>
              <w:spacing w:after="0"/>
              <w:rPr>
                <w:sz w:val="20"/>
                <w:szCs w:val="20"/>
                <w:color w:val="auto"/>
              </w:rPr>
            </w:pPr>
            <w:r>
              <w:rPr>
                <w:rFonts w:ascii="Arial" w:cs="Arial" w:eastAsia="Arial" w:hAnsi="Arial"/>
                <w:sz w:val="14"/>
                <w:szCs w:val="14"/>
                <w:i w:val="1"/>
                <w:iCs w:val="1"/>
                <w:color w:val="auto"/>
                <w:w w:val="97"/>
              </w:rPr>
              <w:t>incorporation or organization)</w:t>
            </w:r>
          </w:p>
        </w:tc>
        <w:tc>
          <w:tcPr>
            <w:tcW w:w="620" w:type="dxa"/>
            <w:vAlign w:val="bottom"/>
          </w:tcPr>
          <w:p>
            <w:pPr>
              <w:spacing w:after="0"/>
              <w:rPr>
                <w:sz w:val="15"/>
                <w:szCs w:val="15"/>
                <w:color w:val="auto"/>
              </w:rPr>
            </w:pPr>
          </w:p>
        </w:tc>
        <w:tc>
          <w:tcPr>
            <w:tcW w:w="3300" w:type="dxa"/>
            <w:vAlign w:val="bottom"/>
            <w:gridSpan w:val="2"/>
          </w:tcPr>
          <w:p>
            <w:pPr>
              <w:jc w:val="center"/>
              <w:ind w:right="188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6900" w:type="dxa"/>
            <w:vAlign w:val="bottom"/>
            <w:gridSpan w:val="2"/>
          </w:tcPr>
          <w:p>
            <w:pPr>
              <w:jc w:val="center"/>
              <w:ind w:right="1501"/>
              <w:spacing w:after="0"/>
              <w:rPr>
                <w:sz w:val="20"/>
                <w:szCs w:val="20"/>
                <w:color w:val="auto"/>
              </w:rPr>
            </w:pPr>
            <w:r>
              <w:rPr>
                <w:rFonts w:ascii="Arial" w:cs="Arial" w:eastAsia="Arial" w:hAnsi="Arial"/>
                <w:sz w:val="14"/>
                <w:szCs w:val="14"/>
                <w:b w:val="1"/>
                <w:bCs w:val="1"/>
                <w:color w:val="auto"/>
                <w:w w:val="96"/>
              </w:rPr>
              <w:t>1 Commvault Way</w:t>
            </w:r>
          </w:p>
        </w:tc>
        <w:tc>
          <w:tcPr>
            <w:tcW w:w="620" w:type="dxa"/>
            <w:vAlign w:val="bottom"/>
          </w:tcPr>
          <w:p>
            <w:pPr>
              <w:spacing w:after="0"/>
              <w:rPr>
                <w:sz w:val="14"/>
                <w:szCs w:val="14"/>
                <w:color w:val="auto"/>
              </w:rPr>
            </w:pPr>
          </w:p>
        </w:tc>
        <w:tc>
          <w:tcPr>
            <w:tcW w:w="3300" w:type="dxa"/>
            <w:vAlign w:val="bottom"/>
            <w:gridSpan w:val="2"/>
            <w:vMerge w:val="restart"/>
          </w:tcPr>
          <w:p>
            <w:pPr>
              <w:jc w:val="right"/>
              <w:ind w:right="2400"/>
              <w:spacing w:after="0"/>
              <w:rPr>
                <w:sz w:val="20"/>
                <w:szCs w:val="20"/>
                <w:color w:val="auto"/>
              </w:rPr>
            </w:pPr>
            <w:r>
              <w:rPr>
                <w:rFonts w:ascii="Arial" w:cs="Arial" w:eastAsia="Arial" w:hAnsi="Arial"/>
                <w:sz w:val="14"/>
                <w:szCs w:val="14"/>
                <w:b w:val="1"/>
                <w:bCs w:val="1"/>
                <w:color w:val="auto"/>
              </w:rPr>
              <w:t>07724</w:t>
            </w:r>
          </w:p>
        </w:tc>
        <w:tc>
          <w:tcPr>
            <w:tcW w:w="0" w:type="dxa"/>
            <w:vAlign w:val="bottom"/>
          </w:tcPr>
          <w:p>
            <w:pPr>
              <w:spacing w:after="0"/>
              <w:rPr>
                <w:sz w:val="1"/>
                <w:szCs w:val="1"/>
                <w:color w:val="auto"/>
              </w:rPr>
            </w:pPr>
          </w:p>
        </w:tc>
      </w:tr>
      <w:tr>
        <w:trPr>
          <w:trHeight w:val="186"/>
        </w:trPr>
        <w:tc>
          <w:tcPr>
            <w:tcW w:w="6900" w:type="dxa"/>
            <w:vAlign w:val="bottom"/>
            <w:gridSpan w:val="2"/>
          </w:tcPr>
          <w:p>
            <w:pPr>
              <w:jc w:val="center"/>
              <w:ind w:right="1501"/>
              <w:spacing w:after="0"/>
              <w:rPr>
                <w:sz w:val="20"/>
                <w:szCs w:val="20"/>
                <w:color w:val="auto"/>
              </w:rPr>
            </w:pPr>
            <w:r>
              <w:rPr>
                <w:rFonts w:ascii="Arial" w:cs="Arial" w:eastAsia="Arial" w:hAnsi="Arial"/>
                <w:sz w:val="14"/>
                <w:szCs w:val="14"/>
                <w:b w:val="1"/>
                <w:bCs w:val="1"/>
                <w:color w:val="auto"/>
                <w:w w:val="92"/>
              </w:rPr>
              <w:t>Tinton Falls, New Jersey</w:t>
            </w:r>
          </w:p>
        </w:tc>
        <w:tc>
          <w:tcPr>
            <w:tcW w:w="6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jc w:val="center"/>
              <w:ind w:right="1501"/>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620" w:type="dxa"/>
            <w:vAlign w:val="bottom"/>
          </w:tcPr>
          <w:p>
            <w:pPr>
              <w:spacing w:after="0"/>
              <w:rPr>
                <w:sz w:val="17"/>
                <w:szCs w:val="17"/>
                <w:color w:val="auto"/>
              </w:rPr>
            </w:pPr>
          </w:p>
        </w:tc>
        <w:tc>
          <w:tcPr>
            <w:tcW w:w="3300" w:type="dxa"/>
            <w:vAlign w:val="bottom"/>
            <w:gridSpan w:val="2"/>
          </w:tcPr>
          <w:p>
            <w:pPr>
              <w:jc w:val="center"/>
              <w:ind w:right="1880"/>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367"/>
        </w:trPr>
        <w:tc>
          <w:tcPr>
            <w:tcW w:w="6900" w:type="dxa"/>
            <w:vAlign w:val="bottom"/>
            <w:gridSpan w:val="2"/>
          </w:tcPr>
          <w:p>
            <w:pPr>
              <w:jc w:val="center"/>
              <w:ind w:left="4448"/>
              <w:spacing w:after="0"/>
              <w:rPr>
                <w:sz w:val="20"/>
                <w:szCs w:val="20"/>
                <w:color w:val="auto"/>
              </w:rPr>
            </w:pPr>
            <w:r>
              <w:rPr>
                <w:rFonts w:ascii="Arial" w:cs="Arial" w:eastAsia="Arial" w:hAnsi="Arial"/>
                <w:sz w:val="14"/>
                <w:szCs w:val="14"/>
                <w:b w:val="1"/>
                <w:bCs w:val="1"/>
                <w:color w:val="auto"/>
                <w:w w:val="93"/>
              </w:rPr>
              <w:t>(732) 870-4000</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8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340" w:type="dxa"/>
            <w:vAlign w:val="bottom"/>
          </w:tcPr>
          <w:p>
            <w:pPr>
              <w:spacing w:after="0"/>
              <w:rPr>
                <w:sz w:val="22"/>
                <w:szCs w:val="22"/>
                <w:color w:val="auto"/>
              </w:rPr>
            </w:pPr>
          </w:p>
        </w:tc>
        <w:tc>
          <w:tcPr>
            <w:tcW w:w="4760" w:type="dxa"/>
            <w:vAlign w:val="bottom"/>
            <w:tcBorders>
              <w:bottom w:val="single" w:sz="8" w:color="auto"/>
            </w:tcBorders>
            <w:gridSpan w:val="3"/>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7480" w:type="dxa"/>
            <w:vAlign w:val="bottom"/>
            <w:gridSpan w:val="4"/>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 None</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4180" w:type="dxa"/>
            <w:vAlign w:val="bottom"/>
            <w:gridSpan w:val="2"/>
          </w:tcPr>
          <w:p>
            <w:pPr>
              <w:jc w:val="center"/>
              <w:ind w:left="501"/>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6900" w:type="dxa"/>
            <w:vAlign w:val="bottom"/>
            <w:gridSpan w:val="2"/>
          </w:tcPr>
          <w:p>
            <w:pPr>
              <w:jc w:val="center"/>
              <w:ind w:right="1381"/>
              <w:spacing w:after="0"/>
              <w:rPr>
                <w:sz w:val="20"/>
                <w:szCs w:val="20"/>
                <w:color w:val="auto"/>
              </w:rPr>
            </w:pPr>
            <w:r>
              <w:rPr>
                <w:rFonts w:ascii="Arial" w:cs="Arial" w:eastAsia="Arial" w:hAnsi="Arial"/>
                <w:sz w:val="14"/>
                <w:szCs w:val="14"/>
                <w:b w:val="1"/>
                <w:bCs w:val="1"/>
                <w:color w:val="auto"/>
                <w:w w:val="89"/>
              </w:rPr>
              <w:t>Title of each class</w:t>
            </w:r>
          </w:p>
        </w:tc>
        <w:tc>
          <w:tcPr>
            <w:tcW w:w="39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9"/>
        </w:trPr>
        <w:tc>
          <w:tcPr>
            <w:tcW w:w="6900" w:type="dxa"/>
            <w:vAlign w:val="bottom"/>
            <w:gridSpan w:val="2"/>
            <w:shd w:val="clear" w:color="auto" w:fill="CCEEFF"/>
          </w:tcPr>
          <w:p>
            <w:pPr>
              <w:jc w:val="center"/>
              <w:ind w:right="1401"/>
              <w:spacing w:after="0"/>
              <w:rPr>
                <w:sz w:val="20"/>
                <w:szCs w:val="20"/>
                <w:color w:val="auto"/>
              </w:rPr>
            </w:pPr>
            <w:r>
              <w:rPr>
                <w:rFonts w:ascii="Arial" w:cs="Arial" w:eastAsia="Arial" w:hAnsi="Arial"/>
                <w:sz w:val="14"/>
                <w:szCs w:val="14"/>
                <w:color w:val="auto"/>
                <w:w w:val="92"/>
              </w:rPr>
              <w:t>Common Stock, $0.01 par value</w:t>
            </w:r>
          </w:p>
        </w:tc>
        <w:tc>
          <w:tcPr>
            <w:tcW w:w="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540"/>
              <w:spacing w:after="0"/>
              <w:rPr>
                <w:sz w:val="20"/>
                <w:szCs w:val="20"/>
                <w:color w:val="auto"/>
              </w:rPr>
            </w:pPr>
            <w:r>
              <w:rPr>
                <w:rFonts w:ascii="Arial" w:cs="Arial" w:eastAsia="Arial" w:hAnsi="Arial"/>
                <w:sz w:val="14"/>
                <w:szCs w:val="14"/>
                <w:color w:val="auto"/>
                <w:w w:val="97"/>
              </w:rPr>
              <w:t>The NASDAQ Stock Market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6900" w:type="dxa"/>
            <w:vAlign w:val="bottom"/>
            <w:gridSpan w:val="2"/>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6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2"/>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2"/>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6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00" w:type="dxa"/>
            <w:vAlign w:val="bottom"/>
            <w:gridSpan w:val="2"/>
          </w:tcPr>
          <w:p>
            <w:pPr>
              <w:ind w:left="2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100" w:firstLine="648"/>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“emerging growth company” in rule 12b-2 of the Exchange Act.</w:t>
      </w:r>
    </w:p>
    <w:p>
      <w:pPr>
        <w:spacing w:after="0" w:line="106" w:lineRule="exact"/>
        <w:rPr>
          <w:sz w:val="24"/>
          <w:szCs w:val="24"/>
          <w:color w:val="auto"/>
        </w:rPr>
      </w:pPr>
    </w:p>
    <w:p>
      <w:pPr>
        <w:ind w:left="780" w:right="940" w:firstLine="109"/>
        <w:spacing w:after="0" w:line="213"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o Non-accelerated filer o Smaller reporting company o Emerging growth company o</w:t>
      </w:r>
    </w:p>
    <w:p>
      <w:pPr>
        <w:spacing w:after="0" w:line="328" w:lineRule="exact"/>
        <w:rPr>
          <w:sz w:val="24"/>
          <w:szCs w:val="24"/>
          <w:color w:val="auto"/>
        </w:rPr>
      </w:pPr>
    </w:p>
    <w:p>
      <w:pPr>
        <w:ind w:right="60" w:firstLine="648"/>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 o</w:t>
      </w:r>
    </w:p>
    <w:p>
      <w:pPr>
        <w:spacing w:after="0" w:line="1" w:lineRule="exact"/>
        <w:rPr>
          <w:sz w:val="24"/>
          <w:szCs w:val="24"/>
          <w:color w:val="auto"/>
        </w:rPr>
      </w:pPr>
    </w:p>
    <w:p>
      <w:pPr>
        <w:spacing w:after="0" w:line="161" w:lineRule="exact"/>
        <w:tabs>
          <w:tab w:leader="none" w:pos="6660" w:val="left"/>
          <w:tab w:leader="none" w:pos="73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20" w:firstLine="648"/>
        <w:spacing w:after="0" w:line="273" w:lineRule="auto"/>
        <w:rPr>
          <w:sz w:val="20"/>
          <w:szCs w:val="20"/>
          <w:color w:val="auto"/>
        </w:rPr>
      </w:pPr>
      <w:r>
        <w:rPr>
          <w:rFonts w:ascii="Arial" w:cs="Arial" w:eastAsia="Arial" w:hAnsi="Arial"/>
          <w:sz w:val="14"/>
          <w:szCs w:val="14"/>
          <w:color w:val="auto"/>
        </w:rPr>
        <w:t>As of September 30, 2018, the last business day of the Registrant’s most recently completed second fiscal quarter; the aggregate market value of voting and non-voting common stock held by non-affiliates of the registrant (based upon the closing price of the common stock as reported by The NASDAQ Stock Market) was approximately $3.0 billion.</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May 1, 2019, there were 45,679,184 shares of the registrant’s common stock ($0.01 par value) outstanding.</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648"/>
        <w:spacing w:after="0" w:line="257" w:lineRule="auto"/>
        <w:rPr>
          <w:sz w:val="20"/>
          <w:szCs w:val="20"/>
          <w:color w:val="auto"/>
        </w:rPr>
      </w:pPr>
      <w:r>
        <w:rPr>
          <w:rFonts w:ascii="Arial" w:cs="Arial" w:eastAsia="Arial" w:hAnsi="Arial"/>
          <w:sz w:val="14"/>
          <w:szCs w:val="14"/>
          <w:color w:val="auto"/>
        </w:rPr>
        <w:t>Information required by Part III (Items 10, 11, 12, 13 and 14) is incorporated by reference to portions of the registrant’s definitive Proxy Statement for its 2019 Annual Meeting of Stockholders (the “Proxy Statement”), which is expected to be filed not later than 120 days after the registrant’s fiscal year ended March 31, 2019. Except as expressly incorporated by reference, the Proxy Statement shall not be deemed to be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189230</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206375</wp:posOffset>
            </wp:positionV>
            <wp:extent cx="6869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9"/>
              </w:rPr>
              <w:t>COMMVAULT SYSTEMS, INC.</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60" w:type="dxa"/>
            <w:vAlign w:val="bottom"/>
            <w:gridSpan w:val="7"/>
          </w:tcPr>
          <w:p>
            <w:pPr>
              <w:jc w:val="center"/>
              <w:ind w:right="4260"/>
              <w:spacing w:after="0"/>
              <w:rPr>
                <w:sz w:val="20"/>
                <w:szCs w:val="20"/>
                <w:color w:val="auto"/>
              </w:rPr>
            </w:pPr>
            <w:r>
              <w:rPr>
                <w:rFonts w:ascii="Arial" w:cs="Arial" w:eastAsia="Arial" w:hAnsi="Arial"/>
                <w:sz w:val="18"/>
                <w:szCs w:val="18"/>
                <w:b w:val="1"/>
                <w:bCs w:val="1"/>
                <w:color w:val="auto"/>
              </w:rPr>
              <w:t>FORM 10-K</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8"/>
              </w:rPr>
              <w:t>FISCAL YEAR ENDED MARCH 31, 2019</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8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60" w:type="dxa"/>
            <w:vAlign w:val="bottom"/>
            <w:gridSpan w:val="6"/>
          </w:tcPr>
          <w:p>
            <w:pPr>
              <w:jc w:val="center"/>
              <w:ind w:right="4300"/>
              <w:spacing w:after="0"/>
              <w:rPr>
                <w:sz w:val="20"/>
                <w:szCs w:val="20"/>
                <w:color w:val="auto"/>
              </w:rPr>
            </w:pPr>
            <w:r>
              <w:rPr>
                <w:rFonts w:ascii="Arial" w:cs="Arial" w:eastAsia="Arial" w:hAnsi="Arial"/>
                <w:sz w:val="18"/>
                <w:szCs w:val="18"/>
                <w:b w:val="1"/>
                <w:bCs w:val="1"/>
                <w:color w:val="auto"/>
                <w:w w:val="98"/>
              </w:rPr>
              <w:t>PART I</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Borders>
              <w:bottom w:val="single" w:sz="8" w:color="0000EE"/>
            </w:tcBorders>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Business</w:t>
              </w:r>
            </w:hyperlink>
          </w:p>
        </w:tc>
        <w:tc>
          <w:tcPr>
            <w:tcW w:w="8800" w:type="dxa"/>
            <w:vAlign w:val="bottom"/>
            <w:gridSpan w:val="18"/>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12">
              <w:r>
                <w:rPr>
                  <w:rFonts w:ascii="Arial" w:cs="Arial" w:eastAsia="Arial" w:hAnsi="Arial"/>
                  <w:sz w:val="18"/>
                  <w:szCs w:val="18"/>
                  <w:color w:val="0000EE"/>
                  <w:w w:val="81"/>
                </w:rPr>
                <w:t>Risk Factors</w:t>
              </w:r>
            </w:hyperlink>
          </w:p>
        </w:tc>
        <w:tc>
          <w:tcPr>
            <w:tcW w:w="8540" w:type="dxa"/>
            <w:vAlign w:val="bottom"/>
            <w:gridSpan w:val="1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93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198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7400" w:type="dxa"/>
            <w:vAlign w:val="bottom"/>
            <w:gridSpan w:val="10"/>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w w:val="99"/>
              </w:rPr>
              <w:t>PART 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18"/>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Market for Registrant’s Common Equity, Related Stockholder Matters and Issuer Purchases of Equity Securities</w:t>
              </w:r>
            </w:hyperlink>
          </w:p>
        </w:tc>
        <w:tc>
          <w:tcPr>
            <w:tcW w:w="1360" w:type="dxa"/>
            <w:vAlign w:val="bottom"/>
          </w:tcPr>
          <w:p>
            <w:pPr>
              <w:spacing w:after="0"/>
              <w:rPr>
                <w:sz w:val="19"/>
                <w:szCs w:val="19"/>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80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360" w:type="dxa"/>
            <w:vAlign w:val="bottom"/>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5"/>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640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8.</w:t>
            </w:r>
          </w:p>
        </w:tc>
        <w:tc>
          <w:tcPr>
            <w:tcW w:w="4220" w:type="dxa"/>
            <w:vAlign w:val="bottom"/>
            <w:gridSpan w:val="13"/>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Financial Statements (as adjusted) and Supplementary Data</w:t>
              </w:r>
            </w:hyperlink>
          </w:p>
        </w:tc>
        <w:tc>
          <w:tcPr>
            <w:tcW w:w="5160" w:type="dxa"/>
            <w:vAlign w:val="bottom"/>
            <w:gridSpan w:val="6"/>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9380" w:type="dxa"/>
            <w:vAlign w:val="bottom"/>
            <w:gridSpan w:val="1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9A.</w:t>
            </w:r>
          </w:p>
        </w:tc>
        <w:tc>
          <w:tcPr>
            <w:tcW w:w="642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2960" w:type="dxa"/>
            <w:vAlign w:val="bottom"/>
            <w:gridSpan w:val="3"/>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9B.</w:t>
            </w:r>
          </w:p>
        </w:tc>
        <w:tc>
          <w:tcPr>
            <w:tcW w:w="170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7680" w:type="dxa"/>
            <w:vAlign w:val="bottom"/>
            <w:gridSpan w:val="1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9380" w:type="dxa"/>
            <w:vAlign w:val="bottom"/>
            <w:gridSpan w:val="1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Directors, Executive Officers and Corporate Governance</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1740" w:type="dxa"/>
            <w:vAlign w:val="bottom"/>
            <w:gridSpan w:val="8"/>
          </w:tcPr>
          <w:p>
            <w:pPr>
              <w:spacing w:after="0"/>
              <w:rPr>
                <w:rFonts w:ascii="Arial" w:cs="Arial" w:eastAsia="Arial" w:hAnsi="Arial"/>
                <w:sz w:val="18"/>
                <w:szCs w:val="18"/>
                <w:color w:val="0000EE"/>
                <w:w w:val="86"/>
              </w:rPr>
            </w:pPr>
            <w:hyperlink w:anchor="page69">
              <w:r>
                <w:rPr>
                  <w:rFonts w:ascii="Arial" w:cs="Arial" w:eastAsia="Arial" w:hAnsi="Arial"/>
                  <w:sz w:val="18"/>
                  <w:szCs w:val="18"/>
                  <w:color w:val="0000EE"/>
                  <w:w w:val="86"/>
                </w:rPr>
                <w:t>Executive Compensation</w:t>
              </w:r>
            </w:hyperlink>
          </w:p>
        </w:tc>
        <w:tc>
          <w:tcPr>
            <w:tcW w:w="2280" w:type="dxa"/>
            <w:vAlign w:val="bottom"/>
            <w:gridSpan w:val="4"/>
          </w:tcPr>
          <w:p>
            <w:pPr>
              <w:spacing w:after="0"/>
              <w:rPr>
                <w:sz w:val="21"/>
                <w:szCs w:val="21"/>
                <w:color w:val="auto"/>
              </w:rPr>
            </w:pPr>
          </w:p>
        </w:tc>
        <w:tc>
          <w:tcPr>
            <w:tcW w:w="5360" w:type="dxa"/>
            <w:vAlign w:val="bottom"/>
            <w:gridSpan w:val="7"/>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9380" w:type="dxa"/>
            <w:vAlign w:val="bottom"/>
            <w:gridSpan w:val="1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722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538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91"/>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gridSpan w:val="11"/>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Exhibits and Financial Statement Schedules</w:t>
              </w:r>
            </w:hyperlink>
          </w:p>
        </w:tc>
        <w:tc>
          <w:tcPr>
            <w:tcW w:w="6280" w:type="dxa"/>
            <w:vAlign w:val="bottom"/>
            <w:gridSpan w:val="8"/>
          </w:tcPr>
          <w:p>
            <w:pPr>
              <w:spacing w:after="0"/>
              <w:rPr>
                <w:sz w:val="19"/>
                <w:szCs w:val="19"/>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16.</w:t>
            </w:r>
          </w:p>
        </w:tc>
        <w:tc>
          <w:tcPr>
            <w:tcW w:w="3100" w:type="dxa"/>
            <w:vAlign w:val="bottom"/>
            <w:gridSpan w:val="1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Form 10-K Summary</w:t>
              </w:r>
            </w:hyperlink>
          </w:p>
        </w:tc>
        <w:tc>
          <w:tcPr>
            <w:tcW w:w="6280" w:type="dxa"/>
            <w:vAlign w:val="bottom"/>
            <w:gridSpan w:val="8"/>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SIGNATURES</w:t>
              </w:r>
            </w:hyperlink>
          </w:p>
        </w:tc>
        <w:tc>
          <w:tcPr>
            <w:tcW w:w="9380" w:type="dxa"/>
            <w:vAlign w:val="bottom"/>
            <w:gridSpan w:val="19"/>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507"/>
        </w:trPr>
        <w:tc>
          <w:tcPr>
            <w:tcW w:w="1100" w:type="dxa"/>
            <w:vAlign w:val="bottom"/>
            <w:tcBorders>
              <w:top w:val="single" w:sz="8" w:color="0000EE"/>
            </w:tcBorders>
          </w:tcPr>
          <w:p>
            <w:pPr>
              <w:spacing w:after="0"/>
              <w:rPr>
                <w:sz w:val="24"/>
                <w:szCs w:val="24"/>
                <w:color w:val="auto"/>
              </w:rPr>
            </w:pPr>
          </w:p>
        </w:tc>
        <w:tc>
          <w:tcPr>
            <w:tcW w:w="5380" w:type="dxa"/>
            <w:vAlign w:val="bottom"/>
            <w:gridSpan w:val="14"/>
          </w:tcPr>
          <w:p>
            <w:pPr>
              <w:jc w:val="center"/>
              <w:ind w:left="367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discussion throughout this Annual Report on Form 10-K contains forward-looking statements. In some cases, you can identify these statements by our use of forward-looking words such as “may,” “will,” “should,” “anticipate,” “estimate,” “expect,” “plan,” “believe,” “predict,” “potential,” “project,” “intend,” “could” or similar expressions. In particular, statements regarding our plans, strategies, prospects and expectations regarding our business are forward-looking statements within the meaning of Section 21E of the Securities Exchange Act of 1934, as amended (the "Exchange Act"). You should be aware that these statements and any other forward-looking statements in this document reflect only our expectations and are not guarantees of performance. These statements involve risks, uncertainties and assumptions. Many of these risks, uncertainties and assumptions are beyond our control and may cause actual results and performance to differ materially from our expectations. Important factors that could cause our actual results to be materially different from our expectations include the risks and uncertainties set forth under the heading “Risk Factors.” Accordingly, you should not place undue reliance on the forward-looking statements contained in this Annual Report on Form 10-K. These forward-looking statements speak only as of the date on which the statements were made.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integrated data protection and information management solution, built from the ground up on a single platform and unified code base. All software functionality shares the same back-end technologies to deliver the benefits of a holistic approach to protecting, managing, and accessing data. The software addresses many aspects of data management in the enterprise, while providing scalability and control of data and information. We also provide our customers with a broad range of professional services that are delivered by our worldwide support and field operations.</w:t>
      </w:r>
    </w:p>
    <w:p>
      <w:pPr>
        <w:spacing w:after="0" w:line="13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Commvault software is built upon an innovative single platform architecture. Our software platform is unique and differentiates us from our competitors, some of whom address market needs by offering multiple and disparate point products that have come together as a collection often as a result of acquisition strategies. We believe that the disparate and point product approach forces users to install and maintain separate products requiring their own infrastructure, training, maintenance and management which can result in a complex and costly environment for customers who are looking for a single solution that will improve operations, minimize risk and reduce overall costs.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Commvault software enables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established a worldwide, multi-channel distribution network to sell our software and products, and services to large global enterprises, small and medium sized businesses and government agencies, both directly through our sales force and indirectly through our global network of value-added reseller partners, systems integrators, corporate resellers and original equipment manufacturers. As of March 31, 2019, we had licensed our data and information management software to over 28,000 registered customers.</w:t>
      </w:r>
    </w:p>
    <w:p>
      <w:pPr>
        <w:spacing w:after="0" w:line="13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internet address is www.commvault.com. On this website, we post the following filings as soon as reasonably practicable after they are electronically filed with or furnished to the U.S. Securities and Exchange Commission (SEC): our Annual Reports on Form 10-K, our quarterly reports on Form 10-Q, our current reports on Form 8-K, our proxy statements related to our annual stockholders’ meetings and any amendment to those reports or statements filed or furnished pursuant to Section 13(a) or 15(d) of the Securities Exchange Act of 1934, as amended. All such filings are available on the Investors Relations portion of our web site free of charge. The contents of our web site are not incorporated by reference into this Form 10-K or in any other report, statement or document we file with the SEC.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driving force behind the growth of the data and information management software industry is the rapid growth of data, coupled with the need to reliably protect and quickly access that data, while maintaining the ability to effectively manage the emerging regulations around compliance and e-discovery.</w:t>
      </w:r>
    </w:p>
    <w:p>
      <w:pPr>
        <w:spacing w:after="0" w:line="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increasing reliance on critical enterprise software applications such as e-mail, relational databases, enterprise resource planning, customer relationship management and workgroup collaboration tools is resulting in the rapid growth of data across all enterprises. This data is widely considered to be one of an organization’s most valued and strategic assets. Given the need for actionable and intelligent insights into data sets and file systems, organizations increasingly must scale and store information at unprecedented levels. Big data initiatives leverage new approaches and technologies to store, index and analyze huge data sets, while minimizing storage requirements and driving faster outcomes.</w:t>
      </w:r>
    </w:p>
    <w:p>
      <w:pPr>
        <w:spacing w:after="0" w:line="119" w:lineRule="exact"/>
        <w:rPr>
          <w:sz w:val="20"/>
          <w:szCs w:val="20"/>
          <w:color w:val="auto"/>
        </w:rPr>
      </w:pPr>
    </w:p>
    <w:p>
      <w:pPr>
        <w:ind w:right="60" w:firstLine="180"/>
        <w:spacing w:after="0" w:line="264" w:lineRule="auto"/>
        <w:rPr>
          <w:sz w:val="20"/>
          <w:szCs w:val="20"/>
          <w:color w:val="auto"/>
        </w:rPr>
      </w:pPr>
      <w:r>
        <w:rPr>
          <w:rFonts w:ascii="Arial" w:cs="Arial" w:eastAsia="Arial" w:hAnsi="Arial"/>
          <w:sz w:val="18"/>
          <w:szCs w:val="18"/>
          <w:color w:val="auto"/>
        </w:rPr>
        <w:t>Ensuring the security, availability and integrity of the data has become a critical task as regulatory compliance and corporate governance objectives affecting many organizations mandate the creation of multiple copies of data with longer and more complex retention requirements. Government regulations, such as those issued under the Sarbanes-Oxley Act, the Health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26" w:right="259" w:bottom="144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8"/>
          <w:szCs w:val="18"/>
          <w:color w:val="auto"/>
        </w:rPr>
        <w:t>Insurance Portability and Accountability Act (HIPAA), Government Paper Elimination Act (GPEA), Homeland Security, the Patriot Act, Freedom of Information Act (FOIA), the Basel Committee on Banking Supervision ("The Basel Accords"), the Dodd-Frank Wall Street Reform and Consumer Protection Act, GDPR, as well as company policies requiring data access, protection and preservation, are expanding the proportion of data that must be archived and easily accessible for future use.</w:t>
      </w:r>
    </w:p>
    <w:p>
      <w:pPr>
        <w:spacing w:after="0" w:line="13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to rapid data growth, data storage has transitioned from being server-attached to becoming widely distributed across local and global networked storage systems. Data previously stored on primary disk and backed up on tape is increasingly being backed up, managed and stored on a broader array of storage tiers ranging from high-cost, high-performance disk systems, to lower-cost mid-range and low-end disk systems, to tape libraries and both public and private cloud storage services. This transition has been driven by the growth of data, the pervasive use of distributed critical enterprise software applications, the decrease in disk cost, and the demand for 24/7 business continuity.</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innovations in storage and networking technologies, coupled with the rapid growth of data, have caused information technology managers to redesign their data and storage infrastructures to deliver greater efficiency, broaden access to data and reduce costs. The result has been the wide adoption of virtualized environments with larger and more complex networked data and storage solutions. We also believe the cloud will continue to significantly impact the way that applications are delivered, data is stored and information is retrieved.</w:t>
      </w:r>
    </w:p>
    <w:p>
      <w:pPr>
        <w:spacing w:after="0" w:line="133"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rapid growth of data and the need to securely protect, manage and access this data is driving substantial opportunities for managed service providers ("MSPs") to help organizations deploy and manage solutions that deliver data management capabilities. The result is reduced long-term management costs with increased offerings to customers, which we believe represents a long-term industry trend in the way that services are offered.</w:t>
      </w:r>
    </w:p>
    <w:p>
      <w:pPr>
        <w:spacing w:after="0" w:line="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believe that these trends are increasing the demand for software applications that can simplify data and information management, provide secure and reliable access to all data across a broad spectrum of tiered storage and computing systems and seamlessly scale to accommodate growth, while reducing the total cost of ownership to the customer.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Software and Products</w:t>
      </w:r>
    </w:p>
    <w:p>
      <w:pPr>
        <w:spacing w:after="0" w:line="9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Historically, the vast majority of our software licenses provided for a perpetual right to use our software and are sold on a per terabyte capacity basis, as site licenses or via instance based packaging. In recent years, most of our software and products revenue has been sold on a capacity basis. Software licenses sold on a capacity basis provide the customer with unlimited install licenses of specified software products based on a defined level of terabytes of data under management. As a result, when we sell our software via a capacity license, certain of the various functionalities discussed below are bundled into one capacity based price. In addition to terabyte based capacity pricing, we also offer our customers instance based licensing. We primarily sell instance based licenses for virtual machine backup, recovery and cloud management, endpoint data protection, and email archive. These instance based licenses also include various functionalities bundled into one capacity based price.</w:t>
      </w:r>
    </w:p>
    <w:p>
      <w:pPr>
        <w:spacing w:after="0" w:line="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Prior to fiscal 2018, an insignificant amount of our revenue was sold under subscription, or term-based, license arrangements. Any of our licensing models (capacity, instance,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generally recognized when the software is delivered. In fiscal 2018, we started to introduce more subscription arrangements into the market. We expect revenue from these types of arrangements as a percentage of our total revenue to increase in the next few years. We also sell to some customers, primarily managed service providers, via utility, or pay-as-you-go models. In these arrangements actual usage is regularly measured and billed. Revenue in these utility arrangements is recognized as the software is used.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Commvault Software Solutions</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Commvault software suite contains solutions that are all built on a single unified code base and platform to protect, manage and access data and information. Within the platform, tightly integrated, powerful software features deliver functionality throughout physical and virtual environments to help protect and recover data, manage costs and complexity and gain better insight into information.</w:t>
      </w:r>
    </w:p>
    <w:p>
      <w:pPr>
        <w:spacing w:after="0" w:line="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fiscal 2019, we simplified our product set to bring together comprehensive backup and recovery and data management, including storage infrastructure, service delivery orchestration and data governance. The new packaging portfolio is suited to address the rapidly evolving business needs of today's digital organizations, helping to make managing backup simple. Commvault’s newly-packaged product set combines new innovations and capabilities into four primary products: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30" w:right="259" w:bottom="1440" w:gutter="0" w:footer="0" w:header="0"/>
        </w:sectPr>
      </w:pPr>
    </w:p>
    <w:bookmarkStart w:id="5" w:name="page6"/>
    <w:bookmarkEnd w:id="5"/>
    <w:p>
      <w:pPr>
        <w:ind w:left="660"/>
        <w:spacing w:after="0" w:line="293" w:lineRule="auto"/>
        <w:rPr>
          <w:sz w:val="20"/>
          <w:szCs w:val="20"/>
          <w:color w:val="auto"/>
        </w:rPr>
      </w:pPr>
      <w:r>
        <w:rPr>
          <w:rFonts w:ascii="Arial" w:cs="Arial" w:eastAsia="Arial" w:hAnsi="Arial"/>
          <w:sz w:val="16"/>
          <w:szCs w:val="16"/>
          <w:b w:val="1"/>
          <w:bCs w:val="1"/>
          <w:i w:val="1"/>
          <w:iCs w:val="1"/>
          <w:color w:val="auto"/>
        </w:rPr>
        <w:t xml:space="preserve">Commvault Complete™ Backup &amp; Recovery </w:t>
      </w:r>
      <w:r>
        <w:rPr>
          <w:rFonts w:ascii="Arial" w:cs="Arial" w:eastAsia="Arial" w:hAnsi="Arial"/>
          <w:sz w:val="16"/>
          <w:szCs w:val="16"/>
          <w:color w:val="auto"/>
        </w:rPr>
        <w:t>– Backup and recovery for the enterprise with one solution. Commvault Complete Backup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Recovery, is a fully featured and comprehensive backup and recovery solution. Designed to meet the needs of any size business, it covers workloads across all locations: hybrid environments include on-premises and multiple cloud providers; physical servers; virtual machines; applications and databases; endpoint devices; and more. Commvault Complete also includes disaster recovery capabilities, snapshot management, endpoint user protection, mailbox protection for on-premises, and SaaS offerings, replication, disaster recovery, reporting and integrated archiving. Historically, the vase majority of our licensing revenue has been generated by sales of our core backup and recovery products.</w:t>
      </w:r>
    </w:p>
    <w:p>
      <w:pPr>
        <w:spacing w:after="0" w:line="16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 xml:space="preserve">Commvault HyperScale™ Technology </w:t>
      </w:r>
      <w:r>
        <w:rPr>
          <w:rFonts w:ascii="Arial" w:cs="Arial" w:eastAsia="Arial" w:hAnsi="Arial"/>
          <w:sz w:val="18"/>
          <w:szCs w:val="18"/>
          <w:color w:val="auto"/>
        </w:rPr>
        <w:t>– Commvault HyperScale™ Technology is an add-on for Commvault Complete that delivers an on-premises,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cloud-like infrastructure to support scale-out secondary storage. This is available in two form factors: 1) a Commvault-branded integrated appliance, or 2) as a software solution that can be used with a customer’s preferred hardware provider.</w:t>
      </w:r>
    </w:p>
    <w:p>
      <w:pPr>
        <w:spacing w:after="0" w:line="181" w:lineRule="exact"/>
        <w:rPr>
          <w:sz w:val="20"/>
          <w:szCs w:val="20"/>
          <w:color w:val="auto"/>
        </w:rPr>
      </w:pPr>
    </w:p>
    <w:p>
      <w:pPr>
        <w:ind w:left="660" w:right="180"/>
        <w:spacing w:after="0" w:line="257" w:lineRule="auto"/>
        <w:rPr>
          <w:sz w:val="20"/>
          <w:szCs w:val="20"/>
          <w:color w:val="auto"/>
        </w:rPr>
      </w:pPr>
      <w:r>
        <w:rPr>
          <w:rFonts w:ascii="Arial" w:cs="Arial" w:eastAsia="Arial" w:hAnsi="Arial"/>
          <w:sz w:val="18"/>
          <w:szCs w:val="18"/>
          <w:b w:val="1"/>
          <w:bCs w:val="1"/>
          <w:i w:val="1"/>
          <w:iCs w:val="1"/>
          <w:color w:val="auto"/>
        </w:rPr>
        <w:t xml:space="preserve">Commvault Orchestrate™ </w:t>
      </w:r>
      <w:r>
        <w:rPr>
          <w:rFonts w:ascii="Arial" w:cs="Arial" w:eastAsia="Arial" w:hAnsi="Arial"/>
          <w:sz w:val="18"/>
          <w:szCs w:val="18"/>
          <w:color w:val="auto"/>
        </w:rPr>
        <w:t>– Automated service delivery technology that enables users to provision, sync and validate data in any environment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important IT needs such as disaster recovery (DR) testing, Dev/Test operations and workload migrations. Commvault Orchestrate™ allows customers to extend the value of their data sitting in secondary storage. Secondary copies of data can now be used for activities like accelerating dev/test routines or performing application migrations. Operations that were previously manual can now be orchestrated and automated, saving customers time and money.</w:t>
      </w:r>
    </w:p>
    <w:p>
      <w:pPr>
        <w:spacing w:after="0" w:line="188"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b w:val="1"/>
          <w:bCs w:val="1"/>
          <w:i w:val="1"/>
          <w:iCs w:val="1"/>
          <w:color w:val="auto"/>
        </w:rPr>
        <w:t xml:space="preserve">Commvault Activate™ </w:t>
      </w:r>
      <w:r>
        <w:rPr>
          <w:rFonts w:ascii="Arial" w:cs="Arial" w:eastAsia="Arial" w:hAnsi="Arial"/>
          <w:sz w:val="18"/>
          <w:szCs w:val="18"/>
          <w:color w:val="auto"/>
        </w:rPr>
        <w:t>– Discover and extract new business insights from data under management to better meet governance requirements like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GDPR and deliver data to the business for analysis. Commvault Activate™ allows customers to comply with privacy regulations by detecting and taking action on data risks, use data insights to drive file efficiencies and accountability and gives an enterprise the tools to reveal and extend the value of data across the enterprise.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9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 comprehensive global offering of customer support and other professional services is critical to the successful marketing, sale and deployment of our software. From planning, to deployment, to operations, we offer a complete set of technical services, training and support options that maximize the operational benefits of our suite of software applications. Our commitment to superior customer support is reflected in the breadth and depth of our service offerings as well as in our ongoing initiatives to engineer resiliency, automation and serviceability features directly into our products.</w:t>
      </w:r>
    </w:p>
    <w:p>
      <w:pPr>
        <w:spacing w:after="0" w:line="10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established a global customer support organization built specifically to handle our expanding customer base. We offer multiple levels of customer support that can be tailored to the customer’s response needs and business sensitivities.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customer support services consist of:</w:t>
      </w:r>
    </w:p>
    <w:p>
      <w:pPr>
        <w:spacing w:after="0" w:line="117" w:lineRule="exact"/>
        <w:rPr>
          <w:sz w:val="20"/>
          <w:szCs w:val="20"/>
          <w:color w:val="auto"/>
        </w:rPr>
      </w:pPr>
    </w:p>
    <w:p>
      <w:pPr>
        <w:ind w:left="980" w:right="100" w:hanging="324"/>
        <w:spacing w:after="0" w:line="255" w:lineRule="auto"/>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Real-Time Support. </w:t>
      </w:r>
      <w:r>
        <w:rPr>
          <w:rFonts w:ascii="Arial" w:cs="Arial" w:eastAsia="Arial" w:hAnsi="Arial"/>
          <w:sz w:val="18"/>
          <w:szCs w:val="18"/>
          <w:color w:val="auto"/>
        </w:rPr>
        <w:t>Our support staff is available 24/7 by telephone to provide first response and manage the resolution of customer issues.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phone support, our customers have access to an online product support database for help with troubleshooting and operational questions. Innovative use of web-based diagnostic tools provides problem analysis and resolution. Our software design is also an important element in our comprehensive customer support, including “root cause” problem analysis, intelligent alerting and troubleshooting assistance. Our software is directly linked to our online support database allowing customers to analyze problems without engaging our technical support personnel.</w:t>
      </w:r>
    </w:p>
    <w:p>
      <w:pPr>
        <w:spacing w:after="0" w:line="85" w:lineRule="exact"/>
        <w:rPr>
          <w:rFonts w:ascii="Arial" w:cs="Arial" w:eastAsia="Arial" w:hAnsi="Arial"/>
          <w:sz w:val="18"/>
          <w:szCs w:val="18"/>
          <w:i w:val="1"/>
          <w:iCs w:val="1"/>
          <w:color w:val="auto"/>
        </w:rPr>
      </w:pPr>
    </w:p>
    <w:p>
      <w:pPr>
        <w:ind w:left="980" w:right="200" w:hanging="324"/>
        <w:spacing w:after="0" w:line="259" w:lineRule="auto"/>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Significant Network and Hardware Expertise. </w:t>
      </w:r>
      <w:r>
        <w:rPr>
          <w:rFonts w:ascii="Arial" w:cs="Arial" w:eastAsia="Arial" w:hAnsi="Arial"/>
          <w:sz w:val="18"/>
          <w:szCs w:val="18"/>
          <w:color w:val="auto"/>
        </w:rPr>
        <w:t>Our support engineers have extensive knowledge of complex applications, servers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We proactively take ownership of the customer’s problem, regardless of whether the issue is directly related to our products or to those of another vendor. We have also developed and maintain a knowledge library of storage systems and software products to further enable our support organization to quickly and effectively resolve customer problems.</w:t>
      </w:r>
    </w:p>
    <w:p>
      <w:pPr>
        <w:spacing w:after="0" w:line="78" w:lineRule="exact"/>
        <w:rPr>
          <w:rFonts w:ascii="Arial" w:cs="Arial" w:eastAsia="Arial" w:hAnsi="Arial"/>
          <w:sz w:val="18"/>
          <w:szCs w:val="18"/>
          <w:i w:val="1"/>
          <w:iCs w:val="1"/>
          <w:color w:val="auto"/>
        </w:rPr>
      </w:pPr>
    </w:p>
    <w:p>
      <w:pPr>
        <w:ind w:left="980" w:right="100" w:hanging="324"/>
        <w:spacing w:after="0" w:line="257" w:lineRule="auto"/>
        <w:tabs>
          <w:tab w:leader="none" w:pos="9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Global Operations. </w:t>
      </w:r>
      <w:r>
        <w:rPr>
          <w:rFonts w:ascii="Arial" w:cs="Arial" w:eastAsia="Arial" w:hAnsi="Arial"/>
          <w:sz w:val="18"/>
          <w:szCs w:val="18"/>
          <w:color w:val="auto"/>
        </w:rPr>
        <w:t>Our global customer support headquarters is located at our state-of-the-art technical support center in Tinton Falls, New</w:t>
      </w:r>
      <w:r>
        <w:rPr>
          <w:rFonts w:ascii="Arial" w:cs="Arial" w:eastAsia="Arial" w:hAnsi="Arial"/>
          <w:sz w:val="18"/>
          <w:szCs w:val="18"/>
          <w:i w:val="1"/>
          <w:iCs w:val="1"/>
          <w:color w:val="auto"/>
        </w:rPr>
        <w:t xml:space="preserve"> </w:t>
      </w:r>
      <w:r>
        <w:rPr>
          <w:rFonts w:ascii="Arial" w:cs="Arial" w:eastAsia="Arial" w:hAnsi="Arial"/>
          <w:sz w:val="18"/>
          <w:szCs w:val="18"/>
          <w:color w:val="auto"/>
        </w:rPr>
        <w:t>Jersey. We also have established support operations in Reading, United Kingdom; Sydney, Australia; and Shanghai, China, which are complemented by regional support centers in other worldwide locations. Our cloud-based support system creates a virtual global support center combining these locations to allow for the fastest possible resolution times for customer incidents. We have designed our support infrastructure to be able to scale with the increasing globalization of our customers.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ind w:left="980" w:right="160" w:hanging="324"/>
        <w:spacing w:after="0" w:line="279" w:lineRule="auto"/>
        <w:tabs>
          <w:tab w:leader="none" w:pos="98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Enhanced Support Options</w:t>
      </w:r>
      <w:r>
        <w:rPr>
          <w:rFonts w:ascii="Arial" w:cs="Arial" w:eastAsia="Arial" w:hAnsi="Arial"/>
          <w:sz w:val="17"/>
          <w:szCs w:val="17"/>
          <w:color w:val="auto"/>
        </w:rPr>
        <w:t>. We offer several enhanced customer support services such as Enterprise Support. Our Enterprise Support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is for customers with critical support needs and builds on our 24/7 real-time support deliverables and includes various levels of enhanced services to ensure dedicated support and customized reporting. Enterprise Support adds a specialized team of technical support engineers, an assigned support account manager and innovative tools to achieve our customers’ mission.</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technology consultants ensure that our customers' software environment is designed for optimal results and will continue to deliver over the long term. This same team of experts can install, configure, personalize and validate that environment so customers can achieve a better return on investment, faster and with more confidence.</w:t>
      </w:r>
    </w:p>
    <w:p>
      <w:pPr>
        <w:spacing w:after="0" w:line="73" w:lineRule="exact"/>
        <w:rPr>
          <w:sz w:val="20"/>
          <w:szCs w:val="20"/>
          <w:color w:val="auto"/>
        </w:rPr>
      </w:pPr>
    </w:p>
    <w:p>
      <w:pPr>
        <w:ind w:left="980" w:right="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Technology Consulting Services. </w:t>
      </w:r>
      <w:r>
        <w:rPr>
          <w:rFonts w:ascii="Arial" w:cs="Arial" w:eastAsia="Arial" w:hAnsi="Arial"/>
          <w:sz w:val="18"/>
          <w:szCs w:val="18"/>
          <w:color w:val="auto"/>
        </w:rPr>
        <w:t>Our technology consulting ensures that a customer’s software environment is designed for optimal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continue to deliver over the long term. We offer services such as architecture design; implementation; personalization; data migration; and health assessment. In addition, our residency services offer customers staff-augmentation options to assist with the rapid expert deployment of the Commvault software suite.</w:t>
      </w:r>
    </w:p>
    <w:p>
      <w:pPr>
        <w:spacing w:after="0" w:line="78"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Our business consultants provide transformational insights that align to how specific businesses gather, retain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 data. We offer services such as disaster recovery readiness and policy implementation; private cloud services design; data classification and archive policy implementation; and operational efficiency assessment.</w:t>
      </w:r>
    </w:p>
    <w:p>
      <w:pPr>
        <w:spacing w:after="0" w:line="73" w:lineRule="exact"/>
        <w:rPr>
          <w:rFonts w:ascii="Arial" w:cs="Arial" w:eastAsia="Arial" w:hAnsi="Arial"/>
          <w:sz w:val="18"/>
          <w:szCs w:val="18"/>
          <w:color w:val="auto"/>
        </w:rPr>
      </w:pPr>
    </w:p>
    <w:p>
      <w:pPr>
        <w:ind w:left="980" w:right="140" w:hanging="324"/>
        <w:spacing w:after="0" w:line="273" w:lineRule="auto"/>
        <w:tabs>
          <w:tab w:leader="none" w:pos="98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Education Services. </w:t>
      </w:r>
      <w:r>
        <w:rPr>
          <w:rFonts w:ascii="Arial" w:cs="Arial" w:eastAsia="Arial" w:hAnsi="Arial"/>
          <w:sz w:val="17"/>
          <w:szCs w:val="17"/>
          <w:color w:val="auto"/>
        </w:rPr>
        <w:t>We provide global onsite training, offsite training and self-paced online alternatives for our products. Packaged or</w:t>
      </w:r>
      <w:r>
        <w:rPr>
          <w:rFonts w:ascii="Arial" w:cs="Arial" w:eastAsia="Arial" w:hAnsi="Arial"/>
          <w:sz w:val="17"/>
          <w:szCs w:val="17"/>
          <w:i w:val="1"/>
          <w:iCs w:val="1"/>
          <w:color w:val="auto"/>
        </w:rPr>
        <w:t xml:space="preserve"> </w:t>
      </w:r>
      <w:r>
        <w:rPr>
          <w:rFonts w:ascii="Arial" w:cs="Arial" w:eastAsia="Arial" w:hAnsi="Arial"/>
          <w:sz w:val="17"/>
          <w:szCs w:val="17"/>
          <w:color w:val="auto"/>
        </w:rPr>
        <w:t>customized customer training courses are available in instructor-led or computer-based formats. We offer in-depth training and certification for our resellers in pre- and post-sales support methodologies, including web access to customizable documentation and training materials. In addition, we offer a Commvault Certification Program that validates expertise and advanced knowledge in topics, including Commvault Core Fundamentals, Implementation and Maintenance. We also offer more advanced Specialist, Engineer and Master technologies certifications. We believe certified personnel can increase a company's productivity and reduce operating costs.</w:t>
      </w:r>
    </w:p>
    <w:p>
      <w:pPr>
        <w:spacing w:after="0" w:line="70" w:lineRule="exact"/>
        <w:rPr>
          <w:rFonts w:ascii="Arial" w:cs="Arial" w:eastAsia="Arial" w:hAnsi="Arial"/>
          <w:sz w:val="17"/>
          <w:szCs w:val="17"/>
          <w:i w:val="1"/>
          <w:iCs w:val="1"/>
          <w:color w:val="auto"/>
        </w:rPr>
      </w:pPr>
    </w:p>
    <w:p>
      <w:pPr>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Remote Managed Services. </w:t>
      </w:r>
      <w:r>
        <w:rPr>
          <w:rFonts w:ascii="Arial" w:cs="Arial" w:eastAsia="Arial" w:hAnsi="Arial"/>
          <w:sz w:val="18"/>
          <w:szCs w:val="18"/>
          <w:color w:val="auto"/>
        </w:rPr>
        <w:t>Commvault Remote Managed Services provides remote monitoring and management of the Commvault data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platform deployed on a customer's environment. Our engineers configure, maintain and optimize a customer's Commvault software environment remotely via a secure connection.</w:t>
      </w:r>
    </w:p>
    <w:p>
      <w:pPr>
        <w:spacing w:after="0" w:line="73" w:lineRule="exact"/>
        <w:rPr>
          <w:rFonts w:ascii="Arial" w:cs="Arial" w:eastAsia="Arial" w:hAnsi="Arial"/>
          <w:sz w:val="18"/>
          <w:szCs w:val="18"/>
          <w:color w:val="auto"/>
        </w:rPr>
      </w:pPr>
    </w:p>
    <w:p>
      <w:pPr>
        <w:ind w:left="980" w:right="340" w:hanging="324"/>
        <w:spacing w:after="0" w:line="27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Commvault Software-as-a-Service. </w:t>
      </w:r>
      <w:r>
        <w:rPr>
          <w:rFonts w:ascii="Arial" w:cs="Arial" w:eastAsia="Arial" w:hAnsi="Arial"/>
          <w:sz w:val="17"/>
          <w:szCs w:val="17"/>
          <w:color w:val="auto"/>
        </w:rPr>
        <w:t>In fiscal 2018, we fully launched Commvault Endpoint Data Protection as a Service to simplify and</w:t>
      </w:r>
      <w:r>
        <w:rPr>
          <w:rFonts w:ascii="Arial" w:cs="Arial" w:eastAsia="Arial" w:hAnsi="Arial"/>
          <w:sz w:val="17"/>
          <w:szCs w:val="17"/>
          <w:i w:val="1"/>
          <w:iCs w:val="1"/>
          <w:color w:val="auto"/>
        </w:rPr>
        <w:t xml:space="preserve"> </w:t>
      </w:r>
      <w:r>
        <w:rPr>
          <w:rFonts w:ascii="Arial" w:cs="Arial" w:eastAsia="Arial" w:hAnsi="Arial"/>
          <w:sz w:val="17"/>
          <w:szCs w:val="17"/>
          <w:color w:val="auto"/>
        </w:rPr>
        <w:t>streamline the backup and recovery of corporate data stored on laptops, desktops and other devices in one flexible, easy-to-use software as a service (SaaS) offering. Fully managed by Commvault in the cloud with 24/7 customer support, Commvault Endpoint Data Protection as a Service eliminates the need for in-house infrastructure installation and reduces application management resources. We anticipate expanding Commvault Software-as-a-Service to additional use cases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 important element of Commvault’s strategy is to establish relationships with third parties that assist us in developing, marketing, selling and implementing our software and services. We believe that strategic and technology-based relationships with industry leaders are fundamental to our success. We have forged numerous relationships with software application and hardware vendors to enhance our combined capabilities and to create the optimal combination of data and information management applications. This approach enhances our ability to expand our product offerings and customer base and to enter new markets. We have established the following types of strategic relationships:</w:t>
      </w:r>
    </w:p>
    <w:p>
      <w:pPr>
        <w:spacing w:after="0" w:line="1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Technology Alliance Partners</w:t>
      </w:r>
      <w:r>
        <w:rPr>
          <w:rFonts w:ascii="Arial" w:cs="Arial" w:eastAsia="Arial" w:hAnsi="Arial"/>
          <w:sz w:val="18"/>
          <w:szCs w:val="18"/>
          <w:color w:val="auto"/>
        </w:rPr>
        <w:t>. We maintain strategic product and technology relationships with major industry leaders to ensure that our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are integrated with, supported by and add value to our partners’ hardware and software products. Collaboration with these market leaders allows us to provide applications that enable our customers to improve data and information management efficiency. Our significant strategic relationships include Atos, Cisco, Citrix, Fujitsu, Hewlett Packard Enterprise (HPE), Microsoft, Oracle, SAP, and VMware. In addition to these relationships, we maintain relationships with a broad range of industry operating system, application and infrastructure vendors to verify and demonstrate the interoperability of our software applications with their equipment and technologies.</w:t>
      </w:r>
    </w:p>
    <w:p>
      <w:pPr>
        <w:spacing w:after="0" w:line="13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Distributors, Value-Added Reseller, Systems Integrator, Corporate Reseller and Original Equipment Manufacturer Relationships. </w:t>
      </w:r>
      <w:r>
        <w:rPr>
          <w:rFonts w:ascii="Arial" w:cs="Arial" w:eastAsia="Arial" w:hAnsi="Arial"/>
          <w:sz w:val="18"/>
          <w:szCs w:val="18"/>
          <w:color w:val="auto"/>
        </w:rPr>
        <w:t>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resellers bundle or sell our software applications together with their own products, and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7" w:name="page8"/>
    <w:bookmarkEnd w:id="7"/>
    <w:p>
      <w:pPr>
        <w:ind w:right="220"/>
        <w:spacing w:after="0" w:line="277" w:lineRule="auto"/>
        <w:rPr>
          <w:sz w:val="20"/>
          <w:szCs w:val="20"/>
          <w:color w:val="auto"/>
        </w:rPr>
      </w:pPr>
      <w:r>
        <w:rPr>
          <w:rFonts w:ascii="Arial" w:cs="Arial" w:eastAsia="Arial" w:hAnsi="Arial"/>
          <w:sz w:val="18"/>
          <w:szCs w:val="18"/>
          <w:color w:val="auto"/>
        </w:rPr>
        <w:t>value-added resellers resell our software applications independently. As of March 31, 2019, we had more than 500 reseller partners and systems integrators that have distributed our software worldwide.</w:t>
      </w:r>
    </w:p>
    <w:p>
      <w:pPr>
        <w:spacing w:after="0" w:line="1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order to broaden our market coverage, we work closely with our Global Original Equipment Manufacturer (OEM) Partners, investing significant time and resources to deliver unique, joint solutions incorporating Commvault software. These partners team with our technical, engineering, marketing and sales force on helping to enhance integration, tuning, operational management, implementation and vision for solutions that are designed to meet current and future data and information management needs. Our alliance managers work directly with Global OEM Partners to design, deliver and support field activities that make it easier for customers to locate, learn about, and purchase these differentiated solutions. Our most significant OEM partner is Hitachi Vantara (Hitachi). Hitachi has no obligation to recommend or offer our software applications exclusively or at all, and they have no minimum sales requirements and can terminate our relationship at any time. Sales through our original equipment manufacturer agreements, accounted for 11% of our total revenues in fiscal 2019 and 12% of our total revenues for fiscal 2018.</w:t>
      </w:r>
    </w:p>
    <w:p>
      <w:pPr>
        <w:spacing w:after="0" w:line="1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we have a non-exclusive distribution agreements covering our North American commercial markets and our U.S. Federal Government markets with Arrow Enterprise Computing Solutions, Inc. (Arrow), a subsidiary of Arrow Electronics, Inc. Pursuant to these distribution agreements, Arrow's primary role is to enable a more efficient and effective distribution channel for our products and services by managing our reseller partners and leveraging their own industry experience. Sales generated through our distribution agreement with Arrow accounted for approximately 38% of our total revenue in fiscal 2019 and 36% of our total revenue in fiscal 2018.</w:t>
      </w:r>
    </w:p>
    <w:p>
      <w:pPr>
        <w:spacing w:after="0" w:line="134"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i w:val="1"/>
          <w:iCs w:val="1"/>
          <w:color w:val="auto"/>
        </w:rPr>
        <w:t xml:space="preserve">Service Provider Partners. </w:t>
      </w:r>
      <w:r>
        <w:rPr>
          <w:rFonts w:ascii="Arial" w:cs="Arial" w:eastAsia="Arial" w:hAnsi="Arial"/>
          <w:sz w:val="16"/>
          <w:szCs w:val="16"/>
          <w:color w:val="auto"/>
        </w:rPr>
        <w:t>Our software is the data protection platform for over 200 service providers, which provide cloud-based solutions to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worldwide. As companies of all sizes and markets rapidly adopt cloud infrastructures for improved costs, speed and agility, we remain committed to these strategic relationships to address this growing trend. Customers looking to move IT operations into the cloud depend on service providers to help them migrate, manage and protect their cloud infrastructures. We have partnered with a broad ecosystem of managed service provider and cloud partners so they can effectively deliver data management-as-a-service solutions based on Commvault software across geographies, vertical markets and offerings. Leading providers who have integrated Commvault software into their solution portfolios include Microsoft Windows Azure, AWS, Dimension Data, NetApp,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 Rackspace.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sell Commvault software applications and related services directly to large global enterprises, small and medium sized businesses and government agencies, and indirectly through value-added resellers, systems integrators, corporate resellers and original equipment manufacturer partners. As of March 31, 2019, we had licensed our software applications to over 28,000 registered customers in a broad range of industries, including banking, insurance and financial services, government, healthcare, pharmaceuticals and medical services, technology, legal, manufacturing, utilities and energy.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believe our software platform serves as a major differentiator versus our competitors’ data and information management software products. Our platform’s unique indexing, cataloging, data movement, media management and policy technologies are the source of the performance, scale, management, cost of ownership benefits and seamless interoperability inherent in all of our data and information management software applications. Additional options enable content search, data encryption and auditing features to support data discovery and compliance requirements. Each of these solutions share a common architecture consisting of three core components: intelligent agent software, data movement software and command and control software. These components may be installed on a single host server, or each may be distributed over many servers in a global network. Additionally, the modularity of our software provides deployment flexibility. The ability to share storage resources across multiple data and information management applications provides easier data and information management and lower total cost of ownership. We participate in industry standards groups and activities that we believe will have a direct bearing on the data and information management software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sell our data and information management software applications and related services to large global enterprises, small and medium sized businesses, and government agencies. We sell through our worldwide direct sales force and our global network of distributors, value-added resellers, systems integrators, corporate resellers and original equipment manufacturer partners. As of March 31, 2019, we had 778 employees in sales and marketing. These employees are primarily located in North America, Europe, Australia and Asia.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30" w:right="259" w:bottom="1440" w:gutter="0" w:footer="0" w:header="0"/>
        </w:sectPr>
      </w:pPr>
    </w:p>
    <w:bookmarkStart w:id="8" w:name="page9"/>
    <w:bookmarkEnd w:id="8"/>
    <w:p>
      <w:pPr>
        <w:ind w:right="20" w:firstLine="648"/>
        <w:spacing w:after="0" w:line="273" w:lineRule="auto"/>
        <w:rPr>
          <w:sz w:val="20"/>
          <w:szCs w:val="20"/>
          <w:color w:val="auto"/>
        </w:rPr>
      </w:pPr>
      <w:r>
        <w:rPr>
          <w:rFonts w:ascii="Arial" w:cs="Arial" w:eastAsia="Arial" w:hAnsi="Arial"/>
          <w:sz w:val="17"/>
          <w:szCs w:val="17"/>
          <w:color w:val="auto"/>
        </w:rPr>
        <w:t>We have a variety of marketing programs designed to create brand awareness and market recognition for our product offerings and for sales lead generation. Our marketing efforts include our annual customer conference (Commvault GO), active participation at trade shows, technical conferences and technology seminars; advertising; content development and distribution; public relations; social media; industry analyst relations; publication of technical and educational articles in industry journals; sales training; and preparation of competitive analyses. In addition, our strategic partners augment our marketing and sales campaigns through seminars, trade shows and joint public relations and advertising campaigns. Our customers and strategic partners provide references and recommendations that we often feature in external marketing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5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research and development organization is responsible for the design, development, testing and certification of our data and information management software applications. As of March 31, 2019, we had 604 employees in our research and development group, of which 230 are located in our Hyderabad and Bangalore development centers in India. Our engineering efforts support product development across all major operating systems, databases, applications and network storage devices. A substantial amount of our development effort goes into certification, integration and support of our applications to ensure interoperability with our strategic partners’ hardware and software products. We have also made substantial investments in the automation of our product test and quality assurance laboratories. We spent $92.6 million on research and development activities in fiscal 2019 and $91.0 million in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data storage management market is intensely competitive, highly fragmented and characterized by rapidly changing technology and evolving standards. We currently compete with other providers of data and information management software as well as large and emerging storage hardware manufacturers that have developed or acquired their own data and information management software products. These manufacturers have the resources and capabilities to develop their own data and information management software applications, and many have been making acquisitions and broadening their efforts to include broader data and information management and storage products. These manufacturers and/or our other current and potential competitors may establish cooperative relationships among themselves or with third parties, creating new competitors or alliances. Large operating system and application vendors have introduced products or functionality that includes some of the same functions offered by our software applications. In the future, further development by these vendors could cause some features of our software applications to become redundant.</w:t>
      </w:r>
    </w:p>
    <w:p>
      <w:pPr>
        <w:spacing w:after="0" w:line="1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primary competitors in the data and information management software applications market, each of which has one or more products that compete with a part of or our entire software suite, are Dell EMC, IBM, Veritas, Veeam, Rubrik and Cohesity.</w:t>
      </w:r>
    </w:p>
    <w:p>
      <w:pPr>
        <w:spacing w:after="0" w:line="11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principal competitive factors in our industry include product functionality, product performance,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Although some of our competitors have greater resources, a larger installed customer base and greater name recognition, we believe we compete favorably on the basis of these competitive factors.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unique product architecture is one of the primary reasons why we compete so successfully. Whereas other competitive solutions in the market are based on multiple, disparate products, our modular offering is based on a single, unified, underlying code base resulting in favorable efficiencies in functionality, integration, scalability and support. Our focused approach to data and information management and our ability to respond to customer feedback also drives the functionality and features of our products, which we believe lead the industry in terms of performance and usability, as evidenced by numerous industry awards we have received.</w:t>
      </w:r>
    </w:p>
    <w:p>
      <w:pPr>
        <w:spacing w:after="0" w:line="13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From a customer perspective, highly integrated products such as ours, which are based on a single, unified, underlying code base, are easier and less expensive to deploy, operate and manage. This flexibility, in turn, makes it significantly easier to scale our products over a customer’s entire IT environment. Supporting and enhancing our products is made more efficient due to this single, unified, underlying code base, unlike our competitors who are required to support and enhance multiple, disparate products, most of which are based on differing underlying software code. Supporting multiple, disparate products places more onerous and costly demands on our competitors’ internal human and operational capital. We believe that Commvault software, because of its unique architecture, creates a compelling functional, integration, scalability and support advantage. We continue to expand our worldwide sales infrastructure and increase our distribution throughout the Americas, Europe, Middle East, Africa, Australia and Asia to meet the needs of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30" w:right="259" w:bottom="1440" w:gutter="0" w:footer="0" w:header="0"/>
        </w:sectPr>
      </w:pPr>
    </w:p>
    <w:bookmarkStart w:id="9" w:name="page10"/>
    <w:bookmarkEnd w:id="9"/>
    <w:p>
      <w:pPr>
        <w:ind w:right="60" w:firstLine="648"/>
        <w:spacing w:after="0" w:line="257" w:lineRule="auto"/>
        <w:rPr>
          <w:sz w:val="20"/>
          <w:szCs w:val="20"/>
          <w:color w:val="auto"/>
        </w:rPr>
      </w:pPr>
      <w:r>
        <w:rPr>
          <w:rFonts w:ascii="Arial" w:cs="Arial" w:eastAsia="Arial" w:hAnsi="Arial"/>
          <w:sz w:val="18"/>
          <w:szCs w:val="18"/>
          <w:color w:val="auto"/>
        </w:rPr>
        <w:t>Some of our competitors have greater financial resources and may have the ability to offer their products at lower prices than ours. In addition, some of our competitors have greater name recognition than us, which could provide them a competitive advantage with some customers. Some of our competitors also have longer operating histories, have substantially greater technical, sales, marketing and other global resources than we do, as well as a larger installed customer base and broader product offerings, including hardware. As a result, these competitors can devote greater resources to the development, promotion, sale and support of their products than we can.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success and ability to compete depend on our continued development and protection of our proprietary software and other technologies. We rely primarily on a combination of trade secret, patent, copyright and trademark laws, as well as contractual provisions, to establish and protect our intellectual property rights. We provide our software to customers pursuant to license agreements that impose certain restrictions on use. These license agreements are primarily in the form of shrink-wrap or click-wrap licenses, which are not negotiated with or signed by our end-user customers. These measures may afford only limited protection of our intellectual property and proprietary rights associated with our software. We also enter into confidentiality agreements with employees and consultants involved in product development. We routinely require our employees, customers and potential business partners to enter into confidentiality agreements before we disclose any sensitive aspects of our software, technology or business plans.</w:t>
      </w:r>
    </w:p>
    <w:p>
      <w:pPr>
        <w:spacing w:after="0" w:line="11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March 31, 2019, we had 666 issued patents and 338 pending patent applications in the United States, as well as 88 issued patents in foreign countries and 23 pending foreign patent applications. No single patent, copyright, trademark, license, or other intellectual property right is solely responsible for protecting our products or services. Moreover, we may lack adequate patent or other intellectual property protection for certain innovations that later turn out to be important to our business. Pending patent applications may receive unfavorable examination and are not guaranteed allowance as issued patents. We may elect to abandon or otherwise not pursue prosecution of certain pending patent applications due to patent examination results, economic considerations, strategic concerns or other factors. We will continue to assess appropriate occasions to seek patent and other intellectual property protection for innovative aspects of our technology that we believe provide us a significant competitive advantage.</w:t>
      </w:r>
    </w:p>
    <w:p>
      <w:pPr>
        <w:spacing w:after="0" w:line="12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Changes to patent laws or regulations in the U.S. and other foreign jurisdictions, or new interpretations of these laws and regulations, could also diminish the value of our patents and patent applications or narrow the scope of our patent protection. For example, changes in patent laws and regulations in the U.S. and new patent laws in Europe may affect the ability of companies, including Commvault, to protect innovations, bring patent infringement claims, and defend against claims of patent infringement. The costs of compliance with these laws and regulations are high and are likely to increase in the future.</w:t>
      </w:r>
    </w:p>
    <w:p>
      <w:pPr>
        <w:spacing w:after="0" w:line="1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Despite our efforts to protect our trade secrets and proprietary rights through patents and license and confidentiality agreements, unauthorized parties may still attempt to copy or otherwise obtain and use our software and technology. In addition, we intend to expand our international operations but effective patent, copyright, trademark and trade secret protection may not be available or may be limited in foreign countries. If we fail to protect our intellectual property and other proprietary rights, our business could be negatively impacted.</w:t>
      </w:r>
    </w:p>
    <w:p>
      <w:pPr>
        <w:spacing w:after="0" w:line="13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currently resell certain software from Microsoft, including Microsoft SQL Server, used in conjunction with our software applications pursuant to an independent software vendor royalty license and distribution agreement that we have and plan to continue renewing annually. We have also entered into and may enter into agreements with additional third parties, including RedHat, to license their technology for use with our software applications.</w:t>
      </w:r>
    </w:p>
    <w:p>
      <w:pPr>
        <w:spacing w:after="0" w:line="9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Some of the products or technologies acquired, licensed or developed by us may incorporate so-called “open source” software and we may incorporate open source software into other products in the future. The use of such open source software may ultimately subject some products to unintended conditions, such as royalty-free licensing of proprietary portions of our products, disclosing proprietary parts of our source code, or commencing costly product redesigns that could result in a loss of intellectual property rights, product performance degradation, or a delay in shipping products to customers, and which may negatively affect our business, financial condition, operating results, cash flow and ability to commercialize our products or technologies.</w:t>
      </w:r>
    </w:p>
    <w:p>
      <w:pPr>
        <w:spacing w:after="0" w:line="10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find unfavorable.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ind w:right="60" w:firstLine="648"/>
        <w:spacing w:after="0" w:line="255" w:lineRule="auto"/>
        <w:rPr>
          <w:sz w:val="20"/>
          <w:szCs w:val="20"/>
          <w:color w:val="auto"/>
        </w:rPr>
      </w:pPr>
      <w:r>
        <w:rPr>
          <w:rFonts w:ascii="Arial" w:cs="Arial" w:eastAsia="Arial" w:hAnsi="Arial"/>
          <w:sz w:val="18"/>
          <w:szCs w:val="18"/>
          <w:color w:val="auto"/>
        </w:rPr>
        <w:t>In the United States, we own federal registrations for or have common law trademark rights in the following marks: Commvault, the “C hexagon” logo &amp; Commvault, the “CV” Logo &amp; Commvault, the “C hexagon” logo, the “CV” logo, Commvault Systems, APSS, Commvault GO, Solving Forward, SIM, Singular Information Management, Simpana, Simpana (logo), Commvault Galaxy, Commvault Edge, Unified Data Management, Edge Drive, QiNetix, Quick Recovery, QR, CommNet, GridStor, Vault Tracker, InnerVault, Quick Snap, QSnap, IntelliSnap, Simpana OnePass, Recovery Director, CommServe, CommCell, ROMS, Distinctly Data and CommValue. We also have several other trademarks and have obtained or are actively pursuing trademark registrations in several foreign jurisdictions.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As of March 31, 2019, we had 2,559 employees worldwide, including 778 in sales and marketing, 604 in research and development, 899 in customer services and support and 278 in general and administration.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with respect to our executive officers as of May 1, 2019:</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660" w:type="dxa"/>
            <w:vAlign w:val="bottom"/>
          </w:tcPr>
          <w:p>
            <w:pPr>
              <w:spacing w:after="0"/>
              <w:rPr>
                <w:sz w:val="14"/>
                <w:szCs w:val="14"/>
                <w:color w:val="auto"/>
              </w:rPr>
            </w:pPr>
          </w:p>
        </w:tc>
        <w:tc>
          <w:tcPr>
            <w:tcW w:w="2300" w:type="dxa"/>
            <w:vAlign w:val="bottom"/>
            <w:gridSpan w:val="3"/>
          </w:tcPr>
          <w:p>
            <w:pPr>
              <w:jc w:val="center"/>
              <w:ind w:left="1014"/>
              <w:spacing w:after="0"/>
              <w:rPr>
                <w:sz w:val="20"/>
                <w:szCs w:val="20"/>
                <w:color w:val="auto"/>
              </w:rPr>
            </w:pPr>
            <w:r>
              <w:rPr>
                <w:rFonts w:ascii="Arial" w:cs="Arial" w:eastAsia="Arial" w:hAnsi="Arial"/>
                <w:sz w:val="14"/>
                <w:szCs w:val="14"/>
                <w:b w:val="1"/>
                <w:bCs w:val="1"/>
                <w:color w:val="auto"/>
                <w:w w:val="90"/>
              </w:rPr>
              <w:t>Age</w:t>
            </w:r>
          </w:p>
        </w:tc>
        <w:tc>
          <w:tcPr>
            <w:tcW w:w="5760" w:type="dxa"/>
            <w:vAlign w:val="bottom"/>
            <w:gridSpan w:val="3"/>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64"/>
        </w:trPr>
        <w:tc>
          <w:tcPr>
            <w:tcW w:w="3020" w:type="dxa"/>
            <w:vAlign w:val="bottom"/>
            <w:gridSpan w:val="2"/>
          </w:tcPr>
          <w:p>
            <w:pPr>
              <w:spacing w:after="0"/>
              <w:rPr>
                <w:sz w:val="20"/>
                <w:szCs w:val="20"/>
                <w:color w:val="auto"/>
              </w:rPr>
            </w:pPr>
            <w:r>
              <w:rPr>
                <w:rFonts w:ascii="Arial" w:cs="Arial" w:eastAsia="Arial" w:hAnsi="Arial"/>
                <w:sz w:val="18"/>
                <w:szCs w:val="18"/>
                <w:color w:val="auto"/>
              </w:rPr>
              <w:t>Sanjay Mirchandani</w:t>
            </w:r>
          </w:p>
        </w:tc>
        <w:tc>
          <w:tcPr>
            <w:tcW w:w="1820" w:type="dxa"/>
            <w:vAlign w:val="bottom"/>
            <w:gridSpan w:val="2"/>
          </w:tcPr>
          <w:p>
            <w:pPr>
              <w:jc w:val="center"/>
              <w:ind w:left="1474"/>
              <w:spacing w:after="0"/>
              <w:rPr>
                <w:sz w:val="20"/>
                <w:szCs w:val="20"/>
                <w:color w:val="auto"/>
              </w:rPr>
            </w:pPr>
            <w:r>
              <w:rPr>
                <w:rFonts w:ascii="Arial" w:cs="Arial" w:eastAsia="Arial" w:hAnsi="Arial"/>
                <w:sz w:val="18"/>
                <w:szCs w:val="18"/>
                <w:color w:val="auto"/>
                <w:w w:val="89"/>
              </w:rPr>
              <w:t>54</w:t>
            </w:r>
          </w:p>
        </w:tc>
        <w:tc>
          <w:tcPr>
            <w:tcW w:w="480" w:type="dxa"/>
            <w:vAlign w:val="bottom"/>
          </w:tcPr>
          <w:p>
            <w:pPr>
              <w:spacing w:after="0"/>
              <w:rPr>
                <w:sz w:val="22"/>
                <w:szCs w:val="22"/>
                <w:color w:val="auto"/>
              </w:rPr>
            </w:pP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Brian Carolan</w:t>
            </w:r>
          </w:p>
        </w:tc>
        <w:tc>
          <w:tcPr>
            <w:tcW w:w="1820" w:type="dxa"/>
            <w:vAlign w:val="bottom"/>
            <w:gridSpan w:val="2"/>
          </w:tcPr>
          <w:p>
            <w:pPr>
              <w:jc w:val="center"/>
              <w:ind w:left="1474"/>
              <w:spacing w:after="0"/>
              <w:rPr>
                <w:sz w:val="20"/>
                <w:szCs w:val="20"/>
                <w:color w:val="auto"/>
              </w:rPr>
            </w:pPr>
            <w:r>
              <w:rPr>
                <w:rFonts w:ascii="Arial" w:cs="Arial" w:eastAsia="Arial" w:hAnsi="Arial"/>
                <w:sz w:val="18"/>
                <w:szCs w:val="18"/>
                <w:color w:val="auto"/>
                <w:w w:val="89"/>
              </w:rPr>
              <w:t>47</w:t>
            </w:r>
          </w:p>
        </w:tc>
        <w:tc>
          <w:tcPr>
            <w:tcW w:w="480" w:type="dxa"/>
            <w:vAlign w:val="bottom"/>
          </w:tcPr>
          <w:p>
            <w:pPr>
              <w:spacing w:after="0"/>
              <w:rPr>
                <w:sz w:val="23"/>
                <w:szCs w:val="23"/>
                <w:color w:val="auto"/>
              </w:rPr>
            </w:pP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rPr>
              <w:t>Vice President, Chief Financial Officer</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Gary Merrill</w:t>
            </w:r>
          </w:p>
        </w:tc>
        <w:tc>
          <w:tcPr>
            <w:tcW w:w="1820" w:type="dxa"/>
            <w:vAlign w:val="bottom"/>
            <w:gridSpan w:val="2"/>
          </w:tcPr>
          <w:p>
            <w:pPr>
              <w:jc w:val="center"/>
              <w:ind w:left="1474"/>
              <w:spacing w:after="0"/>
              <w:rPr>
                <w:sz w:val="20"/>
                <w:szCs w:val="20"/>
                <w:color w:val="auto"/>
              </w:rPr>
            </w:pPr>
            <w:r>
              <w:rPr>
                <w:rFonts w:ascii="Arial" w:cs="Arial" w:eastAsia="Arial" w:hAnsi="Arial"/>
                <w:sz w:val="18"/>
                <w:szCs w:val="18"/>
                <w:color w:val="auto"/>
                <w:w w:val="89"/>
              </w:rPr>
              <w:t>44</w:t>
            </w:r>
          </w:p>
        </w:tc>
        <w:tc>
          <w:tcPr>
            <w:tcW w:w="480" w:type="dxa"/>
            <w:vAlign w:val="bottom"/>
          </w:tcPr>
          <w:p>
            <w:pPr>
              <w:spacing w:after="0"/>
              <w:rPr>
                <w:sz w:val="23"/>
                <w:szCs w:val="23"/>
                <w:color w:val="auto"/>
              </w:rPr>
            </w:pPr>
          </w:p>
        </w:tc>
        <w:tc>
          <w:tcPr>
            <w:tcW w:w="5760" w:type="dxa"/>
            <w:vAlign w:val="bottom"/>
            <w:gridSpan w:val="3"/>
          </w:tcPr>
          <w:p>
            <w:pPr>
              <w:ind w:left="500"/>
              <w:spacing w:after="0"/>
              <w:rPr>
                <w:sz w:val="20"/>
                <w:szCs w:val="20"/>
                <w:color w:val="auto"/>
              </w:rPr>
            </w:pPr>
            <w:r>
              <w:rPr>
                <w:rFonts w:ascii="Arial" w:cs="Arial" w:eastAsia="Arial" w:hAnsi="Arial"/>
                <w:sz w:val="18"/>
                <w:szCs w:val="18"/>
                <w:color w:val="auto"/>
                <w:w w:val="91"/>
              </w:rPr>
              <w:t>Vice President Business Operations, Analytics, Technology &amp; Simplicity</w:t>
            </w:r>
          </w:p>
        </w:tc>
      </w:tr>
    </w:tbl>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Sanjay Mirchandani</w:t>
      </w:r>
      <w:r>
        <w:rPr>
          <w:rFonts w:ascii="Arial" w:cs="Arial" w:eastAsia="Arial" w:hAnsi="Arial"/>
          <w:sz w:val="17"/>
          <w:szCs w:val="17"/>
          <w:color w:val="auto"/>
        </w:rPr>
        <w:t>, has served as our President and Chief Executive Officer since February 2019. Prior to joining our company, Mr. Mirchandani</w:t>
      </w:r>
      <w:r>
        <w:rPr>
          <w:rFonts w:ascii="Arial" w:cs="Arial" w:eastAsia="Arial" w:hAnsi="Arial"/>
          <w:sz w:val="17"/>
          <w:szCs w:val="17"/>
          <w:i w:val="1"/>
          <w:iCs w:val="1"/>
          <w:color w:val="auto"/>
        </w:rPr>
        <w:t xml:space="preserve"> </w:t>
      </w:r>
      <w:r>
        <w:rPr>
          <w:rFonts w:ascii="Arial" w:cs="Arial" w:eastAsia="Arial" w:hAnsi="Arial"/>
          <w:sz w:val="17"/>
          <w:szCs w:val="17"/>
          <w:color w:val="auto"/>
        </w:rPr>
        <w:t>served from September 2016 to January 2019 as the Chief Executive Officer of Puppet, Inc. (“Puppet”), an Oregon-based IT automation company. Mr. Mirchandani joined Puppet in May 2016 as President and Chief Operating Officer. Mr. Mirchandani brings a wealth of international business experience through his diverse well-rounded career in technology. Before joining Puppet, from October 2013 to April 2016, Mr. Mirchandani served as Corporate Senior Vice President and General Manager of Asia Pacific and Japan at VMware, Inc. and, from June 2006 to October 2013, Mr. Mirchandani held various senior leadership positions at EMC Corporation, including Chief Information Officer and leader of the Global Centers of Excellence. Prior to that, Mr. Mirchandani held various positions at Microsoft Corporation and Arthur Andersen LLP. Mr. Mirchandani has a Master of Business Administration degree from the University of Pittsburgh and a Bachelor’s degree in mathematics from Drew University.</w:t>
      </w:r>
    </w:p>
    <w:p>
      <w:pPr>
        <w:spacing w:after="0" w:line="1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Brian Carolan </w:t>
      </w:r>
      <w:r>
        <w:rPr>
          <w:rFonts w:ascii="Arial" w:cs="Arial" w:eastAsia="Arial" w:hAnsi="Arial"/>
          <w:sz w:val="17"/>
          <w:szCs w:val="17"/>
          <w:color w:val="auto"/>
        </w:rPr>
        <w:t>has served as our Vice President, Finance and Chief Financial Officer since October 2012. Prior to his current role, Mr. Carolan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Vice President, Finance and Chief Accounting Officer from July 2006 until September 2012. He also held the position of Controller from February 2001 until June 2006. Prior to joining our company, Mr. Carolan was with Ernst &amp; Young LLP in its Technology, Communications and Entertainment audit practice from 1993 until January 2001. Mr. Carolan obtained his bachelor’s degree in accounting from Villanova University, his master’s degree in business administration from New York University and is a certified public accountant in the State of New Jersey.</w:t>
      </w:r>
    </w:p>
    <w:p>
      <w:pPr>
        <w:spacing w:after="0" w:line="11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Gary Merrill </w:t>
      </w:r>
      <w:r>
        <w:rPr>
          <w:rFonts w:ascii="Arial" w:cs="Arial" w:eastAsia="Arial" w:hAnsi="Arial"/>
          <w:sz w:val="16"/>
          <w:szCs w:val="16"/>
          <w:color w:val="auto"/>
        </w:rPr>
        <w:t>has served as our Vice President Business Operations, Analytics, Technology and Simplicity since April 2019. Prior to his current role,</w:t>
      </w:r>
      <w:r>
        <w:rPr>
          <w:rFonts w:ascii="Arial" w:cs="Arial" w:eastAsia="Arial" w:hAnsi="Arial"/>
          <w:sz w:val="16"/>
          <w:szCs w:val="16"/>
          <w:i w:val="1"/>
          <w:iCs w:val="1"/>
          <w:color w:val="auto"/>
        </w:rPr>
        <w:t xml:space="preserve"> </w:t>
      </w:r>
      <w:r>
        <w:rPr>
          <w:rFonts w:ascii="Arial" w:cs="Arial" w:eastAsia="Arial" w:hAnsi="Arial"/>
          <w:sz w:val="16"/>
          <w:szCs w:val="16"/>
          <w:color w:val="auto"/>
        </w:rPr>
        <w:t>Mr. Merrill served as our Vice President, Finance and Chief Accounting Officer from October 2012 until March 2019. He also held the position of Controller from September 2007 until October 2012. He also held the position of Assistant Controller from December 2005. Prior to joining the Company, Mr. Merrill held accounting management positions with several publicly traded companies. Mr. Merrill began his career with Arthur Andersen LLP in its audit practice. Mr. Merrill obtained his bachelor’s degree in accounting from Elizabethtown College and is a Certified Public Accountant in the State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30" w:right="279" w:bottom="1440" w:gutter="0" w:footer="0" w:header="0"/>
        </w:sectPr>
      </w:pPr>
    </w:p>
    <w:bookmarkStart w:id="11" w:name="page12"/>
    <w:bookmarkEnd w:id="11"/>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You should consider each of the following factors as well as the other information in this Annual Report in evaluating our business and our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industry is intensely competitive, and many of our competitors have greater financial, technical and sales and marketing resources and larger installed customer bases than we do, which could enable them to compete more effectively than we do.</w:t>
      </w:r>
    </w:p>
    <w:p>
      <w:pPr>
        <w:spacing w:after="0" w:line="3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data and information management software market is intensely competitive, highly fragmented and characterized by rapidly changing technology and evolving standards, changing customer requirements and frequent new product introductions. Competitors vary in size and in the scope and breadth of the products and services offered. Our primary competitors include Dell EMC, IBM, Veritas, Veeam, Rubrik and Cohesity.</w:t>
      </w:r>
    </w:p>
    <w:p>
      <w:pPr>
        <w:spacing w:after="0" w:line="1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principal competitive factors in our industry include product functionality, product integration, platform coverage, ability to scale, price, worldwide sales infrastructure, global technical support, name recognition and reputation. The ability of major system vendors to bundle hardware and software solutions is also a significant competitive factor in our industry. If we are unable to address these factors, our competitive position could weaken and we could experience a decline in revenues that could adversely affect our business.</w:t>
      </w:r>
    </w:p>
    <w:p>
      <w:pPr>
        <w:spacing w:after="0" w:line="13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current and potential competitors have longer operating histories and have substantially greater financial, technical, sales, marketing and other resources than we do, as well as larger installed customer bases, greater name recognition and broader product offerings, including hardware. Some of these competitors can devote greater resources to the development, promotion, sale and support of their products than we can and have the ability to bundle their hardware and software products in a combined offering. As a result, these competitors may be able to respond more quickly to new or emerging technologies and changes in customer requirements.</w:t>
      </w:r>
    </w:p>
    <w:p>
      <w:pPr>
        <w:spacing w:after="0" w:line="13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It is also costly and time-consuming to change data and information management systems. Most of our new customers have installed data and information management software, which gives an incumbent competitor an advantage in retaining a customer because it already understands the network infrastructure, user demands and information technology needs of the customer, and also because some customers are reluctant to invest the time and money necessary to change vendors.</w:t>
      </w:r>
    </w:p>
    <w:p>
      <w:pPr>
        <w:spacing w:after="0" w:line="13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current and potential competitors may establish cooperative relationships among themselves or with third parties. If so, new competitors or alliances that include our competitors may emerge that could acquire significant market share. In addition, large operating system and application vendors, as well as some hardware manufacturers, have introduced products or functionality that includes some of the same functions offered by our software applications. In the future, further development by these vendors could cause our software applications and services to become redundant, which could seriously harm our sales, results of operations and financial condition.</w:t>
      </w:r>
    </w:p>
    <w:p>
      <w:pPr>
        <w:spacing w:after="0" w:line="1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New competitors entering our markets can have a negative impact on our competitive positioning. In addition, we expect to encounter new competitors as we enter new markets. Furthermore, many of our existing competitors are broadening their operating systems platform coverage. We also expect increased competition from original equipment manufacturers, including those we partner with, and from systems and network management companies, especially those that have historically focused on the mainframe computer market and have been making acquisitions and broadening their efforts to include data and information management and storage products. We expect that competition will increase as a result of future software industry consolidation. Increased competition could harm our business by causing, among other things, price reductions of our products, reduced profitability and loss of market share.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88" w:right="259" w:bottom="1440" w:gutter="0" w:footer="0" w:header="0"/>
        </w:sectPr>
      </w:pPr>
    </w:p>
    <w:bookmarkStart w:id="12" w:name="page13"/>
    <w:bookmarkEnd w:id="12"/>
    <w:p>
      <w:pPr>
        <w:ind w:right="120"/>
        <w:spacing w:after="0" w:line="264" w:lineRule="auto"/>
        <w:rPr>
          <w:sz w:val="20"/>
          <w:szCs w:val="20"/>
          <w:color w:val="auto"/>
        </w:rPr>
      </w:pPr>
      <w:r>
        <w:rPr>
          <w:rFonts w:ascii="Arial" w:cs="Arial" w:eastAsia="Arial" w:hAnsi="Arial"/>
          <w:sz w:val="18"/>
          <w:szCs w:val="18"/>
          <w:b w:val="1"/>
          <w:bCs w:val="1"/>
          <w:i w:val="1"/>
          <w:iCs w:val="1"/>
          <w:color w:val="auto"/>
        </w:rPr>
        <w:t>We rely on indirect sales channels, such as value-added resellers, systems integrators, corporate resellers, distributors, and original equipment manufacturers, for the distribution of our software applications, and the failure of these channels to effectively sell our software applications could have a material adverse effect on our revenues and results of operations.</w:t>
      </w:r>
    </w:p>
    <w:p>
      <w:pPr>
        <w:spacing w:after="0" w:line="12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rely significantly on our value-added resellers, systems integrators and corporate resellers, which we collectively refer to as resellers, for the marketing and distribution of our software applications and services. Resellers are our most significant distribution channel. However, our agreements with resellers are generally not exclusive, are generally renewable annually, typically do not contain minimum sales requirements and in many cases may be terminated by either party without cause. Many of our resellers carry software applications that compete with ours. These resellers may give a higher priority to other software applications, including those of our competitors, or may not continue to carry our software applications at all. If a number of resellers were to discontinue or reduce the sales of our products, or were to promote our competitors’ products in lieu of our own, it could have a material adverse effect on our future revenues. Events or occurrences of this nature could seriously harm our sales and results of operations. If we fail to manage our resellers successfully, there may be conflicts between resellers or they could fail to perform as we anticipate, including required compliance with the terms and obligations of our reseller agreement, either of which could reduce our sales or impact our reputation in the market. In addition, we expect that a portion of our sales growth will depend upon our ability to identify and attract new reseller partners. Our competitors also use reseller arrangements and may be more successful in attracting reseller partners and could enter into exclusive relationships with resellers that make it difficult to expand our reseller network. Any failure on our part to maintain and/or expand our network of resellers could impair our ability to grow revenues in the future.</w:t>
      </w:r>
    </w:p>
    <w:p>
      <w:pPr>
        <w:spacing w:after="0" w:line="11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Some of our resellers possess significant resources and advanced technical abilities. These resellers, particularly our corporate resellers, may, either independently or jointly with our competitors, develop and market products and related services that compete with our offerings. If this were to occur, these resellers might discontinue marketing and distributing our software applications and services. In addition, these resellers would have an advantage over us when marketing their competing products and related services because of their existing customer relationships. The occurrence of any of these events could have a material adverse effect on our revenues and results of operations.</w:t>
      </w:r>
    </w:p>
    <w:p>
      <w:pPr>
        <w:spacing w:after="0" w:line="1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have a distribution agreement covering our North American commercial markets and our U.S. Federal Government market with Arrow. Pursuant to this distribution agreement, Arrow’s primary role is to enable a more efficient and effective distribution channel for our products and services by managing our reseller partners and leveraging their own industry experience. Many of our North American resellers buy from Arrow. Sales through our distribution agreement with Arrow accounted for approximately 38% of our total revenues for fiscal 2019 and 36% of our total revenues for fiscal 2018.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revenues.</w:t>
      </w:r>
    </w:p>
    <w:p>
      <w:pPr>
        <w:spacing w:after="0" w:line="13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original equipment manufacturers sell our software applications and in some cases incorporate our data and information management software into systems that they sell. A material portion of our revenues is generated through these arrangements. However, we have no control over the shipping dates or volumes of systems these original equipment manufacturers ship and they have no obligation to ship systems incorporating our software applications. They also have no obligation to recommend or offer our software applications exclusively or at all, and they have no minimum sales requirements and can terminate our relationship at any time. These original equipment manufacturers also could choose to develop their own data and information management software internally and incorporate those products into their systems instead of our software applications. The original equipment manufacturers that we do business with also compete with one another. If one of our original equipment manufacturer partners views our arrangement with another original equipment manufacturer as competing with its products, it may decide to stop doing business with us. Any material decrease in the volume of sales generated by original equipment manufacturers we do business with, as a result of these factors or otherwise, could have a material adverse effect on our revenues and results of operations in future periods. Sales through our original equipment manufacturer agreements accounted for approximately 11% of our total revenues for fiscal 2019 and 12% of our total revenues for fiscal 2018.</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respond to rapid technological changes with new software applications and services offerings, which could have a material adverse effect on our sales and profitability.</w:t>
      </w:r>
    </w:p>
    <w:p>
      <w:pPr>
        <w:spacing w:after="0" w:line="35"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The markets for our software applications are characterized by rapid technological changes, changing customer needs, frequent new product introductions and evolving industry standards. The introduction of software applications embodying new technologies and the emergence of new industry standards could make our existing and future software applications obsolete and unmarketable. As a result, we may not be able to accurately predict the lifecycle of our software applications, and they may become obsolete before we receive the amount of revenues that we anticipate from them. If any of the foregoing events were to occur, our ability to retain or increase market share in the data and information management software market could be materially adversely affected.</w:t>
      </w:r>
    </w:p>
    <w:p>
      <w:pPr>
        <w:spacing w:after="0" w:line="13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devote significant resources to the development of new products and the enhancement of existing products. To be successful, we need to anticipate, develop and introduce new software applications and services on a timely and cost-effective basis that keep pace with technological developments and emerging industry standards and that address the increasingly sophisticated needs of our customers. We may fail to develop and market software applications and services that respond to technological changes or evolving industry standards, experience difficulties that could delay or prevent the successful development, introduction and marketing of these applications and services or fail to develop applications and services that adequately meet the requirements of the marketplace or achieve market acceptance. Our failure to develop and market such applications and services on a timely basis, or at all, could have a material adverse effect on our sales and profitability.</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If the cost for annual maintenance and support agreements with our customers is not competitive in the market or if our customers do not renew their annual maintenance and support agreements either at all, or on terms that are less favorable to us, our business and financial performance might be adversely impacted.</w:t>
      </w:r>
    </w:p>
    <w:p>
      <w:pPr>
        <w:spacing w:after="0" w:line="12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Most of our maintenance agreements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do not renew their annual maintenance and support agreements either at all, or on terms that are less favorable to us, our business and financial performance might be adversely impacted.</w:t>
      </w:r>
    </w:p>
    <w:p>
      <w:pPr>
        <w:spacing w:after="0" w:line="133" w:lineRule="exact"/>
        <w:rPr>
          <w:sz w:val="20"/>
          <w:szCs w:val="20"/>
          <w:color w:val="auto"/>
        </w:rPr>
      </w:pPr>
    </w:p>
    <w:p>
      <w:pPr>
        <w:ind w:right="160"/>
        <w:spacing w:after="0" w:line="338" w:lineRule="auto"/>
        <w:rPr>
          <w:sz w:val="20"/>
          <w:szCs w:val="20"/>
          <w:color w:val="auto"/>
        </w:rPr>
      </w:pPr>
      <w:r>
        <w:rPr>
          <w:rFonts w:ascii="Arial" w:cs="Arial" w:eastAsia="Arial" w:hAnsi="Arial"/>
          <w:sz w:val="15"/>
          <w:szCs w:val="15"/>
          <w:b w:val="1"/>
          <w:bCs w:val="1"/>
          <w:i w:val="1"/>
          <w:iCs w:val="1"/>
          <w:color w:val="auto"/>
        </w:rPr>
        <w:t>We develop software applications that interoperate with certain software, operating systems and hardware developed by others, and if the developers of those operating systems and hardware do not cooperate with us or we are unable to devote the necessary resources so that our applications interoperate with those systems, our software development efforts may be delayed or foreclosed and our business and results of operations may be adversely affected.</w:t>
      </w:r>
    </w:p>
    <w:p>
      <w:pPr>
        <w:spacing w:after="0" w:line="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software applications operate primarily on the Windows, UNIX, Linux and Novell Netware operating systems; used in conjunction with Microsoft SQL; and on hardware devices of numerous manufacturers. When new or updated versions of these operating systems, software applications, and hardware devices are introduced, it is often necessary for us to develop updated versions of our software applications so that they interoperate properly with these systems and devices. We may not accomplish these development efforts quickly or cost-effectively, and it is not clear what the relative growth rates of these operating systems and hardware will be. These development efforts require the cooperation of the developers of the operating systems, software applications, and hardware, substantial capital investment and the devotion of substantial employee or financial resources. For some operating systems, we must obtain some proprietary application program interfaces from the owner in order to develop software applications that interoperate with the operating system. Operating system and software owners have no obligation to assist in these development efforts. If they do not provide us with assistance, the contractual right, or the necessary proprietary application program interfaces on a timely basis, we may experience delays or be unable to expand our software applications into other areas.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11" w:right="259" w:bottom="1440" w:gutter="0" w:footer="0" w:header="0"/>
        </w:sectPr>
      </w:pPr>
    </w:p>
    <w:bookmarkStart w:id="14" w:name="page15"/>
    <w:bookmarkEnd w:id="14"/>
    <w:p>
      <w:pPr>
        <w:ind w:right="40"/>
        <w:spacing w:after="0" w:line="334" w:lineRule="auto"/>
        <w:rPr>
          <w:sz w:val="20"/>
          <w:szCs w:val="20"/>
          <w:color w:val="auto"/>
        </w:rPr>
      </w:pPr>
      <w:r>
        <w:rPr>
          <w:rFonts w:ascii="Arial" w:cs="Arial" w:eastAsia="Arial" w:hAnsi="Arial"/>
          <w:sz w:val="16"/>
          <w:szCs w:val="16"/>
          <w:b w:val="1"/>
          <w:bCs w:val="1"/>
          <w:i w:val="1"/>
          <w:iCs w:val="1"/>
          <w:color w:val="auto"/>
        </w:rPr>
        <w:t>We have started selling a backup appliance which integrates our software with hardware. If we fail to accurately predict our manufacturing requirements and manage our supply chain we could incur additional costs or experience manufacturing delays that could harm our business.</w:t>
      </w:r>
    </w:p>
    <w:p>
      <w:pPr>
        <w:spacing w:after="0" w:line="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generally provide forecasts of our requirements to our supply chain partners on a rolling basis. If our forecast exceeds our actual requirements, a supply chain partner may assess additional charges or we may incur costs for excess inventory, each of which could negatively affect our gross margins. If our forecast is less than our actual requirements, the applicable supply chain partner may have insufficient time or components to produce or fulfill our product requirements, which could delay or interrupt manufacturing of our products or fulfillment of orders for our products, and result in delays in shipments, customer dissatisfaction, and deferral or loss of revenue. Further, we may be required to purchase sufficient inventory to satisfy our future needs in situations where a component or product is being discontinued. If we fail to accurately predict our requirements, we may be unable to fulfill those orders or we may be required to record charges for excess inventory. Any of the foregoing could adversely affect our business,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global economy could adversely impact our continued growth, results of operations and our ability to forecast future business.</w:t>
      </w:r>
    </w:p>
    <w:p>
      <w:pPr>
        <w:spacing w:after="0" w:line="11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our business has expanded globally, we have become increasingly subject to the risks arising from adverse changes in domestic and global economic and political conditions. Uncertainty in the macroeconomic environment and associated global economic conditions have resulted in volatility in credit, equity, debt and foreign currency markets as well as government budgets worldwide.</w:t>
      </w:r>
    </w:p>
    <w:p>
      <w:pPr>
        <w:spacing w:after="0" w:line="46"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These global economic conditions can result in slower economic activity, decreased consumer confidence, reduced corporate profits and capital spending, adverse business conditions and liquidity concerns. There has also been increased volatility in foreign exchange markets. These factors make it difficult for our customers, our vendors and us to accurately forecast and plan future business activities. In addition, these factors could cause customers to slow or defer spending on our software products and services, which would delay and lengthen sales cycles and negatively affect our results of operations. If such conditions deteriorate or if the pace of economic recovery is slower or more uneven, our results of operations could be adversely affected, we may not be able to sustain the growth rates we have experienced recently, and we could fail to meet the expectations of stock analysts and investors, which could cause the price of our common stock to decline.</w:t>
      </w:r>
    </w:p>
    <w:p>
      <w:pPr>
        <w:spacing w:after="0" w:line="13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continue to invest in our business in the Asia-Pacific and Europe, Middle East, and Africa regions. There are significant risks with overseas investments and growth prospects in these regions. Increased volatility or declines in the credit, equity, debt and foreign currency markets in these regions could cause delays in or cancellations of orders. Deterioration of economic conditions in the countries in which we do business could also cause slower or impaired collections on accounts receivable. In addition, we could experience delays in the payment obligations of our worldwide resellers if they experience weakness in the end-user market, which would increase our credit risk exposure and harm our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periods of volatile economic conditions, our exposure to credit risk and payment delinquencies on our accounts receivable significantly increases.</w:t>
      </w:r>
    </w:p>
    <w:p>
      <w:pPr>
        <w:spacing w:after="0" w:line="11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outstanding accounts receivables are generally not secured. Our standard terms and conditions permit payment within a specified number of days following the receipt of our product. Volatile economic conditions could result in our customers and resellers facing liquidity concerns leading to them not being able to satisfy their payment obligations to us, which would have a material adverse effect on our financial condition, operating results and cash flows.</w:t>
      </w:r>
    </w:p>
    <w:p>
      <w:pPr>
        <w:spacing w:after="0" w:line="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in the future we may transition a more significant percentage of our revenue to subscription, or term based, arrangements. In these arrangements, our customers may pay for software and related services over a period of several years. Due to the potential for extended period of collection, we may be exposed to more significant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in the future become, involved in litigation that may have a material adverse effect on our business.</w:t>
      </w:r>
    </w:p>
    <w:p>
      <w:pPr>
        <w:spacing w:after="0" w:line="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From time to time, we may become involved in various other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and cause us to incur significant expenses. Furthermore, because litigation is inherently uncertain, there can be no assurance that the results of any of these actions will not have a material adverse effect on our business, results of operations or financial condition.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11" w:right="239" w:bottom="1440" w:gutter="0" w:footer="0" w:header="0"/>
        </w:sectPr>
      </w:pPr>
    </w:p>
    <w:bookmarkStart w:id="15" w:name="page16"/>
    <w:bookmarkEnd w:id="15"/>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a decline in revenues or volatility in our quarterly operating results, which may adversely affect the market price of our common stock.</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cannot predict our future quarterly revenues or operating results with certainty because of many factors outside of our control. A significant revenue or profit decline, lowered forecasts or volatility in our operating results could cause the market price of our common stock to decline substantially. Factors that could affect our revenues and operating results include the following:</w:t>
      </w:r>
    </w:p>
    <w:p>
      <w:pPr>
        <w:spacing w:after="0" w:line="181" w:lineRule="exact"/>
        <w:rPr>
          <w:sz w:val="20"/>
          <w:szCs w:val="20"/>
          <w:color w:val="auto"/>
        </w:rPr>
      </w:pPr>
    </w:p>
    <w:p>
      <w:pPr>
        <w:ind w:left="980" w:right="680" w:hanging="243"/>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unpredictability of the timing and magnitude of orders for our software applications, particularly software transactions greater than $100,000 — in recent fiscal years, a majority of our quarterly revenues were earned and recorded near the end of each quarter;</w:t>
      </w:r>
    </w:p>
    <w:p>
      <w:pPr>
        <w:spacing w:after="0" w:line="123" w:lineRule="exact"/>
        <w:rPr>
          <w:rFonts w:ascii="Arial" w:cs="Arial" w:eastAsia="Arial" w:hAnsi="Arial"/>
          <w:sz w:val="16"/>
          <w:szCs w:val="16"/>
          <w:color w:val="auto"/>
        </w:rPr>
      </w:pPr>
    </w:p>
    <w:p>
      <w:pPr>
        <w:ind w:left="980" w:hanging="24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possibility that our customers may cancel, defer or limit purchases as a result of reduced information technology budgets;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customers may defer purchases of our software applications in anticipation of new software applications or updates from us or our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original equipment manufacturers and resellers to meet their sales objectives;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new applications and enhancements;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packaging and distribution terms or those of our competitors;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demands on our management, sales force and services infrastructure as a result of the introduction of new software applications or updates.</w:t>
      </w:r>
    </w:p>
    <w:p>
      <w:pPr>
        <w:spacing w:after="0" w:line="19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expense levels are relatively fixed and are based, in part, on our expectations of future revenues. If revenue levels fall below our expectations and we are profitable at the time, our net income would decrease because only a small portion of our expenses varies with our revenues. Therefore, any significant decline in revenues for any period could have an immediate adverse impact on our results of operations for that period. We believe that period-to-period comparisons of our results of operations should not be relied upon as an indication of future performance. In addition, our results of operations could be below expectations of public market analysts and investors in future periods, which would likely cause the market price of our common stock to decline.</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encounter long sales and implementation cycles, particularly for our larger customers, which could have an adverse effect on the size, timing and predictability of our revenues.</w:t>
      </w:r>
    </w:p>
    <w:p>
      <w:pPr>
        <w:spacing w:after="0" w:line="3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Potential or existing customers, particularly larger enterprise customers,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12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could expend significant funds and resources during a sales cycle and ultimately fail to win the customer. Our sales cycle for all of our products and services is subject to significant risks and delays over which we have little or no control, including:</w:t>
      </w:r>
    </w:p>
    <w:p>
      <w:pPr>
        <w:spacing w:after="0" w:line="6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budgetary constraints;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customers’ budget cycles and approval processes;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willingness to replace their current software solutions;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need to educate potential customers about the uses and benefits of our products and services;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expiration of our customers’ current license agreements or outsourcing agreements for similar services.</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If our sales cycles lengthen unexpectedly, they could adversely affect the timing of our revenues or increase costs, which may cause fluctuations in our quarterly revenues and results of operations. Finally, if we are unsuccessful in closing sales of our products after spending significant funds and management resources, our operating margins and results of operations could be adversely impacted, and the price of our common stock could decline.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368" w:right="319" w:bottom="1440" w:gutter="0" w:footer="0" w:header="0"/>
        </w:sectPr>
      </w:pPr>
    </w:p>
    <w:bookmarkStart w:id="16" w:name="page17"/>
    <w:bookmarkEnd w:id="16"/>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on growth in the data and information management software market, and lack of growth or contraction in this market could have a material adverse effect on our sales and financial condition.</w:t>
      </w:r>
    </w:p>
    <w:p>
      <w:pPr>
        <w:spacing w:after="0" w:line="3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Demand for data and information management software is linked to growth in the amount of data generated and stored, demand for data retention and management (whether as a result of regulatory requirements or otherwise) and demand for and adoption of new storage devices and networking technologies. Because our software applications are concentrated within the data and information management software market, if the demand for storage devices, storage software applications, storage capacity or storage networking devices declines, our sales, profitability and financial condition would be materially adversely affected. Segments of the computer and software industry have in the past experienced significant economic downturns. The occurrence of any of these factors in the data and information management software market could materially adversely affect our sales, profitability and financial condition.</w:t>
      </w:r>
    </w:p>
    <w:p>
      <w:pPr>
        <w:spacing w:after="0" w:line="13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Furthermore, the data and information management software market is dynamic and evolving. Our future financial performance will depend in large part on continued growth in the number of organizations adopting data and information management software for their computing environments. The market for data and information management software may not continue to grow at historic rates, or at all. If this market fails to grow or grows more slowly than we currently anticipate, our sales and profitability could be adversely affected.</w:t>
      </w:r>
    </w:p>
    <w:p>
      <w:pPr>
        <w:spacing w:after="0" w:line="21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b w:val="1"/>
          <w:bCs w:val="1"/>
          <w:i w:val="1"/>
          <w:iCs w:val="1"/>
          <w:color w:val="auto"/>
        </w:rPr>
        <w:t>Our software applications are complex and may contain undetected errors, which could adversely affect not only our software applications’ performance but also our reputation and the acceptance of our software applications in the market.</w:t>
      </w:r>
    </w:p>
    <w:p>
      <w:pPr>
        <w:spacing w:after="0" w:line="3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Software applications as complex as those we offer contain undetected errors or failures, especially when products are first introduced or new versions are released. Despite extensive testing by us and by our customers, we have in the past discovered errors in our software applications and will do so in the future. As a result of past discovered errors, we experienced delays and lost revenues while we corrected those software applications. In addition, customers in the past have brought to our attention “bugs” in our software created by the customers’ unique operating environments, which are often characterized by a wide variety of both standard and non-standard configurations that make pre-release testing very difficult and time consuming. Although we have been able to fix these software bugs in the past, we may not always be able to do so. Our software products may also be subject to intentional attacks by viruses that seek to take advantage of these bugs, errors or other weaknesses. Any of these events may result in the loss of, or delay in, market acceptance of our software applications and services, which would seriously harm our sales, results of operations and financial condition.</w:t>
      </w:r>
    </w:p>
    <w:p>
      <w:pPr>
        <w:spacing w:after="0" w:line="11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Furthermore, we believe that our reputation and name recognition are critical factors in our ability to compete and generate additional sales. Promotion and enhancement of our name will depend largely on our success in continuing to provide effective software applications and services. The occurrence of errors in our software applications or the detection of bugs by our customers may damage our reputation in the market and our relationships with our existing customers, and as a result, we may be unable to attract or retain customers.</w:t>
      </w:r>
    </w:p>
    <w:p>
      <w:pPr>
        <w:spacing w:after="0" w:line="13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because our software applications are used to manage data that is often critical to our customers, they may have a greater sensitivity to defects in our products than to defects in other, less critical, applications. As a result, the licensing and support of our software applications involve the risk of product liability claims. Our license agreements with our customers typically contain provisions designed to limit our exposure to potential product liability claims. However, the limitation of liability provisions contained in our license agreements vary and may not be effective as a result of existing or future national, federal, state, or local laws or ordinances or unfavorable judicial decisions. Although we have not experienced any material product liability claims to date, the sale and support of our products entail the risk of such claims, which could be substantial in light of the use of our products in enterprise-wide environments. In addition, our insurance against product liability may not be adequate to cover all potential claims.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9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Developing software is expensive, and the investment in product development may involve a long payback cycle. Our research and development expenses were $92.6 million, or 13% of our total revenues in fiscal 2019, $91.0 million, or 13% of our total revenues in fiscal 2018 and $79.6 million, or 12% of our total revenues in fiscal 2017. Our future plans include significant investments in software research and development and related product opportunities. We believe that we must continue to dedicate a significant amount of resources to our research and development efforts to maintain our competitive position. However, we may not recognize significant revenues from these investments for several years, if at all.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11" w:right="25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b w:val="1"/>
          <w:bCs w:val="1"/>
          <w:i w:val="1"/>
          <w:iCs w:val="1"/>
          <w:color w:val="auto"/>
        </w:rPr>
        <w:t>Change in senior management could cause disruption in the Company and have a material effect on our business. Furthermore, the loss of key personnel or the failure to attract and retain highly qualified personnel could have an adverse effect on our business.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had changes in senior management which could be disruptive to management and operations of the Company and could have a material effect on our business, operating results and financial conditions. Turnover at the senior management level may create instability within the Company, which could impede the Company’s day to day operations. Such instability could impede our ability to fully implement our business plan and growth strategy, which would harm our business and prospects.</w:t>
      </w:r>
    </w:p>
    <w:p>
      <w:pPr>
        <w:spacing w:after="0" w:line="5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future performance depends on the continued service of our key technical, sales, services and management personnel. We rely on our executive officers and senior management to execute our existing business operations and identify and pursue new growth opportunities. The loss of key employees could result in significant disruptions to our business, and the integration and training of replacement personnel could be time consuming, cause additional disruptions to our business and be unsuccessful. We do not carry key person life insurance covering any of our employees.</w:t>
      </w:r>
    </w:p>
    <w:p>
      <w:pPr>
        <w:spacing w:after="0" w:line="10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future success also depends on our continued ability to attract and retain highly qualified technical, sales, services and management personnel. Competition for such personnel is intense, and we may fail to retain our key technical, sales, services and management employees or attract or retain other highly qualified technical, sales, services and management personnel in the future.</w:t>
      </w:r>
    </w:p>
    <w:p>
      <w:pPr>
        <w:spacing w:after="0" w:line="12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in the past, we have experienced higher levels of turnover in our sales force compared to other employee groups in our company. Increases in the turnover rate of our sales force may affect our ability to generate license revenue growth. Although we have hired replacements in our sales force and are continuing to hire additional sales personnel to grow our business, we sometimes experience lower productivity from newly hired sales personnel for a period up to twelve months. In addition, we periodically make adjustments to our sales organization in response to a variety of internal and external factors, such as market opportunities, competitive threats, product introductions or enhancements and sales performance. Such adjustments could be temporarily disruptive and result in reduced productivity.</w:t>
      </w:r>
    </w:p>
    <w:p>
      <w:pPr>
        <w:spacing w:after="0" w:line="13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The volatility of our stock price may from time to time adversely affect our ability to attract or retain employees. If we are unable to hire or retain qualified employees across our organization, or conversely, if we fail to manage employee performance or reduce staffing levels when required by market conditions, our personnel costs would be excessive and our business and profitability could be adversely affected.</w:t>
      </w:r>
    </w:p>
    <w:p>
      <w:pPr>
        <w:spacing w:after="0" w:line="111"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Our Omnibus Plan has approximately 1.6 million shares left available for grant until we will be required to ask our shareholders for additional shares. If our shareholders do not approve additional shares it could make it difficult to attract, retain and motivate our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sales and operations are subject to factors that could have an adverse effect on our results of operations.</w:t>
      </w:r>
    </w:p>
    <w:p>
      <w:pPr>
        <w:spacing w:after="0" w:line="9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have significant sales and services operations outside the United States, and derive a substantial portion of our revenues from these operations. We also plan to continue to expand our international operations. We generated approximately 47% of our revenues from outside the United States in fiscal 2019 and 46% were outside the United States in fiscal 2018. International revenue increased 3% in fiscal 2019 compared to fiscal 2018. Expansion of our international operations will require a significant amount of attention from our management and substantial financial resources and might require us to add qualified management in these markets.</w:t>
      </w:r>
    </w:p>
    <w:p>
      <w:pPr>
        <w:spacing w:after="0" w:line="5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addition to facing risks similar to the risks faced by our domestic operations, our international operations are also subject to risks related to the differing legal, political, social and regulatory requirements and economic conditions of many countries, including:</w:t>
      </w:r>
    </w:p>
    <w:p>
      <w:pPr>
        <w:spacing w:after="0" w:line="3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staffing and managing our international operations;</w:t>
      </w:r>
    </w:p>
    <w:p>
      <w:pPr>
        <w:spacing w:after="0" w:line="90"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countries may impose additional withholding taxes or otherwise tax our foreign income, impose tariffs or adopt other restrictions on foreign trade or investment, including currency exchange controls;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coordinating the activities of our geographically dispersed and culturally diverse operations;</w:t>
      </w:r>
    </w:p>
    <w:p>
      <w:pPr>
        <w:spacing w:after="0" w:line="90"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economic conditions in the countries in which we operate, including seasonal reductions in business activity in the summer months in Europe and in other periods in other countries, could have an adverse effect on our earnings from operations in those countries;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11" w:right="259" w:bottom="1440" w:gutter="0" w:footer="0" w:header="0"/>
        </w:sectPr>
      </w:pPr>
    </w:p>
    <w:bookmarkStart w:id="18" w:name="page19"/>
    <w:bookmarkEnd w:id="18"/>
    <w:p>
      <w:pPr>
        <w:ind w:left="980" w:right="54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imposition of, or unexpected adverse changes in, foreign laws or regulatory requirements may occur, including those pertaining to export restrictions, privacy and data protection, trade and employment restrictions and intellectual property protections;</w:t>
      </w:r>
    </w:p>
    <w:p>
      <w:pPr>
        <w:spacing w:after="0" w:line="11"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for sales in foreign countries and difficulties in collecting accounts receivable;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local suppliers;</w:t>
      </w:r>
    </w:p>
    <w:p>
      <w:pPr>
        <w:spacing w:after="0" w:line="117"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greater risk of a failure of our employees and partners to comply with both U.S. and foreign laws, including antitrust regulations, the U.S. Foreign Corrupt Practices Act, the U.K. Bribery Act of 2010, and any trade regulations ensuring fair trade practices;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delays associated with developing software in multiple languages;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unrest, war or acts of terrorism.</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in emerging markets requires us to respond to rapid changes in market conditions in those markets. Our overall success in international markets depends, in part, upon our ability to succeed in differing legal, regulatory, economic, social and political conditions. We may not continue to succeed in developing and implementing policies and strategies that will be effective in each location where we do business. Furthermore, the occurrence of any of the foregoing factors may have a material adverse effect on our business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recently implemented a restructuring program, which we cannot guarantee will achieve its intended result.</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fiscal 2019 we initiated a restructuring plan to increase efficiency in our sales, marketing and distribution functions while reducing costs across all functional areas.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foreign currency exchange rates that could adversely impact our results of operations.</w:t>
      </w:r>
    </w:p>
    <w:p>
      <w:pPr>
        <w:spacing w:after="0" w:line="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international sales are generally denominated in foreign currencies, and this revenue could be materially affected by currency fluctuations. Our primary exposure is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could require us to reduce our prices to remain competitive in foreign markets, which could also have a material adverse effect on our results of operations. An unfavorable change in the exchange rate of foreign currencies against the U.S. dollar would result in lower revenues when translated into U.S. dollars, although operating expenditures would be lower as well.</w:t>
      </w:r>
    </w:p>
    <w:p>
      <w:pPr>
        <w:spacing w:after="0" w:line="1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recent fiscal years, we have selectively hedged our exposure to changes in foreign currency exchange rates on the balance sheet. In the future, we may enter into additional foreign currency-based hedging contracts to reduce our exposure to significant fluctuations in currency exchange rates on the balance sheet, although there can be no assurances that we will do so. However, as our international operations grow, or if dramatic fluctuations in foreign currency exchange rates continue or increase or if our hedging strategies become ineffective, the effect of changes in the foreign currency exchange rates could become material to revenue, operating expenses, and income.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49" w:right="259" w:bottom="1440" w:gutter="0" w:footer="0" w:header="0"/>
        </w:sectPr>
      </w:pPr>
    </w:p>
    <w:bookmarkStart w:id="19" w:name="page20"/>
    <w:bookmarkEnd w:id="19"/>
    <w:p>
      <w:pPr>
        <w:ind w:right="200"/>
        <w:spacing w:after="0" w:line="308" w:lineRule="auto"/>
        <w:rPr>
          <w:sz w:val="20"/>
          <w:szCs w:val="20"/>
          <w:color w:val="auto"/>
        </w:rPr>
      </w:pPr>
      <w:r>
        <w:rPr>
          <w:rFonts w:ascii="Arial" w:cs="Arial" w:eastAsia="Arial" w:hAnsi="Arial"/>
          <w:sz w:val="17"/>
          <w:szCs w:val="17"/>
          <w:b w:val="1"/>
          <w:bCs w:val="1"/>
          <w:i w:val="1"/>
          <w:iCs w:val="1"/>
          <w:color w:val="auto"/>
        </w:rPr>
        <w:t>Our ability to sell our software applications is highly dependent on the quality of our service offerings, and our failure to offer high quality support and professional services would have a material adverse effect on our sales of software applications and results of operations.</w:t>
      </w:r>
    </w:p>
    <w:p>
      <w:pPr>
        <w:spacing w:after="0" w:line="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services include the assessment and design of solutions to meet our customers’ storage management requirements and the efficient installation and deployment of our software applications based on specified business objectives. Further, once our software applications are deployed, our customers depend on us to resolve issues relating to our software applications. A high level of service is critical for the successful marketing and sale of our software. If we or our partners do not effectively install or deploy our applications, or succeed in helping our customers quickly resolve post-deployment issues, it would adversely affect our ability to sell software products to existing customers and could harm our reputation with prospective customers. As a result, our failure to maintain high quality support and professional services would have a material adverse effect on our sales of software applications and results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9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and we may in the future increase sales to government entities. However, government entities have recently announced reductions in, or experienced increased pressure to reduce spending. In particular, such measures have adversely affected European public sector transactions, and U.S. debt issues and budget concerns may adversely impact future U.S. public sector transactions. Such budgetary constraints or shifts in spending priorities of government entities may adversely affect sales of our products and services to such entities. In addition, sales to government entities are subject to a number of risks.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Government contracts may require the maintenance of certain security clearances for facilities and employees which can entail administrative time and effort possibly resulting in additional costs and delays. In addition, government demand for our products may be more volatile as they are affected by public sector budgetary cycles, funding authorizations, and the potential for funding reductions or delays, making the time to close such transactions more difficult to predict. This risk is enhanced as the size of such sales to the government entities increases. If the use of our products expands to more sensitive, secure or mission critical uses by our government customers, we may be subject to increased scrutiny, potential reputational risk, or potential liability should our products fail to perform as expected or should we not comply with the terms of our government contracts or government contracting requirements.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Most of our sales to government entities have been made indirectly through providers that sell our products. Government entities may have contractual or other legal rights to terminate contracts with our providers for convenience or due to a default, and any such termination may adversely impact our future results of operations. Governments routinely audit and investigate government contractors, and we may be subject to such audits and investigations. If an audit or investigation uncovers improper or illegal activities, including any misuse of confidential or classified information by our employees, we may be subject to civil or criminal penalties and administrative sanctions.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information technology system failures, network disruptions and breaches in data security.</w:t>
      </w:r>
    </w:p>
    <w:p>
      <w:pPr>
        <w:spacing w:after="0" w:line="9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Information technology system failures, network disruptions and breaches of data security could disrupt our operations by causing delays or cancellation of customer orders, impeding the shipment of software products, negatively affecting our service offerings, preventing the processing of transactions and reporting of financial results. Information technology system failures, network disruptions and breaches of data security could also result in the unintentional disclosure of customer or our information as well as damage our reputation. There can be no assurance that a system failure, network disruption or data security breach will not have a material adverse effect on our financial condition and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0" w:name="page21"/>
    <w:bookmarkEnd w:id="20"/>
    <w:p>
      <w:pPr>
        <w:ind w:right="380"/>
        <w:spacing w:after="0" w:line="277" w:lineRule="auto"/>
        <w:rPr>
          <w:sz w:val="20"/>
          <w:szCs w:val="20"/>
          <w:color w:val="auto"/>
        </w:rPr>
      </w:pPr>
      <w:r>
        <w:rPr>
          <w:rFonts w:ascii="Arial" w:cs="Arial" w:eastAsia="Arial" w:hAnsi="Arial"/>
          <w:sz w:val="18"/>
          <w:szCs w:val="18"/>
          <w:b w:val="1"/>
          <w:bCs w:val="1"/>
          <w:i w:val="1"/>
          <w:iCs w:val="1"/>
          <w:color w:val="auto"/>
        </w:rPr>
        <w:t>Protection of our intellectual property is limited, and any misuse of our intellectual property by others could materially adversely affect our sales and results of operations.</w:t>
      </w:r>
    </w:p>
    <w:p>
      <w:pPr>
        <w:spacing w:after="0" w:line="3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Our success depends significantly upon proprietary technology in our software, documentation and other written materials. To protect our proprietary rights, we rely on a combination of:</w:t>
      </w:r>
    </w:p>
    <w:p>
      <w:pPr>
        <w:spacing w:after="0" w:line="6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copyright and trademark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confidentiality procedures;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provisions.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These methods afford only limited protection. Despite this limited protection, any issued patent may not provide us with any competitive advantages or may be challenged by third parties, and the patents of others may seriously impede our ability to conduct our business. Further, our pending patent applications may not result in the issuance of patents, and any patents issued to us may not be timely or broad enough to protect our proprietary rights. We may also develop proprietary products or technologies that cannot be protected under patent law. We also seek to maintain certain intellectual property as trade secrets. The secrecy could be compromised by outside parties, or by our employees, which would cause us to lose the competitive advantage resulting from these trade secrets.</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software applications or to obtain and use information that we regard as proprietary. Policing unauthorized use of our software applications is difficult, and we expect software piracy to continue to be a persistent problem. In licensing our software applications, we typically rely on “shrink wrap” or “click wrap” licenses that are not signed by licensees. We may have difficulty enforcing these licenses in some jurisdictions. In addition, the laws of some foreign countries do not protect our proprietary rights to as great an extent as do the laws of the United States. Our attempts to protect our proprietary rights may not be adequate. Our competitors may independently develop similar technology, duplicate our software applications or design around patents issued to us or other intellectual property rights of ours. Litigation may be necessary in the future to enforce our intellectual property rights, protect our trade secrets or determine the validity and scope of the proprietary rights of others. Litigation could result in substantial costs and diversion of resources and management attention. In addition, from time to time we are participants or members of various industry standard-setting organizations or other industry technical organizations. Our participation or membership in such organizations may, in some circumstances, require us to enter into royalty or licensing agreements with third parties regarding our intellectual property under terms established by those organizations, which we may not find favorable. In addition, many of our agreements with our customers and partners require us to indemnify them for certain intellectual property infringement claims against them, which would increase our costs as a result of defending such claims, and may require that we pay significant damages if there were an adverse ruling in any such claims. Furthermore, such customers and partners may discontinue the use of our products, services, and technologies, as a result of injunctions or otherwise, which could result in loss of revenues and adversely impact our business.</w:t>
      </w: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that we misuse the intellectual property of others could subject us to significant liability and disrupt our business, which could have a material adverse effect on our results of operations and financial condition.</w:t>
      </w:r>
    </w:p>
    <w:p>
      <w:pPr>
        <w:spacing w:after="0" w:line="3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Due to the nature of our business, we may become subject to material claims of infringement by competitors and other third parties with respect to current or future software applications, trademarks or other proprietary rights. We expect that software developers will increasingly be subject to infringement claims as the number of software applications and competitors in our industry segment grows and the functionality of software applications in different industry segments overlaps. Future litigation may also involve third parties such as individuals, non-practicing entities, patent holding companies, and/or patent assertion entities that have no relevant product offerings or revenue in the marketplace, and against whom our own patents may provide little or no deterrence or protection. Such parties may purchase or otherwise obtain intellectual property assets for the purpose of monetizing these assets; they often make broad and sweeping claims of infringement against product manufacturing companies such as Commvault and its customers, seeking a percentage of sales as license fees, seeking injunctions to pressure us into taking a license, or a combination thereof. Claims such as these have increased in recent years and may continue to do so. Any such claims, whether meritorious or not, could be time-consuming, result in costly litigation, cause shipment delays or require us to enter into royalty or licensing agreements with third parties, which may not be available on terms that we deem acceptable, if at all. In addition,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claims could disrupt our business and have a material adverse effect on our results of operations and financial condition.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11" w:right="259" w:bottom="1440" w:gutter="0" w:footer="0" w:header="0"/>
        </w:sectPr>
      </w:pPr>
    </w:p>
    <w:bookmarkStart w:id="21" w:name="page22"/>
    <w:bookmarkEnd w:id="21"/>
    <w:p>
      <w:pPr>
        <w:ind w:right="60" w:firstLine="648"/>
        <w:spacing w:after="0" w:line="264" w:lineRule="auto"/>
        <w:rPr>
          <w:sz w:val="20"/>
          <w:szCs w:val="20"/>
          <w:color w:val="auto"/>
        </w:rPr>
      </w:pPr>
      <w:r>
        <w:rPr>
          <w:rFonts w:ascii="Arial" w:cs="Arial" w:eastAsia="Arial" w:hAnsi="Arial"/>
          <w:sz w:val="18"/>
          <w:szCs w:val="18"/>
          <w:color w:val="auto"/>
        </w:rPr>
        <w:t>In addition, we license and use software from third parties in our business. These third-party software licenses may not continue to be available to us on acceptable terms or at all, and may expose us to additional liability. This liability, or our inability to use any of this third-party software, could result in shipment delays or other disruptions in our business that could materially and adversely affect our operating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business and subjects us to possible litigation.</w:t>
      </w:r>
    </w:p>
    <w:p>
      <w:pPr>
        <w:spacing w:after="0" w:line="9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Some of the products or technologies acquired, licensed or developed by us may incorporate so-called “open source” software, and we may incorporate open source software into other products in the future. Such open source software is generally licensed by its authors or other third parties under open source licenses, including, for example, the GNU General Public License, the GNU Lesser General Public License, the Common Public License, “Apache-style” licenses, “Berkley Software Distribution or BSD-style” licenses and other open source licenses. We monitor our use of open source software to avoid subjecting our products to conditions we do not intend, but these efforts may not be successful. Although we believe that we have complied with our obligations under the various applicable licenses for open source software that we use, there is little or no legal precedent governing the interpretation of many of the terms of certain of these licenses, and therefore the potential impact of these terms on our business is somewhat unknown and may result in unanticipated obligations regarding our products and technologies. The use of such open source software may ultimately subject some of our products to unintended conditions, which may negatively affect our business, financial condition, operating results, cash flow and ability to commercialize our products or technologies.</w:t>
      </w:r>
    </w:p>
    <w:p>
      <w:pPr>
        <w:spacing w:after="0" w:line="12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Some of these open source licenses may subject us to certain conditions, including requirements that we offer our products that use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If an author or other third-party that distributes such open source software were to allege that we had not complied with the conditions of one or more of these licenses, we could be required to incur significant legal expenses defending against such allegations. If our defenses were not successful, we could be enjoined from the distribution of our products that contained the open source software and required to make the source code for the open source software available to others, to grant third parties certain rights of further use of our software or to remove the open source software from our products, which could disrupt the distribution and sale of some of our products. In addition, if we combine our proprietary software with open source software in a certain manner, under some open source licenses we could be required to release the source code of our proprietary software. If an author or other third-party that distributes open source software were to obtain a judgment against us based on allegations that we had not complied with the terms of any such open source licenses, we could also be subject to liability for copyright infringement damages and breach of contract for our past distribution of such open source software.</w:t>
      </w:r>
    </w:p>
    <w:p>
      <w:pPr>
        <w:spacing w:after="0" w:line="2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effective tax rate is difficult to project, and changes in such tax rate or adverse results of tax examinations could adversely affect our operating results.</w:t>
      </w:r>
    </w:p>
    <w:p>
      <w:pPr>
        <w:spacing w:after="0" w:line="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results of operations would be adversely affected to the extent that our geographical mix of income becomes more weighted toward jurisdictions with higher tax rates and would be favorably affected to the extent the relative geographic mix shifts to lower tax jurisdictions. Any change in our mix of earnings is dependent upon many factors and is therefore difficult to predict.</w:t>
      </w:r>
    </w:p>
    <w:p>
      <w:pPr>
        <w:spacing w:after="0" w:line="13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process of determining our anticipated tax liabilities involves many calculations and estimates that are inherently complex and make the ultimate tax obligation determination uncertain. As part of the process of preparing our consolidated financial statements, we are required to estimate our income taxes in each of the jurisdictions in which we operate prior to the completion and filing of tax returns for such periods. These estimates involve complex issues, require extended periods of time to resolve, and require us to make judgments, such as anticipating the outcomes of audits with tax authorities and the positions that we will take on tax returns prior to our actually preparing the returns.</w:t>
      </w:r>
    </w:p>
    <w:p>
      <w:pPr>
        <w:spacing w:after="0" w:line="11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Furthermore, our overall effective income tax rate and tax expenses may be affected by various factors in our business, including changes in our legal structure, changes in the geographic mix of income and expenses, changes in tax laws and applicable accounting pronouncements and variations in the estimated and actual level of annual profits before income tax.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2" w:name="page23"/>
    <w:bookmarkEnd w:id="22"/>
    <w:p>
      <w:pPr>
        <w:ind w:right="100" w:firstLine="648"/>
        <w:spacing w:after="0" w:line="272" w:lineRule="auto"/>
        <w:rPr>
          <w:sz w:val="20"/>
          <w:szCs w:val="20"/>
          <w:color w:val="auto"/>
        </w:rPr>
      </w:pPr>
      <w:r>
        <w:rPr>
          <w:rFonts w:ascii="Arial" w:cs="Arial" w:eastAsia="Arial" w:hAnsi="Arial"/>
          <w:sz w:val="17"/>
          <w:szCs w:val="17"/>
          <w:color w:val="auto"/>
        </w:rPr>
        <w:t>We also determine the need to record deferred tax liabilities and the recoverability of deferred tax assets. A valuation allowance is established to the extent recovery of deferred tax assets is not likely based on our estimation of future taxable income and other factors in each jurisdiction. In assessing the need for a valuation allowance in fiscal 2018, we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we determined that it is more likely than not that it will not realize the benefits of its gross deferred tax assets and therefore has recorded a valuation allowance to reduce the carrying value of these gross deferred tax assets, net of the impact of the reversal of taxable temporary differences, to zero.</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2017 Tax Cuts and Jobs Act (the Act) was enacted on December 22, 2017, and significantly affected U.S. tax law by changing how the U.S. imposes income tax on multinational corporations. The U.S. Department of Treasury has broad authority to issue regulations and interpretative guidance that may significantly impact how we will apply the law and impact our results of operations in the period issued. The Tax Act requires complex computations not previously provided in U.S. tax law. As such, the application of accounting guidance for such items is currently uncertain. Further, compliance with the Tax Act and the accounting for such provisions require accumulation of information not previously required or regularly produced. As additional regulatory guidance is issued by the applicable taxing authorities and as accounting treatment is clarified, we will perform additional analysis on the application of the law, and refine estimates in calculating the effect which may produce different results and will be reflected in the period the analysis is completed.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key financial systems used for internal purposes are cloud-based solutions provided by third parties.</w:t>
      </w:r>
    </w:p>
    <w:p>
      <w:pPr>
        <w:spacing w:after="0" w:line="25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Our enterprise resource planning system as well as certain other stand-alone internal financial systems are cloud-based solutions provided by third parties. The use of cloud-based systems provided by third parties exposes us to certain risks of those third parties. If a disruption of services by these third party cloud financial system providers were to occur it could have a material adverse effect on our financial position,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from investing in growth opportunities could impact our business.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may invest in growth opportunities, such as high-value market segments of enterprise computing, managed services and cloud computing. Even though we believe cloud computing, in its various forms, represents a long term industry trend in the way that applications are delivered, data is stored and information is retrieved, there can be no assurance that our investment in cloud, and related managed services and infrastructure management will be validated in the marketplace. Similarly, there is no assurance that our investments in high-value market segments will drive revenue growth or market share gains. Customer adoption rates and viable economic models are less certain in high-value and rapidly-growing segments, and new product and services offerings may unfavorably impact demand for our other products or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and adversely affected as a result of natural disasters, terrorism or other catastrophic events.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Any economic failure or other material disruption caused by natural disasters, including fires, floods, hurricanes, earthquakes, and tornadoes; power loss or shortages; environmental disasters; telecommunications or business information systems failures or break-ins and similar events could also adversely affect our ability to conduct business. If such disruptions result in cancellations of customer orders or contribute to a general decrease in economic activity or corporate spending on IT, or impair our ability to meet our customer demands, our operating results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30" w:right="259" w:bottom="1440" w:gutter="0" w:footer="0" w:header="0"/>
        </w:sectPr>
      </w:pPr>
    </w:p>
    <w:bookmarkStart w:id="23" w:name="page24"/>
    <w:bookmarkEnd w:id="23"/>
    <w:p>
      <w:pPr>
        <w:ind w:left="37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highly volatile and may decline regardless of our operating performance.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of our common stock could be subject to significant fluctuations in response to:</w:t>
      </w:r>
    </w:p>
    <w:p>
      <w:pPr>
        <w:spacing w:after="0" w:line="14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44"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treatment of our tax assets or liabilities or investment recommendations by securities analysts following our business or our competitors;</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our press releases, rumors, our other public announcements and our filings with the SEC;</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or interpretations or principles;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common stock by our directors, officers and significant stockholders;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or enhanced or new products by us or our competitors;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companies that investors may deem comparable to us;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 market and industry factors;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such events.</w:t>
      </w:r>
    </w:p>
    <w:p>
      <w:pPr>
        <w:spacing w:after="0" w:line="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market prices of software companies have been extremely volatile. Stock prices of many software companies have often fluctuated in a manner unrelated or disproportionate to the operating performance of such companies. In the past, following periods of market volatility, stockholders have often instituted securities class action litigation. Securities litigation could have a substantial cost and divert resources and the attention of management from our business.</w:t>
      </w:r>
    </w:p>
    <w:p>
      <w:pPr>
        <w:spacing w:after="0" w:line="21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Although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4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Pursuant to Section 404 of the Sarbanes-Oxley Act of 2002 (SOX 404), and the rules and regulations promulgated by the SEC to implement SOX 404, we are required to furnish a report in our Form 10-K regarding the effectiveness of our internal control over financial reporting. The report’s assessment of our internal control over financial reporting as of the end of our fiscal year must include disclosure of any material weaknesses in our internal control over financial reporting identified by management. Management’s assessment of internal control over financial reporting requires management to make subjective judgments and some of our judgments will be in areas that may be open to interpretation.</w:t>
      </w:r>
    </w:p>
    <w:p>
      <w:pPr>
        <w:spacing w:after="0" w:line="11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Although we currently believe our internal control over financial reporting is effective, the effectiveness of our internal controls in future periods is subject to the risk that our controls may become inadequate or may not operate effectively. In future years, if we fail to timely complete this assessment, or if our auditors cannot timely attest, there may be a loss of public confidence in our internal controls, the market price of our stock could decline and we could be subject to regulatory sanctions or investigations by the NASDAQ Stock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past several years, our organizational structure has increased in complexity due to compliance with tax regulations and tax accounting requirements and other regulatory and compliance requirements, including compliance with anti-corruption and anti-bribery laws such as the U.S. Foreign Corrupt Practices Act (the “FCPA”) and the UK Bribery Act of 2010 (the “UK Bribery Act”). Further, we have expanded our presence in the Asia-Pacific region, where business practices can differ from those in other regions of the world and can create internal control risks. We provide business practices training to our employees worldwide. Overall, the combination of increased structural complexity and the ever-increasing regulatory complexity make it more critical for us to attract and retain qualified and technically competent employees.</w:t>
      </w:r>
    </w:p>
    <w:p>
      <w:pPr>
        <w:spacing w:after="0" w:line="29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88" w:right="259" w:bottom="1440" w:gutter="0" w:footer="0" w:header="0"/>
        </w:sectPr>
      </w:pPr>
    </w:p>
    <w:bookmarkStart w:id="24" w:name="page25"/>
    <w:bookmarkEnd w:id="24"/>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Our principal administrative, sales, marketing, customer support and research and development facility is located at our owned corporate headquarters in Tinton Falls, New Jersey.</w:t>
      </w:r>
    </w:p>
    <w:p>
      <w:pPr>
        <w:spacing w:after="0" w:line="3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addition, we have offices in the United States in California, Colorado, Illinois, Minnesota, New York, Texas, and Virginia; and outside the United States in Australia, Brazil, Canada, China, France, Germany, India, Israel, Italy, Japan, Malaysia, Mexico, Netherlands, New Zealand, Poland, Russia, Saudi Arabia, Singapore, South Africa, South Korea, Spain, Sweden, Switzerland, Thailand, Turkey, United Arab Emirates, and United Kingdom.</w:t>
      </w:r>
    </w:p>
    <w:p>
      <w:pPr>
        <w:spacing w:after="0" w:line="25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25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88" w:right="27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720" w:firstLine="27"/>
        <w:spacing w:after="0" w:line="36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Global Market under the symbol “CVLT.”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9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May 1, 2019, there were approximately 48 holders of our common stock. The number of record holders does not represent the actual number of beneficial owners of shares of our common stock because shares are frequently held in street name by securities dealers and others for the benefit of individual owners who have the right to vote their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we intend to retain our future earnings, if any, to fund the growth of our business. We therefore do not anticipate paying any cash dividends on our common stock in the foreseeable future. Our future decisions concerning the payment of dividends on our common stock will depend upon our results of operations, financial condition and capital expenditure plans, as well as any other factors that the Board of Directors, in its sole discretion, may consider relevant.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March 31, 2014 and March 31, 2019, with the cumulative total return of (i) The NASDAQ Computer Index and (ii) The NASDAQ Composite Index, over the same period. This graph assumes the investment of $100,000 on March 31, 2014 in our common stock, The NASDAQ Composite Index and The NASDAQ Computer Index, and assumes the reinvestment of dividends, if any. The graph assumes the initial value of our common stock on March 31, 2014 was the closing sales price of $64.95 per share.</w:t>
      </w:r>
    </w:p>
    <w:p>
      <w:pPr>
        <w:spacing w:after="0" w:line="13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comparisons shown in the graph below are based upon historical data. The stock price performance shown in the graph below is not necessarily indicative of, nor is it intended to forecast, the future performance of our common stock. Information used in the graph was obtained from NASDAQ, a source we believe to be reliable, but we are not responsible for any errors or omissions in such information.</w:t>
      </w:r>
    </w:p>
    <w:p>
      <w:pPr>
        <w:spacing w:after="0" w:line="12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performance graph shall not be deemed “filed” for purposes of Section 18 of the Exchange Act or otherwise subject to the liabilities under that Section, and shall not be deemed to be incorporated by reference into any filing of Commvault under the Securities Act or the Exchange Act.</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26"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243205</wp:posOffset>
            </wp:positionV>
            <wp:extent cx="5257165" cy="411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9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6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3/31/2014</w:t>
            </w:r>
          </w:p>
        </w:tc>
        <w:tc>
          <w:tcPr>
            <w:tcW w:w="1280" w:type="dxa"/>
            <w:vAlign w:val="bottom"/>
            <w:tcBorders>
              <w:top w:val="single" w:sz="8" w:color="auto"/>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3/31/2015</w:t>
            </w:r>
          </w:p>
        </w:tc>
        <w:tc>
          <w:tcPr>
            <w:tcW w:w="1260" w:type="dxa"/>
            <w:vAlign w:val="bottom"/>
            <w:tcBorders>
              <w:top w:val="single" w:sz="8" w:color="auto"/>
              <w:bottom w:val="single" w:sz="8" w:color="auto"/>
              <w:right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3/31/2016</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3/31/2017</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3/31/2018</w:t>
            </w:r>
          </w:p>
        </w:tc>
        <w:tc>
          <w:tcPr>
            <w:tcW w:w="1240" w:type="dxa"/>
            <w:vAlign w:val="bottom"/>
            <w:tcBorders>
              <w:top w:val="single" w:sz="8" w:color="auto"/>
              <w:bottom w:val="single" w:sz="8" w:color="auto"/>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3/31/2019</w:t>
            </w:r>
          </w:p>
        </w:tc>
      </w:tr>
      <w:tr>
        <w:trPr>
          <w:trHeight w:val="275"/>
        </w:trPr>
        <w:tc>
          <w:tcPr>
            <w:tcW w:w="39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Commvault</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67.3</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66.5</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78.2</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88.1</w:t>
            </w:r>
          </w:p>
        </w:tc>
        <w:tc>
          <w:tcPr>
            <w:tcW w:w="12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99.7</w:t>
            </w:r>
          </w:p>
        </w:tc>
      </w:t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NASDAQ Composite Index</w:t>
            </w:r>
          </w:p>
        </w:tc>
        <w:tc>
          <w:tcPr>
            <w:tcW w:w="12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116.7</w:t>
            </w:r>
          </w:p>
        </w:tc>
        <w:tc>
          <w:tcPr>
            <w:tcW w:w="126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116.0</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140.8</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Arial" w:cs="Arial" w:eastAsia="Arial" w:hAnsi="Arial"/>
                <w:sz w:val="18"/>
                <w:szCs w:val="18"/>
                <w:color w:val="auto"/>
              </w:rPr>
              <w:t>168.2</w:t>
            </w:r>
          </w:p>
        </w:tc>
        <w:tc>
          <w:tcPr>
            <w:tcW w:w="1240" w:type="dxa"/>
            <w:vAlign w:val="bottom"/>
            <w:tcBorders>
              <w:top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184.1</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44"/>
        </w:trPr>
        <w:tc>
          <w:tcPr>
            <w:tcW w:w="39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NASDAQ Computer Index</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119.6</w:t>
            </w:r>
          </w:p>
        </w:tc>
        <w:tc>
          <w:tcPr>
            <w:tcW w:w="126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126.5</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158.9</w:t>
            </w:r>
          </w:p>
        </w:tc>
        <w:tc>
          <w:tcPr>
            <w:tcW w:w="1240" w:type="dxa"/>
            <w:vAlign w:val="bottom"/>
            <w:tcBorders>
              <w:bottom w:val="single" w:sz="8" w:color="CCEEFF"/>
              <w:right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200.3</w:t>
            </w:r>
          </w:p>
        </w:tc>
        <w:tc>
          <w:tcPr>
            <w:tcW w:w="1240" w:type="dxa"/>
            <w:vAlign w:val="bottom"/>
            <w:tcBorders>
              <w:bottom w:val="single" w:sz="8" w:color="CCEEFF"/>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223.4</w:t>
            </w:r>
          </w:p>
        </w:tc>
      </w:tr>
      <w:tr>
        <w:trPr>
          <w:trHeight w:val="20"/>
        </w:trPr>
        <w:tc>
          <w:tcPr>
            <w:tcW w:w="39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the three months ended March 31, 2019, we repurchased $40.0 million of common stock (0.6 million shares). During the year ended March 31, 2019, we repurchased $132.7 million of common stock (2.1 million shares), under our repurchase program.</w:t>
      </w:r>
    </w:p>
    <w:p>
      <w:pPr>
        <w:spacing w:after="0" w:line="17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number of shares</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6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Total of Purchases</w:t>
            </w:r>
          </w:p>
        </w:tc>
        <w:tc>
          <w:tcPr>
            <w:tcW w:w="100" w:type="dxa"/>
            <w:vAlign w:val="bottom"/>
          </w:tcPr>
          <w:p>
            <w:pPr>
              <w:spacing w:after="0"/>
              <w:rPr>
                <w:sz w:val="12"/>
                <w:szCs w:val="12"/>
                <w:color w:val="auto"/>
              </w:rPr>
            </w:pPr>
          </w:p>
        </w:tc>
        <w:tc>
          <w:tcPr>
            <w:tcW w:w="1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205"/>
        </w:trPr>
        <w:tc>
          <w:tcPr>
            <w:tcW w:w="1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 the program</w:t>
            </w:r>
          </w:p>
        </w:tc>
        <w:tc>
          <w:tcPr>
            <w:tcW w:w="0" w:type="dxa"/>
            <w:vAlign w:val="bottom"/>
          </w:tcPr>
          <w:p>
            <w:pPr>
              <w:spacing w:after="0"/>
              <w:rPr>
                <w:sz w:val="1"/>
                <w:szCs w:val="1"/>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January 2019</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151,055,030</w:t>
            </w:r>
          </w:p>
        </w:tc>
        <w:tc>
          <w:tcPr>
            <w:tcW w:w="0" w:type="dxa"/>
            <w:vAlign w:val="bottom"/>
          </w:tcPr>
          <w:p>
            <w:pPr>
              <w:spacing w:after="0"/>
              <w:rPr>
                <w:sz w:val="1"/>
                <w:szCs w:val="1"/>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February 2019</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125,600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8,500,657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394"/>
              <w:spacing w:after="0"/>
              <w:rPr>
                <w:sz w:val="20"/>
                <w:szCs w:val="20"/>
                <w:color w:val="auto"/>
              </w:rPr>
            </w:pPr>
            <w:r>
              <w:rPr>
                <w:rFonts w:ascii="Arial" w:cs="Arial" w:eastAsia="Arial" w:hAnsi="Arial"/>
                <w:sz w:val="18"/>
                <w:szCs w:val="18"/>
                <w:color w:val="auto"/>
              </w:rPr>
              <w:t>142,554,373</w:t>
            </w: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March 2019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31,513,311</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111,041,062</w:t>
            </w:r>
          </w:p>
        </w:tc>
        <w:tc>
          <w:tcPr>
            <w:tcW w:w="0" w:type="dxa"/>
            <w:vAlign w:val="bottom"/>
          </w:tcPr>
          <w:p>
            <w:pPr>
              <w:spacing w:after="0"/>
              <w:rPr>
                <w:sz w:val="1"/>
                <w:szCs w:val="1"/>
                <w:color w:val="auto"/>
              </w:rPr>
            </w:pPr>
          </w:p>
        </w:tc>
      </w:tr>
      <w:tr>
        <w:trPr>
          <w:trHeight w:val="20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Three months ended</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611,122</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65.48</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40,013,968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740" w:type="dxa"/>
            <w:vAlign w:val="bottom"/>
            <w:gridSpan w:val="2"/>
            <w:vMerge w:val="restart"/>
          </w:tcPr>
          <w:p>
            <w:pPr>
              <w:ind w:left="40"/>
              <w:spacing w:after="0"/>
              <w:rPr>
                <w:sz w:val="20"/>
                <w:szCs w:val="20"/>
                <w:color w:val="auto"/>
              </w:rPr>
            </w:pPr>
            <w:r>
              <w:rPr>
                <w:rFonts w:ascii="Arial" w:cs="Arial" w:eastAsia="Arial" w:hAnsi="Arial"/>
                <w:sz w:val="18"/>
                <w:szCs w:val="18"/>
                <w:color w:val="auto"/>
              </w:rPr>
              <w:t>March 31, 2019</w:t>
            </w:r>
          </w:p>
        </w:tc>
        <w:tc>
          <w:tcPr>
            <w:tcW w:w="1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27" w:name="page28"/>
    <w:bookmarkEnd w:id="27"/>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our financial statements and related notes, “Risk Factors” and “Management’s Discussion and Analysis of Financial Condition and Results of Operations” included elsewhere in this Annual Report on Form 10-K. The selected statements of operations and the selected balance sheet data are derived from our audited financial statements. The historical results presented below are not necessarily indicative of the results to be expected in any future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60" w:type="dxa"/>
            <w:vAlign w:val="bottom"/>
            <w:gridSpan w:val="6"/>
          </w:tcPr>
          <w:p>
            <w:pPr>
              <w:jc w:val="center"/>
              <w:ind w:left="491"/>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 and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311,745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290,668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283,254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401,058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387,648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354,337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335,676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324,289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699,393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645,005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 and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91,315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90,929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79,626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117,006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593,951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601,241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559,813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511,055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525,475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370,088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410,727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383,933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349,199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335,980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61,376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81,199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80,830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9,611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589,043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602,187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561,055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506,945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486,691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Equity in loss of affiliate</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38,892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25,650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p>
      <w:pPr>
        <w:spacing w:after="0" w:line="5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Weighted average shares used in computing per share amounts: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jc w:val="right"/>
              <w:ind w:right="30"/>
              <w:spacing w:after="0"/>
              <w:rPr>
                <w:sz w:val="20"/>
                <w:szCs w:val="20"/>
                <w:color w:val="auto"/>
              </w:rPr>
            </w:pPr>
            <w:r>
              <w:rPr>
                <w:rFonts w:ascii="Arial" w:cs="Arial" w:eastAsia="Arial" w:hAnsi="Arial"/>
                <w:sz w:val="18"/>
                <w:szCs w:val="18"/>
                <w:color w:val="auto"/>
              </w:rPr>
              <w:t>45,827</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45,242</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44,700</w:t>
            </w:r>
          </w:p>
        </w:tc>
        <w:tc>
          <w:tcPr>
            <w:tcW w:w="1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45,159</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45,464</w:t>
            </w:r>
          </w:p>
        </w:tc>
      </w:tr>
      <w:tr>
        <w:trPr>
          <w:trHeight w:val="27"/>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1420" w:type="dxa"/>
            <w:vAlign w:val="bottom"/>
          </w:tcPr>
          <w:p>
            <w:pPr>
              <w:jc w:val="right"/>
              <w:ind w:right="30"/>
              <w:spacing w:after="0"/>
              <w:rPr>
                <w:sz w:val="20"/>
                <w:szCs w:val="20"/>
                <w:color w:val="auto"/>
              </w:rPr>
            </w:pPr>
            <w:r>
              <w:rPr>
                <w:rFonts w:ascii="Arial" w:cs="Arial" w:eastAsia="Arial" w:hAnsi="Arial"/>
                <w:sz w:val="18"/>
                <w:szCs w:val="18"/>
                <w:color w:val="auto"/>
              </w:rPr>
              <w:t>47,601</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45,242</w:t>
            </w: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44,700</w:t>
            </w:r>
          </w:p>
        </w:tc>
        <w:tc>
          <w:tcPr>
            <w:tcW w:w="10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46,489</w:t>
            </w:r>
          </w:p>
        </w:tc>
        <w:tc>
          <w:tcPr>
            <w:tcW w:w="12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47,222</w:t>
            </w:r>
          </w:p>
        </w:tc>
      </w:tr>
      <w:tr>
        <w:trPr>
          <w:trHeight w:val="27"/>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-213995</wp:posOffset>
            </wp:positionV>
            <wp:extent cx="724662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3900" w:space="220"/>
            <w:col w:w="7300"/>
          </w:cols>
          <w:pgMar w:left="240" w:top="688" w:right="239" w:bottom="1440" w:gutter="0" w:footer="0" w:header="0"/>
          <w:type w:val="continuous"/>
        </w:sectPr>
      </w:pPr>
    </w:p>
    <w:p>
      <w:pPr>
        <w:ind w:right="40"/>
        <w:spacing w:after="0" w:line="273" w:lineRule="auto"/>
        <w:rPr>
          <w:sz w:val="20"/>
          <w:szCs w:val="20"/>
          <w:color w:val="auto"/>
        </w:rPr>
      </w:pPr>
      <w:r>
        <w:rPr>
          <w:rFonts w:ascii="Arial" w:cs="Arial" w:eastAsia="Arial" w:hAnsi="Arial"/>
          <w:sz w:val="14"/>
          <w:szCs w:val="14"/>
          <w:color w:val="auto"/>
        </w:rPr>
        <w:t>Note: Commvault adopted Accounting Standards Codification (ASC) Topic 606, Revenue from Contracts with Customers, in fiscal 2018 using the full retrospective method. As a result, all financial information beginning in fiscal 2016 was restated. Information for 2015 has not been restated for the adoption of ASC 606 and is, therefore, not comparable.</w:t>
      </w:r>
    </w:p>
    <w:p>
      <w:pPr>
        <w:spacing w:after="0" w:line="120" w:lineRule="exact"/>
        <w:rPr>
          <w:sz w:val="20"/>
          <w:szCs w:val="20"/>
          <w:color w:val="auto"/>
        </w:rPr>
      </w:pPr>
    </w:p>
    <w:p>
      <w:pPr>
        <w:jc w:val="both"/>
        <w:ind w:right="280"/>
        <w:spacing w:after="0" w:line="257" w:lineRule="auto"/>
        <w:rPr>
          <w:sz w:val="20"/>
          <w:szCs w:val="20"/>
          <w:color w:val="auto"/>
        </w:rPr>
      </w:pPr>
      <w:r>
        <w:rPr>
          <w:rFonts w:ascii="Arial" w:cs="Arial" w:eastAsia="Arial" w:hAnsi="Arial"/>
          <w:sz w:val="14"/>
          <w:szCs w:val="14"/>
          <w:color w:val="auto"/>
        </w:rPr>
        <w:t>Subsequent to the issuance of the financial statements for the year ended March 31, 2018, the Company concluded that the Statement of Operations for prior years contained an immaterial error related to the classification of legal fees related to intellectual property as Research and Development expenses and not General and Administrative expenses. These immaterial errors have been corrected in the table above. These immaterial errors did not have any impact on net income.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8"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As of March 31,</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327,992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330,784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329,491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288,107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337,673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130,338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131,637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120,693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99,072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328,656</w:t>
            </w:r>
          </w:p>
        </w:tc>
        <w:tc>
          <w:tcPr>
            <w:tcW w:w="4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322,615</w:t>
            </w: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318,142</w:t>
            </w:r>
          </w:p>
        </w:tc>
        <w:tc>
          <w:tcPr>
            <w:tcW w:w="4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252,413</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267,480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822,453</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818,642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829,878</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714,573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713,466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337,696</w:t>
            </w:r>
          </w:p>
        </w:tc>
        <w:tc>
          <w:tcPr>
            <w:tcW w:w="4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325,774</w:t>
            </w:r>
          </w:p>
        </w:tc>
        <w:tc>
          <w:tcPr>
            <w:tcW w:w="24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279,902</w:t>
            </w:r>
          </w:p>
        </w:tc>
        <w:tc>
          <w:tcPr>
            <w:tcW w:w="4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244,866</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229,735</w:t>
            </w:r>
          </w:p>
        </w:tc>
      </w:tr>
    </w:tbl>
    <w:p>
      <w:pPr>
        <w:spacing w:after="0" w:line="224" w:lineRule="exact"/>
        <w:rPr>
          <w:sz w:val="20"/>
          <w:szCs w:val="20"/>
          <w:color w:val="auto"/>
        </w:rPr>
      </w:pPr>
    </w:p>
    <w:p>
      <w:pPr>
        <w:ind w:right="140"/>
        <w:spacing w:after="0" w:line="312" w:lineRule="auto"/>
        <w:rPr>
          <w:sz w:val="20"/>
          <w:szCs w:val="20"/>
          <w:color w:val="auto"/>
        </w:rPr>
      </w:pPr>
      <w:r>
        <w:rPr>
          <w:rFonts w:ascii="Arial" w:cs="Arial" w:eastAsia="Arial" w:hAnsi="Arial"/>
          <w:sz w:val="13"/>
          <w:szCs w:val="13"/>
          <w:color w:val="auto"/>
        </w:rPr>
        <w:t>Note: Commvault adopted Accounting Standards Codification (ASC) Topic 606, Revenue from Contracts with Customers, in fiscal 2018 using the full retrospective method and as a result restated balance sheet information beginning with fiscal 2017. Previously reported information for 2016 and 2015 has not been restated and is, therefore, not comparable to the other periods.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41" w:right="239" w:bottom="1440" w:gutter="0" w:footer="0" w:header="0"/>
        </w:sectPr>
      </w:pPr>
    </w:p>
    <w:bookmarkStart w:id="29" w:name="page30"/>
    <w:bookmarkEnd w:id="29"/>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Annual Report on Form 10-K.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and elsewhere in this Annual Report on Form 10-K. Our actual results may differ materially from those contained in or implied by any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Commvault is a leading provider of data and information management software products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In fiscal 2018 the Company also started selling appliances that integrate the Commvault software with hardware and address a wide-range of business needs and use cases, ranging from support for remote or branch offices with limited IT staff up to large corporate data centers. The Company also provides customers with a broad range of professional services that are delivered by our worldwide support and field operations.</w:t>
      </w:r>
    </w:p>
    <w:p>
      <w:pPr>
        <w:spacing w:after="0" w:line="11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Commvault software enables our customers to simply and cost effectively protect and manage their enterprise data throughout its lifecycle, from the mobile worker to the remote office, to the data center, covering the leading operating systems, relational databases, virtualized environments and applications. In addition to addressing today’s data and information management challenges, our customers can realize lower capital costs through more efficient use of their enterprise-wide storage infrastructure assets. This includes the automated movement of data from higher cost to lower cost storage devices throughout its lifecycle, and through sharing and better utilization of storage resources across the enterprise. We can also provide our customers with reduced operating costs through a variety of methods, including fast application deployment, reduced training time, lower cost of storage media consumables, proactive monitoring and analysis, and lower administrative overhead. We also provide our customers with a broad range of professional services that are delivered by our worldwide support and field operations. As of March 31, 2019 we had licensed our software applications to over 28,000 registered customers.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History and Background</w:t>
      </w:r>
    </w:p>
    <w:p>
      <w:pPr>
        <w:spacing w:after="0" w:line="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early 2000, we launched Commvault Galaxy for backup and recovery, a storage industry award winner. In the years since, Commvault has forged numerous alliances with top software application and hardware vendors to enhance capabilities and to create a premiere suite of data and information management solutions. In 2002, we launched our single-platform technology that provides the foundation of our information management approach to storing, managing, and accessing data.</w:t>
      </w:r>
    </w:p>
    <w:p>
      <w:pPr>
        <w:spacing w:after="0" w:line="13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Historically, our software licenses have typically provided for a perpetual right to use our software and were sold on a per terabyte capacity basis, per solution sets instance basis, on a per-copy basis, or as site licenses. Capacity based software licenses provide our customers with unlimited licenses of specified software products based on a defined level of terabytes of data under management. As a result, when we sell our platform through a terabyte based capacity license, certain of the various Commvault functionalities are bundled into one capacity based price. Instance based licenses are typically sold for a certain amount of virtual machine backups, endpoints, or email boxes. These instance based licenses also include various functionalities bundled into one instance based price. Site licenses give the customer the additional right to deploy the software on a limited basis during a specified term.</w:t>
      </w:r>
    </w:p>
    <w:p>
      <w:pPr>
        <w:spacing w:after="0" w:line="1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fiscal 2019, we continued to focus on subscription and other repeatable revenue arrangements in the market. Any of our licensing models (capacity, instance based, etc.) can be sold via a subscription arrangement. In these arrangements the customer has the right to use the software over a designated period of time. The capacity of the license is fixed and the customer has made an unconditional commitment to pay. Software revenue in these arrangements is recognized when the software is delivered. During the fiscal year ended March 31, 2019, approximately 40% of software license revenue was sold under a subscription model. We expect revenue from these types of arrangements as a percentage of our total revenue to continue increase in the next few years. We also sell to some customers, primarily managed service providers, via utility, or pay-as-you-go models. In these arrangements actual usage is regularly measured and billed. Revenue in these utility arrangements is recognized as the software is used.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8" w:right="239" w:bottom="1440" w:gutter="0" w:footer="0" w:header="0"/>
        </w:sectPr>
      </w:pPr>
    </w:p>
    <w:bookmarkStart w:id="30" w:name="page31"/>
    <w:bookmarkEnd w:id="30"/>
    <w:p>
      <w:pPr>
        <w:ind w:right="100" w:firstLine="648"/>
        <w:spacing w:after="0" w:line="253" w:lineRule="auto"/>
        <w:rPr>
          <w:sz w:val="20"/>
          <w:szCs w:val="20"/>
          <w:color w:val="auto"/>
        </w:rPr>
      </w:pPr>
      <w:r>
        <w:rPr>
          <w:rFonts w:ascii="Arial" w:cs="Arial" w:eastAsia="Arial" w:hAnsi="Arial"/>
          <w:sz w:val="18"/>
          <w:szCs w:val="18"/>
          <w:color w:val="auto"/>
        </w:rPr>
        <w:t>The industry in which we currently operate continues to go through accelerating changes as the result of compounding data growth and the introduction of new technologies. We are continuing to pursue an aggressive product development program in both data and information management solutions. Our data management solutions include not only traditional backup, but also new innovations in de-duplication, data movement, virtualization, snap-based backups and enterprise reporting. Our information management innovations are primarily in the areas of archiving, eDiscovery, records management, governance, operational reporting and compliance. We remain focused on both the data and information management trends in the marketplace and, in fact, a material portion of our existing research and development expenses are utilized toward the development of such new technologies discussed above.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4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In fiscal 2018 we also started selling a backup appliance which integrates our software with hardware. If our forecast exceeds our actual requirements, a supply chain partner may assess additional charges or we may incur costs related to excess inventory, each of which could negatively affect our gross margins.</w:t>
      </w:r>
    </w:p>
    <w:p>
      <w:pPr>
        <w:spacing w:after="0" w:line="104"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derive a significant portion of our total revenues from sales of licenses of our software applications. We do not customize our software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44% of our total revenues for fiscal 2019 and 45% in fiscal 2018 and fiscal 2017.</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fiscal years, we generated approximately three-quarters of our software and products revenue from our existing customer base and approximately one-quarter of our software and products revenue from new customers. In addition, our total software and products revenue in any particular period is, to a certain extent, dependent upon our ability to generate revenues from large customer software and products deals, which we refer to as enterprise transactions. Enterprise transactions (transactions greater than $0.1 million) represented approximately 65% of our software and products revenue in fiscal 2019, 59% for fiscal 2018 and 56% for fiscal 2017.</w:t>
      </w:r>
    </w:p>
    <w:p>
      <w:pPr>
        <w:spacing w:after="0" w:line="13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Software and products revenue generated through indirect distribution channels was 93% of total software and products revenue in fiscal 2019, 86% in fiscal 2018 and 87% in fiscal 2017. Software and products revenue generated through direct distribution channels was 7% of total software and products revenue in fiscal 2019, 14% in fiscal 2018 and 13% in fiscal 2017. The dollar value of software and products revenue generated through indirect distribution channels increased approximately $19.7 million, or 7%, in fiscal 2019 compared to fiscal 2018. The dollar value of software and products revenue generated through direct distribution decreased $21.6 million, or 50%, in fiscal 2019 compared to fiscal 2018. Deals initiated by our direct sales force are sometimes transacted through indirect channels based on end-user customer requirements, which are not always in our control and can cause this overall percentage split to vary from fiscal year to fiscal year. As such, there may be fluctuations in the dollars and percentage of software and products revenue generated through our direct distribution channels from time to 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2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primary original equipment manufacturer agreement is with Hitachi Vantara (Hitachi) and allows them to market, sell and support our software applications and services on a stand-alone basis and/or incorporate our software applications into their own hardware products. Our OEM partners, including Hitachi, have no obligation to recommend or offer our software applications exclusively or at all, and they have no minimum sales requirements and can terminate our relationship at any time.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1" w:name="page32"/>
    <w:bookmarkEnd w:id="31"/>
    <w:p>
      <w:pPr>
        <w:ind w:right="80" w:firstLine="648"/>
        <w:spacing w:after="0" w:line="272" w:lineRule="auto"/>
        <w:rPr>
          <w:sz w:val="20"/>
          <w:szCs w:val="20"/>
          <w:color w:val="auto"/>
        </w:rPr>
      </w:pPr>
      <w:r>
        <w:rPr>
          <w:rFonts w:ascii="Arial" w:cs="Arial" w:eastAsia="Arial" w:hAnsi="Arial"/>
          <w:sz w:val="17"/>
          <w:szCs w:val="17"/>
          <w:color w:val="auto"/>
        </w:rPr>
        <w:t>We also have non-exclusive distribution agreements covering our North American commercial markets and our U.S. Federal Government market with Arrow Enterprise Computing Solutions, Inc. (Arrow), a subsidiary of Arrow Electronics,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38% of our total revenues through Arrow in fiscal 2019, approximately 36% of our total revenues in fiscal 2018 and approximately 36% of our total revenues in fiscal 2017. If Arrow was to discontinue or reduce the sales of our products or if our agreement with Arrow was terminated, and if we were unable to take back the management of our reseller channel or find another North American distributor to replace Arrow, then it could have a material adverse effect on our future business.</w:t>
      </w:r>
    </w:p>
    <w:p>
      <w:pPr>
        <w:spacing w:after="0" w:line="12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services revenue was 56% of our total revenues for fiscal 2019 and 55% in fiscal 2018 and fiscal 2017.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w:t>
      </w:r>
    </w:p>
    <w:p>
      <w:pPr>
        <w:spacing w:after="0" w:line="10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Most of our customer support agreements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w:t>
      </w:r>
    </w:p>
    <w:p>
      <w:pPr>
        <w:spacing w:after="0" w:line="13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gross margin of our services revenue was 77% for fiscal 2019, fiscal 2018 and fiscal 2017. Overall, our services revenue has lower gross margins than our software and products revenue. The gross margin of our software and products revenue was 92% for fiscal 2019, 98% for fiscal 2018 and 99% for fiscal 2017. The decrease in gross margin percentage of software and products is a result of the increase in sales of our integrated appliance, which includes hardware. An increase in the percentage of total revenues represented by services revenue may adversely affect our overall gross margin percentage.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During fiscal 2019, Joseph F. Eazor, former CEO of Rackspace, Inc (Rackspace), was a Director on our board. Rackspace has been a customer of ours since 2006. On July 31, 2018, Joseph F. Eazor resigned from our Board of Directors. Total recognized revenue related to Rackspace for fiscal 2019 through July 31, 2018 was $0.6 million.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Description of Costs and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revenues is as follows:</w:t>
      </w:r>
    </w:p>
    <w:p>
      <w:pPr>
        <w:spacing w:after="0" w:line="225" w:lineRule="exact"/>
        <w:rPr>
          <w:sz w:val="20"/>
          <w:szCs w:val="20"/>
          <w:color w:val="auto"/>
        </w:rPr>
      </w:pPr>
    </w:p>
    <w:p>
      <w:pPr>
        <w:ind w:left="980" w:right="20" w:hanging="243"/>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Software and Products Revenue</w:t>
      </w:r>
      <w:r>
        <w:rPr>
          <w:rFonts w:ascii="Arial" w:cs="Arial" w:eastAsia="Arial" w:hAnsi="Arial"/>
          <w:sz w:val="18"/>
          <w:szCs w:val="18"/>
          <w:color w:val="auto"/>
        </w:rPr>
        <w:t>, consists primarily of the cost of appliance hardware, third-party royalties and other costs such as media,</w:t>
      </w:r>
      <w:r>
        <w:rPr>
          <w:rFonts w:ascii="Arial" w:cs="Arial" w:eastAsia="Arial" w:hAnsi="Arial"/>
          <w:sz w:val="18"/>
          <w:szCs w:val="18"/>
          <w:i w:val="1"/>
          <w:iCs w:val="1"/>
          <w:color w:val="auto"/>
        </w:rPr>
        <w:t xml:space="preserve"> </w:t>
      </w:r>
      <w:r>
        <w:rPr>
          <w:rFonts w:ascii="Arial" w:cs="Arial" w:eastAsia="Arial" w:hAnsi="Arial"/>
          <w:sz w:val="18"/>
          <w:szCs w:val="18"/>
          <w:color w:val="auto"/>
        </w:rPr>
        <w:t>manuals, translation and distribution costs; and</w:t>
      </w:r>
    </w:p>
    <w:p>
      <w:pPr>
        <w:spacing w:after="0" w:line="170" w:lineRule="exact"/>
        <w:rPr>
          <w:rFonts w:ascii="Arial" w:cs="Arial" w:eastAsia="Arial" w:hAnsi="Arial"/>
          <w:sz w:val="18"/>
          <w:szCs w:val="18"/>
          <w:color w:val="auto"/>
        </w:rPr>
      </w:pPr>
    </w:p>
    <w:p>
      <w:pPr>
        <w:ind w:left="660" w:right="40" w:firstLine="77"/>
        <w:spacing w:after="0" w:line="501" w:lineRule="auto"/>
        <w:tabs>
          <w:tab w:leader="none" w:pos="984"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Cost of Services Revenue</w:t>
      </w:r>
      <w:r>
        <w:rPr>
          <w:rFonts w:ascii="Arial" w:cs="Arial" w:eastAsia="Arial" w:hAnsi="Arial"/>
          <w:sz w:val="18"/>
          <w:szCs w:val="18"/>
          <w:color w:val="auto"/>
        </w:rPr>
        <w:t>, consists primarily of salary and employee benefit costs in providing customer support and other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expenses are as follows</w:t>
      </w:r>
    </w:p>
    <w:p>
      <w:pPr>
        <w:ind w:left="980" w:right="100" w:hanging="243"/>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consists primarily of salaries, commissions, employee benefits, stock-based compensation and other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expenses, including travel and related expenses, sales promotion expenses, public relations expenses and costs for marketing materials and other marketing events (such as trade shows and advertising);</w:t>
      </w:r>
    </w:p>
    <w:p>
      <w:pPr>
        <w:spacing w:after="0" w:line="181" w:lineRule="exact"/>
        <w:rPr>
          <w:rFonts w:ascii="Arial" w:cs="Arial" w:eastAsia="Arial" w:hAnsi="Arial"/>
          <w:sz w:val="18"/>
          <w:szCs w:val="18"/>
          <w:color w:val="auto"/>
        </w:rPr>
      </w:pPr>
    </w:p>
    <w:p>
      <w:pPr>
        <w:ind w:left="980" w:right="580" w:hanging="243"/>
        <w:spacing w:after="0" w:line="30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which is primarily the expense of developing new software applications and modifying existing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consists principally of salaries, stock-based compensation and benefits for research and development personnel and related expenses; contract labor expense and consulting fees as well as other expenses associated with the design, certification and testing of our software applications; and legal costs associated with the patent registration of such software applications;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2" w:name="page33"/>
    <w:bookmarkEnd w:id="32"/>
    <w:p>
      <w:pPr>
        <w:ind w:left="980" w:right="260" w:hanging="243"/>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consists primarily of salaries, stock-based compensation and benefits for our executive, accounting,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legal, information systems and other administrative personnel. Also included in this category are other general corporate expenses, such as outside legal and accounting services, compliance costs and insurance; and</w:t>
      </w:r>
    </w:p>
    <w:p>
      <w:pPr>
        <w:spacing w:after="0" w:line="181" w:lineRule="exact"/>
        <w:rPr>
          <w:rFonts w:ascii="Arial" w:cs="Arial" w:eastAsia="Arial" w:hAnsi="Arial"/>
          <w:sz w:val="18"/>
          <w:szCs w:val="18"/>
          <w:color w:val="auto"/>
        </w:rPr>
      </w:pPr>
    </w:p>
    <w:p>
      <w:pPr>
        <w:ind w:left="980" w:right="660" w:hanging="243"/>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consists of depreciation expense primarily for our owned Corporate Campus Headquarters location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we use for information services and in our development and test labs.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9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Sales outside the United States were approximately 47% of our total revenue for fiscal 2019, 46% of our total revenue for fiscal 2018 and 44% for fiscal 2017.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1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Using the average foreign currency exchange rates from fiscal 2018, our software and products revenue would have been higher by $5.2 million, our services revenue would have been higher by $4.4 million, our cost of sales would have been higher by $1.0 million and our operating expenses would have been higher by $5.2 million from non-U.S. operations for fiscal 2019.</w:t>
      </w:r>
    </w:p>
    <w:p>
      <w:pPr>
        <w:spacing w:after="0" w:line="12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gains of $1.0 million in fiscal 2019, $0.1 million in fiscal 2018, and $0.6 million in fiscal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presenting our consolidated financial statements in conformity with U.S. generally accepted accounting principles, we are required to make estimates and judgments that affect the amounts reported therein. Some of the estimates and assumptions we are required to make relate to matters that are inherently uncertain as they pertain to future events. We base these estimates on historical experience and on various other assumptions that we believe to be reasonable and appropriate. Actual results may differ significantly from these estimates. The following is a description of our accounting policies that we believe require subjective and complex judgments, which could potentially have a material effect on our reported financial condition or results of operations.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account for revenue in accordance with ASC Topic 606, Revenue from Contracts with Customers. Our revenue recognition policies require us to make significant judgments and estimates. In applying our revenue recognition policy, we must determine which portions of our revenue are recognized currently (generally software and products revenue) and which portions must be deferred and recognized in future periods (generally services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4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derive revenue from two primary sources: software and products, and services. Services include customer support (software updates and technical support), consulting, assessment and design services, installation services and customer education. A typical contract includes both licenses and services.</w:t>
      </w:r>
    </w:p>
    <w:p>
      <w:pPr>
        <w:spacing w:after="0" w:line="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software licenses typically provide for a perpetual right to use our software. We also sell term-based software licenses that expire, which are referred to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 is functional intellectual property that is distinct as the user can benefit from the software on its own. Software and product revenue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subscription period.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ind w:right="40" w:firstLine="648"/>
        <w:spacing w:after="0" w:line="264" w:lineRule="auto"/>
        <w:rPr>
          <w:sz w:val="20"/>
          <w:szCs w:val="20"/>
          <w:color w:val="auto"/>
        </w:rPr>
      </w:pPr>
      <w:r>
        <w:rPr>
          <w:rFonts w:ascii="Arial" w:cs="Arial" w:eastAsia="Arial" w:hAnsi="Arial"/>
          <w:sz w:val="18"/>
          <w:szCs w:val="18"/>
          <w:color w:val="auto"/>
        </w:rPr>
        <w:t>In fiscal 2018, we also started selling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products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4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and Products Revenue</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6" w:lineRule="exact"/>
        <w:rPr>
          <w:sz w:val="20"/>
          <w:szCs w:val="20"/>
          <w:color w:val="auto"/>
        </w:rPr>
      </w:pPr>
    </w:p>
    <w:p>
      <w:pPr>
        <w:sectPr>
          <w:pgSz w:w="11900" w:h="16838" w:orient="portrait"/>
          <w:cols w:equalWidth="0" w:num="2">
            <w:col w:w="5640" w:space="460"/>
            <w:col w:w="5320"/>
          </w:cols>
          <w:pgMar w:left="240" w:top="449"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Appliances</w:t>
            </w: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When control of the appliances passes to the</w:t>
            </w:r>
          </w:p>
        </w:tc>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Within 90 days of delivery</w:t>
            </w: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Residual approach</w:t>
            </w:r>
          </w:p>
        </w:tc>
      </w:tr>
      <w:tr>
        <w:trPr>
          <w:trHeight w:val="237"/>
        </w:trPr>
        <w:tc>
          <w:tcPr>
            <w:tcW w:w="210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customer; typically upon delivery</w:t>
            </w:r>
          </w:p>
        </w:tc>
        <w:tc>
          <w:tcPr>
            <w:tcW w:w="254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r>
      <w:tr>
        <w:trPr>
          <w:trHeight w:val="243"/>
        </w:trPr>
        <w:tc>
          <w:tcPr>
            <w:tcW w:w="2100" w:type="dxa"/>
            <w:vAlign w:val="bottom"/>
          </w:tcPr>
          <w:p>
            <w:pPr>
              <w:ind w:left="40"/>
              <w:spacing w:after="0"/>
              <w:rPr>
                <w:sz w:val="20"/>
                <w:szCs w:val="20"/>
                <w:color w:val="auto"/>
              </w:rPr>
            </w:pPr>
            <w:r>
              <w:rPr>
                <w:rFonts w:ascii="Arial" w:cs="Arial" w:eastAsia="Arial" w:hAnsi="Arial"/>
                <w:sz w:val="18"/>
                <w:szCs w:val="18"/>
                <w:i w:val="1"/>
                <w:iCs w:val="1"/>
                <w:color w:val="auto"/>
                <w:w w:val="91"/>
              </w:rPr>
              <w:t>Customer Support Revenue</w:t>
            </w:r>
          </w:p>
        </w:tc>
        <w:tc>
          <w:tcPr>
            <w:tcW w:w="3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p>
      <w:pPr>
        <w:spacing w:after="0" w:line="40" w:lineRule="exact"/>
        <w:rPr>
          <w:sz w:val="20"/>
          <w:szCs w:val="20"/>
          <w:color w:val="auto"/>
        </w:rPr>
      </w:pPr>
    </w:p>
    <w:p>
      <w:pPr>
        <w:ind w:left="180"/>
        <w:spacing w:after="0"/>
        <w:tabs>
          <w:tab w:leader="none" w:pos="218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00" w:space="100"/>
            <w:col w:w="5320"/>
          </w:cols>
          <w:pgMar w:left="240" w:top="449" w:right="239" w:bottom="1440" w:gutter="0" w:footer="0" w:header="0"/>
          <w:type w:val="continuous"/>
        </w:sectPr>
      </w:pPr>
    </w:p>
    <w:p>
      <w:pPr>
        <w:ind w:left="180"/>
        <w:spacing w:after="0"/>
        <w:tabs>
          <w:tab w:leader="none" w:pos="218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00" w:space="100"/>
            <w:col w:w="5320"/>
          </w:cols>
          <w:pgMar w:left="240" w:top="449" w:right="23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Other Professional</w:t>
            </w:r>
          </w:p>
        </w:tc>
        <w:tc>
          <w:tcPr>
            <w:tcW w:w="3440" w:type="dxa"/>
            <w:vAlign w:val="bottom"/>
          </w:tcPr>
          <w:p>
            <w:pPr>
              <w:ind w:left="300"/>
              <w:spacing w:after="0"/>
              <w:rPr>
                <w:sz w:val="20"/>
                <w:szCs w:val="20"/>
                <w:color w:val="auto"/>
              </w:rPr>
            </w:pPr>
            <w:r>
              <w:rPr>
                <w:rFonts w:ascii="Arial" w:cs="Arial" w:eastAsia="Arial" w:hAnsi="Arial"/>
                <w:sz w:val="18"/>
                <w:szCs w:val="18"/>
                <w:color w:val="auto"/>
              </w:rPr>
              <w:t>As work is performed (over time)</w:t>
            </w:r>
          </w:p>
        </w:tc>
        <w:tc>
          <w:tcPr>
            <w:tcW w:w="3180" w:type="dxa"/>
            <w:vAlign w:val="bottom"/>
          </w:tcPr>
          <w:p>
            <w:pPr>
              <w:ind w:left="760"/>
              <w:spacing w:after="0"/>
              <w:rPr>
                <w:sz w:val="20"/>
                <w:szCs w:val="20"/>
                <w:color w:val="auto"/>
              </w:rPr>
            </w:pPr>
            <w:r>
              <w:rPr>
                <w:rFonts w:ascii="Arial" w:cs="Arial" w:eastAsia="Arial" w:hAnsi="Arial"/>
                <w:sz w:val="18"/>
                <w:szCs w:val="18"/>
                <w:color w:val="auto"/>
                <w:w w:val="92"/>
              </w:rPr>
              <w:t>Within 90 days of services being</w:t>
            </w:r>
          </w:p>
        </w:tc>
        <w:tc>
          <w:tcPr>
            <w:tcW w:w="290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Services (except for</w:t>
            </w:r>
          </w:p>
        </w:tc>
        <w:tc>
          <w:tcPr>
            <w:tcW w:w="3440" w:type="dxa"/>
            <w:vAlign w:val="bottom"/>
          </w:tcPr>
          <w:p>
            <w:pPr>
              <w:spacing w:after="0"/>
              <w:rPr>
                <w:sz w:val="18"/>
                <w:szCs w:val="18"/>
                <w:color w:val="auto"/>
              </w:rPr>
            </w:pPr>
          </w:p>
        </w:tc>
        <w:tc>
          <w:tcPr>
            <w:tcW w:w="3180" w:type="dxa"/>
            <w:vAlign w:val="bottom"/>
          </w:tcPr>
          <w:p>
            <w:pPr>
              <w:ind w:left="760"/>
              <w:spacing w:after="0"/>
              <w:rPr>
                <w:sz w:val="20"/>
                <w:szCs w:val="20"/>
                <w:color w:val="auto"/>
              </w:rPr>
            </w:pPr>
            <w:r>
              <w:rPr>
                <w:rFonts w:ascii="Arial" w:cs="Arial" w:eastAsia="Arial" w:hAnsi="Arial"/>
                <w:sz w:val="18"/>
                <w:szCs w:val="18"/>
                <w:color w:val="auto"/>
              </w:rPr>
              <w:t>performed</w:t>
            </w:r>
          </w:p>
        </w:tc>
        <w:tc>
          <w:tcPr>
            <w:tcW w:w="290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education services)</w:t>
            </w:r>
          </w:p>
        </w:tc>
        <w:tc>
          <w:tcPr>
            <w:tcW w:w="3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29"/>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Education Services</w:t>
            </w:r>
          </w:p>
        </w:tc>
        <w:tc>
          <w:tcPr>
            <w:tcW w:w="3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Within 90 days of services being</w:t>
            </w:r>
          </w:p>
        </w:tc>
        <w:tc>
          <w:tcPr>
            <w:tcW w:w="2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7"/>
        </w:trPr>
        <w:tc>
          <w:tcPr>
            <w:tcW w:w="1900" w:type="dxa"/>
            <w:vAlign w:val="bottom"/>
            <w:tcBorders>
              <w:bottom w:val="single" w:sz="8" w:color="CCEEFF"/>
            </w:tcBorders>
            <w:shd w:val="clear" w:color="auto" w:fill="CCEEFF"/>
          </w:tcPr>
          <w:p>
            <w:pPr>
              <w:spacing w:after="0"/>
              <w:rPr>
                <w:sz w:val="20"/>
                <w:szCs w:val="20"/>
                <w:color w:val="auto"/>
              </w:rPr>
            </w:pPr>
          </w:p>
        </w:tc>
        <w:tc>
          <w:tcPr>
            <w:tcW w:w="344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performed</w:t>
            </w:r>
          </w:p>
        </w:tc>
        <w:tc>
          <w:tcPr>
            <w:tcW w:w="2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459"/>
        </w:trPr>
        <w:tc>
          <w:tcPr>
            <w:tcW w:w="1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ind w:left="280"/>
              <w:spacing w:after="0"/>
              <w:rPr>
                <w:sz w:val="20"/>
                <w:szCs w:val="20"/>
                <w:color w:val="auto"/>
              </w:rPr>
            </w:pPr>
            <w:r>
              <w:rPr>
                <w:rFonts w:ascii="Arial" w:cs="Arial" w:eastAsia="Arial" w:hAnsi="Arial"/>
                <w:sz w:val="18"/>
                <w:szCs w:val="18"/>
                <w:color w:val="auto"/>
              </w:rPr>
              <w:t>34</w:t>
            </w:r>
          </w:p>
        </w:tc>
        <w:tc>
          <w:tcPr>
            <w:tcW w:w="29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type w:val="continuous"/>
        </w:sectPr>
      </w:pPr>
    </w:p>
    <w:bookmarkStart w:id="34" w:name="page35"/>
    <w:bookmarkEnd w:id="34"/>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Under ASC 740, deferred income taxes arise from temporary differences between the tax basis of assets and liabilities and their reported amounts. Valuation allowances are established when, in the our judgment, it is more likely than not that deferred tax assets will not be realized. In assessing the need for a valuation allowance, we weigh the available positive and negative evidence, including historical levels of pre-tax income, legislative developments, expectations and risks associated with estimates of future pre-tax income, and prudent and feasible tax planning strategies. During the year ended March 31, 2018 we concluded that based on the amount, and trend, of pre-tax loss in recent fiscal years it is more likely than not that we will not realize the benefits of its gross deferred tax assets and therefore have recorded a valuation allowance to reduce the carrying value of these gross deferred tax assets, net of the impact of the reversal of taxable temporary differences, to zero. The valuation allowance is material to our financial statements. In the future, changes to our estimates regarding the realizability of our gross deferred tax assets could materially impact our results of operations.</w:t>
      </w:r>
    </w:p>
    <w:p>
      <w:pPr>
        <w:spacing w:after="0" w:line="11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conduct business globally and as a result, file income tax returns in the United States and in various state and foreign jurisdictions. In the normal course of business, we are subject to examination by taxing authorities throughout the world, including such major jurisdictions as the United States, Australia, Canada, Germany, Netherlands and United Kingdom.</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year ended March 31, 2019 compared to fiscal year ended March 31, 2018</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increased $11.6 million, or 2%, from $699.4 million in fiscal 2018 to $711.0 million in fiscal 2019.</w:t>
      </w:r>
    </w:p>
    <w:p>
      <w:pPr>
        <w:spacing w:after="0" w:line="17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i w:val="1"/>
          <w:iCs w:val="1"/>
          <w:color w:val="auto"/>
        </w:rPr>
        <w:t xml:space="preserve">Software and Products Revenue. </w:t>
      </w:r>
      <w:r>
        <w:rPr>
          <w:rFonts w:ascii="Arial" w:cs="Arial" w:eastAsia="Arial" w:hAnsi="Arial"/>
          <w:sz w:val="16"/>
          <w:szCs w:val="16"/>
          <w:color w:val="auto"/>
        </w:rPr>
        <w:t>Software and products revenue decreased $1.8 million, or 1%, from $311.7 million in fiscal 2018 to $309.9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fiscal 2019. Software and products revenue represented 44% of our total revenues in fiscal 2019 and 45% of our total revenues in fiscal 2018.</w:t>
      </w:r>
    </w:p>
    <w:p>
      <w:pPr>
        <w:spacing w:after="0" w:line="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overall decrease in software and products revenue was primarily driven by a decrease in transactions less than $0.1 million. Software and products revenue derived from transactions less than $0.1 million decreased $17.9 million, in fiscal 2019 compared to fiscal 2018. This was partially offset by the amount of enterprise transaction revenue (transactions greater than $0.1 million), which increased by $16.0 million, or 9% in fiscal 2019 compared to fiscal 2018. Enterprise transactions represented approximately 65% and 59% of our software and products revenue in fiscal 2019 and fiscal 2018, respectively. The increase in enterprise transactions is primarily due to a 17% increase in the number of transactions of this type partially offset by a 7% decrease in the average dollar amount of such transactions. The average dollar amount of enterprise transactions was approximately $272,000 in fiscal 2019 and approximately $292,000 in fiscal 2018.</w:t>
      </w:r>
    </w:p>
    <w:p>
      <w:pPr>
        <w:spacing w:after="0" w:line="13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APAC (Australia, New Zealand, Southeast Asia, China). Americas, EMEA and APAC represented 55%, 31% and 14% of total software and products revenue, respectively, for the fiscal year ended March 31, 2019. The year over year increase of Software and Products Revenue in the Americas and APAC was 1%, while EMEA decreased 5%.</w:t>
      </w:r>
    </w:p>
    <w:p>
      <w:pPr>
        <w:spacing w:after="0" w:line="133" w:lineRule="exact"/>
        <w:rPr>
          <w:sz w:val="20"/>
          <w:szCs w:val="20"/>
          <w:color w:val="auto"/>
        </w:rPr>
      </w:pPr>
    </w:p>
    <w:p>
      <w:pPr>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the result of a 21% increase in the number of enterprise revenue transactions. This increase was partially offset by a decrease in revenue from non-enterprise revenue transactions and a decline in the average size of enterprise revenue transactions.</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 11% decline in non-enterprise transaction revenue. This decrease was partially offset by a 1% increase in enterprise revenue transactions. On a constant currency basis, EMEA software and products revenue would have declined 2% versus the prior year.</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 in APAC was the result of a 10% increase in revenue from enterprise revenue transactions that was partially offset by a 4% decrease in non-enterprise revenue transactions. On a constant currency basis, APAC software and products revenue would have increased 5% compared to prior year.</w:t>
      </w:r>
    </w:p>
    <w:p>
      <w:pPr>
        <w:spacing w:after="0" w:line="12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Our software and products revenue in EMEA and APAC is subject to changes in foreign exchange rates as more fully discussed above in the </w:t>
      </w:r>
      <w:r>
        <w:rPr>
          <w:rFonts w:ascii="Arial" w:cs="Arial" w:eastAsia="Arial" w:hAnsi="Arial"/>
          <w:sz w:val="18"/>
          <w:szCs w:val="18"/>
          <w:i w:val="1"/>
          <w:iCs w:val="1"/>
          <w:color w:val="auto"/>
        </w:rPr>
        <w:t xml:space="preserve">“Foreign Currency Exchange Rates’ Impact on Results of Operations” </w:t>
      </w:r>
      <w:r>
        <w:rPr>
          <w:rFonts w:ascii="Arial" w:cs="Arial" w:eastAsia="Arial" w:hAnsi="Arial"/>
          <w:sz w:val="18"/>
          <w:szCs w:val="18"/>
          <w:color w:val="auto"/>
        </w:rPr>
        <w:t>section.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11" w:right="239" w:bottom="1440" w:gutter="0" w:footer="0" w:header="0"/>
        </w:sectPr>
      </w:pPr>
    </w:p>
    <w:bookmarkStart w:id="35" w:name="page36"/>
    <w:bookmarkEnd w:id="35"/>
    <w:p>
      <w:pPr>
        <w:ind w:right="200" w:firstLine="648"/>
        <w:spacing w:after="0" w:line="259" w:lineRule="auto"/>
        <w:rPr>
          <w:sz w:val="20"/>
          <w:szCs w:val="20"/>
          <w:color w:val="auto"/>
        </w:rPr>
      </w:pPr>
      <w:r>
        <w:rPr>
          <w:rFonts w:ascii="Arial" w:cs="Arial" w:eastAsia="Arial" w:hAnsi="Arial"/>
          <w:sz w:val="18"/>
          <w:szCs w:val="18"/>
          <w:color w:val="auto"/>
        </w:rPr>
        <w:t xml:space="preserve">Software and products revenue derived from our indirect distribution channel (resellers and original equipment manufacturers) increased $19.7 million, or 7% in fiscal 2019 compared to fiscal 2018, and software and products revenue through our direct sales force decreased $21.6 million, or 50% in fiscal 2019 compared to fiscal 2018. For additional discussion on software and products revenue derived from our direct sales force see the </w:t>
      </w:r>
      <w:r>
        <w:rPr>
          <w:rFonts w:ascii="Arial" w:cs="Arial" w:eastAsia="Arial" w:hAnsi="Arial"/>
          <w:sz w:val="18"/>
          <w:szCs w:val="18"/>
          <w:i w:val="1"/>
          <w:iCs w:val="1"/>
          <w:color w:val="auto"/>
        </w:rPr>
        <w:t>“Sources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section.</w:t>
      </w:r>
    </w:p>
    <w:p>
      <w:pPr>
        <w:spacing w:after="0" w:line="13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i w:val="1"/>
          <w:iCs w:val="1"/>
          <w:color w:val="auto"/>
        </w:rPr>
        <w:t>Services Revenue.</w:t>
      </w:r>
      <w:r>
        <w:rPr>
          <w:sz w:val="20"/>
          <w:szCs w:val="20"/>
          <w:color w:val="auto"/>
        </w:rPr>
        <w:tab/>
      </w:r>
      <w:r>
        <w:rPr>
          <w:rFonts w:ascii="Arial" w:cs="Arial" w:eastAsia="Arial" w:hAnsi="Arial"/>
          <w:sz w:val="16"/>
          <w:szCs w:val="16"/>
          <w:color w:val="auto"/>
        </w:rPr>
        <w:t>Services revenue increased $13.4 million, or 3%, from $387.6 million in fiscal 2018 to $401.1 million in fiscal 2019. Services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 represented 56% of our total revenues in fiscal 2019 and 55% of our total revenues in fiscal 2018. The net increase in services revenue is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$12.7 million increase in revenue from customer support agreements as a result of software sales to new customers and renewal agreements with our installed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software base.</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Revenues</w:t>
      </w:r>
    </w:p>
    <w:p>
      <w:pPr>
        <w:spacing w:after="0" w:line="17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Total cost of revenues increased $18.9 million, or 19%, from $98.2 million in fiscal 2018 to $117.0 million in fiscal 2019. Total cost of revenues represented 16% of our total revenues in fiscal 2019 compared to 14% in fiscal 2018. The increase in cost of revenues as a percentage of total revenue was driven by sales of our Hyperscale Appliances.</w:t>
      </w:r>
    </w:p>
    <w:p>
      <w:pPr>
        <w:spacing w:after="0" w:line="12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Cost of Software and Products Revenue. </w:t>
      </w:r>
      <w:r>
        <w:rPr>
          <w:rFonts w:ascii="Arial" w:cs="Arial" w:eastAsia="Arial" w:hAnsi="Arial"/>
          <w:sz w:val="18"/>
          <w:szCs w:val="18"/>
          <w:color w:val="auto"/>
        </w:rPr>
        <w:t>Cost of software and products revenue was $25.7 million in fiscal 2019 and $7.2 million in fiscal 2018,</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approximately 8% of software and products revenue in fiscal 2019 compared to 2% in fiscal 2018. The increase in cost of software and products revenue is related to additional hardware and software royalty costs associated with our appliance and Hyperscale product offerings. As sales of our appliances and hyperscale products continue to ramp, we expect the cost of software and products as a percentage of software and products revenue will continue to increase.</w:t>
      </w:r>
    </w:p>
    <w:p>
      <w:pPr>
        <w:spacing w:after="0" w:line="13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increased $0.4 million from $90.9 million in fiscal 2018 to $91.3 million in fiscal 2019.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23% of our services revenue in fiscal 2019 and fiscal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$40.6 million, or 10%, from $410.7 million in fiscal 2018 to $370.1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 decrease is primarily the result of a $23.0 million decrease in employee compensation and related expenses mainly attributable to our restructuring initiatives, a $6.1 million decrease in travel expenses, and a $2.3 million decrease in marketing expenses. Sales and marketing expenses as a percentage of total revenues decreased to 52% in fiscal 2019 compared to 59% in fiscal 2018.</w:t>
      </w:r>
    </w:p>
    <w:p>
      <w:pPr>
        <w:spacing w:after="0" w:line="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$1.6 million, or 2%, from $91.0 million in fiscal 2018 to $92.6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2019. The increase is primarily due to an increase in employee compensation and related expenses attributable to the expansion of our engineering group. Research and development expenses as a percentage of total revenues was 13% in fiscal 2019 and fiscal 2018. Investing in research and development has been a priority for Commvault, and we anticipate continued spending related to the development of our data and information management software applications.</w:t>
      </w:r>
    </w:p>
    <w:p>
      <w:pPr>
        <w:spacing w:after="0" w:line="5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$10.2 million, or 11%, from $90.7 million in fiscal 2018 to $100.9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fiscal 2019. This increase is primarily due to $11.2 million of costs related to a non-routine shareholder matter. The costs are for professional fees related to our settlement agreement with the shareholder and consulting fees incurred with the operational review which was agreed to as part of the settlement. Fiscal 2019 also includes $12.2 million related to the modification of stock based compensation awards granted to our former Chief Executive Officer. These increases were partially offset by a decrease in employee compensation and related expenses. General and administrative expenses in fiscal 2019 includes $1.0 million of net foreign currency transaction gains compared to $0.1 million of net foreign currency transaction gains recognized in general and administrative expenses in fiscal 2018. General and administrative expenses as a percentage of total revenues was 14% in fiscal 2019 and 13% in fiscal 2018.</w:t>
      </w:r>
    </w:p>
    <w:p>
      <w:pPr>
        <w:spacing w:after="0" w:line="5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Restructuring. </w:t>
      </w:r>
      <w:r>
        <w:rPr>
          <w:rFonts w:ascii="Arial" w:cs="Arial" w:eastAsia="Arial" w:hAnsi="Arial"/>
          <w:sz w:val="18"/>
          <w:szCs w:val="18"/>
          <w:color w:val="auto"/>
        </w:rPr>
        <w:t>In fiscal 2019 we initiated a restructuring plan to increase efficiency in our sales, marketing and distribution functions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 costs across all functional areas. During the year, we have incurred total restructuring charges of $14.8 million. These restructuring charges relate primarily to severance and related costs associated with headcount reductions. These charges include $2.6 million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54" w:lineRule="exact"/>
        <w:rPr>
          <w:sz w:val="20"/>
          <w:szCs w:val="20"/>
          <w:color w:val="auto"/>
        </w:rPr>
      </w:pPr>
    </w:p>
    <w:p>
      <w:pPr>
        <w:jc w:val="center"/>
        <w:ind w:right="-259"/>
        <w:spacing w:after="0"/>
        <w:tabs>
          <w:tab w:leader="none" w:pos="160" w:val="left"/>
        </w:tabs>
        <w:rPr>
          <w:sz w:val="20"/>
          <w:szCs w:val="20"/>
          <w:color w:val="auto"/>
        </w:rPr>
      </w:pPr>
      <w:r>
        <w:rPr>
          <w:rFonts w:ascii="Arial" w:cs="Arial" w:eastAsia="Arial" w:hAnsi="Arial"/>
          <w:sz w:val="18"/>
          <w:szCs w:val="18"/>
          <w:i w:val="1"/>
          <w:iCs w:val="1"/>
          <w:color w:val="auto"/>
        </w:rPr>
        <w:t>Depreciation and Amortization.</w:t>
      </w:r>
      <w:r>
        <w:rPr>
          <w:sz w:val="20"/>
          <w:szCs w:val="20"/>
          <w:color w:val="auto"/>
        </w:rPr>
        <w:tab/>
      </w:r>
      <w:r>
        <w:rPr>
          <w:rFonts w:ascii="Arial" w:cs="Arial" w:eastAsia="Arial" w:hAnsi="Arial"/>
          <w:sz w:val="16"/>
          <w:szCs w:val="16"/>
          <w:color w:val="auto"/>
        </w:rPr>
        <w:t>Depreciation expense increased $0.9 million, from $9.7 million in fiscal 2018 to $10.6 million in fiscal 2019.</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30" w:right="279" w:bottom="1440" w:gutter="0" w:footer="0" w:header="0"/>
        </w:sectPr>
      </w:pPr>
    </w:p>
    <w:bookmarkStart w:id="36" w:name="page37"/>
    <w:bookmarkEnd w:id="36"/>
    <w:p>
      <w:pPr>
        <w:ind w:left="220"/>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Interest income increased $3.3 million, from $2.2 million in fiscal 2018 to $5.5 million in fiscal 2019. The increase was the result of an increase in short term investments and increased yield on those investments. Our short-term investments are in U.S. Treasury Bills.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Income tax expense was $6.9 million in fiscal 2019 compared to expense of $58.4 million in fiscal 2018. In fiscal 2018 we determined that it is more likely than not that it will not realize the benefits of its gross deferred tax assets and therefore recorded a valuation allowance to reduce the carrying value of these gross deferred tax assets, net of the impact of the reversal of taxable temporary differences, to zero. The income tax expense for the year ended March 31, 2019 relates primarily to current foreign taxes.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March 31, 2019, our cash and cash equivalents balance was $328.0 million. Included in this balance was $102.7 million of cash equivalents which consisted of money market funds. In addition, we have approximately $130.3 million of short-term investments invested in U.S. Treasury Bills. In recent fiscal years, our principal source of liquidity has been cash provided by operations.</w:t>
      </w:r>
    </w:p>
    <w:p>
      <w:pPr>
        <w:spacing w:after="0" w:line="12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As of March 31, 2019, the amount of cash and cash equivalents held outside of the United States by our foreign legal entities was approximately $153.7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year ended March 31, 2019, we repurchased $132.7 million of common stock (2.1 million shares) under our share repurchase program. 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As of May 3, 2019, there is $111.0 million remaining in the share repurchase program which expires on March 31, 2020. Our stock repurchase program has been funded by our existing cash and cash equivalent balances as well as cash flows provided by our operations.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summarized annual cash flow information is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110,180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84,169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(28,045)</w:t>
            </w:r>
          </w:p>
        </w:tc>
      </w:tr>
      <w:tr>
        <w:trPr>
          <w:trHeight w:val="27"/>
        </w:trPr>
        <w:tc>
          <w:tcPr>
            <w:tcW w:w="6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(90,713)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(8,175)</w:t>
            </w:r>
          </w:p>
        </w:tc>
      </w:tr>
      <w:tr>
        <w:trPr>
          <w:trHeight w:val="27"/>
        </w:trPr>
        <w:tc>
          <w:tcPr>
            <w:tcW w:w="60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41,384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Net cash provided by operating activities was $110.2 million in fiscal 2019, $84.2 million in fiscal 2018 and $100.0 million in fiscal 2017. In fiscal 2019, cash generated by operating activities was primarily due to net income adjusted for the impact of non-cash charges and increases in deferred revenue and accrued expenses. These amounts were partially offset by an increase in accounts receivable. In fiscal 2018, cash generated by operating activities was primarily due to net loss adjusted for the impact of non-cash charges and increases in deferred services revenue as a result of customer support agreements from new customers and renewal agreements with our installed customer base, partially offset by an increase in accounts receivable.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11" w:right="239" w:bottom="1440" w:gutter="0" w:footer="0" w:header="0"/>
        </w:sectPr>
      </w:pPr>
    </w:p>
    <w:bookmarkStart w:id="37" w:name="page38"/>
    <w:bookmarkEnd w:id="37"/>
    <w:p>
      <w:pPr>
        <w:ind w:right="120" w:firstLine="648"/>
        <w:spacing w:after="0" w:line="255" w:lineRule="auto"/>
        <w:rPr>
          <w:sz w:val="20"/>
          <w:szCs w:val="20"/>
          <w:color w:val="auto"/>
        </w:rPr>
      </w:pPr>
      <w:r>
        <w:rPr>
          <w:rFonts w:ascii="Arial" w:cs="Arial" w:eastAsia="Arial" w:hAnsi="Arial"/>
          <w:sz w:val="18"/>
          <w:szCs w:val="18"/>
          <w:color w:val="auto"/>
        </w:rPr>
        <w:t>Net cash used in investing activities was $5.3 million in fiscal 2019, $18.0 million in fiscal 2018 and $28.0 million in fiscal 2017. In fiscal 2019, cash used in investing activities was related to $1.3 million of net proceeds of short-term investments of U.S. Treasury Bills, and $6.6 million of capital expenditures as we continue to invest in and enhance our global infrastructure. Included in this balance was a purchase of land adjacent to our global corporate headquarters. In fiscal 2018, cash used in investing activities was related to $10.9 million of net purchases of short-term investments of U.S. Treasury Bills, and $7.0 million of capital expenditures as we continue to invest in and enhance our global infrastructure. In fiscal 2017, cash used in investing activities was related to $21.6 million of net purchases of short-term investments of U.S. Treasury Bills, and $6.4 million of capital expenditures as we continue to invest in and enhance our global infrastructure.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financing activities was $90.7 million in fiscal 2019, $82.1 million in fiscal 2018 and $22.4 million in fiscal 2017. The cash used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in fiscal 2019 was primarily due to $132.7 million used to repurchase shares of our common stock under our repurchase program, partially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$42.0 million of proceeds from the exercise of stock options and the employee stock purchase plan. The cash used in financing activities in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was primarily due to $112.2 million used to repurchase shares of our common stock under our repurchase program, partially offset by $30.1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exercise of stock options and the employee stock purchase plan. The cash used in financing activities in fiscal 2017 was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used to repurchase shares of our common stock under our repurchase program, partially offset by $21.3 million of proceeds from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the employee stock purchase plan and $6.2 million of excess tax benefits related to employee stock-based compensation.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cash used for the stock repurchase program consists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for repurchases (in thousands)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132,697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repurchased (in thousands)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Average price per share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Working capital increased $6.0 million from $322.6 million as of March 31, 2018 to $328.7 million as of March 31, 2019. The increase in working capital is primarily due to cash provided by operating activities partially offset by cash used for share repurchases during the fiscal year.</w:t>
      </w:r>
    </w:p>
    <w:p>
      <w:pPr>
        <w:spacing w:after="0" w:line="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that our existing cash, cash equivalents and our cash from operations will be sufficient to meet our anticipated cash needs for working capital, capital expenditures and potential stock repurchases for at least the next 12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Summary Disclosures about Contractual Obligations and Commercial Commitments</w:t>
      </w:r>
    </w:p>
    <w:p>
      <w:pPr>
        <w:spacing w:after="0" w:line="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material capital commitments consist of obligations under facilities and operating leases. Some of these leases have free or escalating rent payment provisions. We recognize rent expense under leases on a straight-line basis. We anticipate that we will experience an increase in our capital expenditures and lease commitments as a result of our anticipated growth in operations, infrastructure, personnel and resources devoted to building our brand name.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as of March 31, 2019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rPr>
              <w:t>More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2-3 Years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4-5 Years</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7"/>
              </w:rPr>
              <w:t>Than 5</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23,673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9,008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10,907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44,193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25,756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14,576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generally do not enter into binding purchase obligations. The purchase obligations above relate primarily to marketing and IT services. The contractual obligations table above excludes unrecognized tax benefits, plus related interest and penalties totaling $1.1 million because we cannot reasonably estimate in which future periods these amounts will ultimately be settled.</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$12.3 million in fiscal 2019 and $4.5 million million in fiscal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a 90-day limited product warranty for our software. To date, costs relating to this product warranty have not been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As of March 31, 2019 and 2018,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consolidated financial statements for a discussion of the impact of recently issued accounting standards.</w:t>
      </w:r>
    </w:p>
    <w:p>
      <w:pPr>
        <w:spacing w:after="0" w:line="28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2019, our cash, cash equivalent and short-term investment balances consisted primarily of money market funds and U.S. Treasury Bills. Due to the short-term nature of these investments, we are not subject to any material interest rate risk on these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07" w:right="239" w:bottom="1440" w:gutter="0" w:footer="0" w:header="0"/>
        </w:sectPr>
      </w:pPr>
    </w:p>
    <w:bookmarkStart w:id="39" w:name="page40"/>
    <w:bookmarkEnd w:id="39"/>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47% of our sales were outside the United States in fiscal 2019 and 46% were outside the United States in fiscal 2018.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a 10% change in all foreign exchange rates would impact our reported operating profit by approximately $8.5 million annually. This sensitivity analysis disregards the possibilities that rates can move in opposite directions and that losses from one geographic area may be offset by gains from another geographic area.</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4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 We recognized net foreign currency transaction gains of $1.0 million, $0.1 million and $0.6 million in fiscal 2019, fiscal 2018, and fiscal 2017 respectively. The net foreign currency transaction gains and losses recorded in “General and administrative expenses” include settlement gains and losses on forward contracts disclosed below.</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460" w:type="dxa"/>
            <w:vAlign w:val="bottom"/>
            <w:gridSpan w:val="8"/>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5"/>
          </w:tcPr>
          <w:p>
            <w:pPr>
              <w:jc w:val="center"/>
              <w:ind w:right="2940"/>
              <w:spacing w:after="0"/>
              <w:rPr>
                <w:sz w:val="20"/>
                <w:szCs w:val="20"/>
                <w:color w:val="auto"/>
              </w:rPr>
            </w:pPr>
            <w:r>
              <w:rPr>
                <w:rFonts w:ascii="Arial" w:cs="Arial" w:eastAsia="Arial" w:hAnsi="Arial"/>
                <w:sz w:val="18"/>
                <w:szCs w:val="18"/>
                <w:b w:val="1"/>
                <w:bCs w:val="1"/>
                <w:color w:val="auto"/>
                <w:w w:val="89"/>
              </w:rPr>
              <w:t>Commvault Systems, Inc.</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5"/>
          </w:tcPr>
          <w:p>
            <w:pPr>
              <w:jc w:val="center"/>
              <w:ind w:right="2960"/>
              <w:spacing w:after="0"/>
              <w:rPr>
                <w:sz w:val="20"/>
                <w:szCs w:val="20"/>
                <w:color w:val="auto"/>
              </w:rPr>
            </w:pPr>
            <w:r>
              <w:rPr>
                <w:rFonts w:ascii="Arial" w:cs="Arial" w:eastAsia="Arial" w:hAnsi="Arial"/>
                <w:sz w:val="18"/>
                <w:szCs w:val="18"/>
                <w:b w:val="1"/>
                <w:bCs w:val="1"/>
                <w:color w:val="auto"/>
                <w:w w:val="88"/>
              </w:rPr>
              <w:t>Consolidated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520" w:type="dxa"/>
            <w:vAlign w:val="bottom"/>
            <w:gridSpan w:val="7"/>
          </w:tcPr>
          <w:p>
            <w:pPr>
              <w:jc w:val="center"/>
              <w:ind w:right="1860"/>
              <w:spacing w:after="0"/>
              <w:rPr>
                <w:sz w:val="20"/>
                <w:szCs w:val="20"/>
                <w:color w:val="auto"/>
              </w:rPr>
            </w:pPr>
            <w:r>
              <w:rPr>
                <w:rFonts w:ascii="Arial" w:cs="Arial" w:eastAsia="Arial" w:hAnsi="Arial"/>
                <w:sz w:val="18"/>
                <w:szCs w:val="18"/>
                <w:b w:val="1"/>
                <w:bCs w:val="1"/>
                <w:color w:val="auto"/>
                <w:w w:val="90"/>
              </w:rPr>
              <w:t>Fiscal Years Ended March 31, 2019, 2018 and 2017</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5"/>
          </w:tcPr>
          <w:p>
            <w:pPr>
              <w:jc w:val="center"/>
              <w:ind w:right="296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4"/>
        </w:trPr>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76"/>
        </w:trPr>
        <w:tc>
          <w:tcPr>
            <w:tcW w:w="3800" w:type="dxa"/>
            <w:vAlign w:val="bottom"/>
            <w:tcBorders>
              <w:bottom w:val="single" w:sz="8" w:color="0000EE"/>
            </w:tcBorders>
            <w:gridSpan w:val="3"/>
          </w:tcPr>
          <w:p>
            <w:pPr>
              <w:spacing w:after="0" w:line="155" w:lineRule="exact"/>
              <w:rPr>
                <w:rFonts w:ascii="Arial" w:cs="Arial" w:eastAsia="Arial" w:hAnsi="Arial"/>
                <w:sz w:val="16"/>
                <w:szCs w:val="16"/>
                <w:color w:val="0000EE"/>
                <w:w w:val="92"/>
              </w:rPr>
            </w:pPr>
            <w:hyperlink w:anchor="page42">
              <w:r>
                <w:rPr>
                  <w:rFonts w:ascii="Arial" w:cs="Arial" w:eastAsia="Arial" w:hAnsi="Arial"/>
                  <w:sz w:val="16"/>
                  <w:szCs w:val="16"/>
                  <w:color w:val="0000EE"/>
                  <w:w w:val="92"/>
                </w:rPr>
                <w:t>Report of Independent Registered Public Accounting Firm</w:t>
              </w:r>
            </w:hyperlink>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20" w:type="dxa"/>
            <w:vAlign w:val="bottom"/>
            <w:gridSpan w:val="3"/>
          </w:tcPr>
          <w:p>
            <w:pPr>
              <w:jc w:val="right"/>
              <w:ind w:right="20"/>
              <w:spacing w:after="0" w:line="170"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28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5920" w:type="dxa"/>
            <w:vAlign w:val="bottom"/>
            <w:gridSpan w:val="5"/>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Consolidated Balance Sheets as of March 31, 2019 and 2018</w:t>
              </w:r>
            </w:hyperlink>
          </w:p>
        </w:tc>
        <w:tc>
          <w:tcPr>
            <w:tcW w:w="4440" w:type="dxa"/>
            <w:vAlign w:val="bottom"/>
            <w:gridSpan w:val="4"/>
          </w:tcPr>
          <w:p>
            <w:pPr>
              <w:spacing w:after="0"/>
              <w:rPr>
                <w:sz w:val="19"/>
                <w:szCs w:val="19"/>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
        </w:trPr>
        <w:tc>
          <w:tcPr>
            <w:tcW w:w="2840" w:type="dxa"/>
            <w:vAlign w:val="bottom"/>
            <w:gridSpan w:val="2"/>
            <w:shd w:val="clear" w:color="auto" w:fill="0000EE"/>
          </w:tcPr>
          <w:p>
            <w:pPr>
              <w:spacing w:after="0"/>
              <w:rPr>
                <w:sz w:val="2"/>
                <w:szCs w:val="2"/>
                <w:color w:val="auto"/>
              </w:rPr>
            </w:pPr>
          </w:p>
        </w:tc>
        <w:tc>
          <w:tcPr>
            <w:tcW w:w="3080" w:type="dxa"/>
            <w:vAlign w:val="bottom"/>
            <w:gridSpan w:val="3"/>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980" w:type="dxa"/>
            <w:vAlign w:val="bottom"/>
            <w:gridSpan w:val="6"/>
          </w:tcPr>
          <w:p>
            <w:pPr>
              <w:spacing w:after="0"/>
              <w:rPr>
                <w:rFonts w:ascii="Arial" w:cs="Arial" w:eastAsia="Arial" w:hAnsi="Arial"/>
                <w:sz w:val="16"/>
                <w:szCs w:val="16"/>
                <w:color w:val="0000EE"/>
                <w:w w:val="91"/>
              </w:rPr>
            </w:pPr>
            <w:hyperlink w:anchor="page44">
              <w:r>
                <w:rPr>
                  <w:rFonts w:ascii="Arial" w:cs="Arial" w:eastAsia="Arial" w:hAnsi="Arial"/>
                  <w:sz w:val="16"/>
                  <w:szCs w:val="16"/>
                  <w:color w:val="0000EE"/>
                  <w:w w:val="91"/>
                </w:rPr>
                <w:t>Consolidated Statements of Operations for the years ended March 31, 2019, 2018 and 2017</w:t>
              </w:r>
            </w:hyperlink>
          </w:p>
        </w:tc>
        <w:tc>
          <w:tcPr>
            <w:tcW w:w="4380" w:type="dxa"/>
            <w:vAlign w:val="bottom"/>
            <w:gridSpan w:val="3"/>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4"/>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360" w:type="dxa"/>
            <w:vAlign w:val="bottom"/>
            <w:gridSpan w:val="9"/>
          </w:tcPr>
          <w:p>
            <w:pPr>
              <w:spacing w:after="0"/>
              <w:rPr>
                <w:rFonts w:ascii="Arial" w:cs="Arial" w:eastAsia="Arial" w:hAnsi="Arial"/>
                <w:sz w:val="16"/>
                <w:szCs w:val="16"/>
                <w:color w:val="0000EE"/>
              </w:rPr>
            </w:pPr>
            <w:hyperlink w:anchor="page45">
              <w:r>
                <w:rPr>
                  <w:rFonts w:ascii="Arial" w:cs="Arial" w:eastAsia="Arial" w:hAnsi="Arial"/>
                  <w:sz w:val="16"/>
                  <w:szCs w:val="16"/>
                  <w:color w:val="0000EE"/>
                </w:rPr>
                <w:t>Consolidated Statements of Comprehensive Income (Loss) for the years ended March 31, 2019, 2018 and 2017</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4"/>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3740" w:type="dxa"/>
            <w:vAlign w:val="bottom"/>
            <w:gridSpan w:val="2"/>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360" w:type="dxa"/>
            <w:vAlign w:val="bottom"/>
            <w:gridSpan w:val="9"/>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Consolidated Statements of Stockholders’ Equity for the years ended March 31, 2019, 2018 and 2017</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7"/>
        </w:trPr>
        <w:tc>
          <w:tcPr>
            <w:tcW w:w="2840" w:type="dxa"/>
            <w:vAlign w:val="bottom"/>
            <w:gridSpan w:val="2"/>
            <w:shd w:val="clear" w:color="auto" w:fill="0000EE"/>
          </w:tcPr>
          <w:p>
            <w:pPr>
              <w:spacing w:after="0"/>
              <w:rPr>
                <w:sz w:val="2"/>
                <w:szCs w:val="2"/>
                <w:color w:val="auto"/>
              </w:rPr>
            </w:pPr>
          </w:p>
        </w:tc>
        <w:tc>
          <w:tcPr>
            <w:tcW w:w="3140" w:type="dxa"/>
            <w:vAlign w:val="bottom"/>
            <w:gridSpan w:val="4"/>
            <w:shd w:val="clear" w:color="auto" w:fill="0000EE"/>
          </w:tcPr>
          <w:p>
            <w:pPr>
              <w:spacing w:after="0"/>
              <w:rPr>
                <w:sz w:val="2"/>
                <w:szCs w:val="2"/>
                <w:color w:val="auto"/>
              </w:rPr>
            </w:pPr>
          </w:p>
        </w:tc>
        <w:tc>
          <w:tcPr>
            <w:tcW w:w="4380" w:type="dxa"/>
            <w:vAlign w:val="bottom"/>
            <w:gridSpan w:val="3"/>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0360" w:type="dxa"/>
            <w:vAlign w:val="bottom"/>
            <w:gridSpan w:val="9"/>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Consolidated Statements of Cash Flows for the years ended March 31, 2019, 2018 and 2017</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7"/>
        </w:trPr>
        <w:tc>
          <w:tcPr>
            <w:tcW w:w="2840" w:type="dxa"/>
            <w:vAlign w:val="bottom"/>
            <w:gridSpan w:val="2"/>
            <w:shd w:val="clear" w:color="auto" w:fill="0000EE"/>
          </w:tcPr>
          <w:p>
            <w:pPr>
              <w:spacing w:after="0"/>
              <w:rPr>
                <w:sz w:val="2"/>
                <w:szCs w:val="2"/>
                <w:color w:val="auto"/>
              </w:rPr>
            </w:pPr>
          </w:p>
        </w:tc>
        <w:tc>
          <w:tcPr>
            <w:tcW w:w="7520" w:type="dxa"/>
            <w:vAlign w:val="bottom"/>
            <w:gridSpan w:val="7"/>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2840" w:type="dxa"/>
            <w:vAlign w:val="bottom"/>
            <w:gridSpan w:val="2"/>
          </w:tcPr>
          <w:p>
            <w:pPr>
              <w:spacing w:after="0"/>
              <w:rPr>
                <w:rFonts w:ascii="Arial" w:cs="Arial" w:eastAsia="Arial" w:hAnsi="Arial"/>
                <w:sz w:val="16"/>
                <w:szCs w:val="16"/>
                <w:color w:val="0000EE"/>
                <w:w w:val="90"/>
              </w:rPr>
            </w:pPr>
            <w:hyperlink w:anchor="page48">
              <w:r>
                <w:rPr>
                  <w:rFonts w:ascii="Arial" w:cs="Arial" w:eastAsia="Arial" w:hAnsi="Arial"/>
                  <w:sz w:val="16"/>
                  <w:szCs w:val="16"/>
                  <w:color w:val="0000EE"/>
                  <w:w w:val="90"/>
                </w:rPr>
                <w:t>Notes to Consolidated Financial Statements</w:t>
              </w:r>
            </w:hyperlink>
          </w:p>
        </w:tc>
        <w:tc>
          <w:tcPr>
            <w:tcW w:w="7520" w:type="dxa"/>
            <w:vAlign w:val="bottom"/>
            <w:gridSpan w:val="7"/>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7"/>
        </w:trPr>
        <w:tc>
          <w:tcPr>
            <w:tcW w:w="900" w:type="dxa"/>
            <w:vAlign w:val="bottom"/>
            <w:shd w:val="clear" w:color="auto" w:fill="0000EE"/>
          </w:tcPr>
          <w:p>
            <w:pPr>
              <w:spacing w:after="0"/>
              <w:rPr>
                <w:sz w:val="2"/>
                <w:szCs w:val="2"/>
                <w:color w:val="auto"/>
              </w:rPr>
            </w:pPr>
          </w:p>
        </w:tc>
        <w:tc>
          <w:tcPr>
            <w:tcW w:w="1940" w:type="dxa"/>
            <w:vAlign w:val="bottom"/>
            <w:shd w:val="clear" w:color="auto" w:fill="0000EE"/>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bl>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80" w:top="688" w:right="239" w:bottom="1440" w:gutter="0" w:footer="0" w:header="0"/>
        </w:sectPr>
      </w:pPr>
    </w:p>
    <w:bookmarkStart w:id="41" w:name="page42"/>
    <w:bookmarkEnd w:id="4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Commvault Systems, Inc. (the Company) as of March 31, 2019 and 2018, the related consolidated statements of operations, comprehensive loss, stockholders' equity and cash flows for each of the three years in the period ended March 31, 2019,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March 31, 2019 and 2018, and the results of its operations and its cash flows for each of the three years in the period ended March 31, 2019,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2019, based on criteria established in Internal Control-Integrated Framework issued by the Committee of Sponsoring Organizations of the Treadway Commission (2013 framework) and our report dated May 2,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29"/>
        </w:trPr>
        <w:tc>
          <w:tcPr>
            <w:tcW w:w="1960" w:type="dxa"/>
            <w:vAlign w:val="bottom"/>
          </w:tcPr>
          <w:p>
            <w:pPr>
              <w:spacing w:after="0"/>
              <w:rPr>
                <w:sz w:val="19"/>
                <w:szCs w:val="19"/>
                <w:color w:val="auto"/>
              </w:rPr>
            </w:pPr>
          </w:p>
        </w:tc>
        <w:tc>
          <w:tcPr>
            <w:tcW w:w="5700" w:type="dxa"/>
            <w:vAlign w:val="bottom"/>
          </w:tcPr>
          <w:p>
            <w:pPr>
              <w:jc w:val="center"/>
              <w:ind w:left="1710"/>
              <w:spacing w:after="0"/>
              <w:rPr>
                <w:sz w:val="20"/>
                <w:szCs w:val="20"/>
                <w:color w:val="auto"/>
              </w:rPr>
            </w:pPr>
            <w:r>
              <w:rPr>
                <w:rFonts w:ascii="Arial" w:cs="Arial" w:eastAsia="Arial" w:hAnsi="Arial"/>
                <w:sz w:val="18"/>
                <w:szCs w:val="18"/>
                <w:b w:val="1"/>
                <w:bCs w:val="1"/>
                <w:color w:val="auto"/>
                <w:w w:val="91"/>
              </w:rPr>
              <w:t>ASSETS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327,992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330,784</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130,338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131,637</w:t>
            </w:r>
          </w:p>
        </w:tc>
      </w:tr>
      <w:tr>
        <w:trPr>
          <w:trHeight w:val="243"/>
        </w:trPr>
        <w:tc>
          <w:tcPr>
            <w:tcW w:w="7680" w:type="dxa"/>
            <w:vAlign w:val="bottom"/>
            <w:gridSpan w:val="3"/>
          </w:tcPr>
          <w:p>
            <w:pPr>
              <w:ind w:left="180"/>
              <w:spacing w:after="0"/>
              <w:rPr>
                <w:sz w:val="20"/>
                <w:szCs w:val="20"/>
                <w:color w:val="auto"/>
              </w:rPr>
            </w:pPr>
            <w:r>
              <w:rPr>
                <w:rFonts w:ascii="Arial" w:cs="Arial" w:eastAsia="Arial" w:hAnsi="Arial"/>
                <w:sz w:val="18"/>
                <w:szCs w:val="18"/>
                <w:color w:val="auto"/>
              </w:rPr>
              <w:t>Trade accounts receivable, net</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176,836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162,119</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22,248</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655,002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646,788</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122,716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128,612</w:t>
            </w:r>
          </w:p>
        </w:tc>
      </w:tr>
      <w:tr>
        <w:trPr>
          <w:trHeight w:val="243"/>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Deferred commissions cost</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33,619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33,092</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10,150</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822,453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818,642</w:t>
            </w:r>
          </w:p>
        </w:tc>
      </w:tr>
      <w:tr>
        <w:trPr>
          <w:trHeight w:val="67"/>
        </w:trPr>
        <w:tc>
          <w:tcPr>
            <w:tcW w:w="1960" w:type="dxa"/>
            <w:vAlign w:val="bottom"/>
            <w:tcBorders>
              <w:bottom w:val="single" w:sz="8" w:color="CCEEFF"/>
            </w:tcBorders>
          </w:tcPr>
          <w:p>
            <w:pPr>
              <w:spacing w:after="0"/>
              <w:rPr>
                <w:sz w:val="5"/>
                <w:szCs w:val="5"/>
                <w:color w:val="auto"/>
              </w:rPr>
            </w:pPr>
          </w:p>
        </w:tc>
        <w:tc>
          <w:tcPr>
            <w:tcW w:w="57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78"/>
        </w:trPr>
        <w:tc>
          <w:tcPr>
            <w:tcW w:w="196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1960" w:type="dxa"/>
            <w:vAlign w:val="bottom"/>
          </w:tcPr>
          <w:p>
            <w:pPr>
              <w:spacing w:after="0"/>
              <w:rPr>
                <w:sz w:val="21"/>
                <w:szCs w:val="21"/>
                <w:color w:val="auto"/>
              </w:rPr>
            </w:pPr>
          </w:p>
        </w:tc>
        <w:tc>
          <w:tcPr>
            <w:tcW w:w="5720" w:type="dxa"/>
            <w:vAlign w:val="bottom"/>
            <w:gridSpan w:val="2"/>
          </w:tcPr>
          <w:p>
            <w:pPr>
              <w:jc w:val="center"/>
              <w:ind w:left="171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82,299</w:t>
            </w:r>
          </w:p>
        </w:tc>
      </w:tr>
      <w:tr>
        <w:trPr>
          <w:trHeight w:val="243"/>
        </w:trPr>
        <w:tc>
          <w:tcPr>
            <w:tcW w:w="7680" w:type="dxa"/>
            <w:vAlign w:val="bottom"/>
            <w:gridSpan w:val="3"/>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238,439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241,113</w:t>
            </w:r>
          </w:p>
        </w:tc>
      </w:tr>
      <w:tr>
        <w:trPr>
          <w:trHeight w:val="27"/>
        </w:trPr>
        <w:tc>
          <w:tcPr>
            <w:tcW w:w="196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326,346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324,173</w:t>
            </w:r>
          </w:p>
        </w:tc>
      </w:tr>
      <w:tr>
        <w:trPr>
          <w:trHeight w:val="243"/>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Deferred revenue, less current portion</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99,257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84,661</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Deferred tax liabilities, net</w:t>
            </w:r>
          </w:p>
        </w:tc>
        <w:tc>
          <w:tcPr>
            <w:tcW w:w="5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w:t>
            </w:r>
          </w:p>
        </w:tc>
      </w:tr>
      <w:tr>
        <w:trPr>
          <w:trHeight w:val="243"/>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3,314</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Preferred stock, $0.01 par value: 50,000 shares authorized, no shares issued and outstanding</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gridSpan w:val="3"/>
          </w:tcPr>
          <w:p>
            <w:pPr>
              <w:ind w:left="40"/>
              <w:spacing w:after="0"/>
              <w:rPr>
                <w:sz w:val="20"/>
                <w:szCs w:val="20"/>
                <w:color w:val="auto"/>
              </w:rPr>
            </w:pPr>
            <w:r>
              <w:rPr>
                <w:rFonts w:ascii="Arial" w:cs="Arial" w:eastAsia="Arial" w:hAnsi="Arial"/>
                <w:sz w:val="18"/>
                <w:szCs w:val="18"/>
                <w:color w:val="auto"/>
                <w:w w:val="93"/>
              </w:rPr>
              <w:t>Common stock, $0.01 par value, 250,000 shares authorized, 45,582 shares and 45,118 shares issued</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and outstanding at March 31, 2019 and 2018, respectively</w:t>
            </w:r>
          </w:p>
        </w:tc>
        <w:tc>
          <w:tcPr>
            <w:tcW w:w="10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887,907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782,764</w:t>
            </w:r>
          </w:p>
        </w:tc>
      </w:tr>
      <w:tr>
        <w:trPr>
          <w:trHeight w:val="243"/>
        </w:trPr>
        <w:tc>
          <w:tcPr>
            <w:tcW w:w="7680" w:type="dxa"/>
            <w:vAlign w:val="bottom"/>
            <w:gridSpan w:val="3"/>
          </w:tcPr>
          <w:p>
            <w:pPr>
              <w:ind w:left="40"/>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(485,490)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(373,678)</w:t>
            </w:r>
          </w:p>
        </w:tc>
      </w:tr>
      <w:tr>
        <w:trPr>
          <w:trHeight w:val="27"/>
        </w:trPr>
        <w:tc>
          <w:tcPr>
            <w:tcW w:w="19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391,303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404,064</w:t>
            </w:r>
          </w:p>
        </w:tc>
      </w:tr>
      <w:tr>
        <w:trPr>
          <w:trHeight w:val="27"/>
        </w:trPr>
        <w:tc>
          <w:tcPr>
            <w:tcW w:w="196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822,453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818,642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26" w:right="239" w:bottom="1440" w:gutter="0" w:footer="0" w:header="0"/>
        </w:sectPr>
      </w:pPr>
    </w:p>
    <w:bookmarkStart w:id="43" w:name="page44"/>
    <w:bookmarkEnd w:id="43"/>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and products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311,745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290,668</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401,058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387,648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354,337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645,005</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and products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91,315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90,929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82,147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593,951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601,241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559,813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370,088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410,727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383,933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91,030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79,558</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100,946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90,709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88,929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589,043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602,187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561,055</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47,601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45,242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44,700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26" w:right="2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w:t>
      </w:r>
    </w:p>
    <w:p>
      <w:pPr>
        <w:spacing w:after="0" w:line="63" w:lineRule="exact"/>
        <w:rPr>
          <w:sz w:val="20"/>
          <w:szCs w:val="20"/>
          <w:color w:val="auto"/>
        </w:rPr>
      </w:pPr>
    </w:p>
    <w:p>
      <w:pPr>
        <w:ind w:firstLine="135"/>
        <w:spacing w:after="0" w:line="340" w:lineRule="auto"/>
        <w:rPr>
          <w:sz w:val="20"/>
          <w:szCs w:val="20"/>
          <w:color w:val="auto"/>
        </w:rPr>
      </w:pPr>
      <w:r>
        <w:rPr>
          <w:rFonts w:ascii="Arial" w:cs="Arial" w:eastAsia="Arial" w:hAnsi="Arial"/>
          <w:sz w:val="18"/>
          <w:szCs w:val="18"/>
          <w:color w:val="auto"/>
        </w:rPr>
        <w:t>Foreign currency translation adjustment Comprehensive loss</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23495</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tbl>
      <w:tblPr>
        <w:tblLayout w:type="fixed"/>
        <w:tblInd w:w="2880" w:type="dxa"/>
        <w:tblCellMar>
          <w:top w:w="0" w:type="dxa"/>
          <w:left w:w="0" w:type="dxa"/>
          <w:bottom w:w="0" w:type="dxa"/>
          <w:right w:w="0" w:type="dxa"/>
        </w:tblCellMar>
      </w:tblPr>
      <w:tr>
        <w:trPr>
          <w:trHeight w:val="192"/>
        </w:trPr>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43"/>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540"/>
        </w:trPr>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7"/>
        </w:trPr>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(55,057)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27"/>
        </w:trPr>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-728345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-376555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45</w:t>
      </w:r>
    </w:p>
    <w:p>
      <w:pPr>
        <w:sectPr>
          <w:pgSz w:w="11900" w:h="16838" w:orient="portrait"/>
          <w:cols w:equalWidth="0" w:num="2">
            <w:col w:w="3000" w:space="480"/>
            <w:col w:w="7900"/>
          </w:cols>
          <w:pgMar w:left="280" w:top="526" w:right="239" w:bottom="1440" w:gutter="0" w:footer="0" w:header="0"/>
        </w:sectPr>
      </w:pPr>
    </w:p>
    <w:bookmarkStart w:id="45" w:name="page46"/>
    <w:bookmarkEnd w:id="45"/>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320" w:type="dxa"/>
            <w:vAlign w:val="bottom"/>
            <w:gridSpan w:val="4"/>
            <w:vMerge w:val="restart"/>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40" w:type="dxa"/>
            <w:vAlign w:val="bottom"/>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2016</w:t>
            </w:r>
          </w:p>
        </w:tc>
        <w:tc>
          <w:tcPr>
            <w:tcW w:w="10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421,613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73,928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benefits relating to share-based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44,816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694,477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466,932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effect of adoption of ASU</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2016-09</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74,129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(112,218)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45,118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404,064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80,487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80,487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 issuances related to 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(132,697)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45,582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(485,490)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391,303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26" w:right="239" w:bottom="1440" w:gutter="0" w:footer="0" w:header="0"/>
        </w:sectPr>
      </w:pPr>
    </w:p>
    <w:bookmarkStart w:id="46" w:name="page47"/>
    <w:bookmarkEnd w:id="46"/>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March 31,</w:t>
            </w:r>
          </w:p>
        </w:tc>
        <w:tc>
          <w:tcPr>
            <w:tcW w:w="800" w:type="dxa"/>
            <w:vAlign w:val="bottom"/>
            <w:tcBorders>
              <w:bottom w:val="single" w:sz="8" w:color="auto"/>
            </w:tcBorders>
          </w:tcPr>
          <w:p>
            <w:pPr>
              <w:spacing w:after="0"/>
              <w:rPr>
                <w:sz w:val="16"/>
                <w:szCs w:val="16"/>
                <w:color w:val="auto"/>
              </w:rPr>
            </w:pPr>
          </w:p>
        </w:tc>
      </w:tr>
      <w:tr>
        <w:trPr>
          <w:trHeight w:val="258"/>
        </w:trPr>
        <w:tc>
          <w:tcPr>
            <w:tcW w:w="8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(61,900)</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12,060</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11,785</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10,232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Noncash stock-based compensation</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80,487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74,129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73,928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(6,242)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53,737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Equity in loss of affiliate</w:t>
            </w:r>
          </w:p>
        </w:tc>
        <w:tc>
          <w:tcPr>
            <w:tcW w:w="18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958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deferred commissions cost</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16,065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(16,372)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Other current assets and Other assets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commissions cost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(18,393)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15,088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21,719</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33,971</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36,666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330</w:t>
            </w:r>
          </w:p>
        </w:tc>
      </w:tr>
      <w:tr>
        <w:trPr>
          <w:trHeight w:val="27"/>
        </w:trPr>
        <w:tc>
          <w:tcPr>
            <w:tcW w:w="8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110,180</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84,169</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100,039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8"/>
              </w:rPr>
              <w:t>(130,338)</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8"/>
              </w:rPr>
              <w:t>(142,424)</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(96,306)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maturity of short-term investments</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131,637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131,480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74,685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(6,424)</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(132,697)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(112,218)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(49,998)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Proceeds from stock-based compensation plans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41,984</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30,114</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21,321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6,242</w:t>
            </w:r>
          </w:p>
        </w:tc>
      </w:tr>
      <w:tr>
        <w:trPr>
          <w:trHeight w:val="27"/>
        </w:trPr>
        <w:tc>
          <w:tcPr>
            <w:tcW w:w="8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(90,713)</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(82,104)</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(22,435)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(8,175)</w:t>
            </w:r>
          </w:p>
        </w:tc>
      </w:tr>
      <w:tr>
        <w:trPr>
          <w:trHeight w:val="27"/>
        </w:trPr>
        <w:tc>
          <w:tcPr>
            <w:tcW w:w="8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41,384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330,784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329,491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288,107</w:t>
            </w:r>
          </w:p>
        </w:tc>
      </w:tr>
      <w:tr>
        <w:trPr>
          <w:trHeight w:val="27"/>
        </w:trPr>
        <w:tc>
          <w:tcPr>
            <w:tcW w:w="8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327,992</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330,784</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329,491</w:t>
            </w:r>
          </w:p>
        </w:tc>
      </w:tr>
      <w:tr>
        <w:trPr>
          <w:trHeight w:val="20"/>
        </w:trPr>
        <w:tc>
          <w:tcPr>
            <w:tcW w:w="812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680</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8120" w:type="dxa"/>
            <w:vAlign w:val="bottom"/>
            <w:shd w:val="clear" w:color="auto" w:fill="BFE4FF"/>
          </w:tcPr>
          <w:p>
            <w:pPr>
              <w:ind w:left="40"/>
              <w:spacing w:after="0"/>
              <w:rPr>
                <w:sz w:val="20"/>
                <w:szCs w:val="20"/>
                <w:color w:val="auto"/>
              </w:rPr>
            </w:pPr>
            <w:r>
              <w:rPr>
                <w:rFonts w:ascii="Arial" w:cs="Arial" w:eastAsia="Arial" w:hAnsi="Arial"/>
                <w:sz w:val="18"/>
                <w:szCs w:val="18"/>
                <w:color w:val="auto"/>
              </w:rPr>
              <w:t>Income taxes paid</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11,491</w:t>
            </w:r>
          </w:p>
        </w:tc>
        <w:tc>
          <w:tcPr>
            <w:tcW w:w="100" w:type="dxa"/>
            <w:vAlign w:val="bottom"/>
            <w:shd w:val="clear" w:color="auto" w:fill="BFE4FF"/>
          </w:tcPr>
          <w:p>
            <w:pPr>
              <w:spacing w:after="0"/>
              <w:rPr>
                <w:sz w:val="21"/>
                <w:szCs w:val="21"/>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BFE4FF"/>
          </w:tcPr>
          <w:p>
            <w:pPr>
              <w:jc w:val="right"/>
              <w:ind w:right="31"/>
              <w:spacing w:after="0"/>
              <w:rPr>
                <w:sz w:val="20"/>
                <w:szCs w:val="20"/>
                <w:color w:val="auto"/>
              </w:rPr>
            </w:pPr>
            <w:r>
              <w:rPr>
                <w:rFonts w:ascii="Arial" w:cs="Arial" w:eastAsia="Arial" w:hAnsi="Arial"/>
                <w:sz w:val="18"/>
                <w:szCs w:val="18"/>
                <w:color w:val="auto"/>
              </w:rPr>
              <w:t>6,448</w:t>
            </w:r>
          </w:p>
        </w:tc>
        <w:tc>
          <w:tcPr>
            <w:tcW w:w="100" w:type="dxa"/>
            <w:vAlign w:val="bottom"/>
            <w:shd w:val="clear" w:color="auto" w:fill="BFE4FF"/>
          </w:tcPr>
          <w:p>
            <w:pPr>
              <w:spacing w:after="0"/>
              <w:rPr>
                <w:sz w:val="21"/>
                <w:szCs w:val="21"/>
                <w:color w:val="auto"/>
              </w:rPr>
            </w:pP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5,413</w:t>
            </w:r>
          </w:p>
        </w:tc>
      </w:tr>
      <w:tr>
        <w:trPr>
          <w:trHeight w:val="27"/>
        </w:trPr>
        <w:tc>
          <w:tcPr>
            <w:tcW w:w="8120" w:type="dxa"/>
            <w:vAlign w:val="bottom"/>
            <w:shd w:val="clear" w:color="auto" w:fill="BFE4FF"/>
          </w:tcPr>
          <w:p>
            <w:pPr>
              <w:spacing w:after="0"/>
              <w:rPr>
                <w:sz w:val="2"/>
                <w:szCs w:val="2"/>
                <w:color w:val="auto"/>
              </w:rPr>
            </w:pPr>
          </w:p>
        </w:tc>
        <w:tc>
          <w:tcPr>
            <w:tcW w:w="18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20" w:type="dxa"/>
            <w:vAlign w:val="bottom"/>
            <w:shd w:val="clear" w:color="auto" w:fill="BFE4FF"/>
          </w:tcPr>
          <w:p>
            <w:pPr>
              <w:spacing w:after="0"/>
              <w:rPr>
                <w:sz w:val="2"/>
                <w:szCs w:val="2"/>
                <w:color w:val="auto"/>
              </w:rPr>
            </w:pPr>
          </w:p>
        </w:tc>
        <w:tc>
          <w:tcPr>
            <w:tcW w:w="80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26" w:right="259" w:bottom="1440" w:gutter="0" w:footer="0" w:header="0"/>
        </w:sectPr>
      </w:pPr>
    </w:p>
    <w:bookmarkStart w:id="47" w:name="page48"/>
    <w:bookmarkEnd w:id="47"/>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Commvault Systems, Inc. and its subsidiaries (Commvault or the Company) is a provider of data and information management software applications. The Company develops, markets and sells a suite of software applications and services, primarily in North America, Europe, Australia and Asia, that provides its customers with data protection solutions. In fiscal 2018 the Company also started selling appliances that integrate the Company's software with hardware and address a wide-range of business needs and use cases. The Company also provides its customers with a broad range of professional and customer support services.</w:t>
      </w:r>
    </w:p>
    <w:p>
      <w:pPr>
        <w:spacing w:after="0" w:line="130"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the Company. All intercompany transactions and balances have been eliminated.</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deferred commissions cost, income taxes and related reserves, stock-based compensation and accounting for research and development costs. Actual results could differ from those estimates.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Correction of an Immaterial Error in Previously Issued Financial Statements</w:t>
      </w:r>
    </w:p>
    <w:p>
      <w:pPr>
        <w:spacing w:after="0" w:line="23" w:lineRule="exact"/>
        <w:rPr>
          <w:sz w:val="20"/>
          <w:szCs w:val="20"/>
          <w:color w:val="auto"/>
        </w:rPr>
      </w:pPr>
    </w:p>
    <w:p>
      <w:pPr>
        <w:ind w:right="40" w:firstLine="810"/>
        <w:spacing w:after="0" w:line="292" w:lineRule="auto"/>
        <w:rPr>
          <w:sz w:val="20"/>
          <w:szCs w:val="20"/>
          <w:color w:val="auto"/>
        </w:rPr>
      </w:pPr>
      <w:r>
        <w:rPr>
          <w:rFonts w:ascii="Arial" w:cs="Arial" w:eastAsia="Arial" w:hAnsi="Arial"/>
          <w:sz w:val="17"/>
          <w:szCs w:val="17"/>
          <w:color w:val="auto"/>
        </w:rPr>
        <w:t>Subsequent to the issuance of the financial statements for the year ended March 31, 2018, the Company concluded that the Statement of Operations for fiscal 2018 and fiscal 2017 contained an immaterial error related to the classification of legal fees related to intellectual property as Research and Development expenses and not General and Administrative expenses. These immaterial errors have been corrected by reclassifying $3,134 and $3,985 from Research and Development expense to General and Administrative expense for the years ended March 31, 2018 and 2017, respectively. This immaterial error did not have any impact on our financial position, net income (loss) or cash flow for fiscal 2018 or fiscal 2017.</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 For further discussion of the Company's accounting policies related to revenue see Note 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during the period. Diluted net income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64"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basic and diluted common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78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80" w:type="dxa"/>
            <w:vAlign w:val="bottom"/>
            <w:gridSpan w:val="2"/>
          </w:tcPr>
          <w:p>
            <w:pPr>
              <w:ind w:left="6740"/>
              <w:spacing w:after="0"/>
              <w:rPr>
                <w:sz w:val="20"/>
                <w:szCs w:val="20"/>
                <w:color w:val="auto"/>
              </w:rPr>
            </w:pPr>
            <w:r>
              <w:rPr>
                <w:rFonts w:ascii="Arial" w:cs="Arial" w:eastAsia="Arial" w:hAnsi="Arial"/>
                <w:sz w:val="14"/>
                <w:szCs w:val="14"/>
                <w:b w:val="1"/>
                <w:bCs w:val="1"/>
                <w:color w:val="auto"/>
              </w:rPr>
              <w:t>2019</w:t>
            </w: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50"/>
        </w:trPr>
        <w:tc>
          <w:tcPr>
            <w:tcW w:w="6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45,827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45,242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44,700</w:t>
            </w:r>
          </w:p>
        </w:tc>
      </w:tr>
      <w:tr>
        <w:trPr>
          <w:trHeight w:val="229"/>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Dilutive effect of stock options, restricted stock units, and employee stock</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purchase plan</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47,601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45,242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44,700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summarizes the potential outstanding common stock equivalents of the Company at the end of each period, which have been excluded from the computation of diluted net income per common share, as its effect is anti-dilutive.</w:t>
      </w:r>
    </w:p>
    <w:p>
      <w:pPr>
        <w:spacing w:after="0" w:line="36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23495</wp:posOffset>
            </wp:positionV>
            <wp:extent cx="31730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5"/>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Stock options, restricted stock units, and shares under the employee stock purchase</w:t>
            </w:r>
          </w:p>
        </w:tc>
        <w:tc>
          <w:tcPr>
            <w:tcW w:w="10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998</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7,312</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37"/>
        </w:trPr>
        <w:tc>
          <w:tcPr>
            <w:tcW w:w="7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plan</w:t>
            </w:r>
          </w:p>
        </w:tc>
        <w:tc>
          <w:tcPr>
            <w:tcW w:w="5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9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Research and development expenditures are charged to operations as incurred. Based on the Company’s software development process, technological feasibility is established upon completion of a working model, which also requires certification and extensive testing. Costs incurred by the Company between completion of the working model and the point at which the product is ready for general release are immaterial.</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9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Trade and other receivables are primarily comprised of trade receivables that are recorded at the invoice amount, net of an allowance for doubtful accounts, which is not material. Unbilled receivables represent amounts for which revenue has been recognized but which have not yet been invoiced to the customer. The current portion of unbilled receivables is included in Trade accounts receivable on the consolidated balance sheet. Long term unbilled receivables are included in Other assets.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accounts for income taxes in accordance with ASC Topic 740, “Income Taxes” (ASC 740). The provision for income taxes and effective tax rates are calculated by legal entity and jurisdiction and are based on a number of factors, including the level of pre-tax earnings, income tax planning strategies, differences between tax laws and accounting rules, statutory tax rates and credits, uncertain tax positions and valuation allowances. The Company uses significant judgment and estimates in evaluating tax positions. The effective tax rate in a given financial statement period may be materially impacted by changes in the mix and level of earnings by taxing jurisdiction.</w:t>
      </w:r>
    </w:p>
    <w:p>
      <w:pPr>
        <w:spacing w:after="0" w:line="5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Under ASC 740, deferred income taxes arise from temporary differences between the tax basis of assets and liabilities and their reported amounts. Valuation allowances are established when, in the Company's judgment, it is more likely than not that deferred tax assets will not be realized. In assessing the need for a valuation allowance, the Company weighs the available positive and negative evidence, including historical levels of pre-tax income, legislative developments, expectations and risks associated with estimates of future pre-tax income, and prudent and feasible tax planning strategies.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880" w:firstLine="648"/>
        <w:spacing w:after="0" w:line="308" w:lineRule="auto"/>
        <w:rPr>
          <w:sz w:val="20"/>
          <w:szCs w:val="20"/>
          <w:color w:val="auto"/>
        </w:rPr>
      </w:pPr>
      <w:r>
        <w:rPr>
          <w:rFonts w:ascii="Arial" w:cs="Arial" w:eastAsia="Arial" w:hAnsi="Arial"/>
          <w:sz w:val="17"/>
          <w:szCs w:val="17"/>
          <w:color w:val="auto"/>
        </w:rPr>
        <w:t>The Company considers all highly liquid investments purchased with maturities of three months or less at the date of purchase to be cash equivalents. As of March 31, 2019, the Company’s cash and cash equivalents balance consisted primarily of money market funds.</w:t>
      </w:r>
    </w:p>
    <w:p>
      <w:pPr>
        <w:sectPr>
          <w:pgSz w:w="11900" w:h="16838" w:orient="portrait"/>
          <w:cols w:equalWidth="0" w:num="1">
            <w:col w:w="11400"/>
          </w:cols>
          <w:pgMar w:left="240" w:top="121"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1" w:right="25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Short-term investments consist of investments with maturities of twelve months or less that do not meet the criteria to be cash equivalents. The company determines classification of the investment as trading, available-for-sale or held-to-maturity at the time of purchase and reevaluates classification whenever changes in circumstances indicate changes in classification may be necessary. The Company’s current short-term investments are classified as held-to-maturity. Held-to-maturity investments consist of securities that the Company has the intent and ability to retain until maturity. Held-to-maturity investments are initially recorded at cost and adjusted for the amortization of discounts from the date of purchase through maturity. Income related to investments is recorded as interest income in the Consolidated Statement of Operations. Cash inflows and outflows related to the sale, maturity and purchase of investments are classified as investing activities in the Company’s Consolidated Statements of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approximately 38%, 36% and 36% of total revenues for the years ended March 31, 2019, 2018 and 2017, respectively. Arrow accounted for approximately 38% of total accounts receivable as of March 31, 2019 and 2018,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and accounts payable approximate their fair values due to the short-term maturity of these instruments. As of March 31, 2019 and 2018, the Company’s short-term investments balance consisted of U.S. Treasury Bills.</w:t>
      </w:r>
    </w:p>
    <w:p>
      <w:pPr>
        <w:spacing w:after="0" w:line="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on a recurring basis at March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4"/>
                <w:szCs w:val="1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102,702</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131,937</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131,937</w:t>
            </w:r>
          </w:p>
        </w:tc>
      </w:tr>
      <w:tr>
        <w:trPr>
          <w:trHeight w:val="554"/>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2018</w:t>
            </w:r>
          </w:p>
        </w:tc>
        <w:tc>
          <w:tcPr>
            <w:tcW w:w="28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4"/>
                <w:szCs w:val="2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43,545</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132,263</w:t>
            </w:r>
          </w:p>
        </w:tc>
        <w:tc>
          <w:tcPr>
            <w:tcW w:w="10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132,263</w:t>
            </w:r>
          </w:p>
        </w:tc>
      </w:tr>
      <w:tr>
        <w:trPr>
          <w:trHeight w:val="48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Property and equipment are stated at cost, less accumulated depreciation and amortization. Land is not depreciated. The Company provides for depreciation on a straight-line basis over the estimated useful lives of the assets. The depreciable assets that comprise the Company's owned headquarters classified as Buildings are being depreciated over lives ranging from ten to sixty years. Computer and related equipment is generally depreciated over eighteen months to three years and furniture and fixtures are generally depreciated over three to twelve years. Leasehold improvements are amortized over the shorter of the useful life of the improvement or the term of the related lease. Expenditures for routine maintenance and repairs are charged against operations. Major replacements, improvements and additions are capitalized.</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liability for the fair value of an asset retirement obligation and corresponding increase to the carrying value of the related leasehold improvements are recorded at the time leasehold improvements are acquired. The Company maintains certain office space for which the lease agreement requires that the Company return the office space to its original condition upon vacating the premises. Accordingly, the balance of the asset retirement obligation was $1,479 as of March 31, 2019 and $1,303 as of March 31, 2018.</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the recoverability of its long-lived assets, the Company evaluates the estimated future undiscounted cash flows that are directly associated with, and that are expected to arise as a direct result of, the use and eventual disposition of the long-lived asset. If the estimated future undiscounted cash flows demonstrate that recoverability is not probable, an impairment loss would be recognized. An impairment loss would be calculated based on the excess carrying amount of the long-lived asset over the long-lived asset’s fair value. The fair value would be determined based on valuation techniques such as a comparison to fair values of similar assets. There were no impairment charges recognized during the years ended March 31, 2019, 2018 and 2017.</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Commissions Cost</w:t>
      </w:r>
    </w:p>
    <w:p>
      <w:pPr>
        <w:spacing w:after="0" w:line="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commissions and related payroll taxes earned by the Company's employees are considered incremental and recoverable costs of obtaining a contract with a customer. The Company’s typical contracts include performance obligations related to software licenses, software updates, customer support and other professional services.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The Company does not pay commissions on annual renewals of contracts for software updates and customer support for perpetual licenses. The costs allocated to software and products are expensed at the time of sale, when revenue for the functional software license or appliance is recognized. The costs allocated to software updates and customer support for perpetual licenses are amortized ratably over a period of approximately five years, the expected period of benefit of the asset capitalized. The Company currently estimates a period of five years is appropriate based on consideration of historical average customer life and the estimated useful life of the underlying software or appliance sold as part of the transaction. The costs related to professional services are amortized within one quarter following the date of the related software or appliance sale, which is typically the period the related professional services are provided and revenue is recognized. Amortization expense related to these costs is included in Sales and marketing expenses in the accompanying condensed consolidated statements of operations.</w:t>
      </w:r>
    </w:p>
    <w:p>
      <w:pPr>
        <w:spacing w:after="0" w:line="45" w:lineRule="exact"/>
        <w:rPr>
          <w:sz w:val="20"/>
          <w:szCs w:val="20"/>
          <w:color w:val="auto"/>
        </w:rPr>
      </w:pPr>
    </w:p>
    <w:p>
      <w:pPr>
        <w:jc w:val="both"/>
        <w:ind w:right="780" w:firstLine="648"/>
        <w:spacing w:after="0" w:line="342" w:lineRule="auto"/>
        <w:rPr>
          <w:sz w:val="20"/>
          <w:szCs w:val="20"/>
          <w:color w:val="auto"/>
        </w:rPr>
      </w:pPr>
      <w:r>
        <w:rPr>
          <w:rFonts w:ascii="Arial" w:cs="Arial" w:eastAsia="Arial" w:hAnsi="Arial"/>
          <w:sz w:val="16"/>
          <w:szCs w:val="16"/>
          <w:color w:val="auto"/>
        </w:rPr>
        <w:t>Costs related to software updates and support for term-based, or subscription software licenses, are limited to the contractual period of the arrangement as the Company intends to pay a commensurate commission upon renewal of the subscription license and related updates and support.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9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The value of deferred revenues will increase or decrease based on the timing of invoices and recognition of revenue.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1" w:right="2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fiscal 2019, Joseph F. Eazor, former CEO of Rackspace, Inc (Rackspace), was a Director of the Company. Rackspace has been a customer of the Company since 2006. On July 31, 2018, Joseph F. Eazor resigned from the Board of Directors. Total recognized revenue related to Rackspace for fiscal 2019 through July 31, 2018 was $631.</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90"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The Company utilizes the Black-Scholes pricing model to determine the fair value of non-qualified stock options on the dates of grant. Restricted stock units without a market condition are measured based on the fair market values of the underlying stock on the date of grant. The Company recognizes stock-based compensation using the straight-line method for all stock awards that don't include a market or performance condition.</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Company considers all shares repurchased as canceled shares restored to the status of authorized but unissued shares on the trade date. The aggregate purchase price of the shares of the Company’s common stock repurchased is reflected as a reduction to Stockholders’ Equity. The Company accounts for shares repurchased as an adjustment to common stock (at par value) with the excess repurchase price allocated between Additional Paid-in Capital and Accumulated Deficit.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Tax</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revenue net of sales tax.</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expenses advertising costs as incurred. Advertising expenses were $4,678, $5,704, and $7,816 for the years ended March 31, 2019, 2018 and 2017, respectively.</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Shipping and handling costs are included in cost of revenues for all periods presented.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functional currencies of the Company’s foreign operations are deemed to be the local country’s currency. Assets and liabilities of the Company’s international subsidiaries are translated at their respective period-end exchange rates, and revenues and expenses are translated at average currency exchange rates for the period. The resulting balance sheet translation adjustments are included in Other Comprehensive Loss and are reflected as a separate component of Stockholders’ Equity.</w:t>
      </w:r>
    </w:p>
    <w:p>
      <w:pPr>
        <w:spacing w:after="0" w:line="13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The Company recognized net foreign currency transaction gains of $984, $109 and $644 in the years ended March 31, 2019, 2018, and 2017, respectively. The net foreign currency transaction gains recorded in “General and administrative expenses” include settlement gains and losses on forward contracts disclosed below.</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stockholders and distribution to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0" w:firstLine="180"/>
        <w:spacing w:after="0" w:line="290" w:lineRule="auto"/>
        <w:rPr>
          <w:sz w:val="20"/>
          <w:szCs w:val="20"/>
          <w:color w:val="auto"/>
        </w:rPr>
      </w:pPr>
      <w:r>
        <w:rPr>
          <w:rFonts w:ascii="Arial" w:cs="Arial" w:eastAsia="Arial" w:hAnsi="Arial"/>
          <w:sz w:val="16"/>
          <w:szCs w:val="16"/>
          <w:color w:val="auto"/>
        </w:rPr>
        <w:t>In February 2016, the FASB issued ASU 2016-02 “Leases (Topic 842)” (“ASU 2016-02”). Under ASU 2016-02, a lessee will recognize a liability to make lease payments (the lease liability) and a right-to-use asset representing its right to use the underlying asset for the lease term. The Company will adopt this ASU in the first quarter of fiscal 2020 and will apply it at the beginning of the period of adoption with the cumulative effect of applying the new rules recognized then. As part of its assessment, the Company performed a scoping exercise and determined the lease population. Based on this assessment, the Company anticipates the most significant impact will be the recognition of right-of-use assets and lease liabilities on its consolidated balance sheet, related to operating leases. This impact on its consolidated balance sheet is estimated to be less than 10% of total assets and liabilities. Furthermore, the Company expects no significant impact on its consolidated income statement. Additionally, the Company is in the process of finalizing the implementation of a lease accounting system and refining internal controls and processes related to both the implementation and ongoing compliance of the new guidance.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Losses on Financial Instruments</w:t>
      </w:r>
    </w:p>
    <w:p>
      <w:pPr>
        <w:spacing w:after="0" w:line="225"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The standard amends guidance on the impairment of financial instruments. The ASU estimates credit losses based on expected losses and provides for a simplified accounting model for purchased financial assets with credit deterioration. The standard requires a modified retrospective basis adoption through a cumulative-effect adjustment to retained earnings as of the beginning of the period of adoption. The amendments of this ASU are effective for the Company's fiscal 2021, with early adoption permitted. The Company is currently assessing the impact the adoption of ASU 2016-13 will have on the financial statements.</w:t>
      </w:r>
    </w:p>
    <w:p>
      <w:pPr>
        <w:spacing w:after="0" w:line="13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the Company which are expected to have a material impact on the Company’s financial position, results of operations or cash flows.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w:t>
      </w:r>
    </w:p>
    <w:p>
      <w:pPr>
        <w:spacing w:after="0" w:line="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accounts for revenue in accordance with ASC Topic 606, Revenue from Contracts with Customers, which was adopted on April 1, 2017, using the full retrospective method.</w:t>
      </w:r>
    </w:p>
    <w:p>
      <w:pPr>
        <w:spacing w:after="0" w:line="116" w:lineRule="exact"/>
        <w:rPr>
          <w:sz w:val="20"/>
          <w:szCs w:val="20"/>
          <w:color w:val="auto"/>
        </w:rPr>
      </w:pPr>
    </w:p>
    <w:p>
      <w:pPr>
        <w:ind w:right="20" w:firstLine="500"/>
        <w:spacing w:after="0" w:line="259" w:lineRule="auto"/>
        <w:rPr>
          <w:sz w:val="20"/>
          <w:szCs w:val="20"/>
          <w:color w:val="auto"/>
        </w:rPr>
      </w:pPr>
      <w:r>
        <w:rPr>
          <w:rFonts w:ascii="Arial" w:cs="Arial" w:eastAsia="Arial" w:hAnsi="Arial"/>
          <w:sz w:val="18"/>
          <w:szCs w:val="18"/>
          <w:color w:val="auto"/>
        </w:rPr>
        <w:t>The Company derives revenues from two primary sources: software and products, and services. Software and products revenue includes the Company's software and integrated appliances that combine the Company's software with hardware. Services include customer support (software updates and technical support), consulting, assessment and design services, installation services and customer education. A typical contract includes both licenses and services.</w:t>
      </w:r>
    </w:p>
    <w:p>
      <w:pPr>
        <w:spacing w:after="0" w:line="133" w:lineRule="exact"/>
        <w:rPr>
          <w:sz w:val="20"/>
          <w:szCs w:val="20"/>
          <w:color w:val="auto"/>
        </w:rPr>
      </w:pPr>
    </w:p>
    <w:p>
      <w:pPr>
        <w:ind w:right="140" w:firstLine="500"/>
        <w:spacing w:after="0" w:line="291"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The Company also sells term-based software licenses that expire, which are referred to as subscription arrangements. The Company does not customize its software and installation services are not required. The software is delivered before related services are provided and is functional without professional services, updates and technical support. The Company has concluded that its software license is functional intellectual property that is distinct as the user can benefit from the software on its own. Software revenue is typically recognized when the software is delivered and/or made available for download as this is the point the user of the software can direct the use of, and obtain substantially all of the remaining benefits from the functional intellectual property. The Company does not recognize software revenue related to the renewal of subscription software licenses earlier than the beginning of the subscription period.</w:t>
      </w:r>
    </w:p>
    <w:p>
      <w:pPr>
        <w:spacing w:after="0" w:line="113" w:lineRule="exact"/>
        <w:rPr>
          <w:sz w:val="20"/>
          <w:szCs w:val="20"/>
          <w:color w:val="auto"/>
        </w:rPr>
      </w:pPr>
    </w:p>
    <w:p>
      <w:pPr>
        <w:jc w:val="both"/>
        <w:ind w:right="100" w:firstLine="500"/>
        <w:spacing w:after="0" w:line="312" w:lineRule="auto"/>
        <w:rPr>
          <w:sz w:val="20"/>
          <w:szCs w:val="20"/>
          <w:color w:val="auto"/>
        </w:rPr>
      </w:pPr>
      <w:r>
        <w:rPr>
          <w:rFonts w:ascii="Arial" w:cs="Arial" w:eastAsia="Arial" w:hAnsi="Arial"/>
          <w:sz w:val="16"/>
          <w:szCs w:val="16"/>
          <w:color w:val="auto"/>
        </w:rPr>
        <w:t>In fiscal 2018, the Company also started selling appliances that integrate the Company's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Revenue to date related to appliances has not been significant.</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18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Company’s other professional services include consulting, assessment and design services, installation services and customer education. Customer education services include courses taught by the Company’s instructors or third-party</w:t>
      </w:r>
    </w:p>
    <w:p>
      <w:pPr>
        <w:sectPr>
          <w:pgSz w:w="11900" w:h="16838" w:orient="portrait"/>
          <w:cols w:equalWidth="0" w:num="1">
            <w:col w:w="11400"/>
          </w:cols>
          <w:pgMar w:left="240" w:top="121"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21" w:right="259" w:bottom="1440" w:gutter="0" w:footer="0" w:header="0"/>
          <w:type w:val="continuous"/>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contractors. Revenue related to other professional services and customer education services is typically recognized as the services are performed.</w:t>
      </w:r>
    </w:p>
    <w:p>
      <w:pPr>
        <w:spacing w:after="0" w:line="237"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25" w:lineRule="exact"/>
        <w:rPr>
          <w:sz w:val="20"/>
          <w:szCs w:val="20"/>
          <w:color w:val="auto"/>
        </w:rPr>
      </w:pPr>
    </w:p>
    <w:p>
      <w:pPr>
        <w:ind w:left="360"/>
        <w:spacing w:after="0"/>
        <w:tabs>
          <w:tab w:leader="none" w:pos="3160" w:val="left"/>
          <w:tab w:leader="none" w:pos="6760" w:val="left"/>
          <w:tab w:leader="none" w:pos="90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2"/>
          <w:szCs w:val="12"/>
          <w:b w:val="1"/>
          <w:bCs w:val="1"/>
          <w:color w:val="auto"/>
        </w:rPr>
        <w:t>How Standalone Selling Price is</w:t>
      </w:r>
    </w:p>
    <w:p>
      <w:pPr>
        <w:spacing w:after="0" w:line="4" w:lineRule="exact"/>
        <w:rPr>
          <w:sz w:val="20"/>
          <w:szCs w:val="20"/>
          <w:color w:val="auto"/>
        </w:rPr>
      </w:pPr>
    </w:p>
    <w:p>
      <w:pPr>
        <w:ind w:left="3520"/>
        <w:spacing w:after="0"/>
        <w:tabs>
          <w:tab w:leader="none" w:pos="6880" w:val="left"/>
          <w:tab w:leader="none" w:pos="936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3"/>
          <w:szCs w:val="13"/>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Software and Products Revenue</w:t>
      </w:r>
    </w:p>
    <w:p>
      <w:pPr>
        <w:sectPr>
          <w:pgSz w:w="11900" w:h="16838" w:orient="portrait"/>
          <w:cols w:equalWidth="0" w:num="1">
            <w:col w:w="11400"/>
          </w:cols>
          <w:pgMar w:left="240" w:top="121" w:right="259" w:bottom="1440" w:gutter="0" w:footer="0" w:header="0"/>
        </w:sectPr>
      </w:pPr>
    </w:p>
    <w:p>
      <w:pPr>
        <w:spacing w:after="0" w:line="63"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(point in time)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Within 90 days of shipment</w:t>
      </w:r>
      <w:r>
        <w:rPr>
          <w:sz w:val="20"/>
          <w:szCs w:val="20"/>
          <w:color w:val="auto"/>
        </w:rPr>
        <w:tab/>
      </w:r>
      <w:r>
        <w:rPr>
          <w:rFonts w:ascii="Arial" w:cs="Arial" w:eastAsia="Arial" w:hAnsi="Arial"/>
          <w:sz w:val="16"/>
          <w:szCs w:val="16"/>
          <w:color w:val="auto"/>
        </w:rPr>
        <w:t>Residual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certain subscription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licenses which are paid for over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36" w:lineRule="exact"/>
        <w:rPr>
          <w:sz w:val="20"/>
          <w:szCs w:val="20"/>
          <w:color w:val="auto"/>
        </w:rPr>
      </w:pPr>
    </w:p>
    <w:p>
      <w:pPr>
        <w:sectPr>
          <w:pgSz w:w="11900" w:h="16838" w:orient="portrait"/>
          <w:cols w:equalWidth="0" w:num="2">
            <w:col w:w="5660" w:space="440"/>
            <w:col w:w="5300"/>
          </w:cols>
          <w:pgMar w:left="240" w:top="121" w:right="259" w:bottom="1440" w:gutter="0" w:footer="0" w:header="0"/>
          <w:type w:val="continuous"/>
        </w:sectPr>
      </w:pPr>
    </w:p>
    <w:tbl>
      <w:tblPr>
        <w:tblLayout w:type="fixed"/>
        <w:tblInd w:w="20" w:type="dxa"/>
        <w:tblCellMar>
          <w:top w:w="0" w:type="dxa"/>
          <w:left w:w="0" w:type="dxa"/>
          <w:bottom w:w="0" w:type="dxa"/>
          <w:right w:w="0" w:type="dxa"/>
        </w:tblCellMar>
      </w:tblPr>
      <w:tr>
        <w:trPr>
          <w:trHeight w:val="229"/>
        </w:trPr>
        <w:tc>
          <w:tcPr>
            <w:tcW w:w="2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Appliances</w:t>
            </w: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When control of the appliances passes to the</w:t>
            </w:r>
          </w:p>
        </w:tc>
        <w:tc>
          <w:tcPr>
            <w:tcW w:w="2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Within 90 days of delivery</w:t>
            </w:r>
          </w:p>
        </w:tc>
        <w:tc>
          <w:tcPr>
            <w:tcW w:w="3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Residual approach</w:t>
            </w:r>
          </w:p>
        </w:tc>
      </w:tr>
      <w:tr>
        <w:trPr>
          <w:trHeight w:val="237"/>
        </w:trPr>
        <w:tc>
          <w:tcPr>
            <w:tcW w:w="210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customer; typically upon delivery</w:t>
            </w:r>
          </w:p>
        </w:tc>
        <w:tc>
          <w:tcPr>
            <w:tcW w:w="25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r>
      <w:tr>
        <w:trPr>
          <w:trHeight w:val="243"/>
        </w:trPr>
        <w:tc>
          <w:tcPr>
            <w:tcW w:w="2100" w:type="dxa"/>
            <w:vAlign w:val="bottom"/>
          </w:tcPr>
          <w:p>
            <w:pPr>
              <w:ind w:left="20"/>
              <w:spacing w:after="0"/>
              <w:rPr>
                <w:sz w:val="20"/>
                <w:szCs w:val="20"/>
                <w:color w:val="auto"/>
              </w:rPr>
            </w:pPr>
            <w:r>
              <w:rPr>
                <w:rFonts w:ascii="Arial" w:cs="Arial" w:eastAsia="Arial" w:hAnsi="Arial"/>
                <w:sz w:val="18"/>
                <w:szCs w:val="18"/>
                <w:i w:val="1"/>
                <w:iCs w:val="1"/>
                <w:color w:val="auto"/>
                <w:w w:val="92"/>
              </w:rPr>
              <w:t>Customer Support Revenue</w:t>
            </w:r>
          </w:p>
        </w:tc>
        <w:tc>
          <w:tcPr>
            <w:tcW w:w="36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p>
      <w:pPr>
        <w:spacing w:after="0" w:line="40" w:lineRule="exact"/>
        <w:rPr>
          <w:sz w:val="20"/>
          <w:szCs w:val="20"/>
          <w:color w:val="auto"/>
        </w:rPr>
      </w:pPr>
    </w:p>
    <w:p>
      <w:pPr>
        <w:ind w:left="180"/>
        <w:spacing w:after="0"/>
        <w:tabs>
          <w:tab w:leader="none" w:pos="2200" w:val="left"/>
        </w:tabs>
        <w:rPr>
          <w:sz w:val="20"/>
          <w:szCs w:val="20"/>
          <w:color w:val="auto"/>
        </w:rPr>
      </w:pPr>
      <w:r>
        <w:rPr>
          <w:rFonts w:ascii="Arial" w:cs="Arial" w:eastAsia="Arial" w:hAnsi="Arial"/>
          <w:sz w:val="18"/>
          <w:szCs w:val="18"/>
          <w:color w:val="auto"/>
        </w:rPr>
        <w:t>Software Updates</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1" w:right="259" w:bottom="1440" w:gutter="0" w:footer="0" w:header="0"/>
          <w:type w:val="continuous"/>
        </w:sectPr>
      </w:pPr>
    </w:p>
    <w:p>
      <w:pPr>
        <w:ind w:left="180"/>
        <w:spacing w:after="0"/>
        <w:tabs>
          <w:tab w:leader="none" w:pos="2200" w:val="left"/>
        </w:tabs>
        <w:rPr>
          <w:sz w:val="20"/>
          <w:szCs w:val="20"/>
          <w:color w:val="auto"/>
        </w:rPr>
      </w:pPr>
      <w:r>
        <w:rPr>
          <w:rFonts w:ascii="Arial" w:cs="Arial" w:eastAsia="Arial" w:hAnsi="Arial"/>
          <w:sz w:val="18"/>
          <w:szCs w:val="18"/>
          <w:color w:val="auto"/>
        </w:rPr>
        <w:t>Customer Support</w:t>
      </w:r>
      <w:r>
        <w:rPr>
          <w:sz w:val="20"/>
          <w:szCs w:val="20"/>
          <w:color w:val="auto"/>
        </w:rPr>
        <w:tab/>
      </w:r>
      <w:r>
        <w:rPr>
          <w:rFonts w:ascii="Arial" w:cs="Arial" w:eastAsia="Arial" w:hAnsi="Arial"/>
          <w:sz w:val="16"/>
          <w:szCs w:val="16"/>
          <w:color w:val="auto"/>
        </w:rPr>
        <w:t>Ratably over the course of the support contract (over</w:t>
      </w:r>
    </w:p>
    <w:p>
      <w:pPr>
        <w:spacing w:after="0" w:line="2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At the beginning of the contract Observable in renewal transactions period</w:t>
      </w:r>
    </w:p>
    <w:p>
      <w:pPr>
        <w:spacing w:after="0" w:line="8" w:lineRule="exact"/>
        <w:rPr>
          <w:sz w:val="20"/>
          <w:szCs w:val="20"/>
          <w:color w:val="auto"/>
        </w:rPr>
      </w:pPr>
    </w:p>
    <w:p>
      <w:pPr>
        <w:sectPr>
          <w:pgSz w:w="11900" w:h="16838" w:orient="portrait"/>
          <w:cols w:equalWidth="0" w:num="2">
            <w:col w:w="6020" w:space="80"/>
            <w:col w:w="530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8"/>
          <w:szCs w:val="18"/>
          <w:i w:val="1"/>
          <w:iCs w:val="1"/>
          <w:color w:val="auto"/>
        </w:rPr>
        <w:t>Professional Services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Other Professional</w:t>
            </w:r>
          </w:p>
        </w:tc>
        <w:tc>
          <w:tcPr>
            <w:tcW w:w="3660" w:type="dxa"/>
            <w:vAlign w:val="bottom"/>
          </w:tcPr>
          <w:p>
            <w:pPr>
              <w:ind w:left="300"/>
              <w:spacing w:after="0"/>
              <w:rPr>
                <w:sz w:val="20"/>
                <w:szCs w:val="20"/>
                <w:color w:val="auto"/>
              </w:rPr>
            </w:pPr>
            <w:r>
              <w:rPr>
                <w:rFonts w:ascii="Arial" w:cs="Arial" w:eastAsia="Arial" w:hAnsi="Arial"/>
                <w:sz w:val="18"/>
                <w:szCs w:val="18"/>
                <w:color w:val="auto"/>
              </w:rPr>
              <w:t>As work is performed (over time)</w:t>
            </w:r>
          </w:p>
        </w:tc>
        <w:tc>
          <w:tcPr>
            <w:tcW w:w="2940" w:type="dxa"/>
            <w:vAlign w:val="bottom"/>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Services (except for</w:t>
            </w:r>
          </w:p>
        </w:tc>
        <w:tc>
          <w:tcPr>
            <w:tcW w:w="3660" w:type="dxa"/>
            <w:vAlign w:val="bottom"/>
          </w:tcPr>
          <w:p>
            <w:pPr>
              <w:spacing w:after="0"/>
              <w:rPr>
                <w:sz w:val="18"/>
                <w:szCs w:val="18"/>
                <w:color w:val="auto"/>
              </w:rPr>
            </w:pPr>
          </w:p>
        </w:tc>
        <w:tc>
          <w:tcPr>
            <w:tcW w:w="2940" w:type="dxa"/>
            <w:vAlign w:val="bottom"/>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30"/>
        </w:trPr>
        <w:tc>
          <w:tcPr>
            <w:tcW w:w="1900" w:type="dxa"/>
            <w:vAlign w:val="bottom"/>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29"/>
        </w:trPr>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Education Services</w:t>
            </w:r>
          </w:p>
        </w:tc>
        <w:tc>
          <w:tcPr>
            <w:tcW w:w="3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When the class is taught (point in time)</w:t>
            </w: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Within 90 days of services being</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Observable in transactions without</w:t>
            </w:r>
          </w:p>
        </w:tc>
      </w:tr>
      <w:tr>
        <w:trPr>
          <w:trHeight w:val="230"/>
        </w:trPr>
        <w:tc>
          <w:tcPr>
            <w:tcW w:w="190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performed</w:t>
            </w:r>
          </w:p>
        </w:tc>
        <w:tc>
          <w:tcPr>
            <w:tcW w:w="2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multiple performance obligations</w:t>
            </w:r>
          </w:p>
        </w:tc>
      </w:tr>
      <w:tr>
        <w:trPr>
          <w:trHeight w:val="27"/>
        </w:trPr>
        <w:tc>
          <w:tcPr>
            <w:tcW w:w="19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geographic regions that are tracked are the Americas (United States, Canada, Latin America), EMEA (Europe, Middle East, Africa) and APAC (Australia, New Zealand, Southeast Asia, China). The Company operates in one segment.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 March 31, 2019</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24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46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APAC</w:t>
            </w: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170,114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95,913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309,899</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237,190</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82,895</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38,662</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358,747</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23,076</w:t>
            </w: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42,311</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430,380</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191,188</w:t>
            </w:r>
          </w:p>
        </w:tc>
        <w:tc>
          <w:tcPr>
            <w:tcW w:w="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710,957</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62"/>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right"/>
              <w:ind w:right="1310"/>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type w:val="continuous"/>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Year Ended March 31, 2018</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4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APAC</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167,858</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100,452</w:t>
            </w:r>
          </w:p>
        </w:tc>
        <w:tc>
          <w:tcPr>
            <w:tcW w:w="132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43,435</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311,745</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233,991</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75,807</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36,257</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346,055</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23,453</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41,593</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425,302</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187,548</w:t>
            </w:r>
          </w:p>
        </w:tc>
        <w:tc>
          <w:tcPr>
            <w:tcW w:w="13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86,543</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699,393</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Year Ended March 31, 2017</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Americas</w:t>
            </w:r>
          </w:p>
        </w:tc>
        <w:tc>
          <w:tcPr>
            <w:tcW w:w="44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EMEA</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APAC</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and Products 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168,243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132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40,032</w:t>
            </w: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290,668</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Customer Support Revenue</w:t>
            </w: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216,656</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65,732</w:t>
            </w:r>
          </w:p>
        </w:tc>
        <w:tc>
          <w:tcPr>
            <w:tcW w:w="1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32,466</w:t>
            </w:r>
          </w:p>
        </w:tc>
        <w:tc>
          <w:tcPr>
            <w:tcW w:w="4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314,854</w:t>
            </w:r>
          </w:p>
        </w:tc>
      </w:tr>
      <w:tr>
        <w:trPr>
          <w:trHeight w:val="27"/>
        </w:trPr>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22,704</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39,483</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407,603</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159,489</w:t>
            </w:r>
          </w:p>
        </w:tc>
        <w:tc>
          <w:tcPr>
            <w:tcW w:w="132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77,913</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645,005</w:t>
            </w:r>
          </w:p>
        </w:tc>
      </w:tr>
      <w:tr>
        <w:trPr>
          <w:trHeight w:val="20"/>
        </w:trPr>
        <w:tc>
          <w:tcPr>
            <w:tcW w:w="3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services revenue, primarily customer support contracts.</w:t>
      </w:r>
    </w:p>
    <w:p>
      <w:pPr>
        <w:spacing w:after="0" w:line="170"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In some arrangements the Company allows customers to pay for term 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 Long term unbilled receivables are included in Other assets. The opening and closing balances of the Company’s accounts receivable, unbilled receivables, and deferred revenues are as follows:</w:t>
      </w:r>
    </w:p>
    <w:p>
      <w:pPr>
        <w:spacing w:after="0" w:line="96"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Unbilled</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Deferred</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Accounts</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Receivable</w:t>
            </w:r>
          </w:p>
        </w:tc>
        <w:tc>
          <w:tcPr>
            <w:tcW w:w="2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Receivable</w:t>
            </w:r>
          </w:p>
        </w:tc>
        <w:tc>
          <w:tcPr>
            <w:tcW w:w="24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(current)</w:t>
            </w:r>
          </w:p>
        </w:tc>
        <w:tc>
          <w:tcPr>
            <w:tcW w:w="24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(long-term)</w:t>
            </w:r>
          </w:p>
        </w:tc>
        <w:tc>
          <w:tcPr>
            <w:tcW w:w="22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(long-term)</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Balance as of March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84,661</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Increase/(decrease), net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9,351</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5,366</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14,596</w:t>
            </w: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as of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99,257</w:t>
            </w: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increase in accounts receivable is primarily a result of an increase in subscription software transactions that are recognized as revenue at the time of sale but paid for over time. The net increase in deferred revenue is primarily the result of an increase in deferred customer support revenue related to software and products revenue transactions and customer support renewals during fiscal 2019.</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amount of revenue recognized in the period that was included in the opening deferred revenue balance was $238,603 for the year ended March 31, 2019. The vast majority of this revenue consists of customer support arrangements. The amount of revenue recognized from performance obligations satisfied in prior periods was not material.</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addition to the amounts included in deferred revenue as of March 31, 2019, approximately $27,956 of revenue may be recognized from remaining performance obligations, of which $3,137 was related to software and products. The Company expects the software and products revenue to be recognized next quarter. The majority of the services revenue is related to other professional services which may be recognized over the next twelve months but is contingent upon a number of factors, including customers’ needs and schedules.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21" w:right="25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Property and Equipment</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9,445</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103,244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103,244</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37,132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15,184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15,594</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Purchased software</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1,425</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r>
      <w:tr>
        <w:trPr>
          <w:trHeight w:val="237"/>
        </w:trPr>
        <w:tc>
          <w:tcPr>
            <w:tcW w:w="76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180,239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177,040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(48,428)</w:t>
            </w:r>
          </w:p>
        </w:tc>
      </w:tr>
      <w:tr>
        <w:trPr>
          <w:trHeight w:val="237"/>
        </w:trPr>
        <w:tc>
          <w:tcPr>
            <w:tcW w:w="76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122,716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128,612</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recorded depreciation and amortization expense of $12,060, $11,217, and $9,980 for the years ended March 31, 2019, 2018 and 2017, respectively.</w:t>
      </w:r>
    </w:p>
    <w:p>
      <w:pPr>
        <w:spacing w:after="0" w:line="112"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payroll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46,192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37,389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36,107</w:t>
            </w: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85,721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82,299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leases various office facilities under non-cancelable leases, which expire on various dates through April 2023. Future minimum lease payments under all operating leases at March 31, 2019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Year Ending March 31,</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6,634</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2,228</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w:t>
            </w:r>
          </w:p>
        </w:tc>
      </w:tr>
      <w:tr>
        <w:trPr>
          <w:trHeight w:val="237"/>
        </w:trPr>
        <w:tc>
          <w:tcPr>
            <w:tcW w:w="93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23,673</w:t>
            </w:r>
          </w:p>
        </w:tc>
      </w:tr>
      <w:tr>
        <w:trPr>
          <w:trHeight w:val="34"/>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expenses were $11,474, $12,215, and $10,377 for the years ended March 31, 2019, 2018 and 2017, respectively.</w:t>
      </w:r>
    </w:p>
    <w:p>
      <w:pPr>
        <w:spacing w:after="0" w:line="17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Rent expense is calculated by amortizing total rental payments (net of any rental abatements, allowances and other rental concessions), on a straight-line basis, over the lease term. Accordingly, rent expense charged to operations differs from rent paid resulting in the Company recording deferred rent.</w:t>
      </w:r>
    </w:p>
    <w:p>
      <w:pPr>
        <w:sectPr>
          <w:pgSz w:w="11900" w:h="16838" w:orient="portrait"/>
          <w:cols w:equalWidth="0" w:num="1">
            <w:col w:w="11400"/>
          </w:cols>
          <w:pgMar w:left="240" w:top="121" w:right="259" w:bottom="1109"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121" w:right="259" w:bottom="1109" w:gutter="0" w:footer="0" w:header="0"/>
          <w:type w:val="continuous"/>
        </w:sectPr>
      </w:pPr>
    </w:p>
    <w:bookmarkStart w:id="56" w:name="page57"/>
    <w:bookmarkEnd w:id="56"/>
    <w:p>
      <w:pPr>
        <w:jc w:val="center"/>
        <w:ind w:right="-15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9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Company, in the normal course of business, enters into various purchase commitments for goods or services. Total non-cancellable purchase commitments as of March 31, 2019 are approximately $16,748 for fiscal 2020, $3,221 for fiscal 2021, $447 for fiscal 2022 and $104 for fiscal 2023 and beyond, totaling $20,520 for all periods through fiscal 2023. These purchase commitments relate primarily to marketing and IT services.</w:t>
      </w:r>
    </w:p>
    <w:p>
      <w:pPr>
        <w:spacing w:after="0" w:line="93"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 has certain software royalty commitments associated with the shipment and licensing of certain products. Royalty expense is generally based on a fixed cost per unit shipped or a fixed fee for unlimited units shipped over a designated period. Royalty expense, included in cost of software and products revenues, was $12,319 in fiscal 2019, $4,462 in fiscal 2018 and $2,646 in fiscal 2017.</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Warranties and Indemnifications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offers a 90-day limited product warranty for its software. To date, costs related to this product warranty have not been material.</w:t>
      </w:r>
    </w:p>
    <w:p>
      <w:pPr>
        <w:spacing w:after="0" w:line="19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provides certain provisions within its software licensing agreements to indemnify its customers from any claim, suit or proceeding arising from alleged or actual intellectual property infringement. These provisions continue in perpetuity, along with the Company’s software licensing agreements. The Company has never incurred a liability relating to one of these indemnification provisions, and management believes that the likelihood of any future payout relating to these provisions is remote. Therefore, the Company has not recorded a liability during any period for these indemnification provisions.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From time to time, the Company is subject to claims in legal proceedings arising in the normal course of business. The Company does not believe that it is currently party to any pending legal action that could reasonably be expected to have a material adverse effect on its business or operating results.</w:t>
      </w:r>
    </w:p>
    <w:p>
      <w:pPr>
        <w:spacing w:after="0" w:line="66"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3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August 1, 2018 the Company's Board of Directors unanimously approved the termination of the Company’s rights agreement, which was originally scheduled to expire on November 14, 2018. The plan was amended to accelerate the expiration date to August 1, 2018, effectively terminating the plan as of that date.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45,582 and 45,118 shares of common stock, par value $0.01, outstanding at March 31, 2019 and March 31, 2018, respectively.</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2019, the Company repurchased $132,697 of common stock, or 2,115 shares, under its share repurchase program.</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2019 the Company has reserved 4,736 shares in connection with its Stock Plans discussed in Note 8.</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Subsequent Event</w:t>
      </w:r>
    </w:p>
    <w:p>
      <w:pPr>
        <w:spacing w:after="0" w:line="23" w:lineRule="exact"/>
        <w:rPr>
          <w:sz w:val="20"/>
          <w:szCs w:val="20"/>
          <w:color w:val="auto"/>
        </w:rPr>
      </w:pPr>
    </w:p>
    <w:p>
      <w:pPr>
        <w:ind w:right="580" w:firstLine="405"/>
        <w:spacing w:after="0" w:line="261" w:lineRule="auto"/>
        <w:rPr>
          <w:sz w:val="20"/>
          <w:szCs w:val="20"/>
          <w:color w:val="auto"/>
        </w:rPr>
      </w:pPr>
      <w:r>
        <w:rPr>
          <w:rFonts w:ascii="Arial" w:cs="Arial" w:eastAsia="Arial" w:hAnsi="Arial"/>
          <w:sz w:val="18"/>
          <w:szCs w:val="18"/>
          <w:color w:val="auto"/>
        </w:rPr>
        <w:t>On April 18, 2019, the Board of Directors authorized an increase to the existing share repurchase program so that $200,000 was available. The authorization continues to expire on March 31, 2020.</w:t>
      </w:r>
    </w:p>
    <w:p>
      <w:pPr>
        <w:spacing w:after="0" w:line="12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 Plans</w:t>
      </w:r>
    </w:p>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maintains the Omnibus Incentive Plan (the “2016 Incentive Plan”) for granting awards to employees. On August 23, 2018, the Company’s shareholders approved an amendment to the 2016 Incentive Plan to increase the maximum number of shares of common stock that may be delivered under plan to 5,550, an increase of 2,000 shares. The 2016 Incentive Plan authorizes a broad range of awards including stock options, stock appreciation rights, full value awards (including restricted stock, restricted stock units, performance shares or units and other stock-based awards) and cash-based awards.</w:t>
      </w:r>
    </w:p>
    <w:p>
      <w:pPr>
        <w:sectPr>
          <w:pgSz w:w="11900" w:h="16838" w:orient="portrait"/>
          <w:cols w:equalWidth="0" w:num="1">
            <w:col w:w="11260"/>
          </w:cols>
          <w:pgMar w:left="240" w:top="121" w:right="399" w:bottom="1440" w:gutter="0" w:footer="0" w:header="0"/>
        </w:sect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60"/>
          </w:cols>
          <w:pgMar w:left="240" w:top="121" w:right="39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has one additional plan, the 2006 Long-Term Stock Incentive Plan (the “LTIP”), with outstanding options and awards but cannot be used for future grants.</w:t>
      </w:r>
    </w:p>
    <w:p>
      <w:pPr>
        <w:spacing w:after="0" w:line="3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2016 Incentive Plan permits the grant of incentive stock options, non-qualified stock options, restricted stock awards, restricted stock units, stock appreciation rights, performance stock awards and stock unit awards based on, or related to, shares of the Company’s common stock. As of March 31, 2019, approximately 2,781 thousand shares were available for future issuance under the 2016 Incentive Plan.</w:t>
      </w:r>
    </w:p>
    <w:p>
      <w:pPr>
        <w:spacing w:after="0" w:line="1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of March 31, 2019, the Company has granted non-qualified stock options, restricted stock units and performance stock awards under its stock incentive plans. Historically, equity awards granted by the Company under its stock incentive plans generally vest quarterly over a three-year period, except that the shares that would otherwise vest quarterly over the first twelve months do not vest until the first anniversary of the grant. The Company anticipates that future grants under its stock incentive plans will be restricted stock units and performance stock awards and does not anticipate that it will grant stock options.</w:t>
      </w:r>
    </w:p>
    <w:p>
      <w:pPr>
        <w:spacing w:after="0" w:line="13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of March 31, 2019, there was approximately $81,833 of unrecognized stock-based compensation expense related to all of the Company's employee stock plans, net of estimated forfeitures, that is expected to be recognized over a weighted average period of 1.77 years. To the extent the actual forfeiture rate is different from what the Company has anticipated, stock-based compensation related to these awards will be different from the Company’s expectations.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activity for the Company’s stock incentive plans from March 31, 2016 to March 31,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380" w:type="dxa"/>
            <w:vAlign w:val="bottom"/>
            <w:vMerge w:val="restart"/>
          </w:tcPr>
          <w:p>
            <w:pPr>
              <w:jc w:val="center"/>
              <w:ind w:right="26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38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Exercise Price</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Term (Years)</w:t>
            </w:r>
          </w:p>
        </w:tc>
        <w:tc>
          <w:tcPr>
            <w:tcW w:w="320" w:type="dxa"/>
            <w:vAlign w:val="bottom"/>
          </w:tcPr>
          <w:p>
            <w:pPr>
              <w:spacing w:after="0"/>
              <w:rPr>
                <w:sz w:val="16"/>
                <w:szCs w:val="16"/>
                <w:color w:val="auto"/>
              </w:rPr>
            </w:pPr>
          </w:p>
        </w:tc>
        <w:tc>
          <w:tcPr>
            <w:tcW w:w="1380" w:type="dxa"/>
            <w:vAlign w:val="bottom"/>
          </w:tcPr>
          <w:p>
            <w:pPr>
              <w:jc w:val="center"/>
              <w:ind w:right="261"/>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68.98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at March 31, 2017</w:t>
            </w:r>
          </w:p>
        </w:tc>
        <w:tc>
          <w:tcPr>
            <w:tcW w:w="1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72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expired</w:t>
            </w: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51,133</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2019</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50,965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intrinsic value of options exercised was $39,502, $26,547, and $9,896 in the years ended March 31, 2019, 2018 and 2017, respectively. The Company’s policy is to issue new shares upon exercise of options as the Company does not hold shares in treasury.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0" w:type="dxa"/>
            <w:vAlign w:val="bottom"/>
            <w:vMerge w:val="restart"/>
          </w:tcPr>
          <w:p>
            <w:pPr>
              <w:jc w:val="center"/>
              <w:ind w:left="528"/>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Non-Vested Restricted Stock Units</w:t>
            </w:r>
          </w:p>
        </w:tc>
        <w:tc>
          <w:tcPr>
            <w:tcW w:w="1200" w:type="dxa"/>
            <w:vAlign w:val="bottom"/>
          </w:tcPr>
          <w:p>
            <w:pPr>
              <w:jc w:val="center"/>
              <w:ind w:left="528"/>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4"/>
              </w:rPr>
              <w:t>Awards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2016</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2017</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2018</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2019</w:t>
            </w:r>
          </w:p>
        </w:tc>
        <w:tc>
          <w:tcPr>
            <w:tcW w:w="1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total fair value of the restricted stock units that vested during the years ended March 31, 2019, 2018 and 2017 was $82,957, $76,193 and $50,051, respectively.</w:t>
      </w:r>
    </w:p>
    <w:p>
      <w:pPr>
        <w:spacing w:after="0" w:line="11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and general and administrative expenses for the years ended March 31, 2019,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34,874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36,917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34,005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31,458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25,619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28,663</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77,855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74,129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73,928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ind w:left="660" w:right="380"/>
        <w:spacing w:after="0" w:line="281" w:lineRule="auto"/>
        <w:rPr>
          <w:sz w:val="20"/>
          <w:szCs w:val="20"/>
          <w:color w:val="auto"/>
        </w:rPr>
      </w:pPr>
      <w:r>
        <w:rPr>
          <w:rFonts w:ascii="Arial" w:cs="Arial" w:eastAsia="Arial" w:hAnsi="Arial"/>
          <w:sz w:val="18"/>
          <w:szCs w:val="18"/>
          <w:color w:val="auto"/>
        </w:rPr>
        <w:t>In the year ended March 31, 2019, the table above excludes $2,632 respectively, of stock-based compensation expense related to the Company's restructuring activities described in footnote 12</w:t>
      </w:r>
      <w:r>
        <w:rPr>
          <w:rFonts w:ascii="Arial" w:cs="Arial" w:eastAsia="Arial" w:hAnsi="Arial"/>
          <w:sz w:val="19"/>
          <w:szCs w:val="19"/>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fiscal 2019, the Company granted 72 performance restricted stock units (PSU) to certain executives. Vesting of these awards is contingent upon i) the Company meeting certain company-wide revenue and non-GAAP performance goals (performance-based) in fiscal 2019 and ii) the Company's customary service periods. The awards vest in three annual tranches and have a maximum potential to vest at 200% (144 shares) based on actual fiscal 2019 performance. The related stock-based compensation expense is determined based on the value of the underlying shares on the date of grant and is recognized over the vesting term using the accelerated method. During each financial period, management estimates the probable number of PSUs that would vest until the ultimate achievement of the performance goals is known. Based on the Company's results, the PSUs granted in fiscal 2019 will be eligible to vest at 94%. The awards are included in the restricted stock units table.</w:t>
      </w:r>
    </w:p>
    <w:p>
      <w:pPr>
        <w:sectPr>
          <w:pgSz w:w="11900" w:h="16838" w:orient="portrait"/>
          <w:cols w:equalWidth="0" w:num="1">
            <w:col w:w="11400"/>
          </w:cols>
          <w:pgMar w:left="240" w:top="121" w:right="2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21" w:right="25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fiscal 2019, the Company granted 75 market performance stock units to certain executives, excluding the CEO awards described below. The vesting of these awards is contingent upon the Company meeting certain total shareholder return (TSR) levels as compared to a market index over the next three years. The awards vest in three annual tranches and have a maximum potential to vest at 200% (150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year was $81.78 per share. The awards are included in the restricted stock unit table above.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211 shares in exchange for $10,407 of proceeds in fiscal 2019 and 234 shares in exchange for $10,282 of proceeds in fiscal 2018. The Purchase Plan is considered compensatory and the fair value of the discount and look back provision are estimated using the Black-Scholes formula and recognized over the six-month withholding period prior to purchase. The total expense associated with the Purchase Plan for fiscal 2019, 2018 and 2017 was $3,080, $2,848 and $2,620, respectively. As of March 31, 2019, there was approximately $1,161 of unrecognized cost related to the current purchase period of our Employee Stock Purchase Plan.</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on Stock Compensation Expense for Changes in Senior Leadership</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fiscal 2019, the Company’s Chief Executive Officer, N. Robert Hammer, announced his retirement effective February 1, 2019. As part of his retirement, the Company modified his equity awards to allow for continued vesting of his restricted stock awards and performance based awards. The Company also increased the timeframe for which his stock options shall remain exercisable to their original ten years expiration date and not thirty days from his last date of employment. The expense related to these modifications was $12,157 for the year ended March 31, 2019. The Company also recorded expenses of $1,208 related to the modification of other senior leadership.</w:t>
      </w:r>
    </w:p>
    <w:p>
      <w:pPr>
        <w:spacing w:after="0" w:line="13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February 2019, the Company hired Sanjay Mirchandani, as the Company's new Chief Executive Officer replacing N. Robert Hammer. In connection with Mr. Mirchandani’s compensation package the Company granted him 46 market performance stock units. The vesting of these awards is contingent upon the Company meeting certain total shareholder return (TSR) levels as compared to a market index over the next three years. Two-thirds of the awards will vest on the two-year anniversary of the grant date and the remaining third will vest on the three-year anniversary of the grant date. The awards have a maximum potential to vest at 200% (92 shares) based on TSR performance. The related stock-based compensation expense is consistent with our other market performance awards and based on the estimated fair value of the underlying shares on the date of grant. Expense on these awards is recognized using the accelerated method over the vesting term. The estimated fair value was calculated using a Monte Carlo simulation model. The weighted average fair value of these awards was $91.66 per share. These awards are excluded from the Awards with a Market Conditions section above. In addition, Mr. Mirchandani also received 108 time-vesting restricted stock units ("RSUs). Expense for both the market condition awards and time vesting RSUs for the year ended March 31, 2019 was $729. The awards are included in the restricted stock unit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U.S. Tax Reform</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Tax Cuts and Jobs Act (the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The most significant impact of the legislation for the Company was the reduction of the value of the Company's net deferred tax assets (which represent future tax benefits) as a result of lowering the U.S. corporate income tax rate from 35% to 21%. The Act also includes a requirement to pay a one-time transition tax on the cumulative value of earnings and profits that were previously not repatriated for U.S. income tax purposes. The Company has concluded that the one-time transition tax is zero. In addition, the Company no longer considers the undistributed earnings held outside of the U.S. by most of its foreign subsidiaries to be indefinitely reinvested.</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to provide for the tax expense related to GILTI in the year the tax is incurred as a period expense only. Because the Company was evaluating the provisions of GILTI as of the fiscal year ended March 31, 2018, it recorded no GILTI-related deferred amounts in the financial statements for the year ended March 31, 2018. After further consideration in the current year, the Company has elected to account for GILTI in the year the tax is incurred, and has recorded an estimate of GILTI as a component of the projected tax provision for the fiscal year ending March 31, 2019.</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Act requires complex computations to be performed that were not previously required in U.S. tax law, judgments to be made in interpretation of the provisions of the Act, estimates in calculations, and the preparation and analysis of information not previously relevant or regularly produced. The U.S. Treasury Department, the Internal Revenue Service ("IRS), and other standard-setting bodies could interpret or issue guidance on how provisions of the Tax Act will be applied or otherwise administered that is different from our current interpretation.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Net deferred tax assets arise due to the recognition of income and expense items for tax purposes, which differ from those used for financial statement purposes. ASC 740, Income Taxes, provides for the recognition of deferred tax assets if realization of such assets is more likely than not. In assessing the need for a valuation allowance, the Company considered all available objective and verifiable evidence both positive and negative, including historical levels of pre-tax income (loss) both on a consolidated basis and tax reporting entity basis, legislative developments, expectations and risks associated with estimates of future pre-tax income, and prudent and feasible tax planning strategies. As a result of this analysis, the Company determined that it is more likely than not that it will not realize the benefits of its gross deferred tax assets and therefore has recorded a valuation allowance to reduce the carrying value of these gross deferred tax assets, net of the impact of the reversal of taxable temporary differences, to zero.</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28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Domestic</w:t>
            </w:r>
          </w:p>
        </w:tc>
        <w:tc>
          <w:tcPr>
            <w:tcW w:w="39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Foreign</w:t>
            </w:r>
          </w:p>
        </w:tc>
        <w:tc>
          <w:tcPr>
            <w:tcW w:w="2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12,189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14,659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10,427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61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1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tax expense (benefit)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3"/>
        </w:trPr>
        <w:tc>
          <w:tcPr>
            <w:tcW w:w="60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Current:</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84"/>
        </w:trPr>
        <w:tc>
          <w:tcPr>
            <w:tcW w:w="60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6,360</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State</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7,307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4,818</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57,582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(11,520)</w:t>
            </w:r>
          </w:p>
        </w:tc>
      </w:tr>
      <w:tr>
        <w:trPr>
          <w:trHeight w:val="27"/>
        </w:trPr>
        <w:tc>
          <w:tcPr>
            <w:tcW w:w="6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State</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58,400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statutory tax rates and the effective tax rates for the years ended March 31, 2019, 2018 and 2017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Year Ended March 31,</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80" w:type="dxa"/>
            <w:vAlign w:val="bottom"/>
            <w:gridSpan w:val="2"/>
          </w:tcPr>
          <w:p>
            <w:pPr>
              <w:ind w:left="6880"/>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Statutory federal income tax expense (benefit) rate</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State and local income tax expense, net of federal income tax effect</w:t>
            </w: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Foreign earnings taxed at different rates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25.5 %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131.5 %</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U.S. tax on Global Intangible Low-Taxed Income</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72.9 %</w:t>
            </w:r>
          </w:p>
        </w:tc>
        <w:tc>
          <w:tcPr>
            <w:tcW w:w="100" w:type="dxa"/>
            <w:vAlign w:val="bottom"/>
          </w:tcPr>
          <w:p>
            <w:pPr>
              <w:spacing w:after="0"/>
              <w:rPr>
                <w:sz w:val="21"/>
                <w:szCs w:val="21"/>
                <w:color w:val="auto"/>
              </w:rPr>
            </w:pP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Domestic permanent differences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96.6 %</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Foreign tax credits</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(22.4)%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Research credits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Tax reserves</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Valuation allowance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1,626.5 %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Statutory tax rate changes</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451.9 %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97.2 %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Other differences, net</w:t>
            </w:r>
          </w:p>
        </w:tc>
        <w:tc>
          <w:tcPr>
            <w:tcW w:w="6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Effective income tax expense (benefit)</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65.8 %</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1,668.6 %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the Company’s deferred tax assets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assets: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9,015</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Equity investment</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31,077</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Deferred revenue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23,632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15,240</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Accrued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Allowance for doubtful accounts and other reserves</w:t>
            </w:r>
          </w:p>
        </w:tc>
        <w:tc>
          <w:tcPr>
            <w:tcW w:w="11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543</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valuation allowance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(50,160)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(58,350)</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12,757</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(6,172)</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commissions and other</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(15,456)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(16,962)</w:t>
            </w:r>
          </w:p>
        </w:tc>
      </w:tr>
      <w:tr>
        <w:trPr>
          <w:trHeight w:val="27"/>
        </w:trPr>
        <w:tc>
          <w:tcPr>
            <w:tcW w:w="76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During fiscal 2019, the Company could no longer assert that it had the intent to indefinitely reinvest the earnings and profits of the foreign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subsidiaries, with the exception of India. Accordingly, the Company was required to adjust its deferred tax liability for the effects of this change in assertion.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effect was not significant.</w:t>
      </w:r>
    </w:p>
    <w:p>
      <w:pPr>
        <w:spacing w:after="0" w:line="15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At March 31, 2019, the Company had U.S. federal net operating loss (NOL) carry forwards of $20,166. These net operating losses are allowed to be carryforward indefinitely. As of March 31, 2019, the Company had state net operating loss carry forwards which generated a deferred tax asset of $1,319. The State NOLs expire over various years beginning in 2029 depending on the jurisdiction.</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Company also had federal and state research tax credit (R&amp;D credits) carryforwards of approximately $17,508 and $2,187, respectively. The federal research tax credit carryforwards expire from 2025 through 2036, and the state research tax credit carryforwards expire from 2019 through 2023.</w:t>
      </w:r>
    </w:p>
    <w:p>
      <w:pPr>
        <w:spacing w:after="0" w:line="12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are the United States, Australia, Canada, Germany, Netherlands and United Kingdom. The following table summarizes the tax years in the Company’s major tax jurisdictions that remain subject to income tax examinations by tax authorities as of March 31, 2019. The years subject to income tax examination in the Company’s foreign jurisdictions cover the maximum time period with respect to these jurisdictions. Due to NOLs, in some cases the tax years continue to remain subject to examination with respect to such NOLs.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Tax Jurisdiction</w:t>
            </w:r>
          </w:p>
        </w:tc>
        <w:tc>
          <w:tcPr>
            <w:tcW w:w="7840" w:type="dxa"/>
            <w:vAlign w:val="bottom"/>
          </w:tcPr>
          <w:p>
            <w:pPr>
              <w:jc w:val="center"/>
              <w:ind w:left="3957"/>
              <w:spacing w:after="0"/>
              <w:rPr>
                <w:sz w:val="20"/>
                <w:szCs w:val="20"/>
                <w:color w:val="auto"/>
              </w:rPr>
            </w:pPr>
            <w:r>
              <w:rPr>
                <w:rFonts w:ascii="Arial" w:cs="Arial" w:eastAsia="Arial" w:hAnsi="Arial"/>
                <w:sz w:val="14"/>
                <w:szCs w:val="14"/>
                <w:b w:val="1"/>
                <w:bCs w:val="1"/>
                <w:color w:val="auto"/>
                <w:w w:val="90"/>
              </w:rPr>
              <w:t>Years Subject to Income</w:t>
            </w:r>
          </w:p>
        </w:tc>
        <w:tc>
          <w:tcPr>
            <w:tcW w:w="0" w:type="dxa"/>
            <w:vAlign w:val="bottom"/>
          </w:tcPr>
          <w:p>
            <w:pPr>
              <w:spacing w:after="0"/>
              <w:rPr>
                <w:sz w:val="1"/>
                <w:szCs w:val="1"/>
                <w:color w:val="auto"/>
              </w:rPr>
            </w:pPr>
          </w:p>
        </w:tc>
      </w:tr>
      <w:tr>
        <w:trPr>
          <w:trHeight w:val="192"/>
        </w:trPr>
        <w:tc>
          <w:tcPr>
            <w:tcW w:w="3580" w:type="dxa"/>
            <w:vAlign w:val="bottom"/>
            <w:vMerge w:val="continue"/>
          </w:tcPr>
          <w:p>
            <w:pPr>
              <w:spacing w:after="0"/>
              <w:rPr>
                <w:sz w:val="16"/>
                <w:szCs w:val="16"/>
                <w:color w:val="auto"/>
              </w:rPr>
            </w:pPr>
          </w:p>
        </w:tc>
        <w:tc>
          <w:tcPr>
            <w:tcW w:w="7840" w:type="dxa"/>
            <w:vAlign w:val="bottom"/>
          </w:tcPr>
          <w:p>
            <w:pPr>
              <w:jc w:val="right"/>
              <w:ind w:right="1337"/>
              <w:spacing w:after="0"/>
              <w:rPr>
                <w:sz w:val="20"/>
                <w:szCs w:val="20"/>
                <w:color w:val="auto"/>
              </w:rPr>
            </w:pPr>
            <w:r>
              <w:rPr>
                <w:rFonts w:ascii="Arial" w:cs="Arial" w:eastAsia="Arial" w:hAnsi="Arial"/>
                <w:sz w:val="14"/>
                <w:szCs w:val="14"/>
                <w:b w:val="1"/>
                <w:bCs w:val="1"/>
                <w:color w:val="auto"/>
              </w:rPr>
              <w:t>Tax Examination</w:t>
            </w: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840" w:type="dxa"/>
            <w:vAlign w:val="bottom"/>
            <w:tcBorders>
              <w:bottom w:val="single" w:sz="8" w:color="CCEEFF"/>
            </w:tcBorders>
            <w:shd w:val="clear" w:color="auto" w:fill="CCEEFF"/>
          </w:tcPr>
          <w:p>
            <w:pPr>
              <w:jc w:val="center"/>
              <w:ind w:left="3957"/>
              <w:spacing w:after="0"/>
              <w:rPr>
                <w:sz w:val="20"/>
                <w:szCs w:val="20"/>
                <w:color w:val="auto"/>
              </w:rPr>
            </w:pPr>
            <w:r>
              <w:rPr>
                <w:rFonts w:ascii="Arial" w:cs="Arial" w:eastAsia="Arial" w:hAnsi="Arial"/>
                <w:sz w:val="18"/>
                <w:szCs w:val="18"/>
                <w:color w:val="auto"/>
                <w:w w:val="88"/>
              </w:rPr>
              <w:t>2018 - Present</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Foreign jurisdictions</w:t>
            </w:r>
          </w:p>
        </w:tc>
        <w:tc>
          <w:tcPr>
            <w:tcW w:w="7840" w:type="dxa"/>
            <w:vAlign w:val="bottom"/>
          </w:tcPr>
          <w:p>
            <w:pPr>
              <w:jc w:val="center"/>
              <w:ind w:left="3957"/>
              <w:spacing w:after="0"/>
              <w:rPr>
                <w:sz w:val="20"/>
                <w:szCs w:val="20"/>
                <w:color w:val="auto"/>
              </w:rPr>
            </w:pPr>
            <w:r>
              <w:rPr>
                <w:rFonts w:ascii="Arial" w:cs="Arial" w:eastAsia="Arial" w:hAnsi="Arial"/>
                <w:sz w:val="18"/>
                <w:szCs w:val="18"/>
                <w:color w:val="auto"/>
                <w:w w:val="88"/>
              </w:rPr>
              <w:t>2013 - Present</w:t>
            </w:r>
          </w:p>
        </w:tc>
        <w:tc>
          <w:tcPr>
            <w:tcW w:w="0" w:type="dxa"/>
            <w:vAlign w:val="bottom"/>
          </w:tcPr>
          <w:p>
            <w:pPr>
              <w:spacing w:after="0"/>
              <w:rPr>
                <w:sz w:val="1"/>
                <w:szCs w:val="1"/>
                <w:color w:val="auto"/>
              </w:rPr>
            </w:pPr>
          </w:p>
        </w:tc>
      </w:tr>
      <w:tr>
        <w:trPr>
          <w:trHeight w:val="486"/>
        </w:trPr>
        <w:tc>
          <w:tcPr>
            <w:tcW w:w="3580" w:type="dxa"/>
            <w:vAlign w:val="bottom"/>
          </w:tcPr>
          <w:p>
            <w:pPr>
              <w:spacing w:after="0"/>
              <w:rPr>
                <w:sz w:val="24"/>
                <w:szCs w:val="24"/>
                <w:color w:val="auto"/>
              </w:rPr>
            </w:pPr>
          </w:p>
        </w:tc>
        <w:tc>
          <w:tcPr>
            <w:tcW w:w="7840" w:type="dxa"/>
            <w:vAlign w:val="bottom"/>
          </w:tcPr>
          <w:p>
            <w:pPr>
              <w:jc w:val="right"/>
              <w:ind w:right="553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amounts of unrecognized tax benefits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2016</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1,952</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Additions for tax positions related to fiscal 2017</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Additions for tax positions related to fiscal 2018</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Additions for tax positions related to fiscal 2019</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w:t>
            </w:r>
          </w:p>
        </w:tc>
      </w:tr>
      <w:tr>
        <w:trPr>
          <w:trHeight w:val="27"/>
        </w:trPr>
        <w:tc>
          <w:tcPr>
            <w:tcW w:w="9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The Company estimates that no significant remaining unrecognized tax benefits will be realized during the fiscal year ending March 31, 2020. Interest and penalties related to unrecognized tax benefits are recorded in income tax expense. In the years ended March 31, 2019, 2018 and 2017, the Company recognized $40, $80 and $61, respectively, of interest and penalties in the Consolidated Statement of Operations.</w:t>
      </w:r>
    </w:p>
    <w:p>
      <w:pPr>
        <w:spacing w:after="0" w:line="10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defined contribution plan, as allowed under Section 401(k) of the Internal Revenue Code, covering substantially all employees.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2012, the Company makes contributions equal to a discretionary percentage of the employee’s contributions determined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March 31, 2019, 2018 and 2017, the Company made contributions of $2,786, $2,959, and $2,998, respectively.</w:t>
      </w:r>
    </w:p>
    <w:p>
      <w:pPr>
        <w:spacing w:after="0" w:line="153"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3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operates in one segment. The Company’s products and services are sold throughout the world, through direct and indirect sales channels. The Company’s chief operating decision maker (the “CODM”) is the chief executive officer. The CODM makes operating performance assessment and resource allocation decisions on a global basis. The CODM does not receive discrete financial information about asset allocation, expense allocation or profitability by product or geography.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Revenues by geography are based upon the billing address of the customer. All transfers between geographic regions have been eliminated from consolidated revenues. The following table sets forth revenue and long-lived assets by geographic area: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379,221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377,934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365,354</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331,736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321,459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279,651</w:t>
            </w:r>
          </w:p>
        </w:tc>
      </w:tr>
      <w:tr>
        <w:trPr>
          <w:trHeight w:val="237"/>
        </w:trPr>
        <w:tc>
          <w:tcPr>
            <w:tcW w:w="606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710,957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699,393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645,005</w:t>
            </w: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individual country other than the United States accounts for 10% or more of revenues in the years ended March 31, 2019, 2018 and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included in the “Other” caption above primarily relates to the Company’s operations in Europe, Australia, Canada and Asia.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2018</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2"/>
              </w:rPr>
              <w:t>143,591</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145,918</w:t>
            </w:r>
          </w:p>
        </w:tc>
      </w:tr>
      <w:tr>
        <w:trPr>
          <w:trHeight w:val="27"/>
        </w:trPr>
        <w:tc>
          <w:tcPr>
            <w:tcW w:w="7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23,860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25,936</w:t>
            </w:r>
          </w:p>
        </w:tc>
      </w:tr>
      <w:tr>
        <w:trPr>
          <w:trHeight w:val="237"/>
        </w:trPr>
        <w:tc>
          <w:tcPr>
            <w:tcW w:w="764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2"/>
              </w:rPr>
              <w:t>167,451</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171,854</w:t>
            </w:r>
          </w:p>
        </w:tc>
      </w:tr>
      <w:tr>
        <w:trPr>
          <w:trHeight w:val="27"/>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2019 and 2018 no other individual country, other than the United States, accounts for 10% or more of long-lived assets.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Restructuring</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fiscal 2019, the Company initiated a restructuring plan to increase efficiency in its sales, marketing and distribution functions as well as reduce costs across all functional areas. During the year ended March 31, 2019, the Company incurred total restructuring charges of $14,765. These restructuring charges relate primarily to severance and related costs associated with headcount reductions and lease abandonment charges associated with two leases. These charges include $2,632 of stock-based compensation related to modifications of existing unvested awards granted to certain employees impacted by the restructuring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activity in the Company’s restructuring accruals for the year ended March 31, 2019 is summarized as follows:</w:t>
      </w:r>
    </w:p>
    <w:p>
      <w:pPr>
        <w:spacing w:after="0" w:line="3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Lease abandonment</w:t>
            </w:r>
          </w:p>
        </w:tc>
        <w:tc>
          <w:tcPr>
            <w:tcW w:w="14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Severance &amp; payroll</w:t>
            </w:r>
          </w:p>
        </w:tc>
        <w:tc>
          <w:tcPr>
            <w:tcW w:w="340" w:type="dxa"/>
            <w:vAlign w:val="bottom"/>
          </w:tcPr>
          <w:p>
            <w:pPr>
              <w:spacing w:after="0"/>
              <w:rPr>
                <w:sz w:val="14"/>
                <w:szCs w:val="14"/>
                <w:color w:val="auto"/>
              </w:rPr>
            </w:pPr>
          </w:p>
        </w:tc>
        <w:tc>
          <w:tcPr>
            <w:tcW w:w="11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charges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related charges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14,606</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15,640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Accrual reversals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outstanding restructuring accruals primarily relate to future severance and lease payments.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2019</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176,177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169,078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184,275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181,427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64"/>
        </w:trPr>
        <w:tc>
          <w:tcPr>
            <w:tcW w:w="4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300" w:type="dxa"/>
            <w:vAlign w:val="bottom"/>
          </w:tcPr>
          <w:p>
            <w:pPr>
              <w:jc w:val="right"/>
              <w:ind w:right="413"/>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165,972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168,140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180,366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184,915</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4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20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 common share amounts for the quarters and full year have been calculated separately. Accordingly, quarterly amounts do not add to the annual amount because of differences in the weighted average common shares outstanding during each period used in the basic and diluted calculations.</w:t>
      </w: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management, with the participation of the Chief Executive Officer and Chief Financial Officer, has evaluated the effectiveness of our disclosure controls and procedures, as defined in Rules 13a-15(e) and 15d-15(e) of the Securities Exchange Act of 1934, as of March 31, 2019. Based on that evaluation, the Chief Executive Officer and Chief Financial Officer concluded that our disclosure controls and procedures were effective as of March 31, 2019.</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9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defined in Rules 13a-15(f) of the Exchange Act. There are inherent limitations in the effectiveness of any internal control, including the possibility of human error and the circumvention or overriding of controls. Accordingly, even an effective internal control can provide only reasonable assurance with respect to financial statement preparation. Further, because of changes in conditions, the effectiveness of any internal control may vary over time.</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internal control over financial reporting as of March 31, 2019. In making this assessment, management used the framework set forth by the Committee of Sponsoring Organizations of the Treadway Commission (COSO) in the 2013 Internal Control—Integrated Framework.</w:t>
      </w:r>
    </w:p>
    <w:p>
      <w:pPr>
        <w:spacing w:after="0" w:line="3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Based on our assessment, using those criteria, our management concluded that, as of March 31, 2019, our internal control over financial reporting was effective. The effectiveness of our internal control over financial reporting as of March 31,</w:t>
      </w:r>
    </w:p>
    <w:p>
      <w:pPr>
        <w:sectPr>
          <w:pgSz w:w="11900" w:h="16838" w:orient="portrait"/>
          <w:cols w:equalWidth="0" w:num="1">
            <w:col w:w="11400"/>
          </w:cols>
          <w:pgMar w:left="240" w:top="121"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121" w:right="259" w:bottom="1440" w:gutter="0" w:footer="0" w:header="0"/>
          <w:type w:val="continuous"/>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2019 has been audited by Ernst &amp; Young LLP, our independent registered public accounting firm, as stated in their report, which is included below in this Annual Report on Form 10-K.</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fiscal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240" w:top="449" w:right="5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Commvault Systems,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Commvault System, Inc.’s internal control over financial reporting as of March 31, 2019, based on criteria established in Internal Control-Integrated Framework issued by the Committee of Sponsoring Organizations of the Treadway Commission (2013 framework) (the COSO criteria). In our opinion, Commvault Systems, Inc. maintained, in all material respects, effective internal control over financial reporting as of March 31, 2019, based on the COSO criteria.</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2019 and 2018, the related consolidated statements of operations, comprehensive loss, stockholders' equity and cash flows for each of the three years in the period ended March 31, 2019, and the related notes and financial statement schedule listed in the Index at Item 15 and our report dated May 2,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and correct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p>
      <w:pPr>
        <w:ind w:left="40"/>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will furnish to the SEC a definitive Proxy Statement not later than 120 days after the close of the fiscal year ended March 31, 2019. Information with respect to this Item is incorporated herein by reference from our 2019 Proxy Statement, including in the sections captioned, “Our Board of Directors” and “Corporate Governance”.</w:t>
      </w:r>
    </w:p>
    <w:p>
      <w:pPr>
        <w:spacing w:after="0" w:line="4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Board of Directors has adopted a code of business ethics and conduct, which applies to all our employees. The code of business ethics and conduct is in addition to our code of ethics for senior financial officers. The full texts of our code of business ethics and conduct and our code of ethics for senior financial officers can be found on our website, www.commvault.com.</w:t>
      </w:r>
    </w:p>
    <w:p>
      <w:pPr>
        <w:spacing w:after="0" w:line="2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2019 Proxy Statement, including in the section captioned “Compensation Discussion and Analysis”.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2019 Proxy Statement, including in the section captioned “Security Ownership of Certain Beneficial Ownership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following table provides information as of March 31, 2019 with respect to the shares of our common stock that may be issuable upon the exercise of options, warrants and rights under or existing equity compensation plans. The following information is as of March 31, 2019:</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line="361" w:lineRule="auto"/>
        <w:rPr>
          <w:sz w:val="20"/>
          <w:szCs w:val="20"/>
          <w:color w:val="auto"/>
        </w:rPr>
      </w:pPr>
      <w:r>
        <w:rPr>
          <w:rFonts w:ascii="Arial" w:cs="Arial" w:eastAsia="Arial" w:hAnsi="Arial"/>
          <w:sz w:val="16"/>
          <w:szCs w:val="16"/>
          <w:color w:val="auto"/>
        </w:rPr>
        <w:t>Equity compensation plans approved by security holders(1) Equity compensation plans not approved by security holder</w:t>
      </w:r>
    </w:p>
    <w:p>
      <w:pPr>
        <w:ind w:left="40"/>
        <w:spacing w:after="0"/>
        <w:rPr>
          <w:sz w:val="20"/>
          <w:szCs w:val="20"/>
          <w:color w:val="auto"/>
        </w:rPr>
      </w:pPr>
      <w:r>
        <w:rPr>
          <w:rFonts w:ascii="Arial" w:cs="Arial" w:eastAsia="Arial" w:hAnsi="Arial"/>
          <w:sz w:val="18"/>
          <w:szCs w:val="18"/>
          <w:color w:val="auto"/>
        </w:rPr>
        <w:t>Totals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Weighted-Average</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Future Issuance Under Equity</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 to be</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Compensation Plans (Excluding</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81"/>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line="157"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89"/>
        </w:trPr>
        <w:tc>
          <w:tcPr>
            <w:tcW w:w="23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00" w:type="dxa"/>
            <w:vAlign w:val="bottom"/>
          </w:tcPr>
          <w:p>
            <w:pPr>
              <w:spacing w:after="0"/>
              <w:rPr>
                <w:sz w:val="7"/>
                <w:szCs w:val="7"/>
                <w:color w:val="auto"/>
              </w:rPr>
            </w:pPr>
          </w:p>
        </w:tc>
        <w:tc>
          <w:tcPr>
            <w:tcW w:w="16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w:t>
            </w:r>
            <w:r>
              <w:rPr>
                <w:rFonts w:ascii="Arial" w:cs="Arial" w:eastAsia="Arial" w:hAnsi="Arial"/>
                <w:sz w:val="18"/>
                <w:szCs w:val="18"/>
                <w:color w:val="auto"/>
                <w:w w:val="91"/>
              </w:rPr>
              <w:t>(2)</w:t>
            </w:r>
          </w:p>
        </w:tc>
        <w:tc>
          <w:tcPr>
            <w:tcW w:w="0" w:type="dxa"/>
            <w:vAlign w:val="bottom"/>
          </w:tcPr>
          <w:p>
            <w:pPr>
              <w:spacing w:after="0"/>
              <w:rPr>
                <w:sz w:val="1"/>
                <w:szCs w:val="1"/>
                <w:color w:val="auto"/>
              </w:rPr>
            </w:pPr>
          </w:p>
        </w:tc>
      </w:tr>
      <w:tr>
        <w:trPr>
          <w:trHeight w:val="192"/>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5,043,000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21"/>
                <w:szCs w:val="21"/>
                <w:color w:val="auto"/>
              </w:rPr>
            </w:pPr>
          </w:p>
        </w:tc>
        <w:tc>
          <w:tcPr>
            <w:tcW w:w="272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2,781,320</w:t>
            </w:r>
          </w:p>
        </w:tc>
        <w:tc>
          <w:tcPr>
            <w:tcW w:w="0" w:type="dxa"/>
            <w:vAlign w:val="bottom"/>
          </w:tcPr>
          <w:p>
            <w:pPr>
              <w:spacing w:after="0"/>
              <w:rPr>
                <w:sz w:val="1"/>
                <w:szCs w:val="1"/>
                <w:color w:val="auto"/>
              </w:rPr>
            </w:pPr>
          </w:p>
        </w:tc>
      </w:tr>
      <w:tr>
        <w:trPr>
          <w:trHeight w:val="270"/>
        </w:trPr>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jc w:val="right"/>
              <w:ind w:right="41"/>
              <w:spacing w:after="0"/>
              <w:rPr>
                <w:sz w:val="20"/>
                <w:szCs w:val="20"/>
                <w:color w:val="auto"/>
              </w:rPr>
            </w:pPr>
            <w:r>
              <w:rPr>
                <w:rFonts w:ascii="Arial" w:cs="Arial" w:eastAsia="Arial" w:hAnsi="Arial"/>
                <w:sz w:val="18"/>
                <w:szCs w:val="18"/>
                <w:color w:val="auto"/>
              </w:rPr>
              <w:t>5,043,000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2"/>
              <w:spacing w:after="0"/>
              <w:rPr>
                <w:sz w:val="20"/>
                <w:szCs w:val="20"/>
                <w:color w:val="auto"/>
              </w:rPr>
            </w:pPr>
            <w:r>
              <w:rPr>
                <w:rFonts w:ascii="Arial" w:cs="Arial" w:eastAsia="Arial" w:hAnsi="Arial"/>
                <w:sz w:val="18"/>
                <w:szCs w:val="18"/>
                <w:color w:val="auto"/>
              </w:rPr>
              <w:t>57.47</w:t>
            </w:r>
          </w:p>
        </w:tc>
        <w:tc>
          <w:tcPr>
            <w:tcW w:w="120" w:type="dxa"/>
            <w:vAlign w:val="bottom"/>
          </w:tcPr>
          <w:p>
            <w:pPr>
              <w:spacing w:after="0"/>
              <w:rPr>
                <w:sz w:val="20"/>
                <w:szCs w:val="20"/>
                <w:color w:val="auto"/>
              </w:rPr>
            </w:pPr>
          </w:p>
        </w:tc>
        <w:tc>
          <w:tcPr>
            <w:tcW w:w="2720" w:type="dxa"/>
            <w:vAlign w:val="bottom"/>
          </w:tcPr>
          <w:p>
            <w:pPr>
              <w:jc w:val="right"/>
              <w:ind w:right="23"/>
              <w:spacing w:after="0"/>
              <w:rPr>
                <w:sz w:val="20"/>
                <w:szCs w:val="20"/>
                <w:color w:val="auto"/>
              </w:rPr>
            </w:pPr>
            <w:r>
              <w:rPr>
                <w:rFonts w:ascii="Arial" w:cs="Arial" w:eastAsia="Arial" w:hAnsi="Arial"/>
                <w:sz w:val="18"/>
                <w:szCs w:val="18"/>
                <w:color w:val="auto"/>
              </w:rPr>
              <w:t>2,781,320</w:t>
            </w:r>
          </w:p>
        </w:tc>
        <w:tc>
          <w:tcPr>
            <w:tcW w:w="0" w:type="dxa"/>
            <w:vAlign w:val="bottom"/>
          </w:tcPr>
          <w:p>
            <w:pPr>
              <w:spacing w:after="0"/>
              <w:rPr>
                <w:sz w:val="1"/>
                <w:szCs w:val="1"/>
                <w:color w:val="auto"/>
              </w:rPr>
            </w:pP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-205105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260"/>
            <w:col w:w="6840"/>
          </w:cols>
          <w:pgMar w:left="240" w:top="688" w:right="239" w:bottom="1440" w:gutter="0" w:footer="0" w:header="0"/>
          <w:type w:val="continuous"/>
        </w:sectPr>
      </w:pPr>
    </w:p>
    <w:p>
      <w:pPr>
        <w:spacing w:after="0" w:line="2" w:lineRule="exact"/>
        <w:rPr>
          <w:sz w:val="20"/>
          <w:szCs w:val="20"/>
          <w:color w:val="auto"/>
        </w:rPr>
      </w:pPr>
    </w:p>
    <w:p>
      <w:pPr>
        <w:ind w:left="660" w:right="3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shares of common stock to be issued upon exercise of outstanding options and vesting of restricted stock awards under our Omnibus Incentive Plan. These amounts do not include potentially issuable shares under the Employee Stock Purchase Plan. The company has reserved 1,955,000 shares for the future issuance of shares under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88" w:right="239" w:bottom="1440" w:gutter="0" w:footer="0" w:header="0"/>
          <w:type w:val="continuous"/>
        </w:sectPr>
      </w:pPr>
    </w:p>
    <w:bookmarkStart w:id="69" w:name="page70"/>
    <w:bookmarkEnd w:id="69"/>
    <w:p>
      <w:pPr>
        <w:ind w:left="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2019 Proxy Statement, including in the section captioned, “Transactions with Related Persons”.</w:t>
      </w:r>
    </w:p>
    <w:p>
      <w:pPr>
        <w:spacing w:after="0" w:line="2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Information with respect to this Item is incorporated herein by reference from our 2019 Proxy Statement, including in the sections captioned “Audit, Audit-related, Tax and All Other Fees”.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Consolidated Financial Statements” set forth in Item 8 for a list of financial statements filed as part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 schedule should be read in conjunction with the Consolidated Financial Statements set forth in Item 8 and appears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years ended March 31, 2017, 2018 and 2019.</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other schedules are omitted because they are not required or the required information is shown in the financial statements or notes thereto.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Charged</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rPr>
              <w:t>(Credited) to</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0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Costs and</w:t>
            </w:r>
          </w:p>
        </w:tc>
        <w:tc>
          <w:tcPr>
            <w:tcW w:w="520" w:type="dxa"/>
            <w:vAlign w:val="bottom"/>
          </w:tcPr>
          <w:p>
            <w:pPr>
              <w:spacing w:after="0"/>
              <w:rPr>
                <w:sz w:val="12"/>
                <w:szCs w:val="12"/>
                <w:color w:val="auto"/>
              </w:rPr>
            </w:pPr>
          </w:p>
        </w:tc>
        <w:tc>
          <w:tcPr>
            <w:tcW w:w="11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w w:val="86"/>
              </w:rPr>
              <w:t>Deductions</w:t>
            </w:r>
          </w:p>
        </w:tc>
        <w:tc>
          <w:tcPr>
            <w:tcW w:w="380" w:type="dxa"/>
            <w:vAlign w:val="bottom"/>
          </w:tcPr>
          <w:p>
            <w:pPr>
              <w:spacing w:after="0"/>
              <w:rPr>
                <w:sz w:val="12"/>
                <w:szCs w:val="12"/>
                <w:color w:val="auto"/>
              </w:rPr>
            </w:pPr>
          </w:p>
        </w:tc>
        <w:tc>
          <w:tcPr>
            <w:tcW w:w="130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5"/>
              </w:rPr>
              <w:t>Expenses</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March 31, 2017</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315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2,772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(976)</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March 31, 2018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103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25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1,796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56,554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58,350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March 31, 2019</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569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for deferred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58,350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(8,190)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50,160</w:t>
            </w:r>
          </w:p>
        </w:tc>
        <w:tc>
          <w:tcPr>
            <w:tcW w:w="0" w:type="dxa"/>
            <w:vAlign w:val="bottom"/>
          </w:tcPr>
          <w:p>
            <w:pPr>
              <w:spacing w:after="0"/>
              <w:rPr>
                <w:sz w:val="1"/>
                <w:szCs w:val="1"/>
                <w:color w:val="auto"/>
              </w:rPr>
            </w:pPr>
          </w:p>
        </w:tc>
      </w:tr>
      <w:tr>
        <w:trPr>
          <w:trHeight w:val="486"/>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575"/>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4660"/>
              <w:spacing w:after="0"/>
              <w:rPr>
                <w:sz w:val="20"/>
                <w:szCs w:val="20"/>
                <w:color w:val="auto"/>
              </w:rPr>
            </w:pPr>
            <w:r>
              <w:rPr>
                <w:rFonts w:ascii="Arial" w:cs="Arial" w:eastAsia="Arial" w:hAnsi="Arial"/>
                <w:sz w:val="18"/>
                <w:szCs w:val="18"/>
                <w:b w:val="1"/>
                <w:bCs w:val="1"/>
                <w:color w:val="auto"/>
              </w:rPr>
              <w:t>Exhibits</w:t>
            </w:r>
          </w:p>
        </w:tc>
      </w:tr>
      <w:tr>
        <w:trPr>
          <w:trHeight w:val="230"/>
        </w:trPr>
        <w:tc>
          <w:tcPr>
            <w:tcW w:w="11360" w:type="dxa"/>
            <w:vAlign w:val="bottom"/>
            <w:gridSpan w:val="8"/>
          </w:tcPr>
          <w:p>
            <w:pPr>
              <w:spacing w:after="0"/>
              <w:rPr>
                <w:sz w:val="20"/>
                <w:szCs w:val="20"/>
                <w:color w:val="auto"/>
              </w:rPr>
            </w:pPr>
            <w:r>
              <w:rPr>
                <w:rFonts w:ascii="Arial" w:cs="Arial" w:eastAsia="Arial" w:hAnsi="Arial"/>
                <w:sz w:val="18"/>
                <w:szCs w:val="18"/>
                <w:color w:val="auto"/>
              </w:rPr>
              <w:t>The following exhibits are incorporated by reference or filed herewith.</w:t>
            </w:r>
          </w:p>
        </w:tc>
      </w:tr>
      <w:tr>
        <w:trPr>
          <w:trHeight w:val="297"/>
        </w:trPr>
        <w:tc>
          <w:tcPr>
            <w:tcW w:w="4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92"/>
              </w:rPr>
              <w:t>Exhibit No.</w:t>
            </w:r>
          </w:p>
        </w:tc>
        <w:tc>
          <w:tcPr>
            <w:tcW w:w="514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23"/>
        </w:trPr>
        <w:tc>
          <w:tcPr>
            <w:tcW w:w="440" w:type="dxa"/>
            <w:vAlign w:val="bottom"/>
            <w:gridSpan w:val="3"/>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4"/>
              </w:rPr>
              <w:t>Amended and Restated Certificate of Incorporation of Commvault Systems, Inc. (Incorporated by reference to Exhibit 3.1 to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Registration Statement on Form S-1, Commission File No. 333-132550).</w:t>
            </w:r>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4"/>
              </w:rPr>
              <w:t>Amended and Restated Bylaws of Commvault Systems, Inc. (Incorporated by reference to Exhibit 3.1 to the Registrant’s Form 8-K dated</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April 25, 2014).</w:t>
            </w:r>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32">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6"/>
              </w:rPr>
              <w:t>Certification of Designation of Series A Junior Participating Preferred Stock of Commvault Systems, Inc. (Incorporated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Exhibit 3.1 to Registrant’s Form 8-K dated November 14, 2008).</w:t>
            </w:r>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7"/>
              </w:rPr>
              <w:t>Form of Common Stock Certificate (Incorporated by reference to Exhibit 4.1 to the Registrant’s Registration Statement on Form S-1,</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Commission File No. 333-132550).</w:t>
            </w:r>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5"/>
              </w:rPr>
              <w:t>Rights Agreement between Commvault Systems, Inc. and Registrar and Transfer Company (Incorporated by reference to Exhibit 4.1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Registrant’s Form 8-K dated November 14, 2008).</w:t>
            </w:r>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3"/>
              </w:rPr>
              <w:t>Amendment No. 1 to Rights Agreement, dated as of August 1, 2018, by and between Commvault Systems, Inc. and Computershare Trust</w:t>
            </w: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89"/>
              </w:rPr>
              <w:t>Company, N.A. (as successor to Registrar and Transfer Company), as rights agent. (Incorporated by reference to Exhibit 4.1 to the Registrant’s</w:t>
            </w: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Form 8-K dated August 8, 2018)</w:t>
            </w:r>
          </w:p>
        </w:tc>
      </w:tr>
      <w:tr>
        <w:trPr>
          <w:trHeight w:val="230"/>
        </w:trPr>
        <w:tc>
          <w:tcPr>
            <w:tcW w:w="440" w:type="dxa"/>
            <w:vAlign w:val="bottom"/>
            <w:gridSpan w:val="3"/>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9.</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9"/>
              </w:rPr>
              <w:t>Form of Voting Trust Agreement (Incorporated by reference to Exhibit 9.1 to the Registrant’s Registration Statement on Form S-1,</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Commission File No. 333-132550).</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5"/>
              </w:rPr>
              <w:t>Form of Non-Qualified Stock Option Agreement (Incorporated by reference to Exhibit 10.4 to the Registrant’s Registration Statement on</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Form S-1, Commission File No. 333-132550).</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2"/>
              </w:rPr>
              <w:t>Form of Restricted Stock Unit Agreement (Incorporated by reference to Exhibit 10.5 to the Registrant’s Annual Report on Form 10-K for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year ended March 31, 2007).</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0"/>
              </w:rPr>
              <w:t>Employment Agreement, dated as of February 1, 2004, between Commvault Systems, Inc. and N. Robert Hammer (Incorporated by reference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to Exhibit 10.5 to the Registrant’s Registration Statement on Form S-1, Commission File No. 333-132550).</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4"/>
              </w:rPr>
              <w:t>Form of Employment Agreement between Commvault Systems, Inc. and Alan G. Bunte and Louis F. Miceli (Incorporated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Exhibit 10.6 to the Registrant’s Registration Statement on Form S-1, Commission File No. 333-132550).</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1"/>
              </w:rPr>
              <w:t>Form of Corporate Change of Control Agreement between Commvault Systems, Inc. and Alan G. Bunte and Louis F. Miceli (Incorporated by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reference to Exhibit 10.7 to the Registrant’s Registration Statement on Form S-1, Commission File No. 333-132550).</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4"/>
              </w:rPr>
              <w:t>Form of Corporate Change of Control Agreement between Commvault Systems, Inc. and Brian Carolan, and Ron Miiller (Incorporated by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reference to Exhibit 10.8 to the Registrant’s Registration Statement on Form S-1, Commission File No. 333-132550).</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2"/>
              </w:rPr>
              <w:t>Form of Indemnity Agreement between Commvault Systems, Inc. and each of its current officers and directors (Incorporated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Exhibit 10.9 to the Registrant’s Registration Statement on Form S-1, Commission File No. 333-132550).</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6"/>
              </w:rPr>
              <w:t>Commvault Systems, Inc. Employee Stock Purchase Plan dated December 9, 2013 (Incorporated by reference to Exhibit 10.10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Registrant’s Annual Report on Form 10-K for the year ended March 31, 2014).</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8"/>
              </w:rPr>
              <w:t>Commvault Systems, Inc. Omnibus Incentive Plan Commvault Systems, Inc. Omnibus Incentive Plan (Incorporated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Exhibit 10.12 to the Registrant’s Registration Statement on Form S-8, Commission File No. 333-213211).</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2"/>
              </w:rPr>
              <w:t>The Commvault Systems, Inc. Omnibus Incentive Plan (As Amended Through the First Amendment Thereof) (Incorporated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Exhibit 10.1 to the Registrant’s Form 8-K dated August 25, 2017)</w:t>
            </w:r>
          </w:p>
        </w:tc>
      </w:tr>
      <w:tr>
        <w:trPr>
          <w:trHeight w:val="230"/>
        </w:trPr>
        <w:tc>
          <w:tcPr>
            <w:tcW w:w="520" w:type="dxa"/>
            <w:vAlign w:val="bottom"/>
            <w:gridSpan w:val="4"/>
          </w:tcPr>
          <w:p>
            <w:pPr>
              <w:ind w:left="4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220" w:type="dxa"/>
            <w:vAlign w:val="bottom"/>
          </w:tcPr>
          <w:p>
            <w:pPr>
              <w:spacing w:after="0"/>
              <w:rPr>
                <w:sz w:val="19"/>
                <w:szCs w:val="19"/>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2"/>
              </w:rPr>
              <w:t>Letter Agreement, by and among Commvault Systems, Inc., Elliott Associates, L.P., Elliott International, L.P. and Elliott International Capital</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Advisors Inc., dated April 30, 2018. (Incorporated by reference to Exhibit 10.1 to the Registrant’s Form 8-K dated April 30, 2018)</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0"/>
              </w:rPr>
              <w:t>Employment Agreement, dated January 8, 2019, between the Company and Sanjay Mirchandani. (Incorporated by reference to Exhibit 10.1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the Registrant’s Form 8-K dated February 5, 2019)</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4"/>
              </w:rPr>
              <w:t>Agreement and General Release, dated February 1, 2019, between the Company and N. Robert Hammer. (Incorporated by reference to</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Exhibit 10.2 to the Registrant’s Form 8-K dated February 5, 2019)</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2"/>
              </w:rPr>
              <w:t>Executive Retention and Severance Agreement, dated March 5, 2019, between Commvault Systems, Inc. and Alan Bunte (Incorporated by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reference to Exhibit 10.1 to the Registrant’s Form 8-K dated February 1, 2019)</w:t>
            </w:r>
          </w:p>
        </w:tc>
      </w:tr>
      <w:tr>
        <w:trPr>
          <w:trHeight w:val="230"/>
        </w:trPr>
        <w:tc>
          <w:tcPr>
            <w:tcW w:w="740" w:type="dxa"/>
            <w:vAlign w:val="bottom"/>
            <w:gridSpan w:val="5"/>
          </w:tcPr>
          <w:p>
            <w:pPr>
              <w:ind w:left="40"/>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w w:val="93"/>
              </w:rPr>
              <w:t>Executive Retention and Severance Agreement, dated April 1, 2019, between Commvault Systems, Inc. and Jay Whalen (Incorporated by</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10620" w:type="dxa"/>
            <w:vAlign w:val="bottom"/>
            <w:gridSpan w:val="3"/>
          </w:tcPr>
          <w:p>
            <w:pPr>
              <w:ind w:left="340"/>
              <w:spacing w:after="0"/>
              <w:rPr>
                <w:sz w:val="20"/>
                <w:szCs w:val="20"/>
                <w:color w:val="auto"/>
              </w:rPr>
            </w:pPr>
            <w:r>
              <w:rPr>
                <w:rFonts w:ascii="Arial" w:cs="Arial" w:eastAsia="Arial" w:hAnsi="Arial"/>
                <w:sz w:val="18"/>
                <w:szCs w:val="18"/>
                <w:color w:val="auto"/>
              </w:rPr>
              <w:t>reference to Exhibit 10.1 to the Registrant’s Form 8-K dated March 31, 2019)</w:t>
            </w:r>
          </w:p>
        </w:tc>
      </w:tr>
    </w:tbl>
    <w:p>
      <w:pPr>
        <w:spacing w:after="0" w:line="175" w:lineRule="exact"/>
        <w:rPr>
          <w:sz w:val="20"/>
          <w:szCs w:val="20"/>
          <w:color w:val="auto"/>
        </w:rPr>
      </w:pPr>
    </w:p>
    <w:p>
      <w:pPr>
        <w:ind w:left="720" w:hanging="685"/>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364" w:right="2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Exhibit No.</w:t>
            </w:r>
          </w:p>
        </w:tc>
        <w:tc>
          <w:tcPr>
            <w:tcW w:w="54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960" w:type="dxa"/>
            <w:vAlign w:val="bottom"/>
          </w:tcPr>
          <w:p>
            <w:pPr>
              <w:spacing w:after="0"/>
              <w:rPr>
                <w:sz w:val="14"/>
                <w:szCs w:val="14"/>
                <w:color w:val="auto"/>
              </w:rPr>
            </w:pPr>
          </w:p>
        </w:tc>
      </w:tr>
      <w:tr>
        <w:trPr>
          <w:trHeight w:val="223"/>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75">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380" w:type="dxa"/>
            <w:vAlign w:val="bottom"/>
          </w:tcPr>
          <w:p>
            <w:pPr>
              <w:spacing w:after="0"/>
              <w:rPr>
                <w:sz w:val="19"/>
                <w:szCs w:val="19"/>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List of Subsidiaries of Commvault Systems, Inc.</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76">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Consent of Ernst &amp; Young LLP</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7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7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7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380" w:type="dxa"/>
            <w:vAlign w:val="bottom"/>
          </w:tcPr>
          <w:p>
            <w:pPr>
              <w:spacing w:after="0"/>
              <w:rPr>
                <w:sz w:val="21"/>
                <w:szCs w:val="21"/>
                <w:color w:val="auto"/>
              </w:rPr>
            </w:pP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291"/>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Instance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8100" w:type="dxa"/>
            <w:vAlign w:val="bottom"/>
            <w:gridSpan w:val="3"/>
          </w:tcPr>
          <w:p>
            <w:pPr>
              <w:ind w:left="9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179"/>
          </w:cols>
          <w:pgMar w:left="280" w:top="519" w:right="1440" w:bottom="1440" w:gutter="0" w:footer="0" w:header="0"/>
        </w:sectPr>
      </w:pPr>
    </w:p>
    <w:bookmarkStart w:id="72" w:name="page73"/>
    <w:bookmarkEnd w:id="72"/>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59"/>
          </w:cols>
          <w:pgMar w:left="300" w:top="526" w:right="1440"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 in the city of Tinton Falls, State of New Jersey, on May 2, 2019.</w:t>
      </w:r>
    </w:p>
    <w:p>
      <w:pPr>
        <w:spacing w:after="0" w:line="30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COMMVAULT SYSTEMS, INC.</w:t>
      </w:r>
    </w:p>
    <w:p>
      <w:pPr>
        <w:spacing w:after="0" w:line="387" w:lineRule="exact"/>
        <w:rPr>
          <w:sz w:val="20"/>
          <w:szCs w:val="20"/>
          <w:color w:val="auto"/>
        </w:rPr>
      </w:pPr>
    </w:p>
    <w:p>
      <w:pPr>
        <w:ind w:left="5320"/>
        <w:spacing w:after="0"/>
        <w:tabs>
          <w:tab w:leader="none" w:pos="6180" w:val="left"/>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362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Sanjay Mirchandani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indicated on May 2,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340" w:type="dxa"/>
            <w:vAlign w:val="bottom"/>
          </w:tcPr>
          <w:p>
            <w:pPr>
              <w:spacing w:after="0"/>
              <w:rPr>
                <w:sz w:val="14"/>
                <w:szCs w:val="14"/>
                <w:color w:val="auto"/>
              </w:rPr>
            </w:pPr>
          </w:p>
        </w:tc>
      </w:tr>
      <w:tr>
        <w:trPr>
          <w:trHeight w:val="588"/>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SANJAY MIRCHANDANI</w:t>
            </w:r>
          </w:p>
        </w:tc>
        <w:tc>
          <w:tcPr>
            <w:tcW w:w="4900" w:type="dxa"/>
            <w:vAlign w:val="bottom"/>
            <w:gridSpan w:val="3"/>
          </w:tcPr>
          <w:p>
            <w:pPr>
              <w:jc w:val="center"/>
              <w:ind w:left="1830"/>
              <w:spacing w:after="0"/>
              <w:rPr>
                <w:sz w:val="20"/>
                <w:szCs w:val="20"/>
                <w:color w:val="auto"/>
              </w:rPr>
            </w:pPr>
            <w:r>
              <w:rPr>
                <w:rFonts w:ascii="Arial" w:cs="Arial" w:eastAsia="Arial" w:hAnsi="Arial"/>
                <w:sz w:val="18"/>
                <w:szCs w:val="18"/>
                <w:color w:val="auto"/>
                <w:w w:val="91"/>
              </w:rPr>
              <w:t>President and Chief Executive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Sanjay Mirchandani</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BRIAN CAROLAN</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2"/>
              </w:rPr>
              <w:t>Vice President, Chief Financial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Brian Carolan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JAMES WHALEN</w:t>
            </w:r>
          </w:p>
        </w:tc>
        <w:tc>
          <w:tcPr>
            <w:tcW w:w="4900" w:type="dxa"/>
            <w:vAlign w:val="bottom"/>
            <w:gridSpan w:val="3"/>
          </w:tcPr>
          <w:p>
            <w:pPr>
              <w:jc w:val="center"/>
              <w:ind w:left="1830"/>
              <w:spacing w:after="0"/>
              <w:rPr>
                <w:sz w:val="20"/>
                <w:szCs w:val="20"/>
                <w:color w:val="auto"/>
              </w:rPr>
            </w:pPr>
            <w:r>
              <w:rPr>
                <w:rFonts w:ascii="Arial" w:cs="Arial" w:eastAsia="Arial" w:hAnsi="Arial"/>
                <w:sz w:val="18"/>
                <w:szCs w:val="18"/>
                <w:color w:val="auto"/>
                <w:w w:val="93"/>
              </w:rPr>
              <w:t>Vice President, Chief Accounting Officer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James Whalen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NICHOLAS ADAMO</w:t>
            </w:r>
          </w:p>
        </w:tc>
        <w:tc>
          <w:tcPr>
            <w:tcW w:w="4900" w:type="dxa"/>
            <w:vAlign w:val="bottom"/>
            <w:gridSpan w:val="3"/>
          </w:tcPr>
          <w:p>
            <w:pPr>
              <w:jc w:val="center"/>
              <w:ind w:left="1830"/>
              <w:spacing w:after="0"/>
              <w:rPr>
                <w:sz w:val="20"/>
                <w:szCs w:val="20"/>
                <w:color w:val="auto"/>
              </w:rPr>
            </w:pPr>
            <w:r>
              <w:rPr>
                <w:rFonts w:ascii="Arial" w:cs="Arial" w:eastAsia="Arial" w:hAnsi="Arial"/>
                <w:sz w:val="18"/>
                <w:szCs w:val="18"/>
                <w:color w:val="auto"/>
                <w:w w:val="91"/>
              </w:rPr>
              <w:t>Chairman of the Board</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Nicholas Adamo</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ALAN G. BUNTE</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Alan G. Bunte</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FRANK J. FANZILLI, JR.</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Frank J. Fanzilli, Jr.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CHARLES E. MORAN</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Charles E. Moran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KEITH GEESLIN</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Keith Geeslin</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MARTHA H. BEJAR</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Martha H. Bejar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VIVIE LEE</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Vivie Lee</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DANIEL PULVER</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Daniel Pulver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GARY SMITH</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Gary Smith</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4740" w:type="dxa"/>
            <w:vAlign w:val="bottom"/>
            <w:gridSpan w:val="3"/>
          </w:tcPr>
          <w:p>
            <w:pPr>
              <w:ind w:left="80"/>
              <w:spacing w:after="0"/>
              <w:rPr>
                <w:sz w:val="20"/>
                <w:szCs w:val="20"/>
                <w:color w:val="auto"/>
              </w:rPr>
            </w:pPr>
            <w:r>
              <w:rPr>
                <w:rFonts w:ascii="Arial" w:cs="Arial" w:eastAsia="Arial" w:hAnsi="Arial"/>
                <w:sz w:val="18"/>
                <w:szCs w:val="18"/>
                <w:color w:val="auto"/>
              </w:rPr>
              <w:t>DAVID F. WALKER</w:t>
            </w:r>
          </w:p>
        </w:tc>
        <w:tc>
          <w:tcPr>
            <w:tcW w:w="4900" w:type="dxa"/>
            <w:vAlign w:val="bottom"/>
            <w:gridSpan w:val="3"/>
          </w:tcPr>
          <w:p>
            <w:pPr>
              <w:jc w:val="center"/>
              <w:ind w:left="1850"/>
              <w:spacing w:after="0"/>
              <w:rPr>
                <w:sz w:val="20"/>
                <w:szCs w:val="20"/>
                <w:color w:val="auto"/>
              </w:rPr>
            </w:pPr>
            <w:r>
              <w:rPr>
                <w:rFonts w:ascii="Arial" w:cs="Arial" w:eastAsia="Arial" w:hAnsi="Arial"/>
                <w:sz w:val="18"/>
                <w:szCs w:val="18"/>
                <w:color w:val="auto"/>
                <w:w w:val="95"/>
              </w:rPr>
              <w:t>Director</w:t>
            </w:r>
          </w:p>
        </w:tc>
      </w:tr>
      <w:tr>
        <w:trPr>
          <w:trHeight w:val="27"/>
        </w:trPr>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7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David F. Walker</w:t>
            </w:r>
          </w:p>
        </w:tc>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80" w:type="dxa"/>
            <w:vAlign w:val="bottom"/>
          </w:tcPr>
          <w:p>
            <w:pPr>
              <w:jc w:val="right"/>
              <w:ind w:right="243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40"/>
          </w:cols>
          <w:pgMar w:left="240" w:top="526" w:right="31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ind w:left="1780"/>
              <w:spacing w:after="0"/>
              <w:rPr>
                <w:sz w:val="20"/>
                <w:szCs w:val="20"/>
                <w:color w:val="auto"/>
              </w:rPr>
            </w:pPr>
            <w:r>
              <w:rPr>
                <w:rFonts w:ascii="Arial" w:cs="Arial" w:eastAsia="Arial" w:hAnsi="Arial"/>
                <w:sz w:val="22"/>
                <w:szCs w:val="22"/>
                <w:color w:val="auto"/>
                <w:w w:val="90"/>
              </w:rPr>
              <w:t>Exhibit 21.1</w:t>
            </w:r>
          </w:p>
        </w:tc>
      </w:tr>
      <w:tr>
        <w:trPr>
          <w:trHeight w:val="716"/>
        </w:trPr>
        <w:tc>
          <w:tcPr>
            <w:tcW w:w="8580" w:type="dxa"/>
            <w:vAlign w:val="bottom"/>
            <w:gridSpan w:val="2"/>
          </w:tcPr>
          <w:p>
            <w:pPr>
              <w:ind w:left="4040"/>
              <w:spacing w:after="0"/>
              <w:rPr>
                <w:sz w:val="20"/>
                <w:szCs w:val="20"/>
                <w:color w:val="auto"/>
              </w:rPr>
            </w:pPr>
            <w:r>
              <w:rPr>
                <w:rFonts w:ascii="Arial" w:cs="Arial" w:eastAsia="Arial" w:hAnsi="Arial"/>
                <w:sz w:val="22"/>
                <w:szCs w:val="22"/>
                <w:color w:val="auto"/>
              </w:rPr>
              <w:t>Subsidiaries of Commvault Systems, Inc.</w:t>
            </w:r>
          </w:p>
        </w:tc>
        <w:tc>
          <w:tcPr>
            <w:tcW w:w="2840" w:type="dxa"/>
            <w:vAlign w:val="bottom"/>
          </w:tcPr>
          <w:p>
            <w:pPr>
              <w:spacing w:after="0"/>
              <w:rPr>
                <w:sz w:val="24"/>
                <w:szCs w:val="24"/>
                <w:color w:val="auto"/>
              </w:rPr>
            </w:pPr>
          </w:p>
        </w:tc>
      </w:tr>
      <w:tr>
        <w:trPr>
          <w:trHeight w:val="686"/>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Subsidiary</w:t>
            </w:r>
          </w:p>
        </w:tc>
        <w:tc>
          <w:tcPr>
            <w:tcW w:w="120" w:type="dxa"/>
            <w:vAlign w:val="bottom"/>
          </w:tcPr>
          <w:p>
            <w:pPr>
              <w:spacing w:after="0"/>
              <w:rPr>
                <w:sz w:val="24"/>
                <w:szCs w:val="24"/>
                <w:color w:val="auto"/>
              </w:rPr>
            </w:pPr>
          </w:p>
        </w:tc>
        <w:tc>
          <w:tcPr>
            <w:tcW w:w="28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w w:val="98"/>
              </w:rPr>
              <w:t>Jurisdiction of Organization</w:t>
            </w:r>
          </w:p>
        </w:tc>
      </w:tr>
      <w:tr>
        <w:trPr>
          <w:trHeight w:val="550"/>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Capital Inc.</w:t>
            </w:r>
          </w:p>
        </w:tc>
        <w:tc>
          <w:tcPr>
            <w:tcW w:w="284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Advanced Data Life Cycle Management Inc.</w:t>
            </w:r>
          </w:p>
        </w:tc>
        <w:tc>
          <w:tcPr>
            <w:tcW w:w="284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(Canada) Inc.</w:t>
            </w:r>
          </w:p>
        </w:tc>
        <w:tc>
          <w:tcPr>
            <w:tcW w:w="2840" w:type="dxa"/>
            <w:vAlign w:val="bottom"/>
          </w:tcPr>
          <w:p>
            <w:pPr>
              <w:ind w:left="20"/>
              <w:spacing w:after="0"/>
              <w:rPr>
                <w:sz w:val="20"/>
                <w:szCs w:val="20"/>
                <w:color w:val="auto"/>
              </w:rPr>
            </w:pPr>
            <w:r>
              <w:rPr>
                <w:rFonts w:ascii="Arial" w:cs="Arial" w:eastAsia="Arial" w:hAnsi="Arial"/>
                <w:sz w:val="22"/>
                <w:szCs w:val="22"/>
                <w:color w:val="auto"/>
              </w:rPr>
              <w:t>Ontario, Canada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Mexico S. de R.L. de C.V.</w:t>
            </w:r>
          </w:p>
        </w:tc>
        <w:tc>
          <w:tcPr>
            <w:tcW w:w="2840" w:type="dxa"/>
            <w:vAlign w:val="bottom"/>
          </w:tcPr>
          <w:p>
            <w:pPr>
              <w:ind w:left="20"/>
              <w:spacing w:after="0"/>
              <w:rPr>
                <w:sz w:val="20"/>
                <w:szCs w:val="20"/>
                <w:color w:val="auto"/>
              </w:rPr>
            </w:pPr>
            <w:r>
              <w:rPr>
                <w:rFonts w:ascii="Arial" w:cs="Arial" w:eastAsia="Arial" w:hAnsi="Arial"/>
                <w:sz w:val="22"/>
                <w:szCs w:val="22"/>
                <w:color w:val="auto"/>
              </w:rPr>
              <w:t>Mexico</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Mexico Administracion, S. de R.L. de C.V.</w:t>
            </w:r>
          </w:p>
        </w:tc>
        <w:tc>
          <w:tcPr>
            <w:tcW w:w="2840" w:type="dxa"/>
            <w:vAlign w:val="bottom"/>
          </w:tcPr>
          <w:p>
            <w:pPr>
              <w:ind w:left="20"/>
              <w:spacing w:after="0"/>
              <w:rPr>
                <w:sz w:val="20"/>
                <w:szCs w:val="20"/>
                <w:color w:val="auto"/>
              </w:rPr>
            </w:pPr>
            <w:r>
              <w:rPr>
                <w:rFonts w:ascii="Arial" w:cs="Arial" w:eastAsia="Arial" w:hAnsi="Arial"/>
                <w:sz w:val="22"/>
                <w:szCs w:val="22"/>
                <w:color w:val="auto"/>
              </w:rPr>
              <w:t>Mexico</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International B.V.</w:t>
            </w:r>
          </w:p>
        </w:tc>
        <w:tc>
          <w:tcPr>
            <w:tcW w:w="2840" w:type="dxa"/>
            <w:vAlign w:val="bottom"/>
          </w:tcPr>
          <w:p>
            <w:pPr>
              <w:ind w:left="20"/>
              <w:spacing w:after="0"/>
              <w:rPr>
                <w:sz w:val="20"/>
                <w:szCs w:val="20"/>
                <w:color w:val="auto"/>
              </w:rPr>
            </w:pPr>
            <w:r>
              <w:rPr>
                <w:rFonts w:ascii="Arial" w:cs="Arial" w:eastAsia="Arial" w:hAnsi="Arial"/>
                <w:sz w:val="22"/>
                <w:szCs w:val="22"/>
                <w:color w:val="auto"/>
              </w:rPr>
              <w:t>The Netherlands</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(India) Private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India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(Australia) Pty. Ltd.</w:t>
            </w:r>
          </w:p>
        </w:tc>
        <w:tc>
          <w:tcPr>
            <w:tcW w:w="2840" w:type="dxa"/>
            <w:vAlign w:val="bottom"/>
          </w:tcPr>
          <w:p>
            <w:pPr>
              <w:ind w:left="20"/>
              <w:spacing w:after="0"/>
              <w:rPr>
                <w:sz w:val="20"/>
                <w:szCs w:val="20"/>
                <w:color w:val="auto"/>
              </w:rPr>
            </w:pPr>
            <w:r>
              <w:rPr>
                <w:rFonts w:ascii="Arial" w:cs="Arial" w:eastAsia="Arial" w:hAnsi="Arial"/>
                <w:sz w:val="22"/>
                <w:szCs w:val="22"/>
                <w:color w:val="auto"/>
              </w:rPr>
              <w:t>Australia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(New Zealand)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New Zealand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(Singapore) Private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Singapore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England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GmbH</w:t>
            </w:r>
          </w:p>
        </w:tc>
        <w:tc>
          <w:tcPr>
            <w:tcW w:w="2840" w:type="dxa"/>
            <w:vAlign w:val="bottom"/>
          </w:tcPr>
          <w:p>
            <w:pPr>
              <w:ind w:left="20"/>
              <w:spacing w:after="0"/>
              <w:rPr>
                <w:sz w:val="20"/>
                <w:szCs w:val="20"/>
                <w:color w:val="auto"/>
              </w:rPr>
            </w:pPr>
            <w:r>
              <w:rPr>
                <w:rFonts w:ascii="Arial" w:cs="Arial" w:eastAsia="Arial" w:hAnsi="Arial"/>
                <w:sz w:val="22"/>
                <w:szCs w:val="22"/>
                <w:color w:val="auto"/>
              </w:rPr>
              <w:t>Germany</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(Japan) KK</w:t>
            </w:r>
          </w:p>
        </w:tc>
        <w:tc>
          <w:tcPr>
            <w:tcW w:w="2840" w:type="dxa"/>
            <w:vAlign w:val="bottom"/>
          </w:tcPr>
          <w:p>
            <w:pPr>
              <w:ind w:left="20"/>
              <w:spacing w:after="0"/>
              <w:rPr>
                <w:sz w:val="20"/>
                <w:szCs w:val="20"/>
                <w:color w:val="auto"/>
              </w:rPr>
            </w:pPr>
            <w:r>
              <w:rPr>
                <w:rFonts w:ascii="Arial" w:cs="Arial" w:eastAsia="Arial" w:hAnsi="Arial"/>
                <w:sz w:val="22"/>
                <w:szCs w:val="22"/>
                <w:color w:val="auto"/>
              </w:rPr>
              <w:t>Japan</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Ireland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Ireland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Italia Srl</w:t>
            </w:r>
          </w:p>
        </w:tc>
        <w:tc>
          <w:tcPr>
            <w:tcW w:w="2840" w:type="dxa"/>
            <w:vAlign w:val="bottom"/>
          </w:tcPr>
          <w:p>
            <w:pPr>
              <w:ind w:left="20"/>
              <w:spacing w:after="0"/>
              <w:rPr>
                <w:sz w:val="20"/>
                <w:szCs w:val="20"/>
                <w:color w:val="auto"/>
              </w:rPr>
            </w:pPr>
            <w:r>
              <w:rPr>
                <w:rFonts w:ascii="Arial" w:cs="Arial" w:eastAsia="Arial" w:hAnsi="Arial"/>
                <w:sz w:val="22"/>
                <w:szCs w:val="22"/>
                <w:color w:val="auto"/>
              </w:rPr>
              <w:t>Italy</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AB Srl</w:t>
            </w:r>
          </w:p>
        </w:tc>
        <w:tc>
          <w:tcPr>
            <w:tcW w:w="2840" w:type="dxa"/>
            <w:vAlign w:val="bottom"/>
          </w:tcPr>
          <w:p>
            <w:pPr>
              <w:ind w:left="20"/>
              <w:spacing w:after="0"/>
              <w:rPr>
                <w:sz w:val="20"/>
                <w:szCs w:val="20"/>
                <w:color w:val="auto"/>
              </w:rPr>
            </w:pPr>
            <w:r>
              <w:rPr>
                <w:rFonts w:ascii="Arial" w:cs="Arial" w:eastAsia="Arial" w:hAnsi="Arial"/>
                <w:sz w:val="22"/>
                <w:szCs w:val="22"/>
                <w:color w:val="auto"/>
              </w:rPr>
              <w:t>Sweden</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(Hong Kong)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Hong Kong</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Software Technology (Beijing) Co., Ltd</w:t>
            </w:r>
          </w:p>
        </w:tc>
        <w:tc>
          <w:tcPr>
            <w:tcW w:w="2840" w:type="dxa"/>
            <w:vAlign w:val="bottom"/>
          </w:tcPr>
          <w:p>
            <w:pPr>
              <w:ind w:left="20"/>
              <w:spacing w:after="0"/>
              <w:rPr>
                <w:sz w:val="20"/>
                <w:szCs w:val="20"/>
                <w:color w:val="auto"/>
              </w:rPr>
            </w:pPr>
            <w:r>
              <w:rPr>
                <w:rFonts w:ascii="Arial" w:cs="Arial" w:eastAsia="Arial" w:hAnsi="Arial"/>
                <w:sz w:val="22"/>
                <w:szCs w:val="22"/>
                <w:color w:val="auto"/>
              </w:rPr>
              <w:t>China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CV Simpana Software (Proprietary) Limited</w:t>
            </w:r>
          </w:p>
        </w:tc>
        <w:tc>
          <w:tcPr>
            <w:tcW w:w="2840" w:type="dxa"/>
            <w:vAlign w:val="bottom"/>
          </w:tcPr>
          <w:p>
            <w:pPr>
              <w:ind w:left="20"/>
              <w:spacing w:after="0"/>
              <w:rPr>
                <w:sz w:val="20"/>
                <w:szCs w:val="20"/>
                <w:color w:val="auto"/>
              </w:rPr>
            </w:pPr>
            <w:r>
              <w:rPr>
                <w:rFonts w:ascii="Arial" w:cs="Arial" w:eastAsia="Arial" w:hAnsi="Arial"/>
                <w:sz w:val="22"/>
                <w:szCs w:val="22"/>
                <w:color w:val="auto"/>
              </w:rPr>
              <w:t>South Africa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(Israel) Ltd.</w:t>
            </w:r>
          </w:p>
        </w:tc>
        <w:tc>
          <w:tcPr>
            <w:tcW w:w="2840" w:type="dxa"/>
            <w:vAlign w:val="bottom"/>
          </w:tcPr>
          <w:p>
            <w:pPr>
              <w:ind w:left="20"/>
              <w:spacing w:after="0"/>
              <w:rPr>
                <w:sz w:val="20"/>
                <w:szCs w:val="20"/>
                <w:color w:val="auto"/>
              </w:rPr>
            </w:pPr>
            <w:r>
              <w:rPr>
                <w:rFonts w:ascii="Arial" w:cs="Arial" w:eastAsia="Arial" w:hAnsi="Arial"/>
                <w:sz w:val="22"/>
                <w:szCs w:val="22"/>
                <w:color w:val="auto"/>
              </w:rPr>
              <w:t>Israel</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Tinton Falls Urban Renewal LLC</w:t>
            </w:r>
          </w:p>
        </w:tc>
        <w:tc>
          <w:tcPr>
            <w:tcW w:w="2840" w:type="dxa"/>
            <w:vAlign w:val="bottom"/>
          </w:tcPr>
          <w:p>
            <w:pPr>
              <w:ind w:left="20"/>
              <w:spacing w:after="0"/>
              <w:rPr>
                <w:sz w:val="20"/>
                <w:szCs w:val="20"/>
                <w:color w:val="auto"/>
              </w:rPr>
            </w:pPr>
            <w:r>
              <w:rPr>
                <w:rFonts w:ascii="Arial" w:cs="Arial" w:eastAsia="Arial" w:hAnsi="Arial"/>
                <w:sz w:val="22"/>
                <w:szCs w:val="22"/>
                <w:color w:val="auto"/>
              </w:rPr>
              <w:t>Delaware</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Belgium BVBA</w:t>
            </w:r>
          </w:p>
        </w:tc>
        <w:tc>
          <w:tcPr>
            <w:tcW w:w="2840" w:type="dxa"/>
            <w:vAlign w:val="bottom"/>
          </w:tcPr>
          <w:p>
            <w:pPr>
              <w:ind w:left="20"/>
              <w:spacing w:after="0"/>
              <w:rPr>
                <w:sz w:val="20"/>
                <w:szCs w:val="20"/>
                <w:color w:val="auto"/>
              </w:rPr>
            </w:pPr>
            <w:r>
              <w:rPr>
                <w:rFonts w:ascii="Arial" w:cs="Arial" w:eastAsia="Arial" w:hAnsi="Arial"/>
                <w:sz w:val="22"/>
                <w:szCs w:val="22"/>
                <w:color w:val="auto"/>
              </w:rPr>
              <w:t>Belgium, Netherlands</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(Thailand) Ltd.</w:t>
            </w:r>
          </w:p>
        </w:tc>
        <w:tc>
          <w:tcPr>
            <w:tcW w:w="2840" w:type="dxa"/>
            <w:vAlign w:val="bottom"/>
          </w:tcPr>
          <w:p>
            <w:pPr>
              <w:ind w:left="20"/>
              <w:spacing w:after="0"/>
              <w:rPr>
                <w:sz w:val="20"/>
                <w:szCs w:val="20"/>
                <w:color w:val="auto"/>
              </w:rPr>
            </w:pPr>
            <w:r>
              <w:rPr>
                <w:rFonts w:ascii="Arial" w:cs="Arial" w:eastAsia="Arial" w:hAnsi="Arial"/>
                <w:sz w:val="22"/>
                <w:szCs w:val="22"/>
                <w:color w:val="auto"/>
              </w:rPr>
              <w:t>Thailand</w:t>
            </w:r>
          </w:p>
        </w:tc>
      </w:tr>
      <w:tr>
        <w:trPr>
          <w:trHeight w:val="313"/>
        </w:trPr>
        <w:tc>
          <w:tcPr>
            <w:tcW w:w="8580" w:type="dxa"/>
            <w:vAlign w:val="bottom"/>
            <w:gridSpan w:val="2"/>
          </w:tcPr>
          <w:p>
            <w:pPr>
              <w:ind w:left="40"/>
              <w:spacing w:after="0" w:line="230" w:lineRule="exact"/>
              <w:rPr>
                <w:sz w:val="20"/>
                <w:szCs w:val="20"/>
                <w:color w:val="auto"/>
              </w:rPr>
            </w:pPr>
            <w:r>
              <w:rPr>
                <w:rFonts w:ascii="Arial" w:cs="Arial" w:eastAsia="Arial" w:hAnsi="Arial"/>
                <w:sz w:val="20"/>
                <w:szCs w:val="20"/>
                <w:color w:val="auto"/>
              </w:rPr>
              <w:t>CommVault Istanbul Yaz</w:t>
            </w:r>
            <w:r>
              <w:rPr>
                <w:rFonts w:ascii="MS PGothic" w:cs="MS PGothic" w:eastAsia="MS PGothic" w:hAnsi="MS PGothic"/>
                <w:sz w:val="20"/>
                <w:szCs w:val="20"/>
                <w:color w:val="auto"/>
              </w:rPr>
              <w:t>☒</w:t>
            </w:r>
            <w:r>
              <w:rPr>
                <w:rFonts w:ascii="Arial" w:cs="Arial" w:eastAsia="Arial" w:hAnsi="Arial"/>
                <w:sz w:val="20"/>
                <w:szCs w:val="20"/>
                <w:color w:val="auto"/>
              </w:rPr>
              <w:t>l</w:t>
            </w:r>
            <w:r>
              <w:rPr>
                <w:rFonts w:ascii="MS PGothic" w:cs="MS PGothic" w:eastAsia="MS PGothic" w:hAnsi="MS PGothic"/>
                <w:sz w:val="20"/>
                <w:szCs w:val="20"/>
                <w:color w:val="auto"/>
              </w:rPr>
              <w:t>☒</w:t>
            </w:r>
            <w:r>
              <w:rPr>
                <w:rFonts w:ascii="Arial" w:cs="Arial" w:eastAsia="Arial" w:hAnsi="Arial"/>
                <w:sz w:val="20"/>
                <w:szCs w:val="20"/>
                <w:color w:val="auto"/>
              </w:rPr>
              <w:t>m Hizmetleri Limited Sirketi (Commvault Software Services Ltd.)</w:t>
            </w:r>
          </w:p>
        </w:tc>
        <w:tc>
          <w:tcPr>
            <w:tcW w:w="2840" w:type="dxa"/>
            <w:vAlign w:val="bottom"/>
          </w:tcPr>
          <w:p>
            <w:pPr>
              <w:ind w:left="20"/>
              <w:spacing w:after="0"/>
              <w:rPr>
                <w:sz w:val="20"/>
                <w:szCs w:val="20"/>
                <w:color w:val="auto"/>
              </w:rPr>
            </w:pPr>
            <w:r>
              <w:rPr>
                <w:rFonts w:ascii="Arial" w:cs="Arial" w:eastAsia="Arial" w:hAnsi="Arial"/>
                <w:sz w:val="22"/>
                <w:szCs w:val="22"/>
                <w:color w:val="auto"/>
              </w:rPr>
              <w:t>Turkey</w:t>
            </w:r>
          </w:p>
        </w:tc>
      </w:tr>
      <w:tr>
        <w:trPr>
          <w:trHeight w:val="281"/>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(Austria) GmbH</w:t>
            </w:r>
          </w:p>
        </w:tc>
        <w:tc>
          <w:tcPr>
            <w:tcW w:w="2840" w:type="dxa"/>
            <w:vAlign w:val="bottom"/>
          </w:tcPr>
          <w:p>
            <w:pPr>
              <w:ind w:left="20"/>
              <w:spacing w:after="0"/>
              <w:rPr>
                <w:sz w:val="20"/>
                <w:szCs w:val="20"/>
                <w:color w:val="auto"/>
              </w:rPr>
            </w:pPr>
            <w:r>
              <w:rPr>
                <w:rFonts w:ascii="Arial" w:cs="Arial" w:eastAsia="Arial" w:hAnsi="Arial"/>
                <w:sz w:val="22"/>
                <w:szCs w:val="22"/>
                <w:color w:val="auto"/>
              </w:rPr>
              <w:t>Austria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(Switzerland) GmbH</w:t>
            </w:r>
          </w:p>
        </w:tc>
        <w:tc>
          <w:tcPr>
            <w:tcW w:w="2840" w:type="dxa"/>
            <w:vAlign w:val="bottom"/>
          </w:tcPr>
          <w:p>
            <w:pPr>
              <w:ind w:left="20"/>
              <w:spacing w:after="0"/>
              <w:rPr>
                <w:sz w:val="20"/>
                <w:szCs w:val="20"/>
                <w:color w:val="auto"/>
              </w:rPr>
            </w:pPr>
            <w:r>
              <w:rPr>
                <w:rFonts w:ascii="Arial" w:cs="Arial" w:eastAsia="Arial" w:hAnsi="Arial"/>
                <w:sz w:val="22"/>
                <w:szCs w:val="22"/>
                <w:color w:val="auto"/>
              </w:rPr>
              <w:t>Switzerland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(Malaysia) Sdn. Bhd.</w:t>
            </w:r>
          </w:p>
        </w:tc>
        <w:tc>
          <w:tcPr>
            <w:tcW w:w="2840" w:type="dxa"/>
            <w:vAlign w:val="bottom"/>
          </w:tcPr>
          <w:p>
            <w:pPr>
              <w:ind w:left="20"/>
              <w:spacing w:after="0"/>
              <w:rPr>
                <w:sz w:val="20"/>
                <w:szCs w:val="20"/>
                <w:color w:val="auto"/>
              </w:rPr>
            </w:pPr>
            <w:r>
              <w:rPr>
                <w:rFonts w:ascii="Arial" w:cs="Arial" w:eastAsia="Arial" w:hAnsi="Arial"/>
                <w:sz w:val="22"/>
                <w:szCs w:val="22"/>
                <w:color w:val="auto"/>
              </w:rPr>
              <w:t>Malaysia</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(Poland) sp. zo.o.</w:t>
            </w:r>
          </w:p>
        </w:tc>
        <w:tc>
          <w:tcPr>
            <w:tcW w:w="2840" w:type="dxa"/>
            <w:vAlign w:val="bottom"/>
          </w:tcPr>
          <w:p>
            <w:pPr>
              <w:ind w:left="20"/>
              <w:spacing w:after="0"/>
              <w:rPr>
                <w:sz w:val="20"/>
                <w:szCs w:val="20"/>
                <w:color w:val="auto"/>
              </w:rPr>
            </w:pPr>
            <w:r>
              <w:rPr>
                <w:rFonts w:ascii="Arial" w:cs="Arial" w:eastAsia="Arial" w:hAnsi="Arial"/>
                <w:sz w:val="22"/>
                <w:szCs w:val="22"/>
                <w:color w:val="auto"/>
              </w:rPr>
              <w:t>Poland</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 S.L.U.</w:t>
            </w:r>
          </w:p>
        </w:tc>
        <w:tc>
          <w:tcPr>
            <w:tcW w:w="2840" w:type="dxa"/>
            <w:vAlign w:val="bottom"/>
          </w:tcPr>
          <w:p>
            <w:pPr>
              <w:ind w:left="20"/>
              <w:spacing w:after="0"/>
              <w:rPr>
                <w:sz w:val="20"/>
                <w:szCs w:val="20"/>
                <w:color w:val="auto"/>
              </w:rPr>
            </w:pPr>
            <w:r>
              <w:rPr>
                <w:rFonts w:ascii="Arial" w:cs="Arial" w:eastAsia="Arial" w:hAnsi="Arial"/>
                <w:sz w:val="22"/>
                <w:szCs w:val="22"/>
                <w:color w:val="auto"/>
              </w:rPr>
              <w:t>Spain</w:t>
            </w:r>
          </w:p>
        </w:tc>
      </w:tr>
      <w:tr>
        <w:trPr>
          <w:trHeight w:val="297"/>
        </w:trPr>
        <w:tc>
          <w:tcPr>
            <w:tcW w:w="8580" w:type="dxa"/>
            <w:vAlign w:val="bottom"/>
            <w:gridSpan w:val="2"/>
          </w:tcPr>
          <w:p>
            <w:pPr>
              <w:ind w:left="40"/>
              <w:spacing w:after="0"/>
              <w:rPr>
                <w:sz w:val="20"/>
                <w:szCs w:val="20"/>
                <w:color w:val="auto"/>
              </w:rPr>
            </w:pPr>
            <w:r>
              <w:rPr>
                <w:rFonts w:ascii="Arial" w:cs="Arial" w:eastAsia="Arial" w:hAnsi="Arial"/>
                <w:sz w:val="22"/>
                <w:szCs w:val="22"/>
                <w:color w:val="auto"/>
              </w:rPr>
              <w:t>Commvault Systems (Finland) OY</w:t>
            </w:r>
          </w:p>
        </w:tc>
        <w:tc>
          <w:tcPr>
            <w:tcW w:w="2840" w:type="dxa"/>
            <w:vAlign w:val="bottom"/>
          </w:tcPr>
          <w:p>
            <w:pPr>
              <w:ind w:left="20"/>
              <w:spacing w:after="0"/>
              <w:rPr>
                <w:sz w:val="20"/>
                <w:szCs w:val="20"/>
                <w:color w:val="auto"/>
              </w:rPr>
            </w:pPr>
            <w:r>
              <w:rPr>
                <w:rFonts w:ascii="Arial" w:cs="Arial" w:eastAsia="Arial" w:hAnsi="Arial"/>
                <w:sz w:val="22"/>
                <w:szCs w:val="22"/>
                <w:color w:val="auto"/>
              </w:rPr>
              <w:t>Finland</w:t>
            </w:r>
          </w:p>
        </w:tc>
      </w:tr>
    </w:tbl>
    <w:p>
      <w:pPr>
        <w:sectPr>
          <w:pgSz w:w="11900" w:h="16838" w:orient="portrait"/>
          <w:cols w:equalWidth="0" w:num="1">
            <w:col w:w="11420"/>
          </w:cols>
          <w:pgMar w:left="240" w:top="30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Exhibit 23.1</w:t>
      </w:r>
    </w:p>
    <w:p>
      <w:pPr>
        <w:spacing w:after="0" w:line="173" w:lineRule="exact"/>
        <w:rPr>
          <w:sz w:val="20"/>
          <w:szCs w:val="20"/>
          <w:color w:val="auto"/>
        </w:rPr>
      </w:pPr>
    </w:p>
    <w:p>
      <w:pPr>
        <w:ind w:right="2940" w:firstLine="2947"/>
        <w:spacing w:after="0" w:line="478"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660" w:hanging="328"/>
        <w:spacing w:after="0" w:line="25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2"/>
          <w:szCs w:val="22"/>
          <w:color w:val="auto"/>
        </w:rPr>
        <w:t>Registration Statement on Form S-8 No. 333-138578 pertaining to the 1996 Stock Option Plan and the 2006 Long-Term Stock Incentive Plan of Commvault Systems, Inc.,</w:t>
      </w:r>
    </w:p>
    <w:p>
      <w:pPr>
        <w:spacing w:after="0" w:line="2" w:lineRule="exact"/>
        <w:rPr>
          <w:rFonts w:ascii="Arial" w:cs="Arial" w:eastAsia="Arial" w:hAnsi="Arial"/>
          <w:sz w:val="18"/>
          <w:szCs w:val="18"/>
          <w:color w:val="auto"/>
        </w:rPr>
      </w:pPr>
    </w:p>
    <w:p>
      <w:pPr>
        <w:ind w:left="660" w:right="20" w:hanging="328"/>
        <w:spacing w:after="0" w:line="24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2"/>
          <w:szCs w:val="22"/>
          <w:color w:val="auto"/>
        </w:rPr>
        <w:t>Registration Statement on Form S-8 No. 333-192014 pertaining to the Commvault Systems, Inc. Employee Stock Purchase Plan of Commvault Systems, Inc.,</w:t>
      </w:r>
    </w:p>
    <w:p>
      <w:pPr>
        <w:ind w:left="660" w:hanging="328"/>
        <w:spacing w:after="0" w:line="24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2"/>
          <w:szCs w:val="22"/>
          <w:color w:val="auto"/>
        </w:rPr>
        <w:t>Registration Statement on Form S-8 No. 333-213211 pertaining to the Commvault Systems, Inc. Omnibus Incentive Plan of Commvault Systems, Inc.,</w:t>
      </w:r>
    </w:p>
    <w:p>
      <w:pPr>
        <w:ind w:left="660" w:right="20" w:hanging="328"/>
        <w:spacing w:after="0" w:line="24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2"/>
          <w:szCs w:val="22"/>
          <w:color w:val="auto"/>
        </w:rPr>
        <w:t>Registration Statement on Form S-8 No. 333-221163 pertaining to the Commvault Systems, Inc. Omnibus Incentive Plan, as amended through the First Amendment, of Commvault Systems, Inc., and</w:t>
      </w:r>
    </w:p>
    <w:p>
      <w:pPr>
        <w:ind w:left="660" w:hanging="328"/>
        <w:spacing w:after="0" w:line="24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22"/>
          <w:szCs w:val="22"/>
          <w:color w:val="auto"/>
        </w:rPr>
        <w:t>Registration Statement of Form S-8 No. 333-228076 pertaining to the Commvault Systems, Inc. Omnibus Incentive Plan, as amended through the Second Amendment, of Commvault Systems, Inc.</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of our reports dated May 2, 2019, with respect to the consolidated financial statements and schedule of Commvault Systems, Inc. and the effectiveness of internal control over financial reporting of Commvault Systems, Inc. included in its Annual Report (Form 10-K) for the year ended March 31, 2019, filed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Iselin, New Jersey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 2, 2019</w:t>
      </w:r>
    </w:p>
    <w:p>
      <w:pPr>
        <w:sectPr>
          <w:pgSz w:w="11900" w:h="16838" w:orient="portrait"/>
          <w:cols w:equalWidth="0" w:num="1">
            <w:col w:w="11420"/>
          </w:cols>
          <w:pgMar w:left="240" w:top="13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17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17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Commvault Systems,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2019 as filed with the Securities and Exchange Commission (the “Report”), I, Sanjay Mirchandani, President and Chief Executive Officer of the Company, certify, pursuant to 18 U.S.C. § 1350, as adopted pursuant to § 906 of the Sarbanes-Oxley Act of 2002, that:</w:t>
      </w:r>
    </w:p>
    <w:p>
      <w:pPr>
        <w:spacing w:after="0" w:line="181" w:lineRule="exact"/>
        <w:rPr>
          <w:sz w:val="20"/>
          <w:szCs w:val="20"/>
          <w:color w:val="auto"/>
        </w:rPr>
      </w:pPr>
    </w:p>
    <w:p>
      <w:pPr>
        <w:ind w:left="1520" w:hanging="864"/>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Sanjay Mirchandani</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connection with the Annual Report of Commvault Systems, Inc. (the “Company”) on Form 10-K for the period ended March 31, 2019 as filed with the Securities and Exchange Commission (the “Report”), I, Brian Carolan, Vice President, Chief Financial Officer of the Company, certify, pursuant to 18 U.S.C. § 1350, as adopted pursuant to § 906 of the Sarbanes-Oxley Act of 2002, that:</w:t>
      </w:r>
    </w:p>
    <w:p>
      <w:pPr>
        <w:spacing w:after="0" w:line="181" w:lineRule="exact"/>
        <w:rPr>
          <w:sz w:val="20"/>
          <w:szCs w:val="20"/>
          <w:color w:val="auto"/>
        </w:rPr>
      </w:pPr>
    </w:p>
    <w:p>
      <w:pPr>
        <w:ind w:left="1520" w:hanging="864"/>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12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lvl w:ilvl="1">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2"/>
    </w:lvl>
  </w:abstractNum>
  <w:abstractNum w:abstractNumId="14">
    <w:nsid w:val="2443A858"/>
    <w:multiLevelType w:val="hybridMultilevel"/>
    <w:lvl w:ilvl="0">
      <w:lvlJc w:val="left"/>
      <w:lvlText w:val="%1."/>
      <w:numFmt w:val="decimal"/>
      <w:start w:val="5"/>
    </w:lvl>
  </w:abstractNum>
  <w:abstractNum w:abstractNumId="15">
    <w:nsid w:val="2D1D5AE9"/>
    <w:multiLevelType w:val="hybridMultilevel"/>
    <w:lvl w:ilvl="0">
      <w:lvlJc w:val="left"/>
      <w:lvlText w:val="%1."/>
      <w:numFmt w:val="decimal"/>
      <w:start w:val="6"/>
    </w:lvl>
  </w:abstractNum>
  <w:abstractNum w:abstractNumId="16">
    <w:nsid w:val="6763845E"/>
    <w:multiLevelType w:val="hybridMultilevel"/>
    <w:lvl w:ilvl="0">
      <w:lvlJc w:val="left"/>
      <w:lvlText w:val="%1."/>
      <w:numFmt w:val="decimal"/>
      <w:start w:val="7"/>
    </w:lvl>
  </w:abstractNum>
  <w:abstractNum w:abstractNumId="17">
    <w:nsid w:val="75A2A8D4"/>
    <w:multiLevelType w:val="hybridMultilevel"/>
    <w:lvl w:ilvl="0">
      <w:lvlJc w:val="left"/>
      <w:lvlText w:val="%1."/>
      <w:numFmt w:val="decimal"/>
      <w:start w:val="8"/>
    </w:lvl>
  </w:abstractNum>
  <w:abstractNum w:abstractNumId="18">
    <w:nsid w:val="8EDBDAB"/>
    <w:multiLevelType w:val="hybridMultilevel"/>
    <w:lvl w:ilvl="0">
      <w:lvlJc w:val="left"/>
      <w:lvlText w:val="%1."/>
      <w:numFmt w:val="decimal"/>
      <w:start w:val="9"/>
    </w:lvl>
  </w:abstractNum>
  <w:abstractNum w:abstractNumId="19">
    <w:nsid w:val="79838CB2"/>
    <w:multiLevelType w:val="hybridMultilevel"/>
    <w:lvl w:ilvl="0">
      <w:lvlJc w:val="left"/>
      <w:lvlText w:val="%1."/>
      <w:numFmt w:val="decimal"/>
      <w:start w:val="10"/>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decimal"/>
      <w:start w:val="13"/>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30" Type="http://schemas.openxmlformats.org/officeDocument/2006/relationships/hyperlink" Target="http://www.sec.gov/Archives/edgar/data/1169561/000095012306005638/y17249a1exv3w1.txt" TargetMode="External"/><Relationship Id="rId31" Type="http://schemas.openxmlformats.org/officeDocument/2006/relationships/hyperlink" Target="http://www.sec.gov/Archives/edgar/data/1169561/000119312514159979/d717834dex31.htm" TargetMode="External"/><Relationship Id="rId32" Type="http://schemas.openxmlformats.org/officeDocument/2006/relationships/hyperlink" Target="http://www.sec.gov/Archives/edgar/data/1169561/000095012308015422/y72677exv3w1.htm" TargetMode="External"/><Relationship Id="rId33" Type="http://schemas.openxmlformats.org/officeDocument/2006/relationships/hyperlink" Target="http://www.sec.gov/Archives/edgar/data/1169561/000095012306011665/y24537a5exv4w1.txt" TargetMode="External"/><Relationship Id="rId34" Type="http://schemas.openxmlformats.org/officeDocument/2006/relationships/hyperlink" Target="http://www.sec.gov/Archives/edgar/data/1169561/000095012308015422/y72677exv4w1.htm" TargetMode="External"/><Relationship Id="rId35" Type="http://schemas.openxmlformats.org/officeDocument/2006/relationships/hyperlink" Target="http://www.sec.gov/Archives/edgar/data/1169561/000116956118000040/commvault-rightsplanamendm.htm" TargetMode="External"/><Relationship Id="rId36" Type="http://schemas.openxmlformats.org/officeDocument/2006/relationships/hyperlink" Target="http://www.sec.gov/Archives/edgar/data/1169561/000095012306011665/y24537a5exv9w1.txt" TargetMode="External"/><Relationship Id="rId37" Type="http://schemas.openxmlformats.org/officeDocument/2006/relationships/hyperlink" Target="http://www.sec.gov/Archives/edgar/data/1169561/000095012306011665/y24537a5exv10w4.txt" TargetMode="External"/><Relationship Id="rId38" Type="http://schemas.openxmlformats.org/officeDocument/2006/relationships/hyperlink" Target="http://www.sec.gov/Archives/edgar/data/1169561/000095012307007955/y35351exv10w5.htm" TargetMode="External"/><Relationship Id="rId39" Type="http://schemas.openxmlformats.org/officeDocument/2006/relationships/hyperlink" Target="http://www.sec.gov/Archives/edgar/data/1169561/000095012306003359/y17249exv10w5.txt" TargetMode="External"/><Relationship Id="rId40" Type="http://schemas.openxmlformats.org/officeDocument/2006/relationships/hyperlink" Target="http://www.sec.gov/Archives/edgar/data/1169561/000095012306003359/y17249exv10w6.txt" TargetMode="External"/><Relationship Id="rId41" Type="http://schemas.openxmlformats.org/officeDocument/2006/relationships/hyperlink" Target="http://www.sec.gov/Archives/edgar/data/1169561/000095012306003359/y17249exv10w7.txt" TargetMode="External"/><Relationship Id="rId42" Type="http://schemas.openxmlformats.org/officeDocument/2006/relationships/hyperlink" Target="http://www.sec.gov/Archives/edgar/data/1169561/000095012306003359/y17249exv10w8.txt" TargetMode="External"/><Relationship Id="rId43" Type="http://schemas.openxmlformats.org/officeDocument/2006/relationships/hyperlink" Target="http://www.sec.gov/Archives/edgar/data/1169561/000095012306003359/y17249exv10w9.txt" TargetMode="External"/><Relationship Id="rId44" Type="http://schemas.openxmlformats.org/officeDocument/2006/relationships/hyperlink" Target="http://www.sec.gov/Archives/edgar/data/1169561/000144530514001788/a2014033110kex1010.htm" TargetMode="External"/><Relationship Id="rId45" Type="http://schemas.openxmlformats.org/officeDocument/2006/relationships/hyperlink" Target="http://www.sec.gov/Archives/edgar/data/1169561/000116956116000047/a2016exhibit1012.htm" TargetMode="External"/><Relationship Id="rId46" Type="http://schemas.openxmlformats.org/officeDocument/2006/relationships/hyperlink" Target="http://www.sec.gov/Archives/edgar/data/1169561/000116956117000028/firstamendmenttoincentivep.htm" TargetMode="External"/><Relationship Id="rId47" Type="http://schemas.openxmlformats.org/officeDocument/2006/relationships/hyperlink" Target="http://www.sec.gov/Archives/edgar/data/1169561/000116956118000016/elliott-cvltsettlementagre.htm" TargetMode="External"/><Relationship Id="rId48" Type="http://schemas.openxmlformats.org/officeDocument/2006/relationships/hyperlink" Target="http://www.sec.gov/Archives/edgar/data/1169561/000116956119000008/employmentagreementceo1-7x.htm" TargetMode="External"/><Relationship Id="rId49" Type="http://schemas.openxmlformats.org/officeDocument/2006/relationships/hyperlink" Target="http://www.sec.gov/Archives/edgar/data/1169561/000116956119000008/a8-kceoresignation_appoint.htm" TargetMode="External"/><Relationship Id="rId50" Type="http://schemas.openxmlformats.org/officeDocument/2006/relationships/hyperlink" Target="http://www.sec.gov/Archives/edgar/data/1169561/000116956119000013/exhibit101.htm" TargetMode="External"/><Relationship Id="rId51" Type="http://schemas.openxmlformats.org/officeDocument/2006/relationships/hyperlink" Target="http://www.sec.gov/Archives/edgar/data/1169561/000116956119000015/whalenjayexecutiveretent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2019-12-28T13:07:41Z</dcterms:created>
  <dcterms:modified xsi:type="dcterms:W3CDTF">2019-12-28T13:07:41Z</dcterms:modified>
</cp:coreProperties>
</file>