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270"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90" w:type="dxa"/>
        <w:tblCellMar>
          <w:top w:w="0" w:type="dxa"/>
          <w:left w:w="0" w:type="dxa"/>
          <w:bottom w:w="0" w:type="dxa"/>
          <w:right w:w="0" w:type="dxa"/>
        </w:tblCellMar>
      </w:tblPr>
      <w:tr>
        <w:trPr>
          <w:trHeight w:val="210"/>
        </w:trPr>
        <w:tc>
          <w:tcPr>
            <w:tcW w:w="3720" w:type="dxa"/>
            <w:vAlign w:val="bottom"/>
          </w:tcPr>
          <w:p>
            <w:pPr>
              <w:jc w:val="center"/>
              <w:ind w:left="1666"/>
              <w:spacing w:after="0"/>
              <w:rPr>
                <w:sz w:val="20"/>
                <w:szCs w:val="20"/>
                <w:color w:val="auto"/>
              </w:rPr>
            </w:pPr>
            <w:r>
              <w:rPr>
                <w:rFonts w:ascii="Arial" w:cs="Arial" w:eastAsia="Arial" w:hAnsi="Arial"/>
                <w:sz w:val="16"/>
                <w:szCs w:val="16"/>
                <w:b w:val="1"/>
                <w:bCs w:val="1"/>
                <w:color w:val="auto"/>
                <w:w w:val="93"/>
              </w:rPr>
              <w:t>Delaware</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Pr>
          <w:p>
            <w:pPr>
              <w:jc w:val="center"/>
              <w:ind w:right="1406"/>
              <w:spacing w:after="0"/>
              <w:rPr>
                <w:sz w:val="20"/>
                <w:szCs w:val="20"/>
                <w:color w:val="auto"/>
              </w:rPr>
            </w:pPr>
            <w:r>
              <w:rPr>
                <w:rFonts w:ascii="Arial" w:cs="Arial" w:eastAsia="Arial" w:hAnsi="Arial"/>
                <w:sz w:val="16"/>
                <w:szCs w:val="16"/>
                <w:b w:val="1"/>
                <w:bCs w:val="1"/>
                <w:color w:val="auto"/>
                <w:w w:val="91"/>
              </w:rPr>
              <w:t>22-3447504</w:t>
            </w:r>
          </w:p>
        </w:tc>
        <w:tc>
          <w:tcPr>
            <w:tcW w:w="0" w:type="dxa"/>
            <w:vAlign w:val="bottom"/>
          </w:tcPr>
          <w:p>
            <w:pPr>
              <w:spacing w:after="0"/>
              <w:rPr>
                <w:sz w:val="1"/>
                <w:szCs w:val="1"/>
                <w:color w:val="auto"/>
              </w:rPr>
            </w:pPr>
          </w:p>
        </w:tc>
      </w:tr>
      <w:tr>
        <w:trPr>
          <w:trHeight w:val="190"/>
        </w:trPr>
        <w:tc>
          <w:tcPr>
            <w:tcW w:w="3720" w:type="dxa"/>
            <w:vAlign w:val="bottom"/>
          </w:tcPr>
          <w:p>
            <w:pPr>
              <w:jc w:val="center"/>
              <w:ind w:left="1666"/>
              <w:spacing w:after="0"/>
              <w:rPr>
                <w:sz w:val="20"/>
                <w:szCs w:val="20"/>
                <w:color w:val="auto"/>
              </w:rPr>
            </w:pPr>
            <w:r>
              <w:rPr>
                <w:rFonts w:ascii="Arial" w:cs="Arial" w:eastAsia="Arial" w:hAnsi="Arial"/>
                <w:sz w:val="13"/>
                <w:szCs w:val="13"/>
                <w:b w:val="1"/>
                <w:bCs w:val="1"/>
                <w:color w:val="auto"/>
                <w:w w:val="88"/>
              </w:rPr>
              <w:t>(State or other jurisdiction of</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00" w:type="dxa"/>
            <w:vAlign w:val="bottom"/>
          </w:tcPr>
          <w:p>
            <w:pPr>
              <w:jc w:val="center"/>
              <w:ind w:right="1406"/>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720" w:type="dxa"/>
            <w:vAlign w:val="bottom"/>
          </w:tcPr>
          <w:p>
            <w:pPr>
              <w:jc w:val="center"/>
              <w:ind w:left="1666"/>
              <w:spacing w:after="0"/>
              <w:rPr>
                <w:sz w:val="20"/>
                <w:szCs w:val="20"/>
                <w:color w:val="auto"/>
              </w:rPr>
            </w:pPr>
            <w:r>
              <w:rPr>
                <w:rFonts w:ascii="Arial" w:cs="Arial" w:eastAsia="Arial" w:hAnsi="Arial"/>
                <w:sz w:val="13"/>
                <w:szCs w:val="13"/>
                <w:b w:val="1"/>
                <w:bCs w:val="1"/>
                <w:color w:val="auto"/>
                <w:w w:val="89"/>
              </w:rPr>
              <w:t>incorporation or organization)</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60" w:type="dxa"/>
            <w:vAlign w:val="bottom"/>
            <w:gridSpan w:val="3"/>
            <w:vMerge w:val="restart"/>
          </w:tcPr>
          <w:p>
            <w:pPr>
              <w:jc w:val="center"/>
              <w:ind w:right="780"/>
              <w:spacing w:after="0"/>
              <w:rPr>
                <w:sz w:val="20"/>
                <w:szCs w:val="20"/>
                <w:color w:val="auto"/>
              </w:rPr>
            </w:pPr>
            <w:r>
              <w:rPr>
                <w:rFonts w:ascii="Arial" w:cs="Arial" w:eastAsia="Arial" w:hAnsi="Arial"/>
                <w:sz w:val="16"/>
                <w:szCs w:val="16"/>
                <w:b w:val="1"/>
                <w:bCs w:val="1"/>
                <w:color w:val="auto"/>
              </w:rPr>
              <w:t>1 Commvault Way</w:t>
            </w:r>
          </w:p>
        </w:tc>
        <w:tc>
          <w:tcPr>
            <w:tcW w:w="3900" w:type="dxa"/>
            <w:vAlign w:val="bottom"/>
          </w:tcPr>
          <w:p>
            <w:pPr>
              <w:jc w:val="center"/>
              <w:ind w:right="1406"/>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60" w:type="dxa"/>
            <w:vAlign w:val="bottom"/>
            <w:gridSpan w:val="3"/>
            <w:vMerge w:val="continue"/>
          </w:tcPr>
          <w:p>
            <w:pPr>
              <w:spacing w:after="0"/>
              <w:rPr>
                <w:sz w:val="16"/>
                <w:szCs w:val="16"/>
                <w:color w:val="auto"/>
              </w:rPr>
            </w:pP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6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rPr>
              <w:t>Tinton Falls, New Jersey</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2840" w:type="dxa"/>
            <w:vAlign w:val="bottom"/>
            <w:gridSpan w:val="3"/>
          </w:tcPr>
          <w:p>
            <w:pPr>
              <w:jc w:val="right"/>
              <w:ind w:right="619"/>
              <w:spacing w:after="0"/>
              <w:rPr>
                <w:sz w:val="20"/>
                <w:szCs w:val="20"/>
                <w:color w:val="auto"/>
              </w:rPr>
            </w:pPr>
            <w:r>
              <w:rPr>
                <w:rFonts w:ascii="Arial" w:cs="Arial" w:eastAsia="Arial" w:hAnsi="Arial"/>
                <w:sz w:val="18"/>
                <w:szCs w:val="18"/>
                <w:color w:val="auto"/>
              </w:rPr>
              <w:t>07724</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gridSpan w:val="4"/>
          </w:tcPr>
          <w:p>
            <w:pPr>
              <w:jc w:val="center"/>
              <w:ind w:right="220"/>
              <w:spacing w:after="0"/>
              <w:rPr>
                <w:sz w:val="20"/>
                <w:szCs w:val="20"/>
                <w:color w:val="auto"/>
              </w:rPr>
            </w:pPr>
            <w:r>
              <w:rPr>
                <w:rFonts w:ascii="Arial" w:cs="Arial" w:eastAsia="Arial" w:hAnsi="Arial"/>
                <w:sz w:val="16"/>
                <w:szCs w:val="16"/>
                <w:color w:val="auto"/>
              </w:rPr>
              <w:t>(Address of principal executive offices)</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760" w:type="dxa"/>
            <w:vAlign w:val="bottom"/>
            <w:gridSpan w:val="3"/>
          </w:tcPr>
          <w:p>
            <w:pPr>
              <w:jc w:val="center"/>
              <w:ind w:right="760"/>
              <w:spacing w:after="0" w:line="173" w:lineRule="exact"/>
              <w:rPr>
                <w:sz w:val="20"/>
                <w:szCs w:val="20"/>
                <w:color w:val="auto"/>
              </w:rPr>
            </w:pPr>
            <w:r>
              <w:rPr>
                <w:rFonts w:ascii="Arial" w:cs="Arial" w:eastAsia="Arial" w:hAnsi="Arial"/>
                <w:sz w:val="16"/>
                <w:szCs w:val="16"/>
                <w:color w:val="auto"/>
              </w:rPr>
              <w:t>(Zip Code)</w:t>
            </w:r>
          </w:p>
        </w:tc>
        <w:tc>
          <w:tcPr>
            <w:tcW w:w="3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2840" w:type="dxa"/>
            <w:vAlign w:val="bottom"/>
            <w:gridSpan w:val="3"/>
          </w:tcPr>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732) 870-4000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8"/>
        </w:trPr>
        <w:tc>
          <w:tcPr>
            <w:tcW w:w="3720" w:type="dxa"/>
            <w:vAlign w:val="bottom"/>
          </w:tcPr>
          <w:p>
            <w:pPr>
              <w:spacing w:after="0"/>
              <w:rPr>
                <w:sz w:val="24"/>
                <w:szCs w:val="24"/>
                <w:color w:val="auto"/>
              </w:rPr>
            </w:pPr>
          </w:p>
        </w:tc>
        <w:tc>
          <w:tcPr>
            <w:tcW w:w="3680" w:type="dxa"/>
            <w:vAlign w:val="bottom"/>
            <w:gridSpan w:val="5"/>
          </w:tcPr>
          <w:p>
            <w:pPr>
              <w:jc w:val="center"/>
              <w:ind w:left="7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spacing w:after="0"/>
              <w:rPr>
                <w:sz w:val="12"/>
                <w:szCs w:val="12"/>
                <w:color w:val="auto"/>
              </w:rPr>
            </w:pPr>
          </w:p>
        </w:tc>
        <w:tc>
          <w:tcPr>
            <w:tcW w:w="3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720" w:type="dxa"/>
            <w:vAlign w:val="bottom"/>
            <w:tcBorders>
              <w:left w:val="single" w:sz="8" w:color="auto"/>
            </w:tcBorders>
          </w:tcPr>
          <w:p>
            <w:pPr>
              <w:jc w:val="center"/>
              <w:ind w:left="846"/>
              <w:spacing w:after="0"/>
              <w:rPr>
                <w:sz w:val="20"/>
                <w:szCs w:val="20"/>
                <w:color w:val="auto"/>
              </w:rPr>
            </w:pPr>
            <w:r>
              <w:rPr>
                <w:rFonts w:ascii="Arial" w:cs="Arial" w:eastAsia="Arial" w:hAnsi="Arial"/>
                <w:sz w:val="16"/>
                <w:szCs w:val="16"/>
                <w:b w:val="1"/>
                <w:bCs w:val="1"/>
                <w:color w:val="auto"/>
                <w:w w:val="87"/>
              </w:rPr>
              <w:t>Title of each class</w:t>
            </w:r>
          </w:p>
        </w:tc>
        <w:tc>
          <w:tcPr>
            <w:tcW w:w="3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Borders>
              <w:right w:val="single" w:sz="8" w:color="auto"/>
            </w:tcBorders>
          </w:tcPr>
          <w:p>
            <w:pPr>
              <w:jc w:val="center"/>
              <w:ind w:right="786"/>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33"/>
        </w:trPr>
        <w:tc>
          <w:tcPr>
            <w:tcW w:w="372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Borders>
              <w:left w:val="single" w:sz="8" w:color="auto"/>
            </w:tcBorders>
          </w:tcPr>
          <w:p>
            <w:pPr>
              <w:jc w:val="center"/>
              <w:ind w:left="846"/>
              <w:spacing w:after="0"/>
              <w:rPr>
                <w:sz w:val="20"/>
                <w:szCs w:val="20"/>
                <w:color w:val="auto"/>
              </w:rPr>
            </w:pPr>
            <w:r>
              <w:rPr>
                <w:rFonts w:ascii="Arial" w:cs="Arial" w:eastAsia="Arial" w:hAnsi="Arial"/>
                <w:sz w:val="16"/>
                <w:szCs w:val="16"/>
                <w:color w:val="auto"/>
                <w:w w:val="91"/>
              </w:rPr>
              <w:t>Common Stock</w:t>
            </w:r>
          </w:p>
        </w:tc>
        <w:tc>
          <w:tcPr>
            <w:tcW w:w="3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CVLT</w:t>
            </w:r>
          </w:p>
        </w:tc>
        <w:tc>
          <w:tcPr>
            <w:tcW w:w="840" w:type="dxa"/>
            <w:vAlign w:val="bottom"/>
            <w:gridSpan w:val="2"/>
          </w:tcPr>
          <w:p>
            <w:pPr>
              <w:spacing w:after="0"/>
              <w:rPr>
                <w:sz w:val="18"/>
                <w:szCs w:val="18"/>
                <w:color w:val="auto"/>
              </w:rPr>
            </w:pPr>
          </w:p>
        </w:tc>
        <w:tc>
          <w:tcPr>
            <w:tcW w:w="3900" w:type="dxa"/>
            <w:vAlign w:val="bottom"/>
            <w:tcBorders>
              <w:right w:val="single" w:sz="8" w:color="auto"/>
            </w:tcBorders>
          </w:tcPr>
          <w:p>
            <w:pPr>
              <w:jc w:val="center"/>
              <w:ind w:right="786"/>
              <w:spacing w:after="0"/>
              <w:rPr>
                <w:sz w:val="20"/>
                <w:szCs w:val="20"/>
                <w:color w:val="auto"/>
              </w:rPr>
            </w:pPr>
            <w:r>
              <w:rPr>
                <w:rFonts w:ascii="Arial" w:cs="Arial" w:eastAsia="Arial" w:hAnsi="Arial"/>
                <w:sz w:val="16"/>
                <w:szCs w:val="16"/>
                <w:color w:val="auto"/>
              </w:rPr>
              <w:t>NASDAQ</w:t>
            </w:r>
          </w:p>
        </w:tc>
        <w:tc>
          <w:tcPr>
            <w:tcW w:w="0" w:type="dxa"/>
            <w:vAlign w:val="bottom"/>
          </w:tcPr>
          <w:p>
            <w:pPr>
              <w:spacing w:after="0"/>
              <w:rPr>
                <w:sz w:val="1"/>
                <w:szCs w:val="1"/>
                <w:color w:val="auto"/>
              </w:rPr>
            </w:pPr>
          </w:p>
        </w:tc>
      </w:tr>
      <w:tr>
        <w:trPr>
          <w:trHeight w:val="33"/>
        </w:trPr>
        <w:tc>
          <w:tcPr>
            <w:tcW w:w="372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2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ectPr>
          <w:pgSz w:w="11900" w:h="16838" w:orient="portrait"/>
          <w:cols w:equalWidth="0" w:num="1">
            <w:col w:w="11360"/>
          </w:cols>
          <w:pgMar w:left="240" w:top="301" w:right="299" w:bottom="1440" w:gutter="0" w:footer="0" w:header="0"/>
        </w:sectPr>
      </w:pPr>
    </w:p>
    <w:p>
      <w:pPr>
        <w:spacing w:after="0" w:line="241" w:lineRule="exact"/>
        <w:rPr>
          <w:sz w:val="24"/>
          <w:szCs w:val="24"/>
          <w:color w:val="auto"/>
        </w:rPr>
      </w:pPr>
    </w:p>
    <w:p>
      <w:pPr>
        <w:ind w:left="40"/>
        <w:spacing w:after="0" w:line="161" w:lineRule="exact"/>
        <w:tabs>
          <w:tab w:leader="none" w:pos="2880" w:val="left"/>
          <w:tab w:leader="none" w:pos="3200" w:val="left"/>
          <w:tab w:leader="none" w:pos="5220" w:val="left"/>
          <w:tab w:leader="none" w:pos="5540" w:val="left"/>
          <w:tab w:leader="none" w:pos="7540" w:val="left"/>
          <w:tab w:leader="none" w:pos="78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65" w:lineRule="exact"/>
        <w:rPr>
          <w:sz w:val="24"/>
          <w:szCs w:val="24"/>
          <w:color w:val="auto"/>
        </w:rPr>
      </w:pPr>
    </w:p>
    <w:p>
      <w:pPr>
        <w:ind w:left="40"/>
        <w:spacing w:after="0" w:line="171" w:lineRule="exact"/>
        <w:tabs>
          <w:tab w:leader="none" w:pos="288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7"/>
          <w:szCs w:val="17"/>
          <w:color w:val="auto"/>
          <w:vertAlign w:val="subscript"/>
        </w:rPr>
        <w:t>☐</w:t>
      </w:r>
    </w:p>
    <w:p>
      <w:pPr>
        <w:spacing w:after="0" w:line="118" w:lineRule="exact"/>
        <w:rPr>
          <w:sz w:val="24"/>
          <w:szCs w:val="24"/>
          <w:color w:val="auto"/>
        </w:rPr>
      </w:pPr>
    </w:p>
    <w:p>
      <w:pPr>
        <w:ind w:lef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91" w:lineRule="exact"/>
        <w:rPr>
          <w:sz w:val="24"/>
          <w:szCs w:val="24"/>
          <w:color w:val="auto"/>
        </w:rPr>
      </w:pPr>
    </w:p>
    <w:p>
      <w:pPr>
        <w:sectPr>
          <w:pgSz w:w="11900" w:h="16838" w:orient="portrait"/>
          <w:cols w:equalWidth="0" w:num="2">
            <w:col w:w="10040" w:space="240"/>
            <w:col w:w="1080"/>
          </w:cols>
          <w:pgMar w:left="240" w:top="301" w:right="299" w:bottom="1440" w:gutter="0" w:footer="0" w:header="0"/>
          <w:type w:val="continuous"/>
        </w:sectPr>
      </w:pPr>
    </w:p>
    <w:p>
      <w:pPr>
        <w:spacing w:after="0" w:line="54" w:lineRule="exact"/>
        <w:rPr>
          <w:sz w:val="24"/>
          <w:szCs w:val="24"/>
          <w:color w:val="auto"/>
        </w:rPr>
      </w:pPr>
    </w:p>
    <w:p>
      <w:pPr>
        <w:spacing w:after="0" w:line="207"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No x</w:t>
      </w:r>
    </w:p>
    <w:p>
      <w:pPr>
        <w:spacing w:after="0" w:line="267"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30, 2020, there were 46,601,042 shares of the registrant’s common stock, $0.01 par value, outstanding.</w:t>
      </w:r>
    </w:p>
    <w:p>
      <w:pPr>
        <w:spacing w:after="0" w:line="22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301" w:right="299" w:bottom="1440" w:gutter="0" w:footer="0" w:header="0"/>
          <w:type w:val="continuous"/>
        </w:sectPr>
      </w:pPr>
    </w:p>
    <w:bookmarkStart w:id="1" w:name="page2"/>
    <w:bookmarkEnd w:id="1"/>
    <w:p>
      <w:pPr>
        <w:jc w:val="center"/>
        <w:ind w:right="-77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r>
      <w:tr>
        <w:trPr>
          <w:trHeight w:val="230"/>
        </w:trPr>
        <w:tc>
          <w:tcPr>
            <w:tcW w:w="9940" w:type="dxa"/>
            <w:vAlign w:val="bottom"/>
            <w:gridSpan w:val="20"/>
          </w:tcPr>
          <w:p>
            <w:pPr>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9"/>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100" w:type="dxa"/>
            <w:vAlign w:val="bottom"/>
          </w:tcPr>
          <w:p>
            <w:pPr>
              <w:spacing w:after="0"/>
              <w:rPr>
                <w:sz w:val="19"/>
                <w:szCs w:val="19"/>
                <w:color w:val="auto"/>
              </w:rPr>
            </w:pPr>
          </w:p>
        </w:tc>
        <w:tc>
          <w:tcPr>
            <w:tcW w:w="6200" w:type="dxa"/>
            <w:vAlign w:val="bottom"/>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 as of December 31, 2019 and March 31, 2019</w:t>
              </w:r>
            </w:hyperlink>
          </w:p>
        </w:tc>
        <w:tc>
          <w:tcPr>
            <w:tcW w:w="2640" w:type="dxa"/>
            <w:vAlign w:val="bottom"/>
            <w:gridSpan w:val="6"/>
          </w:tcPr>
          <w:p>
            <w:pPr>
              <w:spacing w:after="0"/>
              <w:rPr>
                <w:sz w:val="19"/>
                <w:szCs w:val="19"/>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380" w:type="dxa"/>
            <w:vAlign w:val="bottom"/>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Consolidated Statements of Operations for the three and nine months ended December 31, 2019 and 2018</w:t>
              </w:r>
            </w:hyperlink>
          </w:p>
        </w:tc>
        <w:tc>
          <w:tcPr>
            <w:tcW w:w="460" w:type="dxa"/>
            <w:vAlign w:val="bottom"/>
            <w:gridSpan w:val="3"/>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Statements of Comprehensive Income (Loss) for the three and nine months ended December 31,</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 and 2018</w:t>
              </w:r>
            </w:hyperlink>
          </w:p>
        </w:tc>
        <w:tc>
          <w:tcPr>
            <w:tcW w:w="7640" w:type="dxa"/>
            <w:vAlign w:val="bottom"/>
            <w:tcBorders>
              <w:top w:val="single" w:sz="8" w:color="0000EE"/>
            </w:tcBorders>
            <w:gridSpan w:val="13"/>
          </w:tcPr>
          <w:p>
            <w:pPr>
              <w:spacing w:after="0"/>
              <w:rPr>
                <w:sz w:val="17"/>
                <w:szCs w:val="17"/>
                <w:color w:val="auto"/>
              </w:rPr>
            </w:pPr>
          </w:p>
        </w:tc>
        <w:tc>
          <w:tcPr>
            <w:tcW w:w="1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Stockholders’ Equity for the three and nine months ended December 31, 2019 and</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0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4"/>
              </w:rPr>
            </w:pPr>
            <w:hyperlink w:anchor="page6">
              <w:r>
                <w:rPr>
                  <w:rFonts w:ascii="Arial" w:cs="Arial" w:eastAsia="Arial" w:hAnsi="Arial"/>
                  <w:sz w:val="18"/>
                  <w:szCs w:val="18"/>
                  <w:color w:val="0000EE"/>
                  <w:w w:val="7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Statements of Cash Flows for the nine months ended December 31, 2019 and 2018</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772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120" w:type="dxa"/>
            <w:vAlign w:val="bottom"/>
            <w:gridSpan w:val="4"/>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gridSpan w:val="2"/>
          </w:tcPr>
          <w:p>
            <w:pPr>
              <w:spacing w:after="0"/>
              <w:rPr>
                <w:sz w:val="21"/>
                <w:szCs w:val="21"/>
                <w:color w:val="auto"/>
              </w:rPr>
            </w:pPr>
          </w:p>
        </w:tc>
        <w:tc>
          <w:tcPr>
            <w:tcW w:w="2420" w:type="dxa"/>
            <w:vAlign w:val="bottom"/>
            <w:gridSpan w:val="5"/>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Controls and Procedures</w:t>
              </w:r>
            </w:hyperlink>
          </w:p>
        </w:tc>
        <w:tc>
          <w:tcPr>
            <w:tcW w:w="710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c>
          <w:tcPr>
            <w:tcW w:w="20" w:type="dxa"/>
            <w:vAlign w:val="bottom"/>
          </w:tcPr>
          <w:p>
            <w:pPr>
              <w:spacing w:after="0"/>
              <w:rPr>
                <w:sz w:val="21"/>
                <w:szCs w:val="21"/>
                <w:color w:val="auto"/>
              </w:rPr>
            </w:pPr>
          </w:p>
        </w:tc>
      </w:tr>
      <w:tr>
        <w:trPr>
          <w:trHeight w:val="574"/>
        </w:trPr>
        <w:tc>
          <w:tcPr>
            <w:tcW w:w="9940" w:type="dxa"/>
            <w:vAlign w:val="bottom"/>
            <w:gridSpan w:val="2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320" w:type="dxa"/>
            <w:vAlign w:val="bottom"/>
            <w:tcBorders>
              <w:top w:val="single" w:sz="8" w:color="0000EE"/>
            </w:tcBorders>
          </w:tcPr>
          <w:p>
            <w:pPr>
              <w:spacing w:after="0"/>
              <w:rPr>
                <w:sz w:val="21"/>
                <w:szCs w:val="21"/>
                <w:color w:val="auto"/>
              </w:rPr>
            </w:pPr>
          </w:p>
        </w:tc>
        <w:tc>
          <w:tcPr>
            <w:tcW w:w="7220" w:type="dxa"/>
            <w:vAlign w:val="bottom"/>
            <w:gridSpan w:val="12"/>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84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0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 of Equity Securities and Use of Proceeds</w:t>
              </w:r>
            </w:hyperlink>
          </w:p>
        </w:tc>
        <w:tc>
          <w:tcPr>
            <w:tcW w:w="60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4600" w:type="dxa"/>
            <w:vAlign w:val="bottom"/>
            <w:gridSpan w:val="8"/>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Mine Safety Disclosures</w:t>
              </w:r>
            </w:hyperlink>
          </w:p>
        </w:tc>
        <w:tc>
          <w:tcPr>
            <w:tcW w:w="540" w:type="dxa"/>
            <w:vAlign w:val="bottom"/>
            <w:tcBorders>
              <w:top w:val="single" w:sz="8" w:color="0000EE"/>
            </w:tcBorders>
          </w:tcPr>
          <w:p>
            <w:pPr>
              <w:spacing w:after="0"/>
              <w:rPr>
                <w:sz w:val="21"/>
                <w:szCs w:val="21"/>
                <w:color w:val="auto"/>
              </w:rPr>
            </w:pPr>
          </w:p>
        </w:tc>
        <w:tc>
          <w:tcPr>
            <w:tcW w:w="6560" w:type="dxa"/>
            <w:vAlign w:val="bottom"/>
            <w:gridSpan w:val="10"/>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Other Information</w:t>
              </w:r>
            </w:hyperlink>
          </w:p>
        </w:tc>
        <w:tc>
          <w:tcPr>
            <w:tcW w:w="7560" w:type="dxa"/>
            <w:vAlign w:val="bottom"/>
            <w:gridSpan w:val="14"/>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84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60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8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SIGNATURES</w:t>
              </w:r>
            </w:hyperlink>
          </w:p>
        </w:tc>
        <w:tc>
          <w:tcPr>
            <w:tcW w:w="8840" w:type="dxa"/>
            <w:vAlign w:val="bottom"/>
            <w:gridSpan w:val="19"/>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280" w:top="499" w:right="1059" w:bottom="1440" w:gutter="0" w:footer="0" w:header="0"/>
        </w:sectPr>
      </w:pPr>
    </w:p>
    <w:bookmarkStart w:id="2" w:name="page3"/>
    <w:bookmarkEnd w:id="2"/>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300" w:type="dxa"/>
            <w:vAlign w:val="bottom"/>
          </w:tcPr>
          <w:p>
            <w:pPr>
              <w:jc w:val="right"/>
              <w:ind w:right="411"/>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230"/>
        </w:trPr>
        <w:tc>
          <w:tcPr>
            <w:tcW w:w="8120" w:type="dxa"/>
            <w:vAlign w:val="bottom"/>
          </w:tcPr>
          <w:p>
            <w:pPr>
              <w:ind w:left="368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272,025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327,992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64,988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130,338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176,836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19,836</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655,002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115,972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122,716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commissions cost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31,990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33,619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112,435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862,568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822,453</w:t>
            </w: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89,474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85,721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235,513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238,439</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326,346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 less current portion</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97,730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99,257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Preferred stock, $0.01 par value: 50,000 shares authorized, no shares issued and outstanding</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Common stock, $0.01 par value: 250,000 shares authorized, 46,497 shares and 45,582 shares issued and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 and March 31, 2019,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962,097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887,907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(485,490)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(11,568)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417,633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391,303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862,568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822,453</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ectPr>
          <w:pgSz w:w="11900" w:h="16838" w:orient="portrait"/>
          <w:cols w:equalWidth="0" w:num="1">
            <w:col w:w="11420"/>
          </w:cols>
          <w:pgMar w:left="240" w:top="71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15"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c>
          <w:tcPr>
            <w:tcW w:w="360" w:type="dxa"/>
            <w:vAlign w:val="bottom"/>
          </w:tcPr>
          <w:p>
            <w:pPr>
              <w:spacing w:after="0"/>
              <w:rPr>
                <w:sz w:val="16"/>
                <w:szCs w:val="16"/>
                <w:color w:val="auto"/>
              </w:rPr>
            </w:pPr>
          </w:p>
        </w:tc>
        <w:tc>
          <w:tcPr>
            <w:tcW w:w="304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45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76,631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84,515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208,900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229,069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99,720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297,236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300,461</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176,351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184,275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506,136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529,530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8,077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68,070</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30,523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28,853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90,484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83,332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415,652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446,198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252,908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281,502</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30,503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22,005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77,310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69,751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69,001</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18,951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13,342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146,307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144,978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430,974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441,557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8,401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46,028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46,074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45,586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45,803</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47,674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99" w:right="239" w:bottom="1440" w:gutter="0" w:footer="0" w:header="0"/>
        </w:sectPr>
      </w:pPr>
    </w:p>
    <w:bookmarkStart w:id="4" w:name="page5"/>
    <w:bookmarkEnd w:id="4"/>
    <w:p>
      <w:pPr>
        <w:ind w:left="466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42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2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 December 31,</w:t>
            </w:r>
          </w:p>
        </w:tc>
      </w:tr>
      <w:tr>
        <w:trPr>
          <w:trHeight w:val="190"/>
        </w:trPr>
        <w:tc>
          <w:tcPr>
            <w:tcW w:w="4740" w:type="dxa"/>
            <w:vAlign w:val="bottom"/>
          </w:tcPr>
          <w:p>
            <w:pPr>
              <w:spacing w:after="0"/>
              <w:rPr>
                <w:sz w:val="16"/>
                <w:szCs w:val="16"/>
                <w:color w:val="auto"/>
              </w:rPr>
            </w:pPr>
          </w:p>
        </w:tc>
        <w:tc>
          <w:tcPr>
            <w:tcW w:w="980" w:type="dxa"/>
            <w:vAlign w:val="bottom"/>
            <w:tcBorders>
              <w:top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80"/>
        </w:trPr>
        <w:tc>
          <w:tcPr>
            <w:tcW w:w="474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13,400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5,724</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(6,493)</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13,227</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(14,785)</w:t>
            </w:r>
          </w:p>
        </w:tc>
        <w:tc>
          <w:tcPr>
            <w:tcW w:w="2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7"/>
        </w:trPr>
        <w:tc>
          <w:tcPr>
            <w:tcW w:w="4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320" w:top="499" w:right="299" w:bottom="1440" w:gutter="0" w:footer="0" w:header="0"/>
        </w:sectPr>
      </w:pPr>
    </w:p>
    <w:bookmarkStart w:id="5" w:name="page6"/>
    <w:bookmarkEnd w:id="5"/>
    <w:p>
      <w:pPr>
        <w:ind w:left="470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4440" w:type="dxa"/>
        <w:tblCellMar>
          <w:top w:w="0" w:type="dxa"/>
          <w:left w:w="0" w:type="dxa"/>
          <w:bottom w:w="0" w:type="dxa"/>
          <w:right w:w="0" w:type="dxa"/>
        </w:tblCellMar>
      </w:tblPr>
      <w:tr>
        <w:trPr>
          <w:trHeight w:val="161"/>
        </w:trPr>
        <w:tc>
          <w:tcPr>
            <w:tcW w:w="18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3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9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Paid – In</w:t>
            </w:r>
          </w:p>
        </w:tc>
        <w:tc>
          <w:tcPr>
            <w:tcW w:w="13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12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56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Loss</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380"/>
          </w:cols>
          <w:pgMar w:left="280" w:top="499" w:right="2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Balance as of September 30, 2019</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Share issuances related to business combinations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Share issuances related to stock-based compensation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w:t>
      </w:r>
    </w:p>
    <w:p>
      <w:pPr>
        <w:spacing w:after="0" w:line="63" w:lineRule="exact"/>
        <w:rPr>
          <w:sz w:val="20"/>
          <w:szCs w:val="20"/>
          <w:color w:val="auto"/>
        </w:rPr>
      </w:pPr>
    </w:p>
    <w:p>
      <w:pPr>
        <w:ind w:right="1680" w:firstLine="351"/>
        <w:spacing w:after="0" w:line="412" w:lineRule="auto"/>
        <w:rPr>
          <w:sz w:val="20"/>
          <w:szCs w:val="20"/>
          <w:color w:val="auto"/>
        </w:rPr>
      </w:pPr>
      <w:r>
        <w:rPr>
          <w:rFonts w:ascii="Arial" w:cs="Arial" w:eastAsia="Arial" w:hAnsi="Arial"/>
          <w:sz w:val="16"/>
          <w:szCs w:val="16"/>
          <w:color w:val="auto"/>
        </w:rPr>
        <w:t>Other comprehensive income Balance as of December 31, 2019</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45,409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916,899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(532,504)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(12,733)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372,114</w:t>
            </w:r>
          </w:p>
        </w:tc>
      </w:tr>
      <w:tr>
        <w:trPr>
          <w:trHeight w:val="270"/>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18,974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18,974</w:t>
            </w:r>
          </w:p>
        </w:tc>
      </w:tr>
      <w:tr>
        <w:trPr>
          <w:trHeight w:val="270"/>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1,616</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24,608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24,619</w:t>
            </w:r>
          </w:p>
        </w:tc>
      </w:tr>
      <w:tr>
        <w:trPr>
          <w:trHeight w:val="270"/>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70"/>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960</w:t>
            </w:r>
          </w:p>
        </w:tc>
      </w:tr>
      <w:tr>
        <w:trPr>
          <w:trHeight w:val="27"/>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46,497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962,097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(533,154)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(11,773)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417,633</w:t>
            </w:r>
          </w:p>
        </w:tc>
      </w:tr>
      <w:tr>
        <w:trPr>
          <w:trHeight w:val="27"/>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-891540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-548005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-205105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6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7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Paid – In</w:t>
            </w:r>
          </w:p>
        </w:tc>
        <w:tc>
          <w:tcPr>
            <w:tcW w:w="13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1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8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140" w:space="300"/>
            <w:col w:w="6940"/>
          </w:cols>
          <w:pgMar w:left="280" w:top="499"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2019</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887,907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(485,490)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391,303</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48,581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48,581</w:t>
            </w: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issuances related to business combinations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1,616</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w w:val="95"/>
              </w:rPr>
              <w:t>Share issuances related to stock-based compensation</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30,927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30,944</w:t>
            </w: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(40,026)</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(14,580)</w:t>
            </w: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46,497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962,097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(533,154)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417,633</w:t>
            </w:r>
          </w:p>
        </w:tc>
      </w:tr>
      <w:tr>
        <w:trPr>
          <w:trHeight w:val="27"/>
        </w:trPr>
        <w:tc>
          <w:tcPr>
            <w:tcW w:w="45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80" w:top="499" w:right="239" w:bottom="1440" w:gutter="0" w:footer="0" w:header="0"/>
          <w:type w:val="continuous"/>
        </w:sectPr>
      </w:pPr>
    </w:p>
    <w:bookmarkStart w:id="6" w:name="page7"/>
    <w:bookmarkEnd w:id="6"/>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4"/>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32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gridSpan w:val="2"/>
            <w:shd w:val="clear" w:color="auto" w:fill="CCEEFF"/>
          </w:tcPr>
          <w:p>
            <w:pPr>
              <w:jc w:val="center"/>
              <w:ind w:right="1850"/>
              <w:spacing w:after="0"/>
              <w:rPr>
                <w:sz w:val="20"/>
                <w:szCs w:val="20"/>
                <w:color w:val="auto"/>
              </w:rPr>
            </w:pPr>
            <w:r>
              <w:rPr>
                <w:rFonts w:ascii="Arial" w:cs="Arial" w:eastAsia="Arial" w:hAnsi="Arial"/>
                <w:sz w:val="18"/>
                <w:szCs w:val="18"/>
                <w:color w:val="auto"/>
                <w:w w:val="88"/>
              </w:rPr>
              <w:t>Balance as of September 30, 2018</w:t>
            </w:r>
          </w:p>
        </w:tc>
        <w:tc>
          <w:tcPr>
            <w:tcW w:w="92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46,034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843,622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417,145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15,832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Share issuances related to stock-based compensation</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(54,380)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jc w:val="center"/>
              <w:ind w:right="1890"/>
              <w:spacing w:after="0"/>
              <w:rPr>
                <w:sz w:val="20"/>
                <w:szCs w:val="20"/>
                <w:color w:val="auto"/>
              </w:rPr>
            </w:pPr>
            <w:r>
              <w:rPr>
                <w:rFonts w:ascii="Arial" w:cs="Arial" w:eastAsia="Arial" w:hAnsi="Arial"/>
                <w:sz w:val="18"/>
                <w:szCs w:val="18"/>
                <w:color w:val="auto"/>
                <w:w w:val="88"/>
              </w:rPr>
              <w:t>Balance as of December 31, 2018</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45,799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854,883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395,027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4"/>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4"/>
                <w:szCs w:val="4"/>
                <w:color w:val="auto"/>
              </w:rPr>
            </w:pPr>
          </w:p>
        </w:tc>
        <w:tc>
          <w:tcPr>
            <w:tcW w:w="1320" w:type="dxa"/>
            <w:vAlign w:val="bottom"/>
            <w:gridSpan w:val="3"/>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2018</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45,118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782,764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51,586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51,586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Share issuances related to stock-based compensation</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(80,393)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(92,683)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jc w:val="center"/>
              <w:ind w:right="1870"/>
              <w:spacing w:after="0"/>
              <w:rPr>
                <w:sz w:val="20"/>
                <w:szCs w:val="20"/>
                <w:color w:val="auto"/>
              </w:rPr>
            </w:pPr>
            <w:r>
              <w:rPr>
                <w:rFonts w:ascii="Arial" w:cs="Arial" w:eastAsia="Arial" w:hAnsi="Arial"/>
                <w:sz w:val="18"/>
                <w:szCs w:val="18"/>
                <w:color w:val="auto"/>
                <w:w w:val="89"/>
              </w:rPr>
              <w:t>Balance as of December 31, 2018</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45,799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854,883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395,027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99" w:right="239" w:bottom="1440" w:gutter="0" w:footer="0" w:header="0"/>
        </w:sectPr>
      </w:pPr>
    </w:p>
    <w:bookmarkStart w:id="7" w:name="page8"/>
    <w:bookmarkEnd w:id="7"/>
    <w:p>
      <w:pPr>
        <w:ind w:left="466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December 31,</w:t>
            </w:r>
          </w:p>
        </w:tc>
      </w:t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80"/>
        </w:trPr>
        <w:tc>
          <w:tcPr>
            <w:tcW w:w="82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(14,580)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5,724</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11,618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9,112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51,586</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commissions cost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13,006</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Impairment of operating lease assets</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Trade accounts receivable</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12,735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(17,918)</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Operating lease assets and liabilities, net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Other current assets and Other assets</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10,425</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commissions cost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637</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5,345</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9,368</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56,008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73,594</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Purchase of short-term investments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(98,150)</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maturity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99,243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(5,104)</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combination, net of cash acquired</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(94,056)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(92,683)</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32,829</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(59,854)</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Effects of exchange rate — changes in cash</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(13,115)</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(3,386)</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327,992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330,784</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280,025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327,398</w:t>
            </w: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320" w:top="499"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17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consolidated financial statements of Commvault Systems, Inc. and its subsidiaries ("Commvault" or the "Company") as of December 31, 2019 and for the three and nine months ended December 31, 2019 and 2018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2019. The results reported in these financial statements should not necessarily be taken as indicative of results that may be expected for the entire fiscal year.</w:t>
      </w:r>
    </w:p>
    <w:p>
      <w:pPr>
        <w:spacing w:after="0" w:line="124"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an Immaterial Error in Previously Issued Financial Statements</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Subsequent to the issuance of the financial statements for the year ended March 31, 2018 and for the interim periods in fiscal 2019, the Company concluded that the Consolidated Statement of Operations contained an immaterial error related to the classification of legal fees related to intellectual property as Research and development expenses and not General and administrative expenses. These immaterial errors have been corrected for the comparative period shown by reclassifying $911 and $2,466 from Research and development expense to General and administrative expense for the three and nine months ended December 31, 2018. This immaterial error did not have any impact on our financial position, net loss or cash flow.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80" w:firstLine="180"/>
        <w:spacing w:after="0" w:line="289"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Under the new guidance, the Company is required to recognize a lease liability and a right-of-use asset for leases. The Company adopted the new guidance on April 1, 2019 using the optional transition method, which allows for the prospective application of the standard, and as a result, the Company did not record an adjustment to retained earnings. In addition, the Company elected the package of practical expedients, for all of its leases, permitted under the transition guidance within the standard, which allowed the Company to carry forward its historical lease classification, to not reassess prior conclusions related to initial direct costs and to not reassess whether any expired or existing contracts are or contain leases. The Company also elected the lessee practical expedient to combine lease and non-lease components for new leases and modified leases. The Company also made an accounting policy election in accordance with the new standard to apply accounting similar to ASC 840 to short-term leases, which are defined as leases that have a term of twelve months or less. The new guidance does not have any impact on the Consolidated Statement of Operations or Consolidated Statement of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225" w:lineRule="exact"/>
        <w:rPr>
          <w:sz w:val="20"/>
          <w:szCs w:val="20"/>
          <w:color w:val="auto"/>
        </w:rPr>
      </w:pPr>
    </w:p>
    <w:p>
      <w:pPr>
        <w:ind w:right="20" w:firstLine="180"/>
        <w:spacing w:after="0" w:line="297"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(ASU 2016-13). The standard amends guidance on the impairment of financial instruments. The ASU estimates credit losses based on expected losses and provides for a simplified accounting model for purchased financial assets with credit deterioration. The standard requires a modified retrospective basis adoption through a cumulative-effect adjustment to retained earnings as of the beginning of the period of adoption. The amendments of this ASU are effective for the Company's fiscal 2021. The Company does not expect the adoption of ASU 2016-13 will have a material impact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There have been no other additional significant changes in the Company’s accounting policies during the nine months ended December 31, 2019 as compared to the significant accounting policies described in its Annual Report on Form 10-K for the year ended March 31, 2019 and to the changes disclosed above.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37% of total revenues for both the nine months ended December 31, 2019 and 2018. Arrow accounted for approximately 32% of total accounts receivable as of December 31, 2019 and 38% of total accounts receivable as of March 31, 2019.</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Sales through the Company's original manufacturing agreement with Hitachi Vantara (formerly Hitachi Data Systems) ("Hitachi") accounted for 11% of total accounts receivables as of December 31, 2019.</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carrying amounts of the Company’s cash, cash equivalents and restricted cash,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 The contingent consideration liability associated with the Hedvig acquisition as discussed further in Note 3 of the unaudited consolidated financial statements was valued based on a probability weighted-average approach.</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composition of the Company’s financial assets measured at fair value at December 31, 2019 and March 31, 2019:</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158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4"/>
                <w:szCs w:val="14"/>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34,800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34,800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34,800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66,262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101,062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5120" w:type="dxa"/>
            <w:vAlign w:val="bottom"/>
            <w:gridSpan w:val="3"/>
            <w:vMerge w:val="restart"/>
          </w:tcPr>
          <w:p>
            <w:pPr>
              <w:ind w:left="14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vMerge w:val="continue"/>
          </w:tcPr>
          <w:p>
            <w:pPr>
              <w:spacing w:after="0"/>
              <w:rPr>
                <w:sz w:val="20"/>
                <w:szCs w:val="20"/>
                <w:color w:val="auto"/>
              </w:rPr>
            </w:pPr>
          </w:p>
        </w:tc>
        <w:tc>
          <w:tcPr>
            <w:tcW w:w="5120" w:type="dxa"/>
            <w:vAlign w:val="bottom"/>
            <w:gridSpan w:val="3"/>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2019</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4"/>
                <w:szCs w:val="24"/>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102,702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102,702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131,937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131,937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102,702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131,937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234,639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Goodwill is recorded when the consideration paid for an acquisition exceeds the fair value of net tangible and intangible assets acquired. The carrying value of goodwill is tested for impairment on an annual basis on January 1, or more often if an event occurs or circumstances change that would more likely than not reduce the fair value of its carrying amount. For the purpose of impairment testing, the Company has a single reporting unit. The impairment test consists of comparing the fair value with its carrying amount that includes goodwill. If the carrying amount of goodwill exceeds the fair value of goodwill, an impairment loss would be recognized to reduce the carrying amount to its fair value.</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Purchased intangible assets with finite lives are valued using the income method and are amortized on a straight-line basis over their economic lives of five years for developed technology and two years for customer relationships as the Company believes this method most closely reflects the pattern in which the economic benefits of the assets will be consumed. Impairment losses are recognized if the carrying amount of an intangible is both not recoverable and exceeds its fair value.</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Business Combination</w:t>
      </w:r>
    </w:p>
    <w:p>
      <w:pPr>
        <w:spacing w:after="0" w:line="1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October 1, 2019, the Company completed the acquisition of Hedvig Inc., a Delaware corporation, (“Hedvig”), for a purchase price of $163,205, which consisted of $157,589 of cash (exclusive of $4,000 of contingent consideration), and $1,616 of restricted stock units.</w:t>
      </w:r>
    </w:p>
    <w:p>
      <w:pPr>
        <w:spacing w:after="0" w:line="1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also entered into compensation arrangements with the employees of Hedvig. This included the issuance of restricted stock units that vest over the next three years (a portion of which is allocated to the purchase price). Refer to Note 8 of the unaudited consolidated financial statements for further discussion on stock awards. Additionally, certain Hedvig shareholders will receive cash payments totaling $14,100 over the course of the 30 months following the date of acquisition, contingent on their continued employment with the Company. While these payments are proportionate to these shareholders' ownership of Hedvig, under US GAAP they are accounted for as compensation expense over the course of the 30 month service period, and not included in the purchase price.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purchase price and preliminary purchase price allocation made as of the date of acquisition:</w:t>
      </w:r>
    </w:p>
    <w:p>
      <w:pPr>
        <w:spacing w:after="0" w:line="329"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at closing</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157,589</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Fair value of restricted stock units included in purchase price</w:t>
            </w:r>
          </w:p>
        </w:tc>
        <w:tc>
          <w:tcPr>
            <w:tcW w:w="8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1,616</w:t>
            </w: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contingent consideration</w:t>
            </w:r>
          </w:p>
        </w:tc>
        <w:tc>
          <w:tcPr>
            <w:tcW w:w="8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9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purchase price</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163,205</w:t>
            </w:r>
          </w:p>
        </w:tc>
      </w:tr>
      <w:tr>
        <w:trPr>
          <w:trHeight w:val="311"/>
        </w:trPr>
        <w:tc>
          <w:tcPr>
            <w:tcW w:w="60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Assets acquired and liabilities assumed:</w:t>
            </w:r>
          </w:p>
        </w:tc>
        <w:tc>
          <w:tcPr>
            <w:tcW w:w="8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Trade accounts receivable</w:t>
            </w:r>
          </w:p>
        </w:tc>
        <w:tc>
          <w:tcPr>
            <w:tcW w:w="8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1,074</w:t>
            </w: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8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52,000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682</w:t>
            </w: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net of operating lease assets</w:t>
            </w: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6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net assets acquired and liabilities assumed</w:t>
            </w:r>
          </w:p>
        </w:tc>
        <w:tc>
          <w:tcPr>
            <w:tcW w:w="8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50,770</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8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112,435</w:t>
            </w:r>
          </w:p>
        </w:tc>
      </w:tr>
      <w:tr>
        <w:trPr>
          <w:trHeight w:val="27"/>
        </w:trPr>
        <w:tc>
          <w:tcPr>
            <w:tcW w:w="6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8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163,205</w:t>
            </w:r>
          </w:p>
        </w:tc>
      </w:tr>
      <w:tr>
        <w:trPr>
          <w:trHeight w:val="20"/>
        </w:trPr>
        <w:tc>
          <w:tcPr>
            <w:tcW w:w="6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contingent consideration arrangement requires the Company to pay up to $8,000 of cash to the former owners of Hedvig, contingent on the Company receiving one or more bona fide and valid purchase orders from a specified customer, no later than April 30, 2020. The $8,000 is classified as Restricted cash on the Consolidated Balance Sheet. The actual consideration paid can range from $0 to $8,000 and is based on the amount of orders received. The fair value of the contingent liability was estimated to be $4,000 based on a probability weighted-average approach and was included in the purchase price. The $4,000 liability is included in Accrued liabilities on the Consolidated Balance Sheet. At the end of each reporting period after the acquisition date, the arrangement is remeasured at its fair value, with changes in fair value recorded in earnings. Changes in fair value will be recognized in General and administrative expense. As of December 31, 2019, the Company continues to estimate the fair value of the liability as $4,000.</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and Unaudited Pro Forma Information</w:t>
      </w:r>
    </w:p>
    <w:p>
      <w:pPr>
        <w:spacing w:after="0" w:line="171"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unaudited amounts of Hedvig’s revenue and net loss included in the Company’s consolidated income statement for both the three and nine months ended December 31, 2019, and the revenue and net loss of the combined entity had the acquisition date been April 1, 2018, are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Revenue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jc w:val="right"/>
              <w:ind w:right="732"/>
              <w:spacing w:after="0"/>
              <w:rPr>
                <w:sz w:val="20"/>
                <w:szCs w:val="20"/>
                <w:color w:val="auto"/>
              </w:rPr>
            </w:pPr>
            <w:r>
              <w:rPr>
                <w:rFonts w:ascii="Arial" w:cs="Arial" w:eastAsia="Arial" w:hAnsi="Arial"/>
                <w:sz w:val="16"/>
                <w:szCs w:val="16"/>
                <w:b w:val="1"/>
                <w:bCs w:val="1"/>
                <w:color w:val="auto"/>
              </w:rPr>
              <w:t>Net Loss</w:t>
            </w:r>
          </w:p>
        </w:tc>
      </w:tr>
      <w:tr>
        <w:trPr>
          <w:trHeight w:val="33"/>
        </w:trPr>
        <w:tc>
          <w:tcPr>
            <w:tcW w:w="64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from 10/01/2019 - 12/31/2019</w:t>
            </w:r>
          </w:p>
        </w:tc>
        <w:tc>
          <w:tcPr>
            <w:tcW w:w="146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(9,325)</w:t>
            </w:r>
          </w:p>
        </w:tc>
      </w:tr>
      <w:tr>
        <w:trPr>
          <w:trHeight w:val="324"/>
        </w:trPr>
        <w:tc>
          <w:tcPr>
            <w:tcW w:w="6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 supplemental pro forma from 04/01/2019 - 12/31/2019</w:t>
            </w:r>
          </w:p>
        </w:tc>
        <w:tc>
          <w:tcPr>
            <w:tcW w:w="146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507,241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(19,246)</w:t>
            </w:r>
          </w:p>
        </w:tc>
      </w:tr>
      <w:tr>
        <w:trPr>
          <w:trHeight w:val="324"/>
        </w:trPr>
        <w:tc>
          <w:tcPr>
            <w:tcW w:w="6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43"/>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2019 supplemental pro forma from 04/01/2018 - 12/31/2018</w:t>
            </w:r>
          </w:p>
        </w:tc>
        <w:tc>
          <w:tcPr>
            <w:tcW w:w="1460" w:type="dxa"/>
            <w:vAlign w:val="bottom"/>
            <w:shd w:val="clear" w:color="auto" w:fill="CCEEFF"/>
          </w:tcPr>
          <w:p>
            <w:pPr>
              <w:jc w:val="right"/>
              <w:ind w:right="12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532,825</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w:t>
            </w:r>
          </w:p>
        </w:tc>
      </w:tr>
      <w:tr>
        <w:trPr>
          <w:trHeight w:val="27"/>
        </w:trPr>
        <w:tc>
          <w:tcPr>
            <w:tcW w:w="6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post-acquisition loss for the three and nine months ended December 31, 2019 includes expenses related to the noncash amortization of intangible assets, compensation paid to Hedvig employees, restricted stock units granted to Hedvig employees and the cash payments being made to Hedvig shareholders over a 30 month service period as discussed above.</w:t>
      </w:r>
    </w:p>
    <w:p>
      <w:pPr>
        <w:spacing w:after="0" w:line="12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fiscal 2020 supplemental pro forma net loss was adjusted to exclude $5,639 of acquisition-related costs incurred in fiscal 2020. The fiscal 2019 supplemental pro forma net loss was adjusted to include these charges. In addition to estimated operating expenses, both periods include noncash amortization expenses related to intangible assets as if the acquisition had taken place on April 1, 2018.</w:t>
      </w:r>
    </w:p>
    <w:p>
      <w:pPr>
        <w:spacing w:after="0" w:line="3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 and 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goodwill of $112,435 arising from the acquisition represents the estimated value of potential expansion with new customers, the opportunity to further develop sales relationships with new customer and intangible assets that do not qualify for separate recognition. None of the goodwill recorded is expected to be deductible for income tax purposes. The Company will perform the annual impairment test of goodwill on January 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Intangible assets consist of developed technology and customer relationships which were valued using the income approach. Developed technology and customer relationships have estimated useful lives of five and two years, respectively, and are being amortized on a straight-line basis. Purchased intangible assets, net of amortization are summarized below:</w:t>
      </w:r>
    </w:p>
    <w:p>
      <w:pPr>
        <w:spacing w:after="0" w:line="28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2019</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5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Gross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30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Net Assets</w:t>
            </w:r>
          </w:p>
        </w:tc>
      </w:tr>
      <w:tr>
        <w:trPr>
          <w:trHeight w:val="27"/>
        </w:trPr>
        <w:tc>
          <w:tcPr>
            <w:tcW w:w="5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49,000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46,550</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2,625</w:t>
            </w:r>
          </w:p>
        </w:tc>
      </w:tr>
      <w:tr>
        <w:trPr>
          <w:trHeight w:val="27"/>
        </w:trPr>
        <w:tc>
          <w:tcPr>
            <w:tcW w:w="5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52,000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49,175</w:t>
            </w:r>
          </w:p>
        </w:tc>
      </w:tr>
      <w:tr>
        <w:trPr>
          <w:trHeight w:val="20"/>
        </w:trPr>
        <w:tc>
          <w:tcPr>
            <w:tcW w:w="5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35"/>
        </w:trPr>
        <w:tc>
          <w:tcPr>
            <w:tcW w:w="5000" w:type="dxa"/>
            <w:vAlign w:val="bottom"/>
          </w:tcPr>
          <w:p>
            <w:pPr>
              <w:spacing w:after="0"/>
              <w:rPr>
                <w:sz w:val="24"/>
                <w:szCs w:val="24"/>
                <w:color w:val="auto"/>
              </w:rPr>
            </w:pPr>
          </w:p>
        </w:tc>
        <w:tc>
          <w:tcPr>
            <w:tcW w:w="1140" w:type="dxa"/>
            <w:vAlign w:val="bottom"/>
          </w:tcPr>
          <w:p>
            <w:pPr>
              <w:jc w:val="right"/>
              <w:ind w:right="670"/>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associated with intangible assets with finite lives is expected to be:</w:t>
      </w:r>
    </w:p>
    <w:p>
      <w:pPr>
        <w:spacing w:after="0" w:line="329" w:lineRule="exact"/>
        <w:rPr>
          <w:sz w:val="20"/>
          <w:szCs w:val="20"/>
          <w:color w:val="auto"/>
        </w:rPr>
      </w:pPr>
    </w:p>
    <w:tbl>
      <w:tblPr>
        <w:tblLayout w:type="fixed"/>
        <w:tblInd w:w="27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December 31, 2019</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11,300</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10,550</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9,800</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4,900</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49,175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Revenue</w:t>
      </w:r>
    </w:p>
    <w:p>
      <w:pPr>
        <w:spacing w:after="0" w:line="175"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The Company derives revenues from two primary sources: software and products, and services. Software and products revenue includes the Company's software and integrated appliances that combine the Company's software with hardware. Services include customer support (software updates and technical support), consulting, assessment and design services, installation services and customer education. A typical contract includes both licenses and services.</w:t>
      </w:r>
    </w:p>
    <w:p>
      <w:pPr>
        <w:spacing w:after="0" w:line="133"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color w:val="auto"/>
        </w:rPr>
        <w:t>Historically, the Company’s software licenses typically provide for a perpetual right to use the Company’s software. The Company also sells term-based software licenses that expire, which are referred to as subscription arrangements. The Company does not customize its software and installation services are not required. The software is delivered before related services are provided and is functional without professional services, updates and technical support. The Company has concluded that its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The Company does not recognize software revenue related to the renewal of subscription software licenses earlier than the beginning of the subscription period.</w:t>
      </w:r>
    </w:p>
    <w:p>
      <w:pPr>
        <w:spacing w:after="0" w:line="16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400"/>
          </w:cols>
          <w:pgMar w:left="240" w:top="125" w:right="259" w:bottom="1440" w:gutter="0" w:footer="0" w:header="0"/>
        </w:sectPr>
      </w:pPr>
    </w:p>
    <w:p>
      <w:pPr>
        <w:spacing w:after="0" w:line="7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4"/>
          <w:szCs w:val="14"/>
          <w:color w:val="auto"/>
        </w:rPr>
        <w:t>Upon shipment or made available for download (point in</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600"/>
        <w:spacing w:after="0" w:line="278" w:lineRule="auto"/>
        <w:rPr>
          <w:sz w:val="20"/>
          <w:szCs w:val="20"/>
          <w:color w:val="auto"/>
        </w:rPr>
      </w:pPr>
      <w:r>
        <w:rPr>
          <w:rFonts w:ascii="Arial" w:cs="Arial" w:eastAsia="Arial" w:hAnsi="Arial"/>
          <w:sz w:val="16"/>
          <w:szCs w:val="16"/>
          <w:color w:val="auto"/>
        </w:rPr>
        <w:t>Within 90 days of shipment except Residual approach for certain subscription licenses which are paid for over time</w:t>
      </w:r>
    </w:p>
    <w:p>
      <w:pPr>
        <w:spacing w:after="0" w:line="5" w:lineRule="exact"/>
        <w:rPr>
          <w:sz w:val="20"/>
          <w:szCs w:val="20"/>
          <w:color w:val="auto"/>
        </w:rPr>
      </w:pPr>
    </w:p>
    <w:p>
      <w:pPr>
        <w:sectPr>
          <w:pgSz w:w="11900" w:h="16838" w:orient="portrait"/>
          <w:cols w:equalWidth="0" w:num="2">
            <w:col w:w="5920" w:space="180"/>
            <w:col w:w="53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Appliances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When control of the appliances passes to the customer;</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Within 90 days of delivery</w:t>
            </w:r>
          </w:p>
        </w:tc>
        <w:tc>
          <w:tcPr>
            <w:tcW w:w="3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Residual approach</w:t>
            </w: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typically upon delivery</w:t>
            </w:r>
          </w:p>
        </w:tc>
        <w:tc>
          <w:tcPr>
            <w:tcW w:w="234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Software Updates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 the beginning of the contract</w:t>
            </w:r>
          </w:p>
        </w:tc>
        <w:tc>
          <w:tcPr>
            <w:tcW w:w="3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Observable in renewal transactions</w:t>
            </w: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3000" w:type="dxa"/>
            <w:vAlign w:val="bottom"/>
            <w:tcBorders>
              <w:bottom w:val="single" w:sz="8" w:color="CCEEFF"/>
            </w:tcBorders>
            <w:shd w:val="clear" w:color="auto" w:fill="CCEEFF"/>
          </w:tcPr>
          <w:p>
            <w:pPr>
              <w:spacing w:after="0"/>
              <w:rPr>
                <w:sz w:val="19"/>
                <w:szCs w:val="19"/>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rPr>
              <w:t>Customer Support</w:t>
            </w:r>
          </w:p>
        </w:tc>
        <w:tc>
          <w:tcPr>
            <w:tcW w:w="3960" w:type="dxa"/>
            <w:vAlign w:val="bottom"/>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340" w:type="dxa"/>
            <w:vAlign w:val="bottom"/>
          </w:tcPr>
          <w:p>
            <w:pPr>
              <w:ind w:left="40"/>
              <w:spacing w:after="0"/>
              <w:rPr>
                <w:sz w:val="20"/>
                <w:szCs w:val="20"/>
                <w:color w:val="auto"/>
              </w:rPr>
            </w:pPr>
            <w:r>
              <w:rPr>
                <w:rFonts w:ascii="Arial" w:cs="Arial" w:eastAsia="Arial" w:hAnsi="Arial"/>
                <w:sz w:val="16"/>
                <w:szCs w:val="16"/>
                <w:color w:val="auto"/>
              </w:rPr>
              <w:t>At the beginning of the contract</w:t>
            </w:r>
          </w:p>
        </w:tc>
        <w:tc>
          <w:tcPr>
            <w:tcW w:w="3000" w:type="dxa"/>
            <w:vAlign w:val="bottom"/>
          </w:tcPr>
          <w:p>
            <w:pPr>
              <w:ind w:left="200"/>
              <w:spacing w:after="0"/>
              <w:rPr>
                <w:sz w:val="20"/>
                <w:szCs w:val="20"/>
                <w:color w:val="auto"/>
              </w:rPr>
            </w:pPr>
            <w:r>
              <w:rPr>
                <w:rFonts w:ascii="Arial" w:cs="Arial" w:eastAsia="Arial" w:hAnsi="Arial"/>
                <w:sz w:val="16"/>
                <w:szCs w:val="16"/>
                <w:color w:val="auto"/>
              </w:rPr>
              <w:t>Observable in renewal transactions</w:t>
            </w:r>
          </w:p>
        </w:tc>
      </w:tr>
      <w:tr>
        <w:trPr>
          <w:trHeight w:val="206"/>
        </w:trPr>
        <w:tc>
          <w:tcPr>
            <w:tcW w:w="20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rPr>
              <w:t>period</w:t>
            </w:r>
          </w:p>
        </w:tc>
        <w:tc>
          <w:tcPr>
            <w:tcW w:w="3000" w:type="dxa"/>
            <w:vAlign w:val="bottom"/>
          </w:tcPr>
          <w:p>
            <w:pPr>
              <w:spacing w:after="0"/>
              <w:rPr>
                <w:sz w:val="17"/>
                <w:szCs w:val="17"/>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3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Professional Services</w:t>
            </w:r>
          </w:p>
        </w:tc>
        <w:tc>
          <w:tcPr>
            <w:tcW w:w="396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w w:val="95"/>
              </w:rPr>
              <w:t>Other Professional Services</w:t>
            </w:r>
          </w:p>
        </w:tc>
        <w:tc>
          <w:tcPr>
            <w:tcW w:w="3960" w:type="dxa"/>
            <w:vAlign w:val="bottom"/>
          </w:tcPr>
          <w:p>
            <w:pPr>
              <w:ind w:left="120"/>
              <w:spacing w:after="0"/>
              <w:rPr>
                <w:sz w:val="20"/>
                <w:szCs w:val="20"/>
                <w:color w:val="auto"/>
              </w:rPr>
            </w:pPr>
            <w:r>
              <w:rPr>
                <w:rFonts w:ascii="Arial" w:cs="Arial" w:eastAsia="Arial" w:hAnsi="Arial"/>
                <w:sz w:val="16"/>
                <w:szCs w:val="16"/>
                <w:color w:val="auto"/>
              </w:rPr>
              <w:t>As work is performed (over time)</w:t>
            </w:r>
          </w:p>
        </w:tc>
        <w:tc>
          <w:tcPr>
            <w:tcW w:w="2340" w:type="dxa"/>
            <w:vAlign w:val="bottom"/>
          </w:tcPr>
          <w:p>
            <w:pPr>
              <w:ind w:left="40"/>
              <w:spacing w:after="0"/>
              <w:rPr>
                <w:sz w:val="20"/>
                <w:szCs w:val="20"/>
                <w:color w:val="auto"/>
              </w:rPr>
            </w:pPr>
            <w:r>
              <w:rPr>
                <w:rFonts w:ascii="Arial" w:cs="Arial" w:eastAsia="Arial" w:hAnsi="Arial"/>
                <w:sz w:val="16"/>
                <w:szCs w:val="16"/>
                <w:color w:val="auto"/>
                <w:w w:val="99"/>
              </w:rPr>
              <w:t>Within 90 days of services being</w:t>
            </w:r>
          </w:p>
        </w:tc>
        <w:tc>
          <w:tcPr>
            <w:tcW w:w="3000" w:type="dxa"/>
            <w:vAlign w:val="bottom"/>
          </w:tcPr>
          <w:p>
            <w:pPr>
              <w:ind w:left="200"/>
              <w:spacing w:after="0"/>
              <w:rPr>
                <w:sz w:val="20"/>
                <w:szCs w:val="20"/>
                <w:color w:val="auto"/>
              </w:rPr>
            </w:pPr>
            <w:r>
              <w:rPr>
                <w:rFonts w:ascii="Arial" w:cs="Arial" w:eastAsia="Arial" w:hAnsi="Arial"/>
                <w:sz w:val="16"/>
                <w:szCs w:val="16"/>
                <w:color w:val="auto"/>
              </w:rPr>
              <w:t>Observable in transactions without</w:t>
            </w:r>
          </w:p>
        </w:tc>
      </w:tr>
      <w:tr>
        <w:trPr>
          <w:trHeight w:val="203"/>
        </w:trPr>
        <w:tc>
          <w:tcPr>
            <w:tcW w:w="2080" w:type="dxa"/>
            <w:vAlign w:val="bottom"/>
          </w:tcPr>
          <w:p>
            <w:pPr>
              <w:ind w:left="160"/>
              <w:spacing w:after="0"/>
              <w:rPr>
                <w:sz w:val="20"/>
                <w:szCs w:val="20"/>
                <w:color w:val="auto"/>
              </w:rPr>
            </w:pPr>
            <w:r>
              <w:rPr>
                <w:rFonts w:ascii="Arial" w:cs="Arial" w:eastAsia="Arial" w:hAnsi="Arial"/>
                <w:sz w:val="16"/>
                <w:szCs w:val="16"/>
                <w:color w:val="auto"/>
              </w:rPr>
              <w:t>(except for education</w:t>
            </w:r>
          </w:p>
        </w:tc>
        <w:tc>
          <w:tcPr>
            <w:tcW w:w="396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rPr>
              <w:t>performed</w:t>
            </w:r>
          </w:p>
        </w:tc>
        <w:tc>
          <w:tcPr>
            <w:tcW w:w="3000" w:type="dxa"/>
            <w:vAlign w:val="bottom"/>
          </w:tcPr>
          <w:p>
            <w:pPr>
              <w:ind w:left="200"/>
              <w:spacing w:after="0"/>
              <w:rPr>
                <w:sz w:val="20"/>
                <w:szCs w:val="20"/>
                <w:color w:val="auto"/>
              </w:rPr>
            </w:pPr>
            <w:r>
              <w:rPr>
                <w:rFonts w:ascii="Arial" w:cs="Arial" w:eastAsia="Arial" w:hAnsi="Arial"/>
                <w:sz w:val="16"/>
                <w:szCs w:val="16"/>
                <w:color w:val="auto"/>
              </w:rPr>
              <w:t>multiple performance obligations</w:t>
            </w:r>
          </w:p>
        </w:tc>
      </w:tr>
      <w:tr>
        <w:trPr>
          <w:trHeight w:val="206"/>
        </w:trPr>
        <w:tc>
          <w:tcPr>
            <w:tcW w:w="2080" w:type="dxa"/>
            <w:vAlign w:val="bottom"/>
          </w:tcPr>
          <w:p>
            <w:pPr>
              <w:ind w:left="160"/>
              <w:spacing w:after="0"/>
              <w:rPr>
                <w:sz w:val="20"/>
                <w:szCs w:val="20"/>
                <w:color w:val="auto"/>
              </w:rPr>
            </w:pPr>
            <w:r>
              <w:rPr>
                <w:rFonts w:ascii="Arial" w:cs="Arial" w:eastAsia="Arial" w:hAnsi="Arial"/>
                <w:sz w:val="16"/>
                <w:szCs w:val="16"/>
                <w:color w:val="auto"/>
              </w:rPr>
              <w:t>services)</w:t>
            </w:r>
          </w:p>
        </w:tc>
        <w:tc>
          <w:tcPr>
            <w:tcW w:w="39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2947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50"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Education Services</w:t>
      </w:r>
      <w:r>
        <w:rPr>
          <w:sz w:val="20"/>
          <w:szCs w:val="20"/>
          <w:color w:val="auto"/>
        </w:rPr>
        <w:tab/>
      </w:r>
      <w:r>
        <w:rPr>
          <w:rFonts w:ascii="Arial" w:cs="Arial" w:eastAsia="Arial" w:hAnsi="Arial"/>
          <w:sz w:val="14"/>
          <w:szCs w:val="14"/>
          <w:color w:val="auto"/>
        </w:rPr>
        <w:t>When the class is taught (point in time)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color w:val="auto"/>
        </w:rPr>
        <w:t>Within 90 days of services being</w:t>
      </w:r>
      <w:r>
        <w:rPr>
          <w:sz w:val="20"/>
          <w:szCs w:val="20"/>
          <w:color w:val="auto"/>
        </w:rPr>
        <w:tab/>
      </w:r>
      <w:r>
        <w:rPr>
          <w:rFonts w:ascii="Arial" w:cs="Arial" w:eastAsia="Arial" w:hAnsi="Arial"/>
          <w:sz w:val="14"/>
          <w:szCs w:val="14"/>
          <w:color w:val="auto"/>
        </w:rPr>
        <w:t>Observable in transactions without</w:t>
      </w:r>
    </w:p>
    <w:p>
      <w:pPr>
        <w:spacing w:after="0" w:line="22" w:lineRule="exact"/>
        <w:rPr>
          <w:sz w:val="20"/>
          <w:szCs w:val="20"/>
          <w:color w:val="auto"/>
        </w:rPr>
      </w:pPr>
    </w:p>
    <w:p>
      <w:pPr>
        <w:spacing w:after="0"/>
        <w:tabs>
          <w:tab w:leader="none" w:pos="2480" w:val="left"/>
        </w:tabs>
        <w:rPr>
          <w:sz w:val="20"/>
          <w:szCs w:val="20"/>
          <w:color w:val="auto"/>
        </w:rPr>
      </w:pPr>
      <w:r>
        <w:rPr>
          <w:rFonts w:ascii="Arial" w:cs="Arial" w:eastAsia="Arial" w:hAnsi="Arial"/>
          <w:sz w:val="15"/>
          <w:szCs w:val="15"/>
          <w:color w:val="auto"/>
        </w:rPr>
        <w:t>performed</w:t>
      </w:r>
      <w:r>
        <w:rPr>
          <w:sz w:val="20"/>
          <w:szCs w:val="20"/>
          <w:color w:val="auto"/>
        </w:rPr>
        <w:tab/>
      </w:r>
      <w:r>
        <w:rPr>
          <w:rFonts w:ascii="Arial" w:cs="Arial" w:eastAsia="Arial" w:hAnsi="Arial"/>
          <w:sz w:val="15"/>
          <w:szCs w:val="15"/>
          <w:color w:val="auto"/>
        </w:rPr>
        <w:t>multiple performance obligations</w:t>
      </w:r>
    </w:p>
    <w:p>
      <w:pPr>
        <w:spacing w:after="0" w:line="200" w:lineRule="exact"/>
        <w:rPr>
          <w:sz w:val="20"/>
          <w:szCs w:val="20"/>
          <w:color w:val="auto"/>
        </w:rPr>
      </w:pPr>
    </w:p>
    <w:p>
      <w:pPr>
        <w:sectPr>
          <w:pgSz w:w="11900" w:h="16838" w:orient="portrait"/>
          <w:cols w:equalWidth="0" w:num="2">
            <w:col w:w="5380" w:space="720"/>
            <w:col w:w="5300"/>
          </w:cols>
          <w:pgMar w:left="240" w:top="125" w:right="259" w:bottom="1440" w:gutter="0" w:footer="0" w:header="0"/>
          <w:type w:val="continuous"/>
        </w:sectPr>
      </w:pP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3"/>
              </w:rPr>
              <w:t>Three Months Ended December 31, 2019</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28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40,291</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29,107</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76,631</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57,856</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22,237</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10,438</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90,531</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9,189</w:t>
            </w:r>
          </w:p>
        </w:tc>
      </w:tr>
      <w:tr>
        <w:trPr>
          <w:trHeight w:val="257"/>
        </w:trPr>
        <w:tc>
          <w:tcPr>
            <w:tcW w:w="30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103,030</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54,017</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19,304</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176,351</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Three Months Ended December 31, 2018</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26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84,515</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58,575</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20,597</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9,669</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88,841</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10,919</w:t>
            </w:r>
          </w:p>
        </w:tc>
      </w:tr>
      <w:tr>
        <w:trPr>
          <w:trHeight w:val="257"/>
        </w:trPr>
        <w:tc>
          <w:tcPr>
            <w:tcW w:w="30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106,566</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54,684</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23,025</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184,275</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35"/>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ind w:right="129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4"/>
              </w:rPr>
              <w:t>Nine Months Ended December 31, 2019</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0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Software and Products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107,375</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71,922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29,603</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208,900</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173,450</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65,810</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30,756</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270,016</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27,220</w:t>
            </w:r>
          </w:p>
        </w:tc>
      </w:tr>
      <w:tr>
        <w:trPr>
          <w:trHeight w:val="257"/>
        </w:trPr>
        <w:tc>
          <w:tcPr>
            <w:tcW w:w="30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295,004</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145,767</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65,365</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506,136</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4"/>
              </w:rPr>
              <w:t>Nine Months Ended December 31, 2018</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0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Software and Products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125,290</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70,624</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229,069</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178,676</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61,399</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28,779</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268,854</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17,467</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31,607</w:t>
            </w:r>
          </w:p>
        </w:tc>
      </w:tr>
      <w:tr>
        <w:trPr>
          <w:trHeight w:val="257"/>
        </w:trPr>
        <w:tc>
          <w:tcPr>
            <w:tcW w:w="30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321,433</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140,968</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67,129</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529,530</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certain contracts the Company allows customers to pay for term-based, or subscription, software licenses and products over the term of the license. Amounts recognized as revenue in excess of amounts billed are recorded as unbilled receivables. 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96"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Accounts</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Receivable</w:t>
            </w:r>
          </w:p>
        </w:tc>
        <w:tc>
          <w:tcPr>
            <w:tcW w:w="22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(current)</w:t>
            </w:r>
          </w:p>
        </w:tc>
        <w:tc>
          <w:tcPr>
            <w:tcW w:w="24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(long-term)</w:t>
            </w:r>
          </w:p>
        </w:tc>
        <w:tc>
          <w:tcPr>
            <w:tcW w:w="22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99,257</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Increase/(decrease), net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(15,895)</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1,431</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(2,926)</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December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97,730</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decrease in accounts receivable is primarily a result of a decrease in software and products revenue relative to the fourth quarter of the prior year. The decrease in deferred revenue is primarily the result of a decrease in deferred customer support revenue related to software and products revenue transactions and customer support renewals relative to the fourth quarter of fiscal 2019 and a weakening of the U.S. dollar.</w:t>
      </w:r>
    </w:p>
    <w:p>
      <w:pPr>
        <w:spacing w:after="0" w:line="16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amount of revenue recognized in fiscal 2020 that was included in the March 31, 2019 balance of deferred revenue was $51,753 and $207,938 for the three and nine months ended December 31, 2019, respectively. The vast majority of this revenue consists of customer support arrangements. The amount of software and products revenue recognized in the three and nine months ended December 31, 2019 related to performance obligations from prior periods was not significant.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to the amounts included in deferred revenue as of December 31, 2019, $28,655 of revenue may be recognized from remaining performance obligations, of which $3,103 was related to software and products. The Company expects the majority of this software and products revenue to be recognized next quarter. The vast majority of the services revenue is related to other professional services which may be recognized over the next twelve months but is contingent upon a number of factors, including customers’ needs and schedules.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Net Income per Common Share</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diluted weighted-average shares outstanding exclude outstanding stock options, restricted stock units, performance restricted stock units and shares to be purchased under the employee stock purchase plan totaling 5,459 and 1,045 for the three months ended December 31, 2019 and 2018, respectively, and 4,952 and 1,024 for the nine months ended December 31, 2019 and 2018, because the effect would have been anti-dilutive.</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From time to time, the Company is subject to claims in legal proceedings arising in the normal course of business. The Company does not believe that it is currently party to any pending legal action that could reasonably be expected to have a material adverse effect on its business or operating results.</w:t>
      </w:r>
    </w:p>
    <w:p>
      <w:pPr>
        <w:spacing w:after="0" w:line="12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 has a contingent liability related to the acquisition of Hedvig. See Note 3 of the unaudited consolidated financial statements for further details on the arrangement.</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2019, $159,974 remained in the Company's current stock repurchase authorization which expires on March 31, 2020.</w:t>
      </w:r>
    </w:p>
    <w:p>
      <w:pPr>
        <w:spacing w:after="0" w:line="1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following table presents the stock-based compensation expense included in Cost of services revenue, Sales and marketing, Research and development, General and administrative and Restructuring expenses for the three and nine months ended December 31, 2019 and 2018. Stock-based compensation is attributable to stock options, restricted stock units, performance based awards and the employee stock purchase plan.</w:t>
      </w:r>
    </w:p>
    <w:p>
      <w:pPr>
        <w:spacing w:after="0" w:line="319" w:lineRule="exact"/>
        <w:rPr>
          <w:sz w:val="20"/>
          <w:szCs w:val="20"/>
          <w:color w:val="auto"/>
        </w:rPr>
      </w:pPr>
    </w:p>
    <w:tbl>
      <w:tblPr>
        <w:tblLayout w:type="fixed"/>
        <w:tblInd w:w="108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3"/>
              </w:rPr>
              <w:t>Three Months Ended 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December 31,</w:t>
            </w:r>
          </w:p>
        </w:tc>
      </w:tr>
      <w:tr>
        <w:trPr>
          <w:trHeight w:val="264"/>
        </w:trPr>
        <w:tc>
          <w:tcPr>
            <w:tcW w:w="43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9,128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26,990</w:t>
            </w:r>
          </w:p>
        </w:tc>
        <w:tc>
          <w:tcPr>
            <w:tcW w:w="1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14,350</w:t>
            </w:r>
          </w:p>
        </w:tc>
        <w:tc>
          <w:tcPr>
            <w:tcW w:w="1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18,974</w:t>
            </w:r>
          </w:p>
        </w:tc>
        <w:tc>
          <w:tcPr>
            <w:tcW w:w="1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48,581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51,586</w:t>
            </w:r>
          </w:p>
        </w:tc>
        <w:tc>
          <w:tcPr>
            <w:tcW w:w="100" w:type="dxa"/>
            <w:vAlign w:val="bottom"/>
            <w:tcBorders>
              <w:top w:val="single" w:sz="8" w:color="auto"/>
            </w:tcBorders>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As of December 31, 2019, there was $141,285 of unrecognized stock-based compensation expense related to non-vested stock option and restricted stock unit awards that is expected to be recognized over a weighted-average period of 2.26 years. The Company accounts for forfeitures as they occur. To the extent that awards are forfeited, stock-based compensation will be different from the Company’s current estimate.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for the nine months ended December 31, 2019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Weighted- Average</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940" w:type="dxa"/>
            <w:vAlign w:val="bottom"/>
            <w:gridSpan w:val="4"/>
          </w:tcPr>
          <w:p>
            <w:pPr>
              <w:spacing w:after="0"/>
              <w:rPr>
                <w:sz w:val="20"/>
                <w:szCs w:val="20"/>
                <w:color w:val="auto"/>
              </w:rPr>
            </w:pPr>
            <w:r>
              <w:rPr>
                <w:rFonts w:ascii="Arial" w:cs="Arial" w:eastAsia="Arial" w:hAnsi="Arial"/>
                <w:sz w:val="14"/>
                <w:szCs w:val="14"/>
                <w:b w:val="1"/>
                <w:bCs w:val="1"/>
                <w:color w:val="auto"/>
              </w:rPr>
              <w:t>Stock Options</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261"/>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 w:type="dxa"/>
            <w:vAlign w:val="bottom"/>
            <w:tcBorders>
              <w:right w:val="single" w:sz="8" w:color="CCEEFF"/>
            </w:tcBorders>
          </w:tcPr>
          <w:p>
            <w:pPr>
              <w:spacing w:after="0"/>
              <w:rPr>
                <w:sz w:val="21"/>
                <w:szCs w:val="21"/>
                <w:color w:val="auto"/>
              </w:rPr>
            </w:pPr>
          </w:p>
        </w:tc>
        <w:tc>
          <w:tcPr>
            <w:tcW w:w="4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Outstanding options as of March 31, 2019</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940" w:type="dxa"/>
            <w:vAlign w:val="bottom"/>
            <w:gridSpan w:val="4"/>
          </w:tcPr>
          <w:p>
            <w:pPr>
              <w:ind w:left="360"/>
              <w:spacing w:after="0"/>
              <w:rPr>
                <w:sz w:val="20"/>
                <w:szCs w:val="20"/>
                <w:color w:val="auto"/>
              </w:rPr>
            </w:pPr>
            <w:r>
              <w:rPr>
                <w:rFonts w:ascii="Arial" w:cs="Arial" w:eastAsia="Arial" w:hAnsi="Arial"/>
                <w:sz w:val="18"/>
                <w:szCs w:val="18"/>
                <w:color w:val="auto"/>
              </w:rPr>
              <w:t>Options granted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right w:val="single" w:sz="8" w:color="CCEEFF"/>
            </w:tcBorders>
          </w:tcPr>
          <w:p>
            <w:pPr>
              <w:spacing w:after="0"/>
              <w:rPr>
                <w:sz w:val="21"/>
                <w:szCs w:val="21"/>
                <w:color w:val="auto"/>
              </w:rPr>
            </w:pPr>
          </w:p>
        </w:tc>
        <w:tc>
          <w:tcPr>
            <w:tcW w:w="49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940" w:type="dxa"/>
            <w:vAlign w:val="bottom"/>
            <w:gridSpan w:val="4"/>
          </w:tcPr>
          <w:p>
            <w:pPr>
              <w:ind w:left="360"/>
              <w:spacing w:after="0"/>
              <w:rPr>
                <w:sz w:val="20"/>
                <w:szCs w:val="20"/>
                <w:color w:val="auto"/>
              </w:rPr>
            </w:pPr>
            <w:r>
              <w:rPr>
                <w:rFonts w:ascii="Arial" w:cs="Arial" w:eastAsia="Arial" w:hAnsi="Arial"/>
                <w:sz w:val="18"/>
                <w:szCs w:val="18"/>
                <w:color w:val="auto"/>
              </w:rPr>
              <w:t>Options forfeited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right w:val="single" w:sz="8" w:color="CCEEFF"/>
            </w:tcBorders>
          </w:tcPr>
          <w:p>
            <w:pPr>
              <w:spacing w:after="0"/>
              <w:rPr>
                <w:sz w:val="23"/>
                <w:szCs w:val="23"/>
                <w:color w:val="auto"/>
              </w:rPr>
            </w:pPr>
          </w:p>
        </w:tc>
        <w:tc>
          <w:tcPr>
            <w:tcW w:w="49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Options expired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Outstanding as of December 31, 2019</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ind w:left="58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940" w:type="dxa"/>
            <w:vAlign w:val="bottom"/>
            <w:gridSpan w:val="4"/>
            <w:vMerge w:val="restart"/>
          </w:tcPr>
          <w:p>
            <w:pPr>
              <w:spacing w:after="0"/>
              <w:rPr>
                <w:sz w:val="20"/>
                <w:szCs w:val="20"/>
                <w:color w:val="auto"/>
              </w:rPr>
            </w:pPr>
            <w:r>
              <w:rPr>
                <w:rFonts w:ascii="Arial" w:cs="Arial" w:eastAsia="Arial" w:hAnsi="Arial"/>
                <w:sz w:val="18"/>
                <w:szCs w:val="18"/>
                <w:color w:val="auto"/>
              </w:rPr>
              <w:t>Exercisable as of December 31, 2019</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40" w:type="dxa"/>
            <w:vAlign w:val="bottom"/>
            <w:gridSpan w:val="4"/>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0" w:type="dxa"/>
            <w:vAlign w:val="bottom"/>
          </w:tcPr>
          <w:p>
            <w:pPr>
              <w:spacing w:after="0"/>
              <w:rPr>
                <w:sz w:val="19"/>
                <w:szCs w:val="19"/>
                <w:color w:val="auto"/>
              </w:rPr>
            </w:pPr>
          </w:p>
        </w:tc>
        <w:tc>
          <w:tcPr>
            <w:tcW w:w="4940" w:type="dxa"/>
            <w:vAlign w:val="bottom"/>
            <w:gridSpan w:val="4"/>
            <w:vMerge w:val="continue"/>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7"/>
        </w:trPr>
        <w:tc>
          <w:tcPr>
            <w:tcW w:w="5600" w:type="dxa"/>
            <w:vAlign w:val="bottom"/>
            <w:gridSpan w:val="5"/>
            <w:vMerge w:val="restart"/>
          </w:tcPr>
          <w:p>
            <w:pPr>
              <w:spacing w:after="0"/>
              <w:rPr>
                <w:sz w:val="20"/>
                <w:szCs w:val="20"/>
                <w:color w:val="auto"/>
              </w:rPr>
            </w:pPr>
            <w:r>
              <w:rPr>
                <w:rFonts w:ascii="Arial" w:cs="Arial" w:eastAsia="Arial" w:hAnsi="Arial"/>
                <w:sz w:val="18"/>
                <w:szCs w:val="18"/>
                <w:b w:val="1"/>
                <w:bCs w:val="1"/>
                <w:i w:val="1"/>
                <w:iCs w:val="1"/>
                <w:color w:val="auto"/>
              </w:rPr>
              <w:t>Restricted Stock Units</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gridSpan w:val="5"/>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600" w:type="dxa"/>
            <w:vAlign w:val="bottom"/>
            <w:gridSpan w:val="5"/>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40" w:type="dxa"/>
            <w:vAlign w:val="bottom"/>
            <w:gridSpan w:val="10"/>
          </w:tcPr>
          <w:p>
            <w:pPr>
              <w:jc w:val="right"/>
              <w:ind w:right="981"/>
              <w:spacing w:after="0"/>
              <w:rPr>
                <w:sz w:val="20"/>
                <w:szCs w:val="20"/>
                <w:color w:val="auto"/>
              </w:rPr>
            </w:pPr>
            <w:r>
              <w:rPr>
                <w:rFonts w:ascii="Arial" w:cs="Arial" w:eastAsia="Arial" w:hAnsi="Arial"/>
                <w:sz w:val="18"/>
                <w:szCs w:val="18"/>
                <w:color w:val="auto"/>
                <w:w w:val="97"/>
              </w:rPr>
              <w:t>Restricted stock unit activity for the nine months ended December 31, 2019 is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24"/>
                <w:szCs w:val="24"/>
                <w:color w:val="auto"/>
              </w:rPr>
            </w:pPr>
          </w:p>
        </w:tc>
        <w:tc>
          <w:tcPr>
            <w:tcW w:w="11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Non-vested Restricted Stock Units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4"/>
                <w:szCs w:val="14"/>
                <w:color w:val="auto"/>
              </w:rPr>
            </w:pPr>
          </w:p>
        </w:tc>
        <w:tc>
          <w:tcPr>
            <w:tcW w:w="22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 w:type="dxa"/>
            <w:vAlign w:val="bottom"/>
          </w:tcPr>
          <w:p>
            <w:pPr>
              <w:spacing w:after="0"/>
              <w:rPr>
                <w:sz w:val="21"/>
                <w:szCs w:val="21"/>
                <w:color w:val="auto"/>
              </w:rPr>
            </w:pPr>
          </w:p>
        </w:tc>
        <w:tc>
          <w:tcPr>
            <w:tcW w:w="600" w:type="dxa"/>
            <w:vAlign w:val="bottom"/>
            <w:tcBorders>
              <w:right w:val="single" w:sz="8" w:color="CCEEFF"/>
            </w:tcBorders>
          </w:tcPr>
          <w:p>
            <w:pPr>
              <w:spacing w:after="0"/>
              <w:rPr>
                <w:sz w:val="21"/>
                <w:szCs w:val="21"/>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Non-vested as of March 31, 2019</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1,831</w:t>
            </w:r>
          </w:p>
        </w:tc>
        <w:tc>
          <w:tcPr>
            <w:tcW w:w="10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62.58</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gridSpan w:val="2"/>
          </w:tcPr>
          <w:p>
            <w:pPr>
              <w:ind w:left="80"/>
              <w:spacing w:after="0"/>
              <w:rPr>
                <w:sz w:val="20"/>
                <w:szCs w:val="20"/>
                <w:color w:val="auto"/>
              </w:rPr>
            </w:pPr>
            <w:r>
              <w:rPr>
                <w:rFonts w:ascii="Arial" w:cs="Arial" w:eastAsia="Arial" w:hAnsi="Arial"/>
                <w:sz w:val="18"/>
                <w:szCs w:val="18"/>
                <w:color w:val="auto"/>
              </w:rPr>
              <w:t>Awarded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5"/>
          </w:tcPr>
          <w:p>
            <w:pPr>
              <w:jc w:val="right"/>
              <w:ind w:right="28"/>
              <w:spacing w:after="0"/>
              <w:rPr>
                <w:sz w:val="20"/>
                <w:szCs w:val="20"/>
                <w:color w:val="auto"/>
              </w:rPr>
            </w:pPr>
            <w:r>
              <w:rPr>
                <w:rFonts w:ascii="Arial" w:cs="Arial" w:eastAsia="Arial" w:hAnsi="Arial"/>
                <w:sz w:val="18"/>
                <w:szCs w:val="18"/>
                <w:color w:val="auto"/>
              </w:rPr>
              <w:t>2,556</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46.60</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00" w:type="dxa"/>
            <w:vAlign w:val="bottom"/>
            <w:tcBorders>
              <w:right w:val="single" w:sz="8" w:color="CCEEFF"/>
            </w:tcBorders>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(816)</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59.83</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gridSpan w:val="2"/>
          </w:tcPr>
          <w:p>
            <w:pPr>
              <w:ind w:left="80"/>
              <w:spacing w:after="0"/>
              <w:rPr>
                <w:sz w:val="20"/>
                <w:szCs w:val="20"/>
                <w:color w:val="auto"/>
              </w:rPr>
            </w:pPr>
            <w:r>
              <w:rPr>
                <w:rFonts w:ascii="Arial" w:cs="Arial" w:eastAsia="Arial" w:hAnsi="Arial"/>
                <w:sz w:val="18"/>
                <w:szCs w:val="18"/>
                <w:color w:val="auto"/>
              </w:rPr>
              <w:t>Forfeited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0"/>
              </w:rPr>
              <w:t>(195)</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60.48</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600" w:type="dxa"/>
            <w:vAlign w:val="bottom"/>
            <w:tcBorders>
              <w:right w:val="single" w:sz="8" w:color="CCEEFF"/>
            </w:tcBorders>
          </w:tcPr>
          <w:p>
            <w:pPr>
              <w:spacing w:after="0"/>
              <w:rPr>
                <w:sz w:val="22"/>
                <w:szCs w:val="22"/>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Non-vested as of December 31, 2019</w:t>
            </w: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3,376</w:t>
            </w:r>
          </w:p>
        </w:tc>
        <w:tc>
          <w:tcPr>
            <w:tcW w:w="10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51.24</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weighted-average fair value of restricted stock units awarded was $46.21 and $46.60 per unit during the three and nine months ended December 31, 2019, and $58.55 and $63.30 per unit during the three and nine months ended December 31, 2018. The weighted-average fair value of awards includes the awards with a market condition described below.</w:t>
      </w:r>
    </w:p>
    <w:p>
      <w:pPr>
        <w:spacing w:after="0" w:line="127"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Company issued a total of 1,018 awards to Hedvig employees in the third quarter of fiscal 2020 as part of the total consideration. These awards were granted at a fair value of $44.49 per share and $43,653 of stock-based compensation expense is expected to be recognized over a weighted-average period of 2.68 years. The awards are included in the restricted stock unit table.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nine months ended December 31, 2019, the Company granted 105 performance restricted stock units ("PSU") to certain executives. Vesting of these awards is contingent upon i) the Company meeting certain company-wide revenue and non-GAAP performance goals (performance-based) in fiscal 2020 and ii) the Company's customary service periods. The awards vest over three years and have a maximum potential to vest at 200% (210 shares) based on actual fiscal 2020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the nine months ended December 31, 2019, the Company granted 95 market performance stock units to certain executives. The vesting of these awards is contingent upon the Company meeting certain total shareholder return ("TSR") levels as compared to the Russell 3000 market index over the next three years. The awards vest in three annual tranches and have a maximum potential to vest at 200% (190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nine months ended December 31, 2019 was $48.26 per unit. The awards are included in the restricted stock unit table.</w:t>
      </w:r>
    </w:p>
    <w:p>
      <w:pPr>
        <w:spacing w:after="0" w:line="1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Income tax expense was $3,528 in the nine months ended December 31, 2019 compared to an expense of $2,677 in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In fiscal 2018 the Company determined that it was more likely than not that it will not realize the benefits of its gross deferred tax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therefore recorded a valuation allowance to reduce the carrying value of these gross deferred tax assets, net of the impact of the reversal of taxable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temporary differences, to zero. The Company’s position remains unchanged as of the period ended December 31, 2019. The tax expense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2019 relates primarily to current foreign taxes.</w:t>
      </w:r>
    </w:p>
    <w:p>
      <w:pPr>
        <w:spacing w:after="0" w:line="15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Restructuring</w:t>
      </w:r>
    </w:p>
    <w:p>
      <w:pPr>
        <w:spacing w:after="0" w:line="17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In fiscal 2019, the Company initiated a restructuring plan to increase efficiency in its sales, marketing and distribution functions as well as reduce costs across all functional areas. During the quarter, the Company incurred total restructuring charges of $2,021. These restructuring charges relate primarily to severance and related costs associated with headcount reductions and lease abandonment charges associated with five office leases. These charges include $709 of stock-based compensation related to modifications of existing unvested awards granted to certain employees impacted by the restructuring plan.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activity in the Company’s restructuring accruals for the three and nine months ended December 31, 2019 and 2018 is summarized as follows:</w:t>
      </w:r>
    </w:p>
    <w:p>
      <w:pPr>
        <w:spacing w:after="0" w:line="200" w:lineRule="exact"/>
        <w:rPr>
          <w:sz w:val="20"/>
          <w:szCs w:val="20"/>
          <w:color w:val="auto"/>
        </w:rPr>
      </w:pPr>
    </w:p>
    <w:p>
      <w:pPr>
        <w:spacing w:after="0" w:line="202" w:lineRule="exact"/>
        <w:rPr>
          <w:sz w:val="20"/>
          <w:szCs w:val="20"/>
          <w:color w:val="auto"/>
        </w:rPr>
      </w:pPr>
    </w:p>
    <w:tbl>
      <w:tblPr>
        <w:tblLayout w:type="fixed"/>
        <w:tblInd w:w="2340" w:type="dxa"/>
        <w:tblCellMar>
          <w:top w:w="0" w:type="dxa"/>
          <w:left w:w="0" w:type="dxa"/>
          <w:bottom w:w="0" w:type="dxa"/>
          <w:right w:w="0" w:type="dxa"/>
        </w:tblCellMar>
      </w:tblPr>
      <w:tr>
        <w:trPr>
          <w:trHeight w:val="205"/>
        </w:trPr>
        <w:tc>
          <w:tcPr>
            <w:tcW w:w="4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4"/>
              </w:rPr>
              <w:t>Three Months Ended December 31,</w:t>
            </w:r>
          </w:p>
        </w:tc>
      </w:tr>
      <w:tr>
        <w:trPr>
          <w:trHeight w:val="264"/>
        </w:trPr>
        <w:tc>
          <w:tcPr>
            <w:tcW w:w="4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1,763</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5,351</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Accrual reversals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84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Nine Months Ended December 31,</w:t>
            </w:r>
          </w:p>
        </w:tc>
      </w:tr>
      <w:tr>
        <w:trPr>
          <w:trHeight w:val="264"/>
        </w:trPr>
        <w:tc>
          <w:tcPr>
            <w:tcW w:w="4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100" w:type="dxa"/>
            <w:vAlign w:val="bottom"/>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17,711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13,740</w:t>
            </w: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(9,782)</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Accrual reversals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300" w:firstLine="5"/>
        <w:spacing w:after="0" w:line="259" w:lineRule="auto"/>
        <w:tabs>
          <w:tab w:leader="none" w:pos="15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charges of $2,831 and $17,711 in the tables above do not include restructuring charges for two of the Company's leases in the amount of $145 and five in the amount of $2,195 for the three and nine months ended December 31, 2019, respectively. Under the new lease standard (ASC 842) the Company is now required to account for the impairment as a charge to the Statement of Operations and a reduction in the carrying amount of the right-of-use asset.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outstanding restructuring accruals primarily relate to future severance payments.</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4"/>
          <w:szCs w:val="14"/>
          <w:b w:val="1"/>
          <w:bCs w:val="1"/>
          <w:color w:val="auto"/>
        </w:rPr>
        <w:t>Leases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Company’s lease liabilities relate primarily to operating leases for its global office infrastructure. These operating leases expire at various dates through fiscal 2026. The Company records lease liabilities at the present value of the lease payments not yet paid, discounted at the rate of interest that the Company would have to pay to borrow on a collateralized basis over a similar term. As the Company's leases do not provide an implicit rate, the Company uses an incremental borrowing rate based on the information available at commencement date in determining the present value of lease payments.</w:t>
      </w:r>
    </w:p>
    <w:p>
      <w:pPr>
        <w:spacing w:after="0" w:line="15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 recognizes operating lease costs over the estimated term of the lease, which includes options to extend lease terms that are reasonably certain of being exercised, starting when possession of the property is taken from the landlord. When a lease contains a predetermined fixed escalation of the minimum rent, the Company recognizes the related operating lease cost on a straight-line basis over the lease term.</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addition, certain of the Company’s lease agreements include variable lease payments, such as estimated tax and maintenance charges. These variable lease payments are excluded from minimum lease payments and are included in the determination of lease cost when it is probable that the expense has been incurred and the amount can be reasonably estimated.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Company did not have any finance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lease cost recognized on our Condensed Consolidated Statement of Operations is summarized as follows:</w:t>
      </w:r>
    </w:p>
    <w:p>
      <w:pPr>
        <w:spacing w:after="0" w:line="388" w:lineRule="exact"/>
        <w:rPr>
          <w:sz w:val="20"/>
          <w:szCs w:val="20"/>
          <w:color w:val="auto"/>
        </w:rPr>
      </w:pPr>
    </w:p>
    <w:tbl>
      <w:tblPr>
        <w:tblLayout w:type="fixed"/>
        <w:tblInd w:w="102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1840" w:type="dxa"/>
            <w:vAlign w:val="bottom"/>
          </w:tcPr>
          <w:p>
            <w:pPr>
              <w:jc w:val="right"/>
              <w:ind w:right="253"/>
              <w:spacing w:after="0"/>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December 31, 2019</w:t>
            </w:r>
          </w:p>
        </w:tc>
        <w:tc>
          <w:tcPr>
            <w:tcW w:w="240" w:type="dxa"/>
            <w:vAlign w:val="bottom"/>
          </w:tcPr>
          <w:p>
            <w:pPr>
              <w:spacing w:after="0"/>
              <w:rPr>
                <w:sz w:val="18"/>
                <w:szCs w:val="18"/>
                <w:color w:val="auto"/>
              </w:rPr>
            </w:pPr>
          </w:p>
        </w:tc>
        <w:tc>
          <w:tcPr>
            <w:tcW w:w="1840" w:type="dxa"/>
            <w:vAlign w:val="bottom"/>
          </w:tcPr>
          <w:p>
            <w:pPr>
              <w:jc w:val="right"/>
              <w:ind w:right="293"/>
              <w:spacing w:after="0"/>
              <w:rPr>
                <w:sz w:val="20"/>
                <w:szCs w:val="20"/>
                <w:color w:val="auto"/>
              </w:rPr>
            </w:pPr>
            <w:r>
              <w:rPr>
                <w:rFonts w:ascii="Arial" w:cs="Arial" w:eastAsia="Arial" w:hAnsi="Arial"/>
                <w:sz w:val="16"/>
                <w:szCs w:val="16"/>
                <w:b w:val="1"/>
                <w:bCs w:val="1"/>
                <w:color w:val="auto"/>
                <w:w w:val="99"/>
              </w:rPr>
              <w:t>December 31, 2019</w:t>
            </w:r>
          </w:p>
        </w:tc>
        <w:tc>
          <w:tcPr>
            <w:tcW w:w="0" w:type="dxa"/>
            <w:vAlign w:val="bottom"/>
          </w:tcPr>
          <w:p>
            <w:pPr>
              <w:spacing w:after="0"/>
              <w:rPr>
                <w:sz w:val="1"/>
                <w:szCs w:val="1"/>
                <w:color w:val="auto"/>
              </w:rPr>
            </w:pPr>
          </w:p>
        </w:tc>
      </w:tr>
      <w:tr>
        <w:trPr>
          <w:trHeight w:val="33"/>
        </w:trPr>
        <w:tc>
          <w:tcPr>
            <w:tcW w:w="31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0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0" w:type="dxa"/>
            <w:vAlign w:val="bottom"/>
            <w:vMerge w:val="restart"/>
          </w:tcPr>
          <w:p>
            <w:pPr>
              <w:jc w:val="right"/>
              <w:ind w:right="25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31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December 31, 2019, the maturities of lease liabilities based on the total minimum lease commitment amount including options to extend lease terms that are reasonably certain of being exercised are as follows:</w:t>
      </w:r>
    </w:p>
    <w:p>
      <w:pPr>
        <w:spacing w:after="0" w:line="320" w:lineRule="exact"/>
        <w:rPr>
          <w:sz w:val="20"/>
          <w:szCs w:val="20"/>
          <w:color w:val="auto"/>
        </w:rPr>
      </w:pPr>
    </w:p>
    <w:tbl>
      <w:tblPr>
        <w:tblLayout w:type="fixed"/>
        <w:tblInd w:w="960" w:type="dxa"/>
        <w:tblCellMar>
          <w:top w:w="0" w:type="dxa"/>
          <w:left w:w="0" w:type="dxa"/>
          <w:bottom w:w="0" w:type="dxa"/>
          <w:right w:w="0" w:type="dxa"/>
        </w:tblCellMar>
      </w:tblP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 2020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FY 2021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7,865</w:t>
            </w:r>
          </w:p>
        </w:tc>
      </w:tr>
      <w:tr>
        <w:trPr>
          <w:trHeight w:val="27"/>
        </w:trPr>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FY 2022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FY 2023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7"/>
        </w:trPr>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FY 2024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1,719</w:t>
            </w:r>
          </w:p>
        </w:tc>
      </w:tr>
      <w:tr>
        <w:trPr>
          <w:trHeight w:val="27"/>
        </w:trPr>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19,190</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w:t>
            </w:r>
          </w:p>
        </w:tc>
      </w:tr>
      <w:tr>
        <w:trPr>
          <w:trHeight w:val="27"/>
        </w:trPr>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16,953</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7,730</w:t>
            </w:r>
          </w:p>
        </w:tc>
      </w:tr>
      <w:tr>
        <w:trPr>
          <w:trHeight w:val="27"/>
        </w:trPr>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9,223</w:t>
            </w:r>
          </w:p>
        </w:tc>
      </w:tr>
      <w:tr>
        <w:trPr>
          <w:trHeight w:val="27"/>
        </w:trPr>
        <w:tc>
          <w:tcPr>
            <w:tcW w:w="8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0" w:firstLine="648"/>
        <w:spacing w:after="0" w:line="342" w:lineRule="auto"/>
        <w:rPr>
          <w:sz w:val="20"/>
          <w:szCs w:val="20"/>
          <w:color w:val="auto"/>
        </w:rPr>
      </w:pPr>
      <w:r>
        <w:rPr>
          <w:rFonts w:ascii="Arial" w:cs="Arial" w:eastAsia="Arial" w:hAnsi="Arial"/>
          <w:sz w:val="16"/>
          <w:szCs w:val="16"/>
          <w:color w:val="auto"/>
        </w:rPr>
        <w:t>During the three and nine months ended December 31, 2019, additions of operating lease assets were $116 and $5,421, respectively. As of December 31, 2019, the minimum lease commitment amount for operating leases signed but not yet commenced, was immaterial.</w:t>
      </w:r>
    </w:p>
    <w:p>
      <w:pPr>
        <w:spacing w:after="0" w:line="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2019, the weighted-average remaining operating lease term was 3.27 years and the weighted-average discount rate was 4% for operating leases recognized in the Condensed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related to periods prior to the adoption of the new lease standard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 was $2,954 and $9,041 for the three and nine months ended December 31, 2018, respectively.</w:t>
      </w: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Subsequent Event</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January 23, 2020, the Board of Directors authorized an increase to the existing share repurchase program so that $200,000 was available. The authorization will expire on March 31,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2019.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Commvault is a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In fiscal 2018, we also started selling appliances that integrate our software with hardware and address a wide-range of business needs and use cases, ranging from support for remote or branch offices with limited IT staff up to large corporate data centers. We also provide our customers with a broad range of professional services that are delivered by our worldwide support and field operations.</w:t>
      </w:r>
    </w:p>
    <w:p>
      <w:pPr>
        <w:spacing w:after="0" w:line="16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the third quarter of fiscal 2020 we completed the acquisition of Hedvig, a California-based developer of software-defined storage solutions. The primary reason for the business combination is the complementary nature of Hedvig’s technology, compared to our other technology, which will expand our addressable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derive a significant portion of our total revenues from sales of licenses of our software applications and products. We do not customize our software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41% and 43% of our total revenues for the nine months ended December 31, 2019 and 2018, respectively.</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and products revenue from our existing customer base and approximately one-quarter of our software and products revenue from new customers. In addition, our total software and products revenue in any particular period is, to a certain extent, dependent upon our ability to generate revenues from large customer software and products deals, which we refer to as enterprise transactions. Enterprise transactions (transactions greater than $0.1 million) represented 64% and 63% of our total software and products revenue in the nine months ended December 31, 2019 and 2018, respectively.</w:t>
      </w:r>
    </w:p>
    <w:p>
      <w:pPr>
        <w:spacing w:after="0" w:line="134"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Software and products revenue generated through indirect distribution channels was 93% of total software and products revenue in the nine months ended December 31, 2019 and was 90% of total software revenue in the nine months ended December 31, 2018. Software and products revenue generated through direct distribution channels was 7% of total software and products revenue in the nine months ended December 31, 2019 and was 10% of total software revenue in the nine months ended December 31, 2018. The dollar value of software and products revenue generated through indirect distribution channels decreased $13.6 million in the nine months ended December 31, 2019 compared to the nine months ended December 31, 2018. The dollar value of software and products revenue generated through direct distribution channels decreased $6.6 million in the nine months ended December 31, 2019 compared to the nine months ended December 31, 2018.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primary original equipment manufacturer agreement is with Hitachi Vantara (formerly Hitachi Data Systems) ("Hitachi") and allows them to market, sell and support our software applications and services on a stand-alone basis and/or incorporate our software applications into their own hardware products. Our original equipment manufacturer partners, including Hitachi, have no obligation to recommend or offer our software applications exclusively or at all, and they have no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99" w:right="239" w:bottom="1440" w:gutter="0" w:footer="0" w:header="0"/>
        </w:sectPr>
      </w:pPr>
    </w:p>
    <w:bookmarkStart w:id="21" w:name="page22"/>
    <w:bookmarkEnd w:id="21"/>
    <w:p>
      <w:pPr>
        <w:ind w:right="300"/>
        <w:spacing w:after="0" w:line="277" w:lineRule="auto"/>
        <w:rPr>
          <w:sz w:val="20"/>
          <w:szCs w:val="20"/>
          <w:color w:val="auto"/>
        </w:rPr>
      </w:pPr>
      <w:r>
        <w:rPr>
          <w:rFonts w:ascii="Arial" w:cs="Arial" w:eastAsia="Arial" w:hAnsi="Arial"/>
          <w:sz w:val="18"/>
          <w:szCs w:val="18"/>
          <w:color w:val="auto"/>
        </w:rPr>
        <w:t>minimum sales requirements and can terminate our relationship at any time. Sales through our original equipment manufacturer agreement, accounted for 11% of our total revenues for the nine months ended months ended December 31, 2019.</w:t>
      </w:r>
    </w:p>
    <w:p>
      <w:pPr>
        <w:spacing w:after="0" w:line="116"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also have a non-exclusive distribution agreement covering our North American commercial markets and our U.S. Federal Government market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We generated 37% of our total revenues through Arrow in both the nine months ended December 31, 2019 and 2018. If Arrow were to discontinue or reduce the sales of our products or if our agreement with Arrow was terminated, and if we were unable to take back the management of our reseller channel or find another North American distributor to replace Arrow, then it would have a material adverse effect on our future business.</w:t>
      </w:r>
    </w:p>
    <w:p>
      <w:pPr>
        <w:spacing w:after="0" w:line="11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services revenue was 59% of our total revenues for the nine months ended December 31, 2019 and 57% of our total revenues for the nine months ended December 31, 2018.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installation services and customer education.</w:t>
      </w:r>
    </w:p>
    <w:p>
      <w:pPr>
        <w:spacing w:after="0" w:line="11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Most of our customer support agreements are priced as a percentage of the related net software purchased and are for a one year term. As the end of the annual period approaches, we pursue the renewal of the agreement with the customer. Historically, customer support renewals have represented a significant portion of our total revenue. Because of this characteristic of our business, if our customers choose not to renew their support agreements with us on beneficial terms, or at all, our business, operating results and financial condition could be harmed.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Sales outside the United States were 49% of our total revenue for the nine months ended December 31, 2019 and 47% of our total revenue for the nine months ended December 31, 2018.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04"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Using the average foreign currency exchange rates from the three months ended December 31, 2018 our software and products revenue would have been higher by $0.4 million, our services revenue would have been higher by $0.8 million, our cost of sales would have been higher by $0.2 million and our operating expenses would have been higher by $0.3 million from non-U.S. operations for the three months ended December 31, 2019. Using the average foreign currency rates from the nine months ended December 31, 2018 our software revenue would have been higher by $3.4 million, our services revenue would have been higher by $4.8 million, our cost of sales would have been higher by $1.2 million and our operating expenses would have been higher by $4.6 million from non-U.S. operations for the nine months ended December 31, 2019.</w:t>
      </w:r>
    </w:p>
    <w:p>
      <w:pPr>
        <w:spacing w:after="0" w:line="12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a net foreign currency transaction loss of $0.1 million and $0.2 million three and nine months ended December 31, 2019. We recognized net foreign currency transaction gains of $0.1 million and $0.8 million in the three and nine months ended December 31, 2018, respectively.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03"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33" w:lineRule="exact"/>
        <w:rPr>
          <w:sz w:val="20"/>
          <w:szCs w:val="20"/>
          <w:color w:val="auto"/>
        </w:rPr>
      </w:pPr>
    </w:p>
    <w:p>
      <w:pPr>
        <w:ind w:left="2020" w:hanging="310"/>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rFonts w:ascii="Arial" w:cs="Arial" w:eastAsia="Arial" w:hAnsi="Arial"/>
          <w:sz w:val="18"/>
          <w:szCs w:val="18"/>
          <w:color w:val="auto"/>
        </w:rPr>
      </w:pPr>
    </w:p>
    <w:p>
      <w:pPr>
        <w:ind w:left="2020" w:hanging="310"/>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71" w:lineRule="exact"/>
        <w:rPr>
          <w:rFonts w:ascii="Arial" w:cs="Arial" w:eastAsia="Arial" w:hAnsi="Arial"/>
          <w:sz w:val="18"/>
          <w:szCs w:val="18"/>
          <w:color w:val="auto"/>
        </w:rPr>
      </w:pPr>
    </w:p>
    <w:p>
      <w:pPr>
        <w:ind w:left="2020" w:hanging="310"/>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and Purchased Intangible Assets</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As a result of the acquisition of Hedvig, the Company acquired goodwill and intangible assets. Determining the fair value of intangible assets requires management to make estimates, which are based on all available information and in some cases assumptions with respect to the timing and amount of future revenues and expenses associated with an asset. Refer to Note 4 of Notes to the Condensed Consolidated Financial Statements included in this Quarterly Report on Form 10-Q for further information on goodwill and intangible assets.</w:t>
      </w:r>
    </w:p>
    <w:p>
      <w:pPr>
        <w:spacing w:after="0" w:line="13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Other than the addition of goodwill and purchased intangible assets, there have been no significant changes in our critical accounting policies during the nine months ended December 31, 2019 as compared to the critical accounting policies and estimates disclosed in “Management’s Discussion and Analysis of Financial Condition and Results of Operations - Critical Accounting Policies” included in our Annual Report on Form 10-K for the year ended March 31, 2019. In addition, please see Note 2 of Notes to the Condensed Consolidated Financial Statements included in this Quarterly Report on Form 10-Q and Note 2 of the Notes to Consolidated Financial Statements included in our fiscal 2019 Annual Report on Form 10-K filed for a description of our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2019 compared to three months ended December 31, 2018</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Total revenues decreased $7.9 million, or 4%, from $184.3 million in the three months ended December 31, 2018 to $176.4 million in the three months ended December 31, 2019.</w:t>
      </w:r>
    </w:p>
    <w:p>
      <w:pPr>
        <w:spacing w:after="0" w:line="116"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i w:val="1"/>
          <w:iCs w:val="1"/>
          <w:color w:val="auto"/>
        </w:rPr>
        <w:t xml:space="preserve">Software and Products Revenue. </w:t>
      </w:r>
      <w:r>
        <w:rPr>
          <w:rFonts w:ascii="Arial" w:cs="Arial" w:eastAsia="Arial" w:hAnsi="Arial"/>
          <w:sz w:val="18"/>
          <w:szCs w:val="18"/>
          <w:color w:val="auto"/>
        </w:rPr>
        <w:t>Software and products revenue decreased $7.9 million, or 9%, from $84.5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to $76.6 million in the three months ended December 31, 2019. Software and products revenue represented 43% and 46% of our total revenues in the three months ended December 31, 2019 and 2018, respectively.</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APAC (Australia, New Zealand, Southeast Asia, China, Japan). Americas, EMEA and APAC represented 53%, 38% and 9% of total software and products revenue, respectively, for the three months ended December 31, 2019. The year over year decline of software and products revenue was 4% in the Americas, 6% in EMEA and 38% in APAC.</w:t>
      </w:r>
    </w:p>
    <w:p>
      <w:pPr>
        <w:spacing w:after="0" w:line="1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decrease in Americas software and products revenue was primarily the result of a decrease in non-enterprise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EMEA software and products revenue decreased primarily as a result of a decrease in enterprise revenue transactions.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decrease in APAC software and products revenue was primarily the result of a decrease in enterprise revenue transactions partially offset by an increase in the average enterprise selling price.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99" w:right="279" w:bottom="1440" w:gutter="0" w:footer="0" w:header="0"/>
        </w:sectPr>
      </w:pPr>
    </w:p>
    <w:bookmarkStart w:id="23" w:name="page24"/>
    <w:bookmarkEnd w:id="23"/>
    <w:p>
      <w:pPr>
        <w:ind w:right="420" w:firstLine="432"/>
        <w:spacing w:after="0" w:line="291" w:lineRule="auto"/>
        <w:rPr>
          <w:sz w:val="20"/>
          <w:szCs w:val="20"/>
          <w:color w:val="auto"/>
        </w:rPr>
      </w:pPr>
      <w:r>
        <w:rPr>
          <w:rFonts w:ascii="Arial" w:cs="Arial" w:eastAsia="Arial" w:hAnsi="Arial"/>
          <w:sz w:val="16"/>
          <w:szCs w:val="16"/>
          <w:color w:val="auto"/>
        </w:rPr>
        <w:t>Software and products revenue derived from enterprise transactions (transactions greater than $0.1 million) represented 66% of our software and products revenue in the three months ended December 31, 2019 and 65% of our software and products revenue in the three months ended December 31,</w:t>
      </w:r>
    </w:p>
    <w:p>
      <w:pPr>
        <w:spacing w:after="0" w:line="302" w:lineRule="auto"/>
        <w:rPr>
          <w:sz w:val="20"/>
          <w:szCs w:val="20"/>
          <w:color w:val="auto"/>
        </w:rPr>
      </w:pPr>
      <w:r>
        <w:rPr>
          <w:rFonts w:ascii="Arial" w:cs="Arial" w:eastAsia="Arial" w:hAnsi="Arial"/>
          <w:sz w:val="16"/>
          <w:szCs w:val="16"/>
          <w:color w:val="auto"/>
        </w:rPr>
        <w:t>2018. Enterprise transaction revenue decreased by $4.2 million, or 8%, in the three months ended December 31, 2019 compared to the three months ended December 31, 2018. This was driven by an 11% decrease in the number of enterprise transactions. The average dollar amount of such transactions was approximately $279 thousand in the three months ended December 31, 2019 and approximately $268 thousand in the three months ended December 31, 2018.</w:t>
      </w:r>
    </w:p>
    <w:p>
      <w:pPr>
        <w:spacing w:after="0" w:line="10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decreased less than $0.1 million, from $99.8 million in the three months ended December 31, 2018 to $99.7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December 31, 2019. Services revenue represented 57% of our total revenues in three months ended December 31, 2019 and 54% in the three months ended December 31, 2018.</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Cost of Software and Products Revenues. </w:t>
      </w:r>
      <w:r>
        <w:rPr>
          <w:rFonts w:ascii="Arial" w:cs="Arial" w:eastAsia="Arial" w:hAnsi="Arial"/>
          <w:sz w:val="18"/>
          <w:szCs w:val="18"/>
          <w:color w:val="auto"/>
        </w:rPr>
        <w:t>Total cost of software and products revenues increased $2.0 million, from $6.1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to $8.1 million in the three months ended December 31, 2019. Cost of software and product revenue represented 11% of software and product revenue in the three months ended December 31, 2019 compared to 7% in the three months ended December 31, 2018.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also increase.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Cost of Services Revenues. </w:t>
      </w:r>
      <w:r>
        <w:rPr>
          <w:rFonts w:ascii="Arial" w:cs="Arial" w:eastAsia="Arial" w:hAnsi="Arial"/>
          <w:sz w:val="16"/>
          <w:szCs w:val="16"/>
          <w:color w:val="auto"/>
        </w:rPr>
        <w:t>Total cost of services revenues decreased $0.3 million, or 1%, from $22.8 million in the three months ended December 31,</w:t>
      </w:r>
    </w:p>
    <w:p>
      <w:pPr>
        <w:spacing w:after="0" w:line="46"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2018 to $22.4 million in the three months ended December 31, 2019. The gross margin of our services revenue was 77% for both the three months ended December 31,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$9.8 million, or 10%, from $94.4 million in the three months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to $84.6 million in the three months ended December 31, 2019. The decrease is due to an $8.8 million decrease in employee compensation and related expenses mainly attributable to our restructuring and reorganization initiatives. Sales and marketing expenses as a percentage of total revenues was 48% and 51% in the three months ended December 31, 2019 and 2018, respectively.</w:t>
      </w:r>
    </w:p>
    <w:p>
      <w:pPr>
        <w:spacing w:after="0" w:line="13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$8.5 million, or 39%, from $22.0 million in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to $30.5 million in the three months ended December 31, 2019. The increase is primarily due to an increase in employee-related costs resulting from additional headcount due to the acquisition of Hedvig. Approximately $3.2 million of the increase in employee-related costs is related to noncash stock-based compensation. Additionally, certain Hedvig shareholders will receive cash payments totaling $14,100 over the course of the 30 months following the date of acquisition, contingent on their continued employment with the Company. While these payments are proportionate to these shareholders' ownership of Hedvig, under GAAP they are accounted for as compensation expense over the course of the 30 month service period. Research and development expenses for the three months ended December 31, 2019 include $1.4 million of expense related to this arrangement. Research and development expenses as a percentage of total revenues was 17% and 12% in the three months ended December 31, 2019 and 2018, respectively.</w:t>
      </w:r>
    </w:p>
    <w:p>
      <w:pPr>
        <w:spacing w:after="0" w:line="112" w:lineRule="exact"/>
        <w:rPr>
          <w:sz w:val="20"/>
          <w:szCs w:val="20"/>
          <w:color w:val="auto"/>
        </w:rPr>
      </w:pPr>
    </w:p>
    <w:p>
      <w:pPr>
        <w:ind w:right="480" w:firstLine="432"/>
        <w:spacing w:after="0" w:line="30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$3.0 million, or 14%, from $20.9 million in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to $23.9 million in the three months ended December 31, 2019. General and administrative expenses in the three months ended December 31, 2019 includes $4.4 million of non-routine acquisition costs related to the Company's acquisition of Hedvig in October 2019. General and administrative expenses as a percentage of total revenues was 14% and 11% in the three months ended December 31, 2019 and 2018, respectively.</w:t>
      </w:r>
    </w:p>
    <w:p>
      <w:pPr>
        <w:spacing w:after="0" w:line="100" w:lineRule="exact"/>
        <w:rPr>
          <w:sz w:val="20"/>
          <w:szCs w:val="20"/>
          <w:color w:val="auto"/>
        </w:rPr>
      </w:pPr>
    </w:p>
    <w:p>
      <w:pPr>
        <w:jc w:val="both"/>
        <w:ind w:right="100" w:firstLine="405"/>
        <w:spacing w:after="0" w:line="288" w:lineRule="auto"/>
        <w:rPr>
          <w:sz w:val="20"/>
          <w:szCs w:val="20"/>
          <w:color w:val="auto"/>
        </w:rPr>
      </w:pPr>
      <w:r>
        <w:rPr>
          <w:rFonts w:ascii="Arial" w:cs="Arial" w:eastAsia="Arial" w:hAnsi="Arial"/>
          <w:sz w:val="16"/>
          <w:szCs w:val="16"/>
          <w:i w:val="1"/>
          <w:iCs w:val="1"/>
          <w:color w:val="auto"/>
        </w:rPr>
        <w:t>Restructuring</w:t>
      </w:r>
      <w:r>
        <w:rPr>
          <w:rFonts w:ascii="Arial" w:cs="Arial" w:eastAsia="Arial" w:hAnsi="Arial"/>
          <w:sz w:val="16"/>
          <w:szCs w:val="16"/>
          <w:color w:val="auto"/>
        </w:rPr>
        <w:t>. In fiscal 2019 we initiated a restructuring plan to increase efficiency in our sales, marketing and distribution functions as well as reduce</w:t>
      </w:r>
      <w:r>
        <w:rPr>
          <w:rFonts w:ascii="Arial" w:cs="Arial" w:eastAsia="Arial" w:hAnsi="Arial"/>
          <w:sz w:val="16"/>
          <w:szCs w:val="16"/>
          <w:i w:val="1"/>
          <w:iCs w:val="1"/>
          <w:color w:val="auto"/>
        </w:rPr>
        <w:t xml:space="preserve"> </w:t>
      </w:r>
      <w:r>
        <w:rPr>
          <w:rFonts w:ascii="Arial" w:cs="Arial" w:eastAsia="Arial" w:hAnsi="Arial"/>
          <w:sz w:val="16"/>
          <w:szCs w:val="16"/>
          <w:color w:val="auto"/>
        </w:rPr>
        <w:t>costs across all functional areas. Restructuring expenses were $2.0 million in the three months ended December 31, 2019. These restructuring charges relate primarily to severance and related costs associated with headcount reductions as well as lease abandonment charges related to the closure of two offices.</w:t>
      </w:r>
    </w:p>
    <w:p>
      <w:pPr>
        <w:ind w:right="80"/>
        <w:spacing w:after="0" w:line="273" w:lineRule="auto"/>
        <w:rPr>
          <w:sz w:val="20"/>
          <w:szCs w:val="20"/>
          <w:color w:val="auto"/>
        </w:rPr>
      </w:pPr>
      <w:r>
        <w:rPr>
          <w:rFonts w:ascii="Arial" w:cs="Arial" w:eastAsia="Arial" w:hAnsi="Arial"/>
          <w:sz w:val="17"/>
          <w:szCs w:val="17"/>
          <w:color w:val="auto"/>
        </w:rPr>
        <w:t>These charges include $0.7 million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03" w:right="259" w:bottom="1440" w:gutter="0" w:footer="0" w:header="0"/>
        </w:sectPr>
      </w:pPr>
    </w:p>
    <w:bookmarkStart w:id="24" w:name="page25"/>
    <w:bookmarkEnd w:id="24"/>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Income tax expense was $1.0 million in the three months ended December 31, 2019 compared to a benefit of $1.2 million in the three months ended December 31, 2018. The income tax expense for the three months ended December 31, 2019 relates primarily to current foreign taxes. In fiscal 2018 the Company determined that it was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Company’s position remains unchanged as of the period ended December 31,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2019 compared to nine months ended December 31, 2018</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Total revenues decreased $23.4 million, or 4%, from $529.5 million in the nine months ended December 31, 2018 to $506.1 million in the nine months ended December 31, 2019.</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Software and Products Revenue. </w:t>
      </w:r>
      <w:r>
        <w:rPr>
          <w:rFonts w:ascii="Arial" w:cs="Arial" w:eastAsia="Arial" w:hAnsi="Arial"/>
          <w:sz w:val="18"/>
          <w:szCs w:val="18"/>
          <w:color w:val="auto"/>
        </w:rPr>
        <w:t>Software and products revenue decreased $20.2 million, or 9%, from $229.1 million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to $208.9 million in the nine months ended December 31, 2019. Software and products revenue represented 41% of our total revenues in the nine months ended December 31, 2019 and 43% in the nine months ended December 31, 2018.</w:t>
      </w:r>
    </w:p>
    <w:p>
      <w:pPr>
        <w:spacing w:after="0" w:line="12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track software and products revenue on a geographic basis. The geographic regions that are tracked are the Americas (United States, Canada, Latin America), EMEA (Europe, Middle East, Africa) and APAC (Australia, New Zealand, Southeast Asia, China, Japan). Americas, EMEA and APAC represented 51%, 35% and 14% of total software and products revenue, respectively, for the nine months ended December 31, 2019. The year over year decline of software and products revenue was 14% in the Americas and 11% in APAC, while EMEA increased 2%.</w:t>
      </w:r>
    </w:p>
    <w:p>
      <w:pPr>
        <w:spacing w:after="0" w:line="117"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decrease in Americas software and products revenue was the result of a decrease in enterprise revenue transactions partially offset by an increase in the average enterprise transaction selling price.</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EMEA software and products revenue increased primarily as a result of an increase in both the amount and average selling price of enterprise revenue transactions.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decrease in APAC software and products revenue was primarily due to a decrease in non-enterprise revenue.</w:t>
      </w:r>
    </w:p>
    <w:p>
      <w:pPr>
        <w:spacing w:after="0" w:line="171"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Software and products revenue derived from enterprise transactions (transactions greater than $0.1 million) represented 64% of our software and products revenue in the nine months ended December 31, 2019 and 63% of our software and products revenue in the nine months ended December 31, 2018. Enterprise transactions decreased by $10.5 million, or 7%, in the nine months ended December 31, 2019 compared to the nine months ended December 31, 2018. This was driven by an 18% decrease in the number of enterprise transactions. The average dollar amount of such transactions was approximately $299 thousand in the nine months ended December 31, 2019 and $264 thousand in the nine months ended December 31, 2018.</w:t>
      </w:r>
    </w:p>
    <w:p>
      <w:pPr>
        <w:spacing w:after="0" w:line="10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decreased $3.2 million, or 1%, from $300.5 million in the nine months ended December 31, 2018 to $297.2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nine months ended December 31, 2019. Services revenue represented 59% of our total revenues in the nine months ended December 31, 2019 and 57% in the nine months ended December 31, 2018. The decrease in services revenue is due to a $4.4 million decrease in training and consulting service revenue partially offset by a $1.2 million increase in revenue from customer support agreements.</w:t>
      </w:r>
    </w:p>
    <w:p>
      <w:pPr>
        <w:spacing w:after="0" w:line="13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Cost of Software and Products Revenues. </w:t>
      </w:r>
      <w:r>
        <w:rPr>
          <w:rFonts w:ascii="Arial" w:cs="Arial" w:eastAsia="Arial" w:hAnsi="Arial"/>
          <w:sz w:val="18"/>
          <w:szCs w:val="18"/>
          <w:color w:val="auto"/>
        </w:rPr>
        <w:t>Total cost of software and products revenues increased $7.7 million, from $15.3 million in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to $22.9 million in the nine months ended December 31, 2019. Cost of software and product revenue represented 11% of software and product revenue in the nine months ended December 31, 2019 compared to 7% in the nine months ended December 31, 2018.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also increase.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Cost of Services Revenues. </w:t>
      </w:r>
      <w:r>
        <w:rPr>
          <w:rFonts w:ascii="Arial" w:cs="Arial" w:eastAsia="Arial" w:hAnsi="Arial"/>
          <w:sz w:val="16"/>
          <w:szCs w:val="16"/>
          <w:color w:val="auto"/>
        </w:rPr>
        <w:t>Total cost of services revenues decreased $0.5 million, or 1%, from $68.1 million in the nine months ended December 31,</w:t>
      </w:r>
    </w:p>
    <w:p>
      <w:pPr>
        <w:spacing w:after="0" w:line="46"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2018 to $67.5 million in the nine months ended December 31, 2019. The gross margin of our services revenue was 77% for both the nine months ended December 31, 2019 and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$28.6 million, or 10%, from $281.5 million in the nine months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to $252.9 million in the nine months ended December 31, 2019. The decrease is due to a $30.9 million decrease in employee compensation and related expenses mainly attributable to our restructuring and reorganization initiatives. Sales and marketing expenses as a percentage of total revenues was 50% and 53% in the nine months ended December 31, 2019 and 2018, respectively.</w:t>
      </w:r>
    </w:p>
    <w:p>
      <w:pPr>
        <w:spacing w:after="0" w:line="133"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$7.6 million, or 11%, from $69.8 million in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to $77.3 million in the nine months ended December 31, 2019. The increase is an increase in employee-related costs resulting from additional headcount due to the acquisition of Hedvig. Approximately $2.7 million of the increase in employee-related costs is related to noncash stock-based compensation. Additionally, certain Hedvig shareholders will receive cash payments totaling $14,100 over the course of the 30 months following the date of acquisition, contingent on their continued employment with the Company. While these payments are proportionate to these shareholders' ownership of Hedvig, under GAAP they are accounted for as compensation expense over the course of the 30 month service period. Research and development expenses for the nine months ended December 31, 2019 include $1.4 million of expense related to this arrangement. Research and development expenses as a percentage of total revenues was 15% and 13% in the nine months ended December 31, 2019 and 2018, respectively.</w:t>
      </w:r>
    </w:p>
    <w:p>
      <w:pPr>
        <w:spacing w:after="0" w:line="112"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$2.1 million, or 3%, from $69.0 million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to $71.1 million in the nine months ended December 31, 2019. General and administrative expenses in the nine months ended December 31, 2019 includes $4.4 million of non-routine acquisition costs related to the Company's acquisition of Hedvig partially offset by a decrease in employee related costs. General and administrative expenses as a percentage of total revenues was 14% and 13% in the nine months ended December 31, 2019 and 2018, respectively.</w:t>
      </w:r>
    </w:p>
    <w:p>
      <w:pPr>
        <w:spacing w:after="0" w:line="134" w:lineRule="exact"/>
        <w:rPr>
          <w:sz w:val="20"/>
          <w:szCs w:val="20"/>
          <w:color w:val="auto"/>
        </w:rPr>
      </w:pPr>
    </w:p>
    <w:p>
      <w:pPr>
        <w:jc w:val="both"/>
        <w:ind w:right="40" w:firstLine="405"/>
        <w:spacing w:after="0" w:line="288" w:lineRule="auto"/>
        <w:rPr>
          <w:sz w:val="20"/>
          <w:szCs w:val="20"/>
          <w:color w:val="auto"/>
        </w:rPr>
      </w:pPr>
      <w:r>
        <w:rPr>
          <w:rFonts w:ascii="Arial" w:cs="Arial" w:eastAsia="Arial" w:hAnsi="Arial"/>
          <w:sz w:val="16"/>
          <w:szCs w:val="16"/>
          <w:i w:val="1"/>
          <w:iCs w:val="1"/>
          <w:color w:val="auto"/>
        </w:rPr>
        <w:t>Restructuring</w:t>
      </w:r>
      <w:r>
        <w:rPr>
          <w:rFonts w:ascii="Arial" w:cs="Arial" w:eastAsia="Arial" w:hAnsi="Arial"/>
          <w:sz w:val="16"/>
          <w:szCs w:val="16"/>
          <w:color w:val="auto"/>
        </w:rPr>
        <w:t>. In fiscal 2019 we initiated a restructuring plan to increase efficiency in our sales, marketing and distribution functions as well as reduce</w:t>
      </w:r>
      <w:r>
        <w:rPr>
          <w:rFonts w:ascii="Arial" w:cs="Arial" w:eastAsia="Arial" w:hAnsi="Arial"/>
          <w:sz w:val="16"/>
          <w:szCs w:val="16"/>
          <w:i w:val="1"/>
          <w:iCs w:val="1"/>
          <w:color w:val="auto"/>
        </w:rPr>
        <w:t xml:space="preserve"> </w:t>
      </w:r>
      <w:r>
        <w:rPr>
          <w:rFonts w:ascii="Arial" w:cs="Arial" w:eastAsia="Arial" w:hAnsi="Arial"/>
          <w:sz w:val="16"/>
          <w:szCs w:val="16"/>
          <w:color w:val="auto"/>
        </w:rPr>
        <w:t>costs across all functional areas. Restructuring expenses were $19.0 million in the nine months ended December 31, 2019. These restructuring charges relate primarily to severance and related costs associated with headcount reductions as well as lease abandonment charges related to the closure of five offices.</w:t>
      </w:r>
    </w:p>
    <w:p>
      <w:pPr>
        <w:ind w:right="60"/>
        <w:spacing w:after="0" w:line="273" w:lineRule="auto"/>
        <w:rPr>
          <w:sz w:val="20"/>
          <w:szCs w:val="20"/>
          <w:color w:val="auto"/>
        </w:rPr>
      </w:pPr>
      <w:r>
        <w:rPr>
          <w:rFonts w:ascii="Arial" w:cs="Arial" w:eastAsia="Arial" w:hAnsi="Arial"/>
          <w:sz w:val="17"/>
          <w:szCs w:val="17"/>
          <w:color w:val="auto"/>
        </w:rPr>
        <w:t>These charges include $1.7 million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right="340" w:firstLine="432"/>
        <w:spacing w:after="0" w:line="276" w:lineRule="auto"/>
        <w:rPr>
          <w:sz w:val="20"/>
          <w:szCs w:val="20"/>
          <w:color w:val="auto"/>
        </w:rPr>
      </w:pPr>
      <w:r>
        <w:rPr>
          <w:rFonts w:ascii="Arial" w:cs="Arial" w:eastAsia="Arial" w:hAnsi="Arial"/>
          <w:sz w:val="17"/>
          <w:szCs w:val="17"/>
          <w:color w:val="auto"/>
        </w:rPr>
        <w:t>Income tax expense was $3.5 million in the nine months ended December 31, 2019 compared to expense of $2.7 million in the nine months ended December 31, 2018. The income tax expense for the nine months ended December 31, 2019 relates primarily to current foreign taxes. In fiscal 2018 the Company determined that it was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Company’s position remains unchanged as of the period ending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As of December 31, 2019, our cash and cash equivalents balance of $272.0 million primarily consisted of cash and cash equivalents in the form of money market funds. In addition, as of December 31, 2019 we have restricted cash of $8.0 million held in an escrow account that relates to the Hedvig acquisition and short-term investments invested in U.S. Treasury Bills totaling $65.0 million. In recent fiscal years, our principal source of liquidity has been cash provided by operations.</w:t>
      </w:r>
    </w:p>
    <w:p>
      <w:pPr>
        <w:spacing w:after="0" w:line="133"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As of December 31, 2019, the amount of cash and cash equivalents held outside of the United States by our foreign legal entities was approximately $161.0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84" w:right="279" w:bottom="1440" w:gutter="0" w:footer="0" w:header="0"/>
        </w:sectPr>
      </w:pPr>
    </w:p>
    <w:bookmarkStart w:id="26" w:name="page27"/>
    <w:bookmarkEnd w:id="26"/>
    <w:p>
      <w:pPr>
        <w:ind w:right="20" w:firstLine="432"/>
        <w:spacing w:after="0" w:line="259" w:lineRule="auto"/>
        <w:rPr>
          <w:sz w:val="20"/>
          <w:szCs w:val="20"/>
          <w:color w:val="auto"/>
        </w:rPr>
      </w:pPr>
      <w:r>
        <w:rPr>
          <w:rFonts w:ascii="Arial" w:cs="Arial" w:eastAsia="Arial" w:hAnsi="Arial"/>
          <w:sz w:val="18"/>
          <w:szCs w:val="18"/>
          <w:color w:val="auto"/>
        </w:rPr>
        <w:t>During the nine months ended December 31, 2019, we repurchased $40.0 million of common stock shares under our share repurchase program. Under our stock repurchase program, repurchased shares are constructively retired and returned to unissued status. Our stock repurchase program has been funded by our existing cash and cash equivalent balances as well as cash flows provided by our operations. As of December 31, 2019, $160.0 million remained in the Company's current stock repurchase authorization which expires March 31, 2020.</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229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20"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64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56,008</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73,594</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(94,056)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(4,011)</w:t>
            </w:r>
          </w:p>
        </w:tc>
      </w:tr>
      <w:tr>
        <w:trPr>
          <w:trHeight w:val="27"/>
        </w:trPr>
        <w:tc>
          <w:tcPr>
            <w:tcW w:w="6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(59,854)</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(13,115)</w:t>
            </w:r>
          </w:p>
        </w:tc>
      </w:tr>
      <w:tr>
        <w:trPr>
          <w:trHeight w:val="27"/>
        </w:trPr>
        <w:tc>
          <w:tcPr>
            <w:tcW w:w="64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(47,967)</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Net cash provided by operating activities was $56.0 million in the nine months ended December 31, 2019 and $73.6 million in the nine months ended December 31, 2018. In the nine months ended December 31, 2019, cash provided by operating activities was primarily due to net loss adjusted for the impact of non-cash charges and collection of accounts receivable, partially offset by decreases in deferred revenue and accrued expenses.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in investing activities was $94.1 million for the nine months ended December 31, 2019 and net cash used in investing activities was $4.0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in the nine months ended December 31, 2018. In the nine months ended December 31, 2019, cash used in investing activities was related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$157.5 million acquisition of Hedvig and $1.9 million of capital expenditures partially offset by net proceeds from the maturity of short-term investments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$65.4 million.</w:t>
      </w:r>
    </w:p>
    <w:p>
      <w:pPr>
        <w:spacing w:after="0" w:line="157"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Net cash used in financing activities was $9.1 million in the nine months ended December 31, 2019 and $59.9 million in the nine months ended December 31, 2018. The cash used in financing activities in the nine months ended December 31, 2019 was the result of $40.0 million of repurchases of common shares partially offset by $30.9 million of proceeds from the exercise of stock options and purchases related to our employee stock purchase program.</w:t>
      </w:r>
    </w:p>
    <w:p>
      <w:pPr>
        <w:spacing w:after="0" w:line="1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Working capital decreased $137.0 million from $328.7 million as of March 31, 2019 to $191.6 million as of December 31, 2019. The net decrease in working capital is due primarily to our use of cash to acquire Hedvig as well as the repurchase of common shares.</w:t>
      </w:r>
    </w:p>
    <w:p>
      <w:pPr>
        <w:spacing w:after="0" w:line="11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As of December 31, 2019, we did not have off-balance sheet financing arrangements, including any relationships with unconsolidated entities or financial partnerships, such as entities often referred to as structured finance or special purpose entities.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03"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As of December 31, 2019,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a global company, we face exposure to adverse movements in foreign currency exchange rates. Our international sales are generally denominated in foreign currencies and this revenue could be materially affected by currency fluctuations. Approximately 49% of our sales were outside the United States for the nine months ended December 31, 2019.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Foreign currency transaction gains and losses are recorded in “General and administrative expenses” in the Consolidated Statements of Operations. We recognized a net foreign currency transaction loss of $0.1 million and $0.2 million in the three and nine months ended December 31, 2019. We recognized net foreign currency transaction gains of $0.1 million and $0.8 million in the three and nine months ended December 31, 2018. The net foreign currency transaction gains and losses recorded in “General and administrative” expenses include settlement gains and losses on forward contracts disclosed below.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December 31, 2019. Based on that evaluation, the Chief Executive Officer and Chief Financial Officer concluded that our disclosure controls and procedures were effective as of December 31, 2019.</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third quarter of fiscal 2020 that has materially affected, or is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99" w:right="279" w:bottom="1440" w:gutter="0" w:footer="0" w:header="0"/>
        </w:sectPr>
      </w:pPr>
    </w:p>
    <w:bookmarkStart w:id="28" w:name="page29"/>
    <w:bookmarkEnd w:id="28"/>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From time to time, we are subject to claims in legal proceedings arising in the normal course of our business. We do not believe that we are currently party to any pending legal action that could reasonably be expected to have a material adverse effect on our business or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2019,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37" w:lineRule="exact"/>
        <w:rPr>
          <w:sz w:val="20"/>
          <w:szCs w:val="20"/>
          <w:color w:val="auto"/>
        </w:rPr>
      </w:pPr>
    </w:p>
    <w:p>
      <w:pPr>
        <w:ind w:right="200" w:firstLine="216"/>
        <w:spacing w:after="0" w:line="277" w:lineRule="auto"/>
        <w:rPr>
          <w:sz w:val="20"/>
          <w:szCs w:val="20"/>
          <w:color w:val="auto"/>
        </w:rPr>
      </w:pPr>
      <w:r>
        <w:rPr>
          <w:rFonts w:ascii="Arial" w:cs="Arial" w:eastAsia="Arial" w:hAnsi="Arial"/>
          <w:sz w:val="18"/>
          <w:szCs w:val="18"/>
          <w:b w:val="1"/>
          <w:bCs w:val="1"/>
          <w:i w:val="1"/>
          <w:iCs w:val="1"/>
          <w:color w:val="auto"/>
        </w:rPr>
        <w:t>We may engage in strategic acquisitions or transactions, which could have a material adverse effect on our business, results of operations, financial condition and cash flows.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October 1, 2019, Commvault completed the acquisition of Hedvig, Inc., a California-based developer of software-defined storage (SDS).</w:t>
      </w:r>
    </w:p>
    <w:p>
      <w:pPr>
        <w:spacing w:after="0" w:line="10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Any additional future acquisitions may also result in the incurrence of indebtedness or the issuance of additional equity securities.</w:t>
      </w:r>
    </w:p>
    <w:p>
      <w:pPr>
        <w:spacing w:after="0" w:line="52"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19"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5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Following the completion of acquisitions,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purchases of our common stock during the three months ended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99"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64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Exhibit</w:t>
            </w:r>
          </w:p>
        </w:tc>
        <w:tc>
          <w:tcPr>
            <w:tcW w:w="4940" w:type="dxa"/>
            <w:vAlign w:val="bottom"/>
          </w:tcPr>
          <w:p>
            <w:pPr>
              <w:spacing w:after="0"/>
              <w:rPr>
                <w:sz w:val="14"/>
                <w:szCs w:val="14"/>
                <w:color w:val="auto"/>
              </w:rPr>
            </w:pPr>
          </w:p>
        </w:tc>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640" w:type="dxa"/>
            <w:vAlign w:val="bottom"/>
          </w:tcPr>
          <w:p>
            <w:pPr>
              <w:jc w:val="center"/>
              <w:ind w:right="128"/>
              <w:spacing w:after="0" w:line="158" w:lineRule="exact"/>
              <w:rPr>
                <w:sz w:val="20"/>
                <w:szCs w:val="20"/>
                <w:color w:val="auto"/>
              </w:rPr>
            </w:pPr>
            <w:r>
              <w:rPr>
                <w:rFonts w:ascii="Arial" w:cs="Arial" w:eastAsia="Arial" w:hAnsi="Arial"/>
                <w:sz w:val="14"/>
                <w:szCs w:val="14"/>
                <w:b w:val="1"/>
                <w:bCs w:val="1"/>
                <w:color w:val="auto"/>
                <w:w w:val="88"/>
              </w:rPr>
              <w:t>No.</w:t>
            </w:r>
          </w:p>
        </w:tc>
        <w:tc>
          <w:tcPr>
            <w:tcW w:w="4940" w:type="dxa"/>
            <w:vAlign w:val="bottom"/>
          </w:tcPr>
          <w:p>
            <w:pPr>
              <w:spacing w:after="0"/>
              <w:rPr>
                <w:sz w:val="13"/>
                <w:szCs w:val="13"/>
                <w:color w:val="auto"/>
              </w:rPr>
            </w:pPr>
          </w:p>
        </w:tc>
        <w:tc>
          <w:tcPr>
            <w:tcW w:w="5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40" w:type="dxa"/>
            <w:vAlign w:val="bottom"/>
          </w:tcPr>
          <w:p>
            <w:pPr>
              <w:spacing w:after="0"/>
              <w:rPr>
                <w:sz w:val="19"/>
                <w:szCs w:val="19"/>
                <w:color w:val="auto"/>
              </w:rPr>
            </w:pP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40" w:type="dxa"/>
            <w:vAlign w:val="bottom"/>
          </w:tcPr>
          <w:p>
            <w:pPr>
              <w:spacing w:after="0"/>
              <w:rPr>
                <w:sz w:val="21"/>
                <w:szCs w:val="21"/>
                <w:color w:val="auto"/>
              </w:rPr>
            </w:pP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40" w:type="dxa"/>
            <w:vAlign w:val="bottom"/>
          </w:tcPr>
          <w:p>
            <w:pPr>
              <w:spacing w:after="0"/>
              <w:rPr>
                <w:sz w:val="21"/>
                <w:szCs w:val="21"/>
                <w:color w:val="auto"/>
              </w:rPr>
            </w:pP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40" w:type="dxa"/>
            <w:vAlign w:val="bottom"/>
          </w:tcPr>
          <w:p>
            <w:pPr>
              <w:spacing w:after="0"/>
              <w:rPr>
                <w:sz w:val="21"/>
                <w:szCs w:val="21"/>
                <w:color w:val="auto"/>
              </w:rPr>
            </w:pP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76"/>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20" w:right="3540" w:hanging="5585"/>
        <w:spacing w:after="0" w:line="810" w:lineRule="auto"/>
        <w:tabs>
          <w:tab w:leader="none" w:pos="1179" w:val="left"/>
        </w:tabs>
        <w:numPr>
          <w:ilvl w:val="0"/>
          <w:numId w:val="7"/>
        </w:numPr>
        <w:rPr>
          <w:rFonts w:ascii="Arial" w:cs="Arial" w:eastAsia="Arial" w:hAnsi="Arial"/>
          <w:sz w:val="18"/>
          <w:szCs w:val="18"/>
          <w:color w:val="auto"/>
        </w:rPr>
      </w:pPr>
      <w:r>
        <w:rPr>
          <w:rFonts w:ascii="Arial" w:cs="Arial" w:eastAsia="Arial" w:hAnsi="Arial"/>
          <w:sz w:val="18"/>
          <w:szCs w:val="18"/>
          <w:color w:val="222222"/>
        </w:rPr>
        <w:t xml:space="preserve">Cover Page Interactive Data File (formatted as Inline XBRL and contained in Exhibit 101) </w:t>
      </w:r>
      <w:r>
        <w:rPr>
          <w:rFonts w:ascii="Arial" w:cs="Arial" w:eastAsia="Arial" w:hAnsi="Arial"/>
          <w:sz w:val="18"/>
          <w:szCs w:val="18"/>
          <w:color w:val="000000"/>
        </w:rPr>
        <w:t>29</w:t>
      </w:r>
    </w:p>
    <w:p>
      <w:pPr>
        <w:sectPr>
          <w:pgSz w:w="11900" w:h="16838" w:orient="portrait"/>
          <w:cols w:equalWidth="0" w:num="1">
            <w:col w:w="11260"/>
          </w:cols>
          <w:pgMar w:left="240" w:top="499"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220"/>
              <w:spacing w:after="0"/>
              <w:rPr>
                <w:sz w:val="20"/>
                <w:szCs w:val="20"/>
                <w:color w:val="auto"/>
              </w:rPr>
            </w:pPr>
            <w:r>
              <w:rPr>
                <w:rFonts w:ascii="Arial" w:cs="Arial" w:eastAsia="Arial" w:hAnsi="Arial"/>
                <w:sz w:val="18"/>
                <w:szCs w:val="18"/>
                <w:color w:val="auto"/>
              </w:rPr>
              <w:t>January 31, 2020</w:t>
            </w:r>
          </w:p>
        </w:tc>
        <w:tc>
          <w:tcPr>
            <w:tcW w:w="3420" w:type="dxa"/>
            <w:vAlign w:val="bottom"/>
          </w:tcPr>
          <w:p>
            <w:pPr>
              <w:ind w:left="288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Sanjay Mirchandani</w:t>
            </w: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420" w:type="dxa"/>
            <w:vAlign w:val="bottom"/>
          </w:tcPr>
          <w:p>
            <w:pPr>
              <w:ind w:left="2880"/>
              <w:spacing w:after="0"/>
              <w:rPr>
                <w:sz w:val="20"/>
                <w:szCs w:val="20"/>
                <w:color w:val="auto"/>
              </w:rPr>
            </w:pPr>
            <w:r>
              <w:rPr>
                <w:rFonts w:ascii="Arial" w:cs="Arial" w:eastAsia="Arial" w:hAnsi="Arial"/>
                <w:sz w:val="18"/>
                <w:szCs w:val="18"/>
                <w:color w:val="auto"/>
                <w:w w:val="94"/>
              </w:rPr>
              <w:t>Sanjay</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Mirchandani</w:t>
            </w:r>
          </w:p>
        </w:tc>
      </w:tr>
      <w:tr>
        <w:trPr>
          <w:trHeight w:val="269"/>
        </w:trPr>
        <w:tc>
          <w:tcPr>
            <w:tcW w:w="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220"/>
              <w:spacing w:after="0"/>
              <w:rPr>
                <w:sz w:val="20"/>
                <w:szCs w:val="20"/>
                <w:color w:val="auto"/>
              </w:rPr>
            </w:pPr>
            <w:r>
              <w:rPr>
                <w:rFonts w:ascii="Arial" w:cs="Arial" w:eastAsia="Arial" w:hAnsi="Arial"/>
                <w:sz w:val="18"/>
                <w:szCs w:val="18"/>
                <w:color w:val="auto"/>
              </w:rPr>
              <w:t>January 31, 2020</w:t>
            </w:r>
          </w:p>
        </w:tc>
        <w:tc>
          <w:tcPr>
            <w:tcW w:w="3420" w:type="dxa"/>
            <w:vAlign w:val="bottom"/>
          </w:tcPr>
          <w:p>
            <w:pPr>
              <w:ind w:left="288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420" w:type="dxa"/>
            <w:vAlign w:val="bottom"/>
          </w:tcPr>
          <w:p>
            <w:pPr>
              <w:ind w:left="288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Vice President and Chief Financial Officer</w:t>
            </w:r>
          </w:p>
        </w:tc>
      </w:tr>
      <w:tr>
        <w:trPr>
          <w:trHeight w:val="459"/>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20" w:type="dxa"/>
            <w:vAlign w:val="bottom"/>
          </w:tcPr>
          <w:p>
            <w:pPr>
              <w:ind w:left="1720"/>
              <w:spacing w:after="0"/>
              <w:rPr>
                <w:sz w:val="20"/>
                <w:szCs w:val="20"/>
                <w:color w:val="auto"/>
              </w:rPr>
            </w:pPr>
            <w:r>
              <w:rPr>
                <w:rFonts w:ascii="Arial" w:cs="Arial" w:eastAsia="Arial" w:hAnsi="Arial"/>
                <w:sz w:val="18"/>
                <w:szCs w:val="18"/>
                <w:color w:val="auto"/>
              </w:rPr>
              <w:t>30</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49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Sanjay Mirchandani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2020</w:t>
      </w:r>
    </w:p>
    <w:p>
      <w:pPr>
        <w:sectPr>
          <w:pgSz w:w="11900" w:h="16838" w:orient="portrait"/>
          <w:cols w:equalWidth="0" w:num="1">
            <w:col w:w="11420"/>
          </w:cols>
          <w:pgMar w:left="240" w:top="55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2020</w:t>
      </w:r>
    </w:p>
    <w:p>
      <w:pPr>
        <w:sectPr>
          <w:pgSz w:w="11900" w:h="16838" w:orient="portrait"/>
          <w:cols w:equalWidth="0" w:num="1">
            <w:col w:w="11420"/>
          </w:cols>
          <w:pgMar w:left="240" w:top="55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December 31, 2019 as filed with the Securities and Exchange Commission (the “Report”), I, Sanjay Mirchandani,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Sanjay Mirchandani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w:t>
      </w:r>
    </w:p>
    <w:p>
      <w:pPr>
        <w:sectPr>
          <w:pgSz w:w="11900" w:h="16838" w:orient="portrait"/>
          <w:cols w:equalWidth="0" w:num="1">
            <w:col w:w="11420"/>
          </w:cols>
          <w:pgMar w:left="240" w:top="553"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December 31, 2019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2020-01-31T14:10:10Z</dcterms:created>
  <dcterms:modified xsi:type="dcterms:W3CDTF">2020-01-31T14:10:10Z</dcterms:modified>
</cp:coreProperties>
</file>