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3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81915</wp:posOffset>
            </wp:positionV>
            <wp:extent cx="1981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3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259715</wp:posOffset>
            </wp:positionV>
            <wp:extent cx="1981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December 31, 2016</w:t>
      </w:r>
    </w:p>
    <w:p>
      <w:pPr>
        <w:spacing w:after="0" w:line="270" w:lineRule="exact"/>
        <w:rPr>
          <w:sz w:val="24"/>
          <w:szCs w:val="24"/>
          <w:color w:val="auto"/>
        </w:rPr>
      </w:pPr>
    </w:p>
    <w:p>
      <w:pPr>
        <w:ind w:left="1780" w:hanging="235"/>
        <w:spacing w:after="0"/>
        <w:tabs>
          <w:tab w:leader="none" w:pos="17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1-33026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240665</wp:posOffset>
            </wp:positionV>
            <wp:extent cx="1981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1200" cy="8890"/>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463550</wp:posOffset>
            </wp:positionV>
            <wp:extent cx="2787015"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701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79"/>
        <w:spacing w:after="0"/>
        <w:rPr>
          <w:sz w:val="20"/>
          <w:szCs w:val="20"/>
          <w:color w:val="auto"/>
        </w:rPr>
      </w:pPr>
      <w:r>
        <w:rPr>
          <w:rFonts w:ascii="Arial" w:cs="Arial" w:eastAsia="Arial" w:hAnsi="Arial"/>
          <w:sz w:val="42"/>
          <w:szCs w:val="42"/>
          <w:b w:val="1"/>
          <w:bCs w:val="1"/>
          <w:color w:val="auto"/>
        </w:rPr>
        <w:t>Commvault Systems, Inc.</w:t>
      </w:r>
    </w:p>
    <w:p>
      <w:pPr>
        <w:spacing w:after="0" w:line="5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2637790</wp:posOffset>
            </wp:positionH>
            <wp:positionV relativeFrom="paragraph">
              <wp:posOffset>227965</wp:posOffset>
            </wp:positionV>
            <wp:extent cx="1981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10"/>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3"/>
              </w:rPr>
              <w:t>Delaware</w:t>
            </w:r>
          </w:p>
        </w:tc>
        <w:tc>
          <w:tcPr>
            <w:tcW w:w="5020" w:type="dxa"/>
            <w:vAlign w:val="bottom"/>
            <w:gridSpan w:val="2"/>
          </w:tcPr>
          <w:p>
            <w:pPr>
              <w:jc w:val="right"/>
              <w:ind w:right="37"/>
              <w:spacing w:after="0"/>
              <w:rPr>
                <w:sz w:val="20"/>
                <w:szCs w:val="20"/>
                <w:color w:val="auto"/>
              </w:rPr>
            </w:pPr>
            <w:r>
              <w:rPr>
                <w:rFonts w:ascii="Arial" w:cs="Arial" w:eastAsia="Arial" w:hAnsi="Arial"/>
                <w:sz w:val="16"/>
                <w:szCs w:val="16"/>
                <w:b w:val="1"/>
                <w:bCs w:val="1"/>
                <w:color w:val="auto"/>
              </w:rPr>
              <w:t>22-3447504</w:t>
            </w:r>
          </w:p>
        </w:tc>
      </w:tr>
      <w:tr>
        <w:trPr>
          <w:trHeight w:val="190"/>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8"/>
              </w:rPr>
              <w:t>(State or other jurisdiction of</w:t>
            </w:r>
          </w:p>
        </w:tc>
        <w:tc>
          <w:tcPr>
            <w:tcW w:w="3120" w:type="dxa"/>
            <w:vAlign w:val="bottom"/>
          </w:tcPr>
          <w:p>
            <w:pPr>
              <w:spacing w:after="0"/>
              <w:rPr>
                <w:sz w:val="16"/>
                <w:szCs w:val="16"/>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9"/>
              </w:rPr>
              <w:t>incorporation or organization)</w:t>
            </w:r>
          </w:p>
        </w:tc>
        <w:tc>
          <w:tcPr>
            <w:tcW w:w="3120" w:type="dxa"/>
            <w:vAlign w:val="bottom"/>
          </w:tcPr>
          <w:p>
            <w:pPr>
              <w:spacing w:after="0"/>
              <w:rPr>
                <w:sz w:val="14"/>
                <w:szCs w:val="14"/>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89"/>
              </w:rPr>
              <w:t>Identification No.)</w:t>
            </w:r>
          </w:p>
        </w:tc>
      </w:tr>
      <w:tr>
        <w:trPr>
          <w:trHeight w:val="353"/>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4"/>
              </w:rPr>
              <w:t>1 Commvault Way</w:t>
            </w:r>
          </w:p>
        </w:tc>
        <w:tc>
          <w:tcPr>
            <w:tcW w:w="3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0"/>
        </w:trPr>
        <w:tc>
          <w:tcPr>
            <w:tcW w:w="2400" w:type="dxa"/>
            <w:vAlign w:val="bottom"/>
          </w:tcPr>
          <w:p>
            <w:pPr>
              <w:jc w:val="center"/>
              <w:ind w:right="228"/>
              <w:spacing w:after="0"/>
              <w:rPr>
                <w:sz w:val="20"/>
                <w:szCs w:val="20"/>
                <w:color w:val="auto"/>
              </w:rPr>
            </w:pPr>
            <w:r>
              <w:rPr>
                <w:rFonts w:ascii="Arial" w:cs="Arial" w:eastAsia="Arial" w:hAnsi="Arial"/>
                <w:sz w:val="16"/>
                <w:szCs w:val="16"/>
                <w:b w:val="1"/>
                <w:bCs w:val="1"/>
                <w:color w:val="auto"/>
                <w:w w:val="91"/>
              </w:rPr>
              <w:t>Tinton Falls, New Jersey</w:t>
            </w:r>
          </w:p>
        </w:tc>
        <w:tc>
          <w:tcPr>
            <w:tcW w:w="5020" w:type="dxa"/>
            <w:vAlign w:val="bottom"/>
            <w:gridSpan w:val="2"/>
          </w:tcPr>
          <w:p>
            <w:pPr>
              <w:jc w:val="right"/>
              <w:ind w:right="237"/>
              <w:spacing w:after="0"/>
              <w:rPr>
                <w:sz w:val="20"/>
                <w:szCs w:val="20"/>
                <w:color w:val="auto"/>
              </w:rPr>
            </w:pPr>
            <w:r>
              <w:rPr>
                <w:rFonts w:ascii="Arial" w:cs="Arial" w:eastAsia="Arial" w:hAnsi="Arial"/>
                <w:sz w:val="16"/>
                <w:szCs w:val="16"/>
                <w:b w:val="1"/>
                <w:bCs w:val="1"/>
                <w:color w:val="auto"/>
              </w:rPr>
              <w:t>07724</w:t>
            </w:r>
          </w:p>
        </w:tc>
      </w:tr>
      <w:tr>
        <w:trPr>
          <w:trHeight w:val="206"/>
        </w:trPr>
        <w:tc>
          <w:tcPr>
            <w:tcW w:w="2400" w:type="dxa"/>
            <w:vAlign w:val="bottom"/>
          </w:tcPr>
          <w:p>
            <w:pPr>
              <w:jc w:val="center"/>
              <w:ind w:right="228"/>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120" w:type="dxa"/>
            <w:vAlign w:val="bottom"/>
          </w:tcPr>
          <w:p>
            <w:pPr>
              <w:spacing w:after="0"/>
              <w:rPr>
                <w:sz w:val="17"/>
                <w:szCs w:val="17"/>
                <w:color w:val="auto"/>
              </w:rPr>
            </w:pPr>
          </w:p>
        </w:tc>
        <w:tc>
          <w:tcPr>
            <w:tcW w:w="1900" w:type="dxa"/>
            <w:vAlign w:val="bottom"/>
          </w:tcPr>
          <w:p>
            <w:pPr>
              <w:jc w:val="center"/>
              <w:ind w:left="857"/>
              <w:spacing w:after="0"/>
              <w:rPr>
                <w:sz w:val="20"/>
                <w:szCs w:val="20"/>
                <w:color w:val="auto"/>
              </w:rPr>
            </w:pPr>
            <w:r>
              <w:rPr>
                <w:rFonts w:ascii="Arial" w:cs="Arial" w:eastAsia="Arial" w:hAnsi="Arial"/>
                <w:sz w:val="13"/>
                <w:szCs w:val="13"/>
                <w:b w:val="1"/>
                <w:bCs w:val="1"/>
                <w:color w:val="auto"/>
                <w:w w:val="90"/>
              </w:rPr>
              <w:t>(Zip Code)</w:t>
            </w:r>
          </w:p>
        </w:tc>
      </w:tr>
      <w:tr>
        <w:trPr>
          <w:trHeight w:val="227"/>
        </w:trPr>
        <w:tc>
          <w:tcPr>
            <w:tcW w:w="2400" w:type="dxa"/>
            <w:vAlign w:val="bottom"/>
          </w:tcPr>
          <w:p>
            <w:pPr>
              <w:spacing w:after="0"/>
              <w:rPr>
                <w:sz w:val="19"/>
                <w:szCs w:val="19"/>
                <w:color w:val="auto"/>
              </w:rPr>
            </w:pPr>
          </w:p>
        </w:tc>
        <w:tc>
          <w:tcPr>
            <w:tcW w:w="3120" w:type="dxa"/>
            <w:vAlign w:val="bottom"/>
          </w:tcPr>
          <w:p>
            <w:pPr>
              <w:jc w:val="right"/>
              <w:ind w:right="983"/>
              <w:spacing w:after="0"/>
              <w:rPr>
                <w:sz w:val="20"/>
                <w:szCs w:val="20"/>
                <w:color w:val="auto"/>
              </w:rPr>
            </w:pPr>
            <w:r>
              <w:rPr>
                <w:rFonts w:ascii="Arial" w:cs="Arial" w:eastAsia="Arial" w:hAnsi="Arial"/>
                <w:sz w:val="16"/>
                <w:szCs w:val="16"/>
                <w:b w:val="1"/>
                <w:bCs w:val="1"/>
                <w:color w:val="auto"/>
              </w:rPr>
              <w:t>(732) 870-4000</w:t>
            </w:r>
          </w:p>
        </w:tc>
        <w:tc>
          <w:tcPr>
            <w:tcW w:w="1900" w:type="dxa"/>
            <w:vAlign w:val="bottom"/>
          </w:tcPr>
          <w:p>
            <w:pPr>
              <w:spacing w:after="0"/>
              <w:rPr>
                <w:sz w:val="19"/>
                <w:szCs w:val="19"/>
                <w:color w:val="auto"/>
              </w:rPr>
            </w:pPr>
          </w:p>
        </w:tc>
      </w:tr>
      <w:tr>
        <w:trPr>
          <w:trHeight w:val="164"/>
        </w:trPr>
        <w:tc>
          <w:tcPr>
            <w:tcW w:w="2400" w:type="dxa"/>
            <w:vAlign w:val="bottom"/>
          </w:tcPr>
          <w:p>
            <w:pPr>
              <w:spacing w:after="0"/>
              <w:rPr>
                <w:sz w:val="14"/>
                <w:szCs w:val="14"/>
                <w:color w:val="auto"/>
              </w:rPr>
            </w:pPr>
          </w:p>
        </w:tc>
        <w:tc>
          <w:tcPr>
            <w:tcW w:w="5020" w:type="dxa"/>
            <w:vAlign w:val="bottom"/>
            <w:gridSpan w:val="2"/>
          </w:tcPr>
          <w:p>
            <w:pPr>
              <w:jc w:val="center"/>
              <w:ind w:right="1877"/>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r>
        <w:trPr>
          <w:trHeight w:val="138"/>
        </w:trPr>
        <w:tc>
          <w:tcPr>
            <w:tcW w:w="2400" w:type="dxa"/>
            <w:vAlign w:val="bottom"/>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1900" w:type="dxa"/>
            <w:vAlign w:val="bottom"/>
          </w:tcPr>
          <w:p>
            <w:pPr>
              <w:spacing w:after="0"/>
              <w:rPr>
                <w:sz w:val="11"/>
                <w:szCs w:val="11"/>
                <w:color w:val="auto"/>
              </w:rPr>
            </w:pPr>
          </w:p>
        </w:tc>
      </w:tr>
    </w:tbl>
    <w:p>
      <w:pPr>
        <w:spacing w:after="0" w:line="31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the Section 13 or 15(d) of the Securities Exchange Act of 1934 during the preceding 12 months (or for such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81" w:lineRule="exact"/>
        <w:rPr>
          <w:sz w:val="24"/>
          <w:szCs w:val="24"/>
          <w:color w:val="auto"/>
        </w:rPr>
      </w:pPr>
    </w:p>
    <w:p>
      <w:pPr>
        <w:ind w:right="4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registrant was required to submit and post such files.) Yes x No </w:t>
      </w:r>
      <w:r>
        <w:rPr>
          <w:rFonts w:ascii="MS PGothic" w:cs="MS PGothic" w:eastAsia="MS PGothic" w:hAnsi="MS PGothic"/>
          <w:sz w:val="13"/>
          <w:szCs w:val="13"/>
          <w:color w:val="auto"/>
        </w:rPr>
        <w:t>☐</w:t>
      </w:r>
    </w:p>
    <w:p>
      <w:pPr>
        <w:spacing w:after="0" w:line="180" w:lineRule="exact"/>
        <w:rPr>
          <w:sz w:val="24"/>
          <w:szCs w:val="24"/>
          <w:color w:val="auto"/>
        </w:rPr>
      </w:pPr>
    </w:p>
    <w:p>
      <w:pPr>
        <w:ind w:right="8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“accelerated filer and large accelerated filer” in rule 12b-2 of the Exchange Act. (Check one):</w:t>
      </w:r>
    </w:p>
    <w:p>
      <w:pPr>
        <w:sectPr>
          <w:pgSz w:w="11900" w:h="16838" w:orient="portrait"/>
          <w:cols w:equalWidth="0" w:num="1">
            <w:col w:w="11240"/>
          </w:cols>
          <w:pgMar w:left="240" w:top="233" w:right="419" w:bottom="1440" w:gutter="0" w:footer="0" w:header="0"/>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4">
            <w:col w:w="1720" w:space="720"/>
            <w:col w:w="5320" w:space="720"/>
            <w:col w:w="1900" w:space="720"/>
            <w:col w:w="140"/>
          </w:cols>
          <w:pgMar w:left="240" w:top="233" w:right="419" w:bottom="1440"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o (Do not check if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4">
            <w:col w:w="1720" w:space="720"/>
            <w:col w:w="5320" w:space="720"/>
            <w:col w:w="1900" w:space="720"/>
            <w:col w:w="140"/>
          </w:cols>
          <w:pgMar w:left="240" w:top="233" w:right="41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 x</w:t>
      </w:r>
    </w:p>
    <w:p>
      <w:pPr>
        <w:spacing w:after="0" w:line="200" w:lineRule="exact"/>
        <w:rPr>
          <w:sz w:val="24"/>
          <w:szCs w:val="24"/>
          <w:color w:val="auto"/>
        </w:rPr>
      </w:pPr>
    </w:p>
    <w:p>
      <w:pPr>
        <w:sectPr>
          <w:pgSz w:w="11900" w:h="16838" w:orient="portrait"/>
          <w:cols w:equalWidth="0" w:num="4">
            <w:col w:w="6540" w:space="140"/>
            <w:col w:w="220" w:space="60"/>
            <w:col w:w="140" w:space="140"/>
            <w:col w:w="4000"/>
          </w:cols>
          <w:pgMar w:left="240" w:top="233" w:right="419" w:bottom="1440" w:gutter="0" w:footer="0" w:header="0"/>
          <w:type w:val="continuous"/>
        </w:sectPr>
      </w:pPr>
    </w:p>
    <w:p>
      <w:pPr>
        <w:spacing w:after="0" w:line="17" w:lineRule="exact"/>
        <w:rPr>
          <w:sz w:val="24"/>
          <w:szCs w:val="24"/>
          <w:color w:val="auto"/>
        </w:rPr>
      </w:pPr>
    </w:p>
    <w:p>
      <w:pPr>
        <w:spacing w:after="0"/>
        <w:rPr>
          <w:sz w:val="20"/>
          <w:szCs w:val="20"/>
          <w:color w:val="auto"/>
        </w:rPr>
      </w:pPr>
      <w:r>
        <w:rPr>
          <w:rFonts w:ascii="Arial" w:cs="Arial" w:eastAsia="Arial" w:hAnsi="Arial"/>
          <w:sz w:val="12"/>
          <w:szCs w:val="12"/>
          <w:color w:val="auto"/>
        </w:rPr>
        <w:t>As of January 23, 2017, there were 45,079,668 shares of the registrant’s common stock, $0.01 par value, outstanding.</w:t>
      </w:r>
    </w:p>
    <w:p>
      <w:pPr>
        <w:sectPr>
          <w:pgSz w:w="11900" w:h="16838" w:orient="portrait"/>
          <w:cols w:equalWidth="0" w:num="1">
            <w:col w:w="11240"/>
          </w:cols>
          <w:pgMar w:left="240" w:top="233" w:right="4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color w:val="auto"/>
                <w:w w:val="85"/>
              </w:rPr>
              <w:t>Page</w:t>
            </w:r>
          </w:p>
        </w:tc>
      </w:tr>
      <w:tr>
        <w:trPr>
          <w:trHeight w:val="230"/>
        </w:trPr>
        <w:tc>
          <w:tcPr>
            <w:tcW w:w="10700" w:type="dxa"/>
            <w:vAlign w:val="bottom"/>
            <w:gridSpan w:val="18"/>
          </w:tcPr>
          <w:p>
            <w:pPr>
              <w:spacing w:after="0"/>
              <w:rPr>
                <w:sz w:val="20"/>
                <w:szCs w:val="20"/>
                <w:color w:val="auto"/>
              </w:rPr>
            </w:pPr>
            <w:r>
              <w:rPr>
                <w:rFonts w:ascii="Arial" w:cs="Arial" w:eastAsia="Arial" w:hAnsi="Arial"/>
                <w:sz w:val="18"/>
                <w:szCs w:val="18"/>
                <w:b w:val="1"/>
                <w:bCs w:val="1"/>
                <w:color w:val="auto"/>
              </w:rPr>
              <w:t>Part I – FINANCIAL INFORMATION</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16"/>
          </w:tcPr>
          <w:p>
            <w:pPr>
              <w:spacing w:after="0"/>
              <w:rPr>
                <w:sz w:val="20"/>
                <w:szCs w:val="20"/>
                <w:color w:val="auto"/>
              </w:rPr>
            </w:pPr>
            <w:r>
              <w:rPr>
                <w:rFonts w:ascii="Arial" w:cs="Arial" w:eastAsia="Arial" w:hAnsi="Arial"/>
                <w:sz w:val="18"/>
                <w:szCs w:val="18"/>
                <w:color w:val="auto"/>
              </w:rPr>
              <w:t>Financial Statements and Notes</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Sheets as of December 31, 2016 and March 31, 2016</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0" w:type="dxa"/>
            <w:vAlign w:val="bottom"/>
            <w:gridSpan w:val="16"/>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Unaudited Consolidated Statements of Income (Loss) for the three and nine months ended December 31, 2016 and 2015</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80" w:type="dxa"/>
            <w:vAlign w:val="bottom"/>
            <w:tcBorders>
              <w:left w:val="single" w:sz="8" w:color="0000EE"/>
            </w:tcBorders>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0" w:type="dxa"/>
            <w:vAlign w:val="bottom"/>
            <w:gridSpan w:val="16"/>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Consolidated Statements of Comprehensive Income (Loss) for the three and nine months ended December 31, 2016 and</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0000EE"/>
              <w:bottom w:val="single" w:sz="8" w:color="0000EE"/>
            </w:tcBorders>
          </w:tcPr>
          <w:p>
            <w:pPr>
              <w:spacing w:after="0"/>
              <w:rPr>
                <w:rFonts w:ascii="Arial" w:cs="Arial" w:eastAsia="Arial" w:hAnsi="Arial"/>
                <w:sz w:val="17"/>
                <w:szCs w:val="17"/>
                <w:color w:val="0000EE"/>
                <w:w w:val="73"/>
              </w:rPr>
            </w:pPr>
            <w:hyperlink w:anchor="page5">
              <w:r>
                <w:rPr>
                  <w:rFonts w:ascii="Arial" w:cs="Arial" w:eastAsia="Arial" w:hAnsi="Arial"/>
                  <w:sz w:val="17"/>
                  <w:szCs w:val="17"/>
                  <w:color w:val="0000EE"/>
                  <w:w w:val="73"/>
                </w:rPr>
                <w:t>2015</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9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 of Stockholders’ Equity for the nine months ended December 31, 2016</w:t>
              </w:r>
            </w:hyperlink>
          </w:p>
        </w:tc>
        <w:tc>
          <w:tcPr>
            <w:tcW w:w="200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7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Unaudited Consolidated Statements of Cash Flows for the nine months ended December 31, 2016 and 2015</w:t>
              </w:r>
            </w:hyperlink>
          </w:p>
        </w:tc>
        <w:tc>
          <w:tcPr>
            <w:tcW w:w="190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Consolidated Financial Statements (unaudited)</w:t>
              </w:r>
            </w:hyperlink>
          </w:p>
        </w:tc>
        <w:tc>
          <w:tcPr>
            <w:tcW w:w="5640" w:type="dxa"/>
            <w:vAlign w:val="bottom"/>
            <w:gridSpan w:val="8"/>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00" w:type="dxa"/>
            <w:vAlign w:val="bottom"/>
            <w:gridSpan w:val="11"/>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2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180" w:type="dxa"/>
            <w:vAlign w:val="bottom"/>
            <w:tcBorders>
              <w:left w:val="single" w:sz="8" w:color="0000EE"/>
            </w:tcBorders>
            <w:gridSpan w:val="2"/>
            <w:shd w:val="clear" w:color="auto" w:fill="0000EE"/>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00" w:type="dxa"/>
            <w:vAlign w:val="bottom"/>
            <w:gridSpan w:val="1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32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25</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380" w:type="dxa"/>
            <w:vAlign w:val="bottom"/>
            <w:tcBorders>
              <w:left w:val="single" w:sz="8" w:color="0000EE"/>
            </w:tcBorders>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20" w:type="dxa"/>
            <w:vAlign w:val="bottom"/>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53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10700" w:type="dxa"/>
            <w:vAlign w:val="bottom"/>
            <w:gridSpan w:val="18"/>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 OTHER INFORMATION</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620" w:type="dxa"/>
            <w:vAlign w:val="bottom"/>
            <w:tcBorders>
              <w:top w:val="single" w:sz="8" w:color="0000EE"/>
            </w:tcBorders>
            <w:gridSpan w:val="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798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40" w:type="dxa"/>
            <w:vAlign w:val="bottom"/>
            <w:gridSpan w:val="3"/>
          </w:tcPr>
          <w:p>
            <w:pPr>
              <w:spacing w:after="0"/>
              <w:rPr>
                <w:rFonts w:ascii="Arial" w:cs="Arial" w:eastAsia="Arial" w:hAnsi="Arial"/>
                <w:sz w:val="18"/>
                <w:szCs w:val="18"/>
                <w:color w:val="0000EE"/>
                <w:w w:val="81"/>
              </w:rPr>
            </w:pPr>
            <w:hyperlink w:anchor="page29">
              <w:r>
                <w:rPr>
                  <w:rFonts w:ascii="Arial" w:cs="Arial" w:eastAsia="Arial" w:hAnsi="Arial"/>
                  <w:sz w:val="18"/>
                  <w:szCs w:val="18"/>
                  <w:color w:val="0000EE"/>
                  <w:w w:val="81"/>
                </w:rPr>
                <w:t>Risk Factors</w:t>
              </w:r>
            </w:hyperlink>
          </w:p>
        </w:tc>
        <w:tc>
          <w:tcPr>
            <w:tcW w:w="400" w:type="dxa"/>
            <w:vAlign w:val="bottom"/>
          </w:tcPr>
          <w:p>
            <w:pPr>
              <w:spacing w:after="0"/>
              <w:rPr>
                <w:sz w:val="21"/>
                <w:szCs w:val="21"/>
                <w:color w:val="auto"/>
              </w:rPr>
            </w:pPr>
          </w:p>
        </w:tc>
        <w:tc>
          <w:tcPr>
            <w:tcW w:w="836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20" w:type="dxa"/>
            <w:vAlign w:val="bottom"/>
            <w:gridSpan w:val="9"/>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Unregistered Sale of Equity Securities and Use of Proceeds</w:t>
              </w:r>
            </w:hyperlink>
          </w:p>
        </w:tc>
        <w:tc>
          <w:tcPr>
            <w:tcW w:w="53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60" w:type="dxa"/>
            <w:vAlign w:val="bottom"/>
            <w:gridSpan w:val="7"/>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Defaults Upon Senior Securities</w:t>
              </w:r>
            </w:hyperlink>
          </w:p>
        </w:tc>
        <w:tc>
          <w:tcPr>
            <w:tcW w:w="1960" w:type="dxa"/>
            <w:vAlign w:val="bottom"/>
            <w:gridSpan w:val="2"/>
          </w:tcPr>
          <w:p>
            <w:pPr>
              <w:spacing w:after="0"/>
              <w:rPr>
                <w:sz w:val="21"/>
                <w:szCs w:val="21"/>
                <w:color w:val="auto"/>
              </w:rPr>
            </w:pPr>
          </w:p>
        </w:tc>
        <w:tc>
          <w:tcPr>
            <w:tcW w:w="53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27</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734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260" w:type="dxa"/>
            <w:vAlign w:val="bottom"/>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734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90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00" w:type="dxa"/>
            <w:vAlign w:val="bottom"/>
            <w:gridSpan w:val="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790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36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540" w:type="dxa"/>
            <w:vAlign w:val="bottom"/>
            <w:gridSpan w:val="2"/>
          </w:tcPr>
          <w:p>
            <w:pPr>
              <w:spacing w:after="0"/>
              <w:rPr>
                <w:rFonts w:ascii="Arial" w:cs="Arial" w:eastAsia="Arial" w:hAnsi="Arial"/>
                <w:sz w:val="18"/>
                <w:szCs w:val="18"/>
                <w:color w:val="0000EE"/>
                <w:w w:val="82"/>
              </w:rPr>
            </w:pPr>
            <w:hyperlink w:anchor="page30">
              <w:r>
                <w:rPr>
                  <w:rFonts w:ascii="Arial" w:cs="Arial" w:eastAsia="Arial" w:hAnsi="Arial"/>
                  <w:sz w:val="18"/>
                  <w:szCs w:val="18"/>
                  <w:color w:val="0000EE"/>
                  <w:w w:val="82"/>
                </w:rPr>
                <w:t>Exhibits</w:t>
              </w:r>
            </w:hyperlink>
          </w:p>
        </w:tc>
        <w:tc>
          <w:tcPr>
            <w:tcW w:w="700" w:type="dxa"/>
            <w:vAlign w:val="bottom"/>
            <w:gridSpan w:val="2"/>
          </w:tcPr>
          <w:p>
            <w:pPr>
              <w:spacing w:after="0"/>
              <w:rPr>
                <w:sz w:val="21"/>
                <w:szCs w:val="21"/>
                <w:color w:val="auto"/>
              </w:rPr>
            </w:pPr>
          </w:p>
        </w:tc>
        <w:tc>
          <w:tcPr>
            <w:tcW w:w="836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r>
      <w:tr>
        <w:trPr>
          <w:trHeight w:val="20"/>
        </w:trPr>
        <w:tc>
          <w:tcPr>
            <w:tcW w:w="9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906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100" w:type="dxa"/>
            <w:vAlign w:val="bottom"/>
            <w:gridSpan w:val="2"/>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SIGNATURES</w:t>
              </w:r>
            </w:hyperlink>
          </w:p>
        </w:tc>
        <w:tc>
          <w:tcPr>
            <w:tcW w:w="9600" w:type="dxa"/>
            <w:vAlign w:val="bottom"/>
            <w:gridSpan w:val="1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20"/>
        </w:trPr>
        <w:tc>
          <w:tcPr>
            <w:tcW w:w="9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80" w:type="dxa"/>
            <w:vAlign w:val="bottom"/>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Exhibit Index</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20"/>
        </w:trPr>
        <w:tc>
          <w:tcPr>
            <w:tcW w:w="980" w:type="dxa"/>
            <w:vAlign w:val="bottom"/>
            <w:shd w:val="clear" w:color="auto" w:fill="0000EE"/>
          </w:tcPr>
          <w:p>
            <w:pPr>
              <w:spacing w:after="0" w:line="20" w:lineRule="exact"/>
              <w:rPr>
                <w:sz w:val="1"/>
                <w:szCs w:val="1"/>
                <w:color w:val="auto"/>
              </w:rPr>
            </w:pPr>
          </w:p>
        </w:tc>
        <w:tc>
          <w:tcPr>
            <w:tcW w:w="972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700" w:type="dxa"/>
            <w:vAlign w:val="bottom"/>
            <w:gridSpan w:val="18"/>
          </w:tcPr>
          <w:p>
            <w:pPr>
              <w:ind w:left="340"/>
              <w:spacing w:after="0"/>
              <w:rPr>
                <w:sz w:val="20"/>
                <w:szCs w:val="20"/>
                <w:color w:val="auto"/>
              </w:rPr>
            </w:pPr>
            <w:r>
              <w:rPr>
                <w:rFonts w:ascii="Arial" w:cs="Arial" w:eastAsia="Arial" w:hAnsi="Arial"/>
                <w:sz w:val="18"/>
                <w:szCs w:val="18"/>
                <w:color w:val="auto"/>
              </w:rPr>
              <w:t>Exhibit 31.1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0700" w:type="dxa"/>
            <w:vAlign w:val="bottom"/>
            <w:gridSpan w:val="18"/>
          </w:tcPr>
          <w:p>
            <w:pPr>
              <w:ind w:left="340"/>
              <w:spacing w:after="0"/>
              <w:rPr>
                <w:sz w:val="20"/>
                <w:szCs w:val="20"/>
                <w:color w:val="auto"/>
              </w:rPr>
            </w:pPr>
            <w:r>
              <w:rPr>
                <w:rFonts w:ascii="Arial" w:cs="Arial" w:eastAsia="Arial" w:hAnsi="Arial"/>
                <w:sz w:val="18"/>
                <w:szCs w:val="18"/>
                <w:color w:val="auto"/>
              </w:rPr>
              <w:t>Exhibit 31.2</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700" w:type="dxa"/>
            <w:vAlign w:val="bottom"/>
            <w:gridSpan w:val="18"/>
          </w:tcPr>
          <w:p>
            <w:pPr>
              <w:ind w:left="340"/>
              <w:spacing w:after="0"/>
              <w:rPr>
                <w:sz w:val="20"/>
                <w:szCs w:val="20"/>
                <w:color w:val="auto"/>
              </w:rPr>
            </w:pPr>
            <w:r>
              <w:rPr>
                <w:rFonts w:ascii="Arial" w:cs="Arial" w:eastAsia="Arial" w:hAnsi="Arial"/>
                <w:sz w:val="18"/>
                <w:szCs w:val="18"/>
                <w:color w:val="auto"/>
              </w:rPr>
              <w:t>Exhibit 32.1</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700" w:type="dxa"/>
            <w:vAlign w:val="bottom"/>
            <w:gridSpan w:val="18"/>
          </w:tcPr>
          <w:p>
            <w:pPr>
              <w:ind w:left="340"/>
              <w:spacing w:after="0"/>
              <w:rPr>
                <w:sz w:val="20"/>
                <w:szCs w:val="20"/>
                <w:color w:val="auto"/>
              </w:rPr>
            </w:pPr>
            <w:r>
              <w:rPr>
                <w:rFonts w:ascii="Arial" w:cs="Arial" w:eastAsia="Arial" w:hAnsi="Arial"/>
                <w:sz w:val="18"/>
                <w:szCs w:val="18"/>
                <w:color w:val="auto"/>
              </w:rPr>
              <w:t>Exhibit 32.2</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351"/>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70"/>
        </w:trPr>
        <w:tc>
          <w:tcPr>
            <w:tcW w:w="8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8360" w:type="dxa"/>
            <w:vAlign w:val="bottom"/>
            <w:tcBorders>
              <w:bottom w:val="single" w:sz="8" w:color="CCEEFF"/>
            </w:tcBorders>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288,107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120,747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99,072</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Trade accounts receivable, less allowance for doubtful accounts of $325 at December 31, 2016 and $315 at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March 31, 2016</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113,429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15,754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16,769</w:t>
            </w: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568,764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517,377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57,956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49,976</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132,862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135,904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Equity method investment</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4,035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4,579</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6,737</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769,716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714,573</w:t>
            </w:r>
          </w:p>
        </w:tc>
      </w:tr>
      <w:tr>
        <w:trPr>
          <w:trHeight w:val="67"/>
        </w:trPr>
        <w:tc>
          <w:tcPr>
            <w:tcW w:w="83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shd w:val="clear" w:color="auto" w:fill="CCEEFF"/>
          </w:tcPr>
          <w:p>
            <w:pPr>
              <w:ind w:left="21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75,971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69,678</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191,052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194,977</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267,166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264,964</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49,889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3,597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3,452</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Preferred stock, $0.01 par value: 50,000 shares authorized, no shares issued and outstanding at December 31,</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and March 31, 2016</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7"/>
              </w:rPr>
              <w:t>Common stock, $0.01 par value: 250,000 shares authorized, 44,948 shares and 44,134 shares issued and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outstanding at December 31, 2016 and March 31, 2016, respectively</w:t>
            </w: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440</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602,999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(221,976)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(197,962)</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435,190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396,268</w:t>
            </w: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769,716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714,573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December 31,</w:t>
            </w:r>
          </w:p>
        </w:tc>
        <w:tc>
          <w:tcPr>
            <w:tcW w:w="140" w:type="dxa"/>
            <w:vAlign w:val="bottom"/>
          </w:tcPr>
          <w:p>
            <w:pPr>
              <w:spacing w:after="0"/>
              <w:rPr>
                <w:sz w:val="16"/>
                <w:szCs w:val="16"/>
                <w:color w:val="auto"/>
              </w:rPr>
            </w:pPr>
          </w:p>
        </w:tc>
        <w:tc>
          <w:tcPr>
            <w:tcW w:w="224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w w:val="93"/>
              </w:rPr>
              <w:t>Nine Months Ended December 31,</w:t>
            </w: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Software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77,322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71,389</w:t>
            </w:r>
          </w:p>
        </w:tc>
        <w:tc>
          <w:tcPr>
            <w:tcW w:w="4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211,716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185,449</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88,519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84,307</w:t>
            </w:r>
          </w:p>
        </w:tc>
        <w:tc>
          <w:tcPr>
            <w:tcW w:w="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265,871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250,112</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165,841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155,696</w:t>
            </w:r>
          </w:p>
        </w:tc>
        <w:tc>
          <w:tcPr>
            <w:tcW w:w="4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477,587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435,561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530</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19,899</w:t>
            </w:r>
          </w:p>
        </w:tc>
        <w:tc>
          <w:tcPr>
            <w:tcW w:w="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60,320</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Total cost of revenues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21,166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20,429</w:t>
            </w:r>
          </w:p>
        </w:tc>
        <w:tc>
          <w:tcPr>
            <w:tcW w:w="4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63,818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61,915</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144,675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135,267</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413,769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373,646</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98,433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91,393</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285,912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263,017</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21,227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17,963</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60,676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50,876</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20,002</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59,717</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2,400</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6,382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7,336</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143,433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131,758</w:t>
            </w:r>
          </w:p>
        </w:tc>
        <w:tc>
          <w:tcPr>
            <w:tcW w:w="4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415,832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380,946</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3,509</w:t>
            </w:r>
          </w:p>
        </w:tc>
        <w:tc>
          <w:tcPr>
            <w:tcW w:w="4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207</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of affiliate</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3,482</w:t>
            </w:r>
          </w:p>
        </w:tc>
        <w:tc>
          <w:tcPr>
            <w:tcW w:w="4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4,878</w:t>
            </w:r>
          </w:p>
        </w:tc>
        <w:tc>
          <w:tcPr>
            <w:tcW w:w="4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67"/>
        </w:trPr>
        <w:tc>
          <w:tcPr>
            <w:tcW w:w="61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(loss) per common share:</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0.11</w:t>
            </w:r>
          </w:p>
        </w:tc>
        <w:tc>
          <w:tcPr>
            <w:tcW w:w="4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67"/>
        </w:trPr>
        <w:tc>
          <w:tcPr>
            <w:tcW w:w="61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0.10</w:t>
            </w: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45,315</w:t>
            </w:r>
          </w:p>
        </w:tc>
        <w:tc>
          <w:tcPr>
            <w:tcW w:w="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45,339</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45,099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46,577</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44,645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45,339</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December 31,</w:t>
            </w:r>
          </w:p>
        </w:tc>
        <w:tc>
          <w:tcPr>
            <w:tcW w:w="260" w:type="dxa"/>
            <w:vAlign w:val="bottom"/>
          </w:tcPr>
          <w:p>
            <w:pPr>
              <w:spacing w:after="0"/>
              <w:rPr>
                <w:sz w:val="16"/>
                <w:szCs w:val="16"/>
                <w:color w:val="auto"/>
              </w:rPr>
            </w:pPr>
          </w:p>
        </w:tc>
        <w:tc>
          <w:tcPr>
            <w:tcW w:w="258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w w:val="97"/>
              </w:rPr>
              <w:t>Nine Months Ended December 31,</w:t>
            </w:r>
          </w:p>
        </w:tc>
      </w:tr>
      <w:tr>
        <w:trPr>
          <w:trHeight w:val="264"/>
        </w:trPr>
        <w:tc>
          <w:tcPr>
            <w:tcW w:w="55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4,382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(7,435)</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(7,834)</w:t>
            </w:r>
          </w:p>
        </w:tc>
      </w:tr>
      <w:tr>
        <w:trPr>
          <w:trHeight w:val="27"/>
        </w:trPr>
        <w:tc>
          <w:tcPr>
            <w:tcW w:w="5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94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44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Paid – In</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4"/>
                <w:szCs w:val="4"/>
                <w:color w:val="auto"/>
              </w:rPr>
            </w:pPr>
          </w:p>
        </w:tc>
        <w:tc>
          <w:tcPr>
            <w:tcW w:w="13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480" w:type="dxa"/>
            <w:vAlign w:val="bottom"/>
          </w:tcPr>
          <w:p>
            <w:pPr>
              <w:spacing w:after="0"/>
              <w:rPr>
                <w:sz w:val="6"/>
                <w:szCs w:val="6"/>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2016</w:t>
            </w:r>
          </w:p>
        </w:tc>
        <w:tc>
          <w:tcPr>
            <w:tcW w:w="9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44,134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602,999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396,268</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55,153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55,153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benefits relating to stock-based payments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w w:val="94"/>
              </w:rPr>
              <w:t>Share issuances related to stock-based compensation</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14,258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14,271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(24,997)</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w:t>
            </w: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9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44,948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670,714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(221,976)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435,190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Commvault Systems, Inc.</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 December 31,</w:t>
            </w:r>
          </w:p>
        </w:tc>
      </w:tr>
      <w:tr>
        <w:trPr>
          <w:trHeight w:val="264"/>
        </w:trPr>
        <w:tc>
          <w:tcPr>
            <w:tcW w:w="83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(5,658)</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7,573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8,509</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47,516</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Excess tax benefits from stock-based compensation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(6,263)</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Equity in loss of affiliate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Trade accounts receivable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2,186</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current assets and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2,448</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4,020</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16,933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2,984</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71,054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47,234</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Purchase of short-term investments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(93,911)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(72,235)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maturity of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37,461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Purchases of equity method investment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(4,576)</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for corporate campus headquarters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(5,007)</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(46,468)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(34,580)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the exercise of stock options and the Employee Stock Purchase Plan</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14,271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9,778</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benefits from stock-based compensation</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(18,539)</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exchange rate — changes in cash</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(21,277)</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288,107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337,673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316,412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316,396</w:t>
            </w:r>
          </w:p>
        </w:tc>
      </w:tr>
      <w:tr>
        <w:trPr>
          <w:trHeight w:val="27"/>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unaudited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391" w:lineRule="exact"/>
        <w:rPr>
          <w:sz w:val="20"/>
          <w:szCs w:val="20"/>
          <w:color w:val="auto"/>
        </w:rPr>
      </w:pPr>
    </w:p>
    <w:p>
      <w:pPr>
        <w:ind w:firstLine="243"/>
        <w:spacing w:after="0" w:line="270" w:lineRule="auto"/>
        <w:rPr>
          <w:sz w:val="20"/>
          <w:szCs w:val="20"/>
          <w:color w:val="auto"/>
        </w:rPr>
      </w:pPr>
      <w:r>
        <w:rPr>
          <w:rFonts w:ascii="Arial" w:cs="Arial" w:eastAsia="Arial" w:hAnsi="Arial"/>
          <w:sz w:val="17"/>
          <w:szCs w:val="17"/>
          <w:color w:val="auto"/>
        </w:rPr>
        <w:t>Commvault Systems, Inc. and its subsidiaries (“Commvault” or the “Company”) is a leading provider of data and information management software applications and related services. The Company develops, markets and sells a suite of software applications and services, primarily in North America, Europe, Australia and Asia, that provides its customers with data protection solutions supporting all major operating systems, applications, and databases on virtual and physical servers, NAS shares, cloud-based infrastructures, and mobile devices; management through a single console; multiple protection methods including backup and archive, snapshot management, replication, and content indexing for eDiscovery; efficient storage management using deduplication for disk, tape and cloud; integration with the industry's top storage arrays; complete virtual infrastructure management supporting multiple hypervisors; security capabilities to limit access to critical data; policy based data management; and an end-user experience that allows them to protect, find and recover their own data using common tools such as web browsers, Microsoft Outlook and File Explorer. The Company also provides its customers with a broad range of professional and customer support services.</w:t>
      </w:r>
    </w:p>
    <w:p>
      <w:pPr>
        <w:spacing w:after="0" w:line="12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consolidated financial statements as of December 31, 2016 and for the three and nine months ended December 31, 2016 and 2015 are unaudited, and in the opinion of management, include all adjustments (consisting only of normal recurring adjustments) necessary for a fair presentation of the results for the interim periods. Accordingly, they do not include all of the information and footnotes required by U.S. generally accepted accounting principles (“U.S. GAAP”) for complete financial statements and should be read in conjunction with the financial statements and notes in the Company’s Annual Report on Form 10-K for fiscal 2016. The results reported in these financial statements should not necessarily be taken as indicative of results that may be expected for the entire fiscal year.</w:t>
      </w:r>
    </w:p>
    <w:p>
      <w:pPr>
        <w:spacing w:after="0" w:line="139"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and estimates that affect the amounts reported in the Company’s consolidated financial statements and the accompanying notes. The Company bases its estimates and judgments on historical experience and on various other assumptions that it believes are reasonable under the circumstances. The amounts of assets and liabilities reported in the Company’s balance sheets and the amounts of revenues and expenses reported for each of its periods presented are affected by estimates and assumptions, which are used for, but not limited to, the accounting for revenue recognition, allowance for doubtful accounts, income taxes and related reserves, stock-based compensation and accounting for research and development costs. Actual results could differ from those estimates.</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2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There have been no significant changes in the Company’s accounting policies during the nine months ended December 31, 2016 as compared to the significant accounting policies described in its Annual Report on Form 10-K for the year ended March 31, 2016.</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May 2014, the FASB issued Accounting Standards Update ("ASU") No. 2014-09, "Revenue from Contracts with Customers (Topic 606)" This standard replaces existing revenue recognition rules with a comprehensive revenue measurement and recognition standard and expanded disclosure requirements. The standard also includes guidance regarding the accounting for contract acquisition costs, which include sales commissions. The new standard will be effective for the Company beginning April 1, 2018, and early adoption as of April 1, 2017 is permitted. The guidance permits two methods of adoption: retrospectively to each prior reporting period presented (full retrospective method), or retrospectively with the cumulative effect of initially applying the guidance recognized at the date of initial application. The Company is considering the early adoption of the standard on April 1, 2017 using the full retrospective method to restate each prior reporting period presented.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While the Company continues to assess all potential impacts of this new standard, it currently believes the most significant impacts relate to the accounting for commissions costs and the timing of revenue recognition of subscription, or term-based, software license arrangements. Specifically, under the new standard:</w:t>
      </w:r>
    </w:p>
    <w:p>
      <w:pPr>
        <w:spacing w:after="0" w:line="181" w:lineRule="exact"/>
        <w:rPr>
          <w:sz w:val="20"/>
          <w:szCs w:val="20"/>
          <w:color w:val="auto"/>
        </w:rPr>
      </w:pPr>
    </w:p>
    <w:p>
      <w:pPr>
        <w:ind w:left="880" w:hanging="332"/>
        <w:spacing w:after="0" w:line="264"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cost of sales commissions will be recorded as an asset and recognized as an operating expense over the time period that the Company expects to recover the costs and the Company believes the impact may be material to the financial statements. Currently, the Company expenses commissions cost as incurred;</w:t>
      </w:r>
    </w:p>
    <w:p>
      <w:pPr>
        <w:spacing w:after="0" w:line="181" w:lineRule="exact"/>
        <w:rPr>
          <w:rFonts w:ascii="Arial" w:cs="Arial" w:eastAsia="Arial" w:hAnsi="Arial"/>
          <w:sz w:val="18"/>
          <w:szCs w:val="18"/>
          <w:color w:val="auto"/>
        </w:rPr>
      </w:pPr>
    </w:p>
    <w:p>
      <w:pPr>
        <w:jc w:val="both"/>
        <w:ind w:left="880" w:right="140" w:hanging="332"/>
        <w:spacing w:after="0" w:line="264"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Software revenue associated with non-cancellable subscription or, term-based, software license arrangements will generally be recognized upon delivery of the license. Historically, these arrangements have not been material, and the Company currently recognizes this revenue ratably over the term of the software license; and</w:t>
      </w:r>
    </w:p>
    <w:p>
      <w:pPr>
        <w:spacing w:after="0" w:line="181" w:lineRule="exact"/>
        <w:rPr>
          <w:rFonts w:ascii="Arial" w:cs="Arial" w:eastAsia="Arial" w:hAnsi="Arial"/>
          <w:sz w:val="18"/>
          <w:szCs w:val="18"/>
          <w:color w:val="auto"/>
        </w:rPr>
      </w:pPr>
    </w:p>
    <w:p>
      <w:pPr>
        <w:ind w:left="880" w:right="380" w:hanging="332"/>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expects that the accounting for software revenue derived from perpetual based licensing arrangements and associated services revenues will not be materially impacted.</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adoption of the standard will require the implementation of new accounting processes, which will change the Company's internal controls over revenue recognition, contract acquisition costs and financial reporting. The Company is designing and implementing these controls in anticipation of potentially early adopting the new standard on April 1, 2017.</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120" w:firstLine="180"/>
        <w:spacing w:after="0" w:line="279" w:lineRule="auto"/>
        <w:rPr>
          <w:sz w:val="20"/>
          <w:szCs w:val="20"/>
          <w:color w:val="auto"/>
        </w:rPr>
      </w:pPr>
      <w:r>
        <w:rPr>
          <w:rFonts w:ascii="Arial" w:cs="Arial" w:eastAsia="Arial" w:hAnsi="Arial"/>
          <w:sz w:val="17"/>
          <w:szCs w:val="17"/>
          <w:color w:val="auto"/>
        </w:rPr>
        <w:t>In March 2016, the FASB issued ASU 2016-09, "Improvements to Employee Share-Based Payment Accounting," which simplifies several aspects of the accounting for employee share-based payment transactions, including the accounting for income taxes, forfeitures, and statutory tax withholding requirements, as well as classification in the statement of cash flows. The Company is required to adopt the new guidance in fiscal 2018 with early adoption permitted. The Company is currently assessing the impact the adoption of ASU 2016-09 will have on the financial statements.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120" w:firstLine="180"/>
        <w:spacing w:after="0" w:line="257" w:lineRule="auto"/>
        <w:rPr>
          <w:sz w:val="20"/>
          <w:szCs w:val="20"/>
          <w:color w:val="auto"/>
        </w:rPr>
      </w:pPr>
      <w:r>
        <w:rPr>
          <w:rFonts w:ascii="Arial" w:cs="Arial" w:eastAsia="Arial" w:hAnsi="Arial"/>
          <w:sz w:val="18"/>
          <w:szCs w:val="18"/>
          <w:color w:val="auto"/>
        </w:rPr>
        <w:t>In February 2016, the FASB issued ASU 2016-02 “Leases (Topic 842)” (“ASU 2016-02”). Under ASU 2016-02, a lessee will recognize in the balance sheet a liability to make lease payments (the lease liability) and a right-to-use asset representing its right to use the underlying asset for the lease term. The amendments of this ASU are effective for the Company's fiscal 2020, with early adoption permitted. A company will be required to recognize and measure leases at the beginning of the earliest period presented using a modified retrospective approach. The Company is currently assessing the impact the adoption of ASU 2016-02 will have on the financial statements.</w:t>
      </w:r>
    </w:p>
    <w:p>
      <w:pPr>
        <w:spacing w:after="0" w:line="13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the Company which are expected to have a material impact on the Company’s financial position, results of operations or cash flows.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The Company derives revenues from two primary sources: software licenses and services. Services include customer support, consulting, assessment and design services, installation services and training. A typical sales arrangement includes both licenses and services.</w:t>
      </w:r>
    </w:p>
    <w:p>
      <w:pPr>
        <w:spacing w:after="0" w:line="9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For sales arrangements involving multiple elements, the Company recognizes revenue using the residual method. Under the residual method, the Company allocates and defers revenue for the undelivered elements based on fair value and recognizes the difference between the total arrangement fee and the amount deferred for the undelivered elements as revenue. The determination of fair value of the undelivered elements in multiple-element arrangements is based on the price charged when such elements are sold separately, which is commonly referred to as vendor-specific objective-evidence, or VSOE.</w:t>
      </w:r>
    </w:p>
    <w:p>
      <w:pPr>
        <w:spacing w:after="0" w:line="10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Company’s software licenses typically provide for a perpetual right to use the Company’s software and are sold on a per-terabyte basis, on a per-copy basis, as site licenses or as a solution set. Software licenses sold on a capacity basis provide the customer with unlimited licenses of specified software products based on a defined level of terabytes of data under management. Site licenses give the customer the additional right to deploy the software on a limited basis during a specified term. Solution sets are generally sold on a per unit basis such as per virtual machine for our virtual machine backup, recovery and cloud management solution set; per mailbox for our email archive solution set and per user for our endpoint data protection solution set.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Company recognizes software revenue through direct sales channels upon receipt of a purchase order or other persuasive evidence and when all other basic revenue recognition criteria are met as described below. The Company recognizes software revenue through all indirect sales channels on a sell-through model. A sell-through model requires that the Company recognize revenue when the basic revenue recognition criteria are met as described below and these channels complete the sale of the Company’s software products to the end-user. Revenue from software licenses sold through an original equipment manufacturer partner is recognized upon the receipt of a royalty report or purchase order from that original equipment manufacturer partner.</w:t>
      </w:r>
    </w:p>
    <w:p>
      <w:pPr>
        <w:spacing w:after="0" w:line="104"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Services revenue includes revenue from customer support and other professional services. Customer support includes software updates on a when-and-if-available basis, telephone support, integrated web-based support and bug fixes or patches. Customer support revenue is recognized ratably over the term of the customer support agreement, which is typically one year. To determine the price for the customer support element when sold separately, the Company primarily uses historical renewal rates. Historical renewal rates are supported by performing an analysis in which the Company segregates its customer support renewal contracts into different classes based on specific criteria including, but not limited to, the dollar amount of the software purchased, the level of customer support being provided and the distribution channel. As a result of this analysis, the Company has concluded that it has established VSOE for the different classes of customer support when the support is sold as part of a multiple-element sales arrangement. The Company’s determination of fair value for customer support has not changed for the periods presented.</w:t>
      </w:r>
    </w:p>
    <w:p>
      <w:pPr>
        <w:spacing w:after="0" w:line="1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Company’s other professional services include consulting services, implementation and post-deployment services and education services. Other professional services provided by the Company are not mandatory and can also be performed by the customer or a third-party. In addition to a signed purchase order, the Company’s consulting services and implementation and post-deployment services are, in some cases, evidenced by a Statement of Work, which defines the specific scope of such services to be performed when sold and performed on a stand-alone basis or included in multiple-element sales arrangements. Revenues from consulting services and implementation and post-deployment services are based upon a daily or weekly rate and are recognized when the services are completed. Education services include courses taught by the Company’s instructors or third-party contractors either at one of the Company’s facilities or at the customer’s site. Education services fees are recognized as revenue after the course has been provided. Based on the Company’s analysis of such other professional services transactions sold on a stand-alone basis, the Company has concluded it has established VSOE for such other professional services when sold in connection with a multiple-element sales arrangement. The Company generally performs its other professional services within 90 days of entering into an agreement. The Company’s determination of fair value for other professional services has not changed for the periods presented.</w:t>
      </w:r>
    </w:p>
    <w:p>
      <w:pPr>
        <w:spacing w:after="0" w:line="1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has analyzed all of the undelivered elements included in its multiple-element sales arrangements and determined that VSOE of fair value exists to allocate revenues to services. Accordingly, assuming all basic revenue recognition criteria are met, software revenue is recognized upon delivery of the software license using the residual method.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considers the four basic revenue recognition criteria for each of the elements as follows:</w:t>
      </w:r>
    </w:p>
    <w:p>
      <w:pPr>
        <w:spacing w:after="0" w:line="293" w:lineRule="exact"/>
        <w:rPr>
          <w:sz w:val="20"/>
          <w:szCs w:val="20"/>
          <w:color w:val="auto"/>
        </w:rPr>
      </w:pPr>
    </w:p>
    <w:p>
      <w:pPr>
        <w:ind w:left="1200" w:hanging="328"/>
        <w:spacing w:after="0" w:line="264"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with the customer exists. </w:t>
      </w:r>
      <w:r>
        <w:rPr>
          <w:rFonts w:ascii="Arial" w:cs="Arial" w:eastAsia="Arial" w:hAnsi="Arial"/>
          <w:sz w:val="18"/>
          <w:szCs w:val="18"/>
          <w:color w:val="auto"/>
        </w:rPr>
        <w:t>The Company’s customary practice is to require a purchase order and, in</w:t>
      </w:r>
      <w:r>
        <w:rPr>
          <w:rFonts w:ascii="Arial" w:cs="Arial" w:eastAsia="Arial" w:hAnsi="Arial"/>
          <w:sz w:val="18"/>
          <w:szCs w:val="18"/>
          <w:i w:val="1"/>
          <w:iCs w:val="1"/>
          <w:color w:val="auto"/>
        </w:rPr>
        <w:t xml:space="preserve"> </w:t>
      </w:r>
      <w:r>
        <w:rPr>
          <w:rFonts w:ascii="Arial" w:cs="Arial" w:eastAsia="Arial" w:hAnsi="Arial"/>
          <w:sz w:val="18"/>
          <w:szCs w:val="18"/>
          <w:color w:val="auto"/>
        </w:rPr>
        <w:t>some cases, a written contract signed by both the customer and the Company, or other persuasive evidence that an arrangement exists prior to recognizing revenue related to an arrangement.</w:t>
      </w:r>
    </w:p>
    <w:p>
      <w:pPr>
        <w:spacing w:after="0" w:line="181" w:lineRule="exact"/>
        <w:rPr>
          <w:rFonts w:ascii="Arial" w:cs="Arial" w:eastAsia="Arial" w:hAnsi="Arial"/>
          <w:sz w:val="18"/>
          <w:szCs w:val="18"/>
          <w:color w:val="auto"/>
        </w:rPr>
      </w:pPr>
    </w:p>
    <w:p>
      <w:pPr>
        <w:ind w:left="1200" w:right="40" w:hanging="328"/>
        <w:spacing w:after="0" w:line="255"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Delivery or performance has occurred. </w:t>
      </w:r>
      <w:r>
        <w:rPr>
          <w:rFonts w:ascii="Arial" w:cs="Arial" w:eastAsia="Arial" w:hAnsi="Arial"/>
          <w:sz w:val="18"/>
          <w:szCs w:val="18"/>
          <w:color w:val="auto"/>
        </w:rPr>
        <w:t>The Company’s software applications are either physically or electronically delivered to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with standard transfer terms such as FOB shipping point. Software and/or software license keys for add-on orders or software updates are typically delivered in an electronic format. If products that are essential to the functionality of the delivered software in an arrangement have not been delivered, the Company does not consider delivery to have occurred. Services revenue is recognized when the services are completed, except for customer support, which is recognized ratably over the term of the customer support agreement, which is typically one year.</w:t>
      </w:r>
    </w:p>
    <w:p>
      <w:pPr>
        <w:spacing w:after="0" w:line="193" w:lineRule="exact"/>
        <w:rPr>
          <w:rFonts w:ascii="Arial" w:cs="Arial" w:eastAsia="Arial" w:hAnsi="Arial"/>
          <w:sz w:val="18"/>
          <w:szCs w:val="18"/>
          <w:color w:val="auto"/>
        </w:rPr>
      </w:pPr>
    </w:p>
    <w:p>
      <w:pPr>
        <w:ind w:left="1200" w:right="180" w:hanging="328"/>
        <w:spacing w:after="0" w:line="259"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Vendor’s fee is fixed or determinable. </w:t>
      </w:r>
      <w:r>
        <w:rPr>
          <w:rFonts w:ascii="Arial" w:cs="Arial" w:eastAsia="Arial" w:hAnsi="Arial"/>
          <w:sz w:val="18"/>
          <w:szCs w:val="18"/>
          <w:color w:val="auto"/>
        </w:rPr>
        <w:t>The fee customers pay for software applications, customer support and other professional services is</w:t>
      </w:r>
      <w:r>
        <w:rPr>
          <w:rFonts w:ascii="Arial" w:cs="Arial" w:eastAsia="Arial" w:hAnsi="Arial"/>
          <w:sz w:val="18"/>
          <w:szCs w:val="18"/>
          <w:i w:val="1"/>
          <w:iCs w:val="1"/>
          <w:color w:val="auto"/>
        </w:rPr>
        <w:t xml:space="preserve"> </w:t>
      </w:r>
      <w:r>
        <w:rPr>
          <w:rFonts w:ascii="Arial" w:cs="Arial" w:eastAsia="Arial" w:hAnsi="Arial"/>
          <w:sz w:val="18"/>
          <w:szCs w:val="18"/>
          <w:color w:val="auto"/>
        </w:rPr>
        <w:t>negotiated at the outset of a sales arrangement. The fees are therefore considered to be fixed or determinable at the inception of the arrangement. The Company evaluates instances when extended payment terms are granted to determine if revenue should be deferred until payment becomes due.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ind w:left="1200" w:right="140" w:hanging="328"/>
        <w:spacing w:after="0" w:line="259"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Collection is probable. </w:t>
      </w:r>
      <w:r>
        <w:rPr>
          <w:rFonts w:ascii="Arial" w:cs="Arial" w:eastAsia="Arial" w:hAnsi="Arial"/>
          <w:sz w:val="18"/>
          <w:szCs w:val="18"/>
          <w:color w:val="auto"/>
        </w:rPr>
        <w:t>Probability of collection is assessed on a customer-by-customer basis. Each new customer undergoes a credit review</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to evaluate its financial position and ability to pay. If the Company determines from the outset of an arrangement that collection is not probable based upon the review process, revenue is recognized at the earlier of when cash is collected or when sufficient credit becomes available, assuming all of the other basic revenue recognition criteria are met.</w:t>
      </w:r>
    </w:p>
    <w:p>
      <w:pPr>
        <w:spacing w:after="0" w:line="133" w:lineRule="exact"/>
        <w:rPr>
          <w:sz w:val="20"/>
          <w:szCs w:val="20"/>
          <w:color w:val="auto"/>
        </w:rPr>
      </w:pPr>
    </w:p>
    <w:p>
      <w:pPr>
        <w:ind w:right="600" w:firstLine="432"/>
        <w:spacing w:after="0" w:line="264" w:lineRule="auto"/>
        <w:rPr>
          <w:sz w:val="20"/>
          <w:szCs w:val="20"/>
          <w:color w:val="auto"/>
        </w:rPr>
      </w:pPr>
      <w:r>
        <w:rPr>
          <w:rFonts w:ascii="Arial" w:cs="Arial" w:eastAsia="Arial" w:hAnsi="Arial"/>
          <w:sz w:val="18"/>
          <w:szCs w:val="18"/>
          <w:color w:val="auto"/>
        </w:rPr>
        <w:t>The Company’s sales arrangements generally do not include acceptance clauses. However, if an arrangement does include an acceptance clause, revenue for such an arrangement is deferred and recognized upon acceptance. Acceptance occurs upon the earliest of receipt of a written customer acceptance, waiver of customer acceptance or expiration of the acceptance period.</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7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Deferred revenues represent amounts collected from, or invoiced to, customers in excess of revenues recognized. This results primarily from the billing of annual customer support agreements, and billings for other professional services fees that have not yet been performed by the Company and receipt of license fees that are deferred due to one or more of the revenue recognition criteria not being met. The value of deferred revenues will increase or decrease based on the timing of invoices and recognition of revenue. The Company expenses internal direct and incremental costs related to contract acquisition and origination as incurred.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revenue consists of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355"/>
              <w:spacing w:after="0"/>
              <w:rPr>
                <w:sz w:val="20"/>
                <w:szCs w:val="20"/>
                <w:color w:val="auto"/>
              </w:rPr>
            </w:pPr>
            <w:r>
              <w:rPr>
                <w:rFonts w:ascii="Arial" w:cs="Arial" w:eastAsia="Arial" w:hAnsi="Arial"/>
                <w:sz w:val="14"/>
                <w:szCs w:val="14"/>
                <w:b w:val="1"/>
                <w:bCs w:val="1"/>
                <w:color w:val="auto"/>
              </w:rPr>
              <w:t>March 31,</w:t>
            </w:r>
          </w:p>
        </w:tc>
      </w:tr>
      <w:tr>
        <w:trPr>
          <w:trHeight w:val="205"/>
        </w:trPr>
        <w:tc>
          <w:tcPr>
            <w:tcW w:w="83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software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1,578</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services revenue</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187,802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193,399</w:t>
            </w:r>
          </w:p>
        </w:tc>
      </w:tr>
      <w:tr>
        <w:trPr>
          <w:trHeight w:val="237"/>
        </w:trPr>
        <w:tc>
          <w:tcPr>
            <w:tcW w:w="8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191,052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194,977</w:t>
            </w: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services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63,763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49,889</w:t>
            </w: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254,815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244,866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grants credit to customers in a wide variety of industries worldwide and generally does not require collateral. Credit losses relating to these customers have been minimal.</w:t>
      </w:r>
    </w:p>
    <w:p>
      <w:pPr>
        <w:spacing w:after="0" w:line="116"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Sales through the Company’s distribution agreement with Arrow Enterprise Computing Solutions, Inc. (“Arrow”) totaled 37% and 38% of total revenues for the nine months ended December 31, 2016 and 2015, respectively. Arrow accounted for approximately 44% of total accounts receivable as of December 31, 2016 and 43% of total accounts receivable as of March 31, 2016.</w:t>
      </w:r>
    </w:p>
    <w:p>
      <w:pPr>
        <w:spacing w:after="0" w:line="127"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Sales through the Company’s distribution agreement with Avnet Technology Solutions ("Avnet") totaled 10% of total revenues for the nine months ended December 31, 2016. Avnet accounted for approximately 11% of total accounts receivable as of December 31, 2016.</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carrying amounts of the Company’s cash and cash equivalents, accounts receivable and accounts payable approximate their fair values due to the short-term maturity of these instruments. The Company’s cash equivalents balance consists primarily of money market funds. The Company’s short-term investments balance consists of U.S. Treasury Bills with maturities of one year or less. The Company accounts for its short-term investments as held to maturity.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such asset or liability in an orderly transaction between market participants on the measurement date. Valuation techniques used to measure fair value should maximize the use of observable inputs and minimize the use of unobservable inputs. To measure fair value, the Company uses the following fair value hierarchy based on three levels of inputs, of which the first two are considered observable and the last unobservable:</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Level 2 – Inputs other than Level 1 that are observable for the asset or liability, either directly or indirectly, such as quoted 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composition of the Company’s financial assets measured at fair value at December 31, 2016 and March 31, 2016:</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 2016</w:t>
            </w:r>
          </w:p>
        </w:tc>
        <w:tc>
          <w:tcPr>
            <w:tcW w:w="32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800" w:type="dxa"/>
            <w:vAlign w:val="bottom"/>
            <w:gridSpan w:val="3"/>
          </w:tcPr>
          <w:p>
            <w:pPr>
              <w:jc w:val="right"/>
              <w:ind w:right="750"/>
              <w:spacing w:after="0"/>
              <w:rPr>
                <w:sz w:val="20"/>
                <w:szCs w:val="20"/>
                <w:color w:val="auto"/>
              </w:rPr>
            </w:pPr>
            <w:r>
              <w:rPr>
                <w:rFonts w:ascii="Arial" w:cs="Arial" w:eastAsia="Arial" w:hAnsi="Arial"/>
                <w:sz w:val="14"/>
                <w:szCs w:val="14"/>
                <w:b w:val="1"/>
                <w:bCs w:val="1"/>
                <w:color w:val="auto"/>
              </w:rPr>
              <w:t>Level 2</w:t>
            </w: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280" w:type="dxa"/>
            <w:vAlign w:val="bottom"/>
          </w:tcPr>
          <w:p>
            <w:pPr>
              <w:spacing w:after="0"/>
              <w:rPr>
                <w:sz w:val="14"/>
                <w:szCs w:val="1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60,555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60,555</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121,007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121,007</w:t>
            </w:r>
          </w:p>
        </w:tc>
      </w:tr>
      <w:tr>
        <w:trPr>
          <w:trHeight w:val="554"/>
        </w:trPr>
        <w:tc>
          <w:tcPr>
            <w:tcW w:w="516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2016</w:t>
            </w:r>
          </w:p>
        </w:tc>
        <w:tc>
          <w:tcPr>
            <w:tcW w:w="320" w:type="dxa"/>
            <w:vAlign w:val="bottom"/>
          </w:tcPr>
          <w:p>
            <w:pPr>
              <w:spacing w:after="0"/>
              <w:rPr>
                <w:sz w:val="24"/>
                <w:szCs w:val="2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1800" w:type="dxa"/>
            <w:vAlign w:val="bottom"/>
            <w:gridSpan w:val="3"/>
          </w:tcPr>
          <w:p>
            <w:pPr>
              <w:jc w:val="right"/>
              <w:ind w:right="750"/>
              <w:spacing w:after="0"/>
              <w:rPr>
                <w:sz w:val="20"/>
                <w:szCs w:val="20"/>
                <w:color w:val="auto"/>
              </w:rPr>
            </w:pPr>
            <w:r>
              <w:rPr>
                <w:rFonts w:ascii="Arial" w:cs="Arial" w:eastAsia="Arial" w:hAnsi="Arial"/>
                <w:sz w:val="14"/>
                <w:szCs w:val="14"/>
                <w:b w:val="1"/>
                <w:bCs w:val="1"/>
                <w:color w:val="auto"/>
              </w:rPr>
              <w:t>Level 2</w:t>
            </w: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3</w:t>
            </w:r>
          </w:p>
        </w:tc>
        <w:tc>
          <w:tcPr>
            <w:tcW w:w="280" w:type="dxa"/>
            <w:vAlign w:val="bottom"/>
          </w:tcPr>
          <w:p>
            <w:pPr>
              <w:spacing w:after="0"/>
              <w:rPr>
                <w:sz w:val="24"/>
                <w:szCs w:val="2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5"/>
              </w:rPr>
              <w:t>Total</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95,735</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95,735</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99,215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99,215</w:t>
            </w:r>
          </w:p>
        </w:tc>
      </w:tr>
      <w:tr>
        <w:trPr>
          <w:trHeight w:val="621"/>
        </w:trPr>
        <w:tc>
          <w:tcPr>
            <w:tcW w:w="5160" w:type="dxa"/>
            <w:vAlign w:val="bottom"/>
            <w:gridSpan w:val="4"/>
          </w:tcPr>
          <w:p>
            <w:pPr>
              <w:spacing w:after="0"/>
              <w:rPr>
                <w:sz w:val="20"/>
                <w:szCs w:val="20"/>
                <w:color w:val="auto"/>
              </w:rPr>
            </w:pPr>
            <w:r>
              <w:rPr>
                <w:rFonts w:ascii="Arial" w:cs="Arial" w:eastAsia="Arial" w:hAnsi="Arial"/>
                <w:sz w:val="18"/>
                <w:szCs w:val="18"/>
                <w:b w:val="1"/>
                <w:bCs w:val="1"/>
                <w:color w:val="auto"/>
              </w:rPr>
              <w:t>3.  Property and Equipment</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120" w:type="dxa"/>
            <w:vAlign w:val="bottom"/>
            <w:gridSpan w:val="3"/>
          </w:tcPr>
          <w:p>
            <w:pPr>
              <w:ind w:left="620"/>
              <w:spacing w:after="0"/>
              <w:rPr>
                <w:sz w:val="20"/>
                <w:szCs w:val="20"/>
                <w:color w:val="auto"/>
              </w:rPr>
            </w:pPr>
            <w:r>
              <w:rPr>
                <w:rFonts w:ascii="Arial" w:cs="Arial" w:eastAsia="Arial" w:hAnsi="Arial"/>
                <w:sz w:val="18"/>
                <w:szCs w:val="18"/>
                <w:color w:val="auto"/>
              </w:rPr>
              <w:t>Property and equipment consist of the following:</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24"/>
                <w:szCs w:val="24"/>
                <w:color w:val="auto"/>
              </w:rPr>
            </w:pPr>
          </w:p>
        </w:tc>
        <w:tc>
          <w:tcPr>
            <w:tcW w:w="1200" w:type="dxa"/>
            <w:vAlign w:val="bottom"/>
          </w:tcPr>
          <w:p>
            <w:pPr>
              <w:jc w:val="center"/>
              <w:ind w:right="194"/>
              <w:spacing w:after="0"/>
              <w:rPr>
                <w:sz w:val="20"/>
                <w:szCs w:val="20"/>
                <w:color w:val="auto"/>
              </w:rPr>
            </w:pPr>
            <w:r>
              <w:rPr>
                <w:rFonts w:ascii="Arial" w:cs="Arial" w:eastAsia="Arial" w:hAnsi="Arial"/>
                <w:sz w:val="14"/>
                <w:szCs w:val="14"/>
                <w:b w:val="1"/>
                <w:bCs w:val="1"/>
                <w:color w:val="auto"/>
                <w:w w:val="99"/>
              </w:rPr>
              <w:t>March 31,</w:t>
            </w:r>
          </w:p>
        </w:tc>
      </w:tr>
      <w:tr>
        <w:trPr>
          <w:trHeight w:val="250"/>
        </w:trPr>
        <w:tc>
          <w:tcPr>
            <w:tcW w:w="4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9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9,445</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Buildings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103,243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103,193</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Computers, servers and other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33,120</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14,789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14,458</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6,948</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Purchased software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1,279</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Construction in process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w:t>
            </w: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171,537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168,608</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(32,704)</w:t>
            </w: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132,862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135,904</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The Company recorded depreciation and amortization expense of $7,384 and $8,320 for the nine months ended December 31, 2016 and 2015,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Net Income (Loss) per Common Share</w:t>
      </w:r>
    </w:p>
    <w:p>
      <w:pPr>
        <w:spacing w:after="0" w:line="9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Basic net income (loss) per common share is computed by dividing net income (loss) by the weighted average number of common shares during the period. Diluted net income (loss) per share is computed using the weighted average number of common shares and, if dilutive, potential common shares outstanding during the period. Potential common shares consist of the incremental common shares issuable upon the exercise of stock options, vesting of restricted stock units and shares to be purchased under the Employee Stock Purchase Plan. The dilutive effect of such potential common shares is reflected in diluted earnings per share by application of the treasury stock method.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(loss) per common share:</w:t>
      </w:r>
    </w:p>
    <w:p>
      <w:pPr>
        <w:spacing w:after="0" w:line="311"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7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December 31,</w:t>
            </w:r>
          </w:p>
        </w:tc>
        <w:tc>
          <w:tcPr>
            <w:tcW w:w="228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Nine Months Ended December 31,</w:t>
            </w: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5"/>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4,878</w:t>
            </w:r>
          </w:p>
        </w:tc>
        <w:tc>
          <w:tcPr>
            <w:tcW w:w="4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net income (loss) per common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45,099</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45,315</w:t>
            </w:r>
          </w:p>
        </w:tc>
        <w:tc>
          <w:tcPr>
            <w:tcW w:w="4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44,645</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45,339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(loss) per common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40" w:type="dxa"/>
            <w:vAlign w:val="bottom"/>
            <w:vMerge w:val="continue"/>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0.11</w:t>
            </w:r>
          </w:p>
        </w:tc>
        <w:tc>
          <w:tcPr>
            <w:tcW w:w="44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(0.06)</w:t>
            </w:r>
          </w:p>
        </w:tc>
        <w:tc>
          <w:tcPr>
            <w:tcW w:w="3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67"/>
        </w:trPr>
        <w:tc>
          <w:tcPr>
            <w:tcW w:w="58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net income (loss) per common share:</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45,099</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45,315</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44,645</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45,339</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stock options, restricted stock units, performance stock</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options, performance restricted stock units and employee stock purchase plan</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1,262</w:t>
            </w: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45,099</w:t>
            </w: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46,577</w:t>
            </w:r>
          </w:p>
        </w:tc>
        <w:tc>
          <w:tcPr>
            <w:tcW w:w="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44,645</w:t>
            </w:r>
          </w:p>
        </w:tc>
        <w:tc>
          <w:tcPr>
            <w:tcW w:w="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45,339</w:t>
            </w:r>
          </w:p>
        </w:tc>
        <w:tc>
          <w:tcPr>
            <w:tcW w:w="0" w:type="dxa"/>
            <w:vAlign w:val="bottom"/>
          </w:tcPr>
          <w:p>
            <w:pPr>
              <w:spacing w:after="0"/>
              <w:rPr>
                <w:sz w:val="1"/>
                <w:szCs w:val="1"/>
                <w:color w:val="auto"/>
              </w:rPr>
            </w:pPr>
          </w:p>
        </w:tc>
      </w:tr>
      <w:tr>
        <w:trPr>
          <w:trHeight w:val="67"/>
        </w:trPr>
        <w:tc>
          <w:tcPr>
            <w:tcW w:w="58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8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net income (loss) per common share</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0.10</w:t>
            </w: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diluted weighted average shares outstanding exclude outstanding stock options, restricted stock units, performance stock options, performance restricted stock units and shares to be purchased under the employee stock purchase plan totaling approximately 8,249 and 4,273 for the three months ended December 31, 2016 and 2015 and 8,346 and 8,202 for the nine months ended December 31, 2016 and 2015, respectively, because the effect would have been anti-dilutive.</w:t>
      </w:r>
    </w:p>
    <w:p>
      <w:pPr>
        <w:spacing w:after="0" w:line="1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the normal course of its business, the Company may be involved in various claims, negotiations and legal actions. As of December 31, 2016, the Company is not aware of any asserted or unasserted claims, negotiations and legal actions for which a loss is considered reasonably possible of occurring and would require disclosure under the guidance.</w:t>
      </w:r>
    </w:p>
    <w:p>
      <w:pPr>
        <w:spacing w:after="0" w:line="181"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On September 10, 2014, a purported class action complaint was filed in the United States District Court for the District of New Jersey against the Company, its Chief Executive Officer and its Chief Financial Officer. The case is captioned In re Commvault Systems, Inc. Securities Litigation (Master File No. 3:14-cv-05628-MAS-LHG). The suit alleges that the Company made materially false and misleading statements, or failed to disclose material facts, regarding the Company's financial results, business, operations and prospects in violation of Sections 10(b) and 20(a) of the Securities Exchange Act of 1934 and Rule 10b-5 promulgated thereunder. The suit asserts claims covering an alleged class period from May 7, 2013 through April 24, 2014. It is purportedly brought on behalf of purchasers of the Company's common stock during that period, and seeks compensatory damages, costs and expenses, as well as equitable or other relief. Lead plaintiff, the Arkansas Teachers Retirement System, was appointed on January 12, 2015, and on March 18, 2015, an amended complaint was filed by the plaintiffs. On December 17, 2015, the defendant's motion to dismiss the case was granted and the case dismissed; however, the plaintiffs were permitted to re-file their claim, which they did on February 5, 2016. Defendants filed another motion to dismiss on April 5, 2016, which was denied by the court on September 30, 2016. Due to the inherent uncertainties of litigation, the Company cannot accurately predict the ultimate outcome of this matter. The Company is unable at this time to determine whether the outcome of the litigation will have a material impact on its results of operations, financial condition or cash flows. As of December 31, 2016, the Company has not recorded an accrual for this matter as it has concluded the probability of a loss is remote.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Revolving Credit Facility</w:t>
      </w:r>
    </w:p>
    <w:p>
      <w:pPr>
        <w:spacing w:after="0" w:line="17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On June 30, 2014, the Company entered into a five-year $250,000 revolving credit facility (the “Credit Facility”).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lenders to, among other things, declare all loans then outstanding to be immediately due and payable if such default is not cured within applicable grace periods. The Credit Facility also limits the Company's ability to incur certain additional indebtedness, create or permit liens on assets, make acquisitions, make investments, loans or advances, sell or transfer assets, pay dividends or distributions, and engage in certain transactions with foreign affiliates. Outstanding borrowings under the Credit Facility accrue interest at an annual rate equal to London Interbank Offered Rate plus 1.50% subject to increases based on the Company's actual leverage. The unused balance on the Credit Facility is also subject to a 0.25% annual interest charge subject to increases based on the Company's actual leverage. As of December 31, 2016, there were no borrowings under the Credit Facility and the Company was in compliance with all covenants.</w:t>
      </w:r>
    </w:p>
    <w:p>
      <w:pPr>
        <w:spacing w:after="0" w:line="113"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The Company has deferred the expense related to debt issuance costs, which are classified as Other Assets, and will amortize the costs into interest expense over the term of the Credit Facility. Unamortized amounts at December 31, 2016 were $631. The amortization of debt issuance costs was $63 and $189 in the three and nine months ended December 31, 2016.</w:t>
      </w:r>
    </w:p>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Capitalization</w:t>
      </w:r>
    </w:p>
    <w:p>
      <w:pPr>
        <w:spacing w:after="0" w:line="175"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During the three and nine months ended December 31, 2016, the company repurchased $24,997 of common stock (477 shares). As of December 31, 2016, $68,105 remained in the stock repurchase authorization that expires on March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January 18, 2017, the Board of Directors extended the expiration date of the share repurchase program to March 31, 2018 and authorized an increase to the existing share repurchase program so that $150,000 is now available.</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Stock Plans</w:t>
      </w:r>
    </w:p>
    <w:p>
      <w:pPr>
        <w:spacing w:after="0" w:line="17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On August 16, 2016, the Company’s Omnibus Incentive Plan (the “2016 Incentive Plan”) was approved by its shareholders. The 2016 Incentive Plan authorizes a broad range of awards including stock options, stock appreciation rights, full value awards (including restricted stock, restricted stock units, performance shares or units and other stock-based awards) and cash-based awards. The maximum number of shares of common stock that may be delivered under the 2016 Incentive Plan is equal to 2,800 shares.</w:t>
      </w:r>
    </w:p>
    <w:p>
      <w:pPr>
        <w:spacing w:after="0" w:line="133" w:lineRule="exact"/>
        <w:rPr>
          <w:sz w:val="20"/>
          <w:szCs w:val="20"/>
          <w:color w:val="auto"/>
        </w:rPr>
      </w:pPr>
    </w:p>
    <w:p>
      <w:pPr>
        <w:ind w:right="500" w:firstLine="432"/>
        <w:spacing w:after="0" w:line="286" w:lineRule="auto"/>
        <w:rPr>
          <w:sz w:val="20"/>
          <w:szCs w:val="20"/>
          <w:color w:val="auto"/>
        </w:rPr>
      </w:pPr>
      <w:r>
        <w:rPr>
          <w:rFonts w:ascii="Arial" w:cs="Arial" w:eastAsia="Arial" w:hAnsi="Arial"/>
          <w:sz w:val="17"/>
          <w:szCs w:val="17"/>
          <w:color w:val="auto"/>
        </w:rPr>
        <w:t>The following table presents the stock-based compensation expense included in Cost of services revenue, Sales and marketing, Research and development and General and administrative expenses for the three and nine months ended December 31, 2016 and 2015. Stock-based compensation is attributable to stock options, restricted stock units, performance based awards and the employee stock purchase plan.</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332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7"/>
                <w:szCs w:val="17"/>
                <w:color w:val="auto"/>
              </w:rPr>
            </w:pPr>
          </w:p>
        </w:tc>
        <w:tc>
          <w:tcPr>
            <w:tcW w:w="276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 December 31,</w:t>
            </w:r>
          </w:p>
        </w:tc>
      </w:tr>
      <w:tr>
        <w:trPr>
          <w:trHeight w:val="264"/>
        </w:trPr>
        <w:tc>
          <w:tcPr>
            <w:tcW w:w="504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 revenue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9,100</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7,971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25,061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21,011</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1,924</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7,026</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6,573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21,825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19,359</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19,110</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55,153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47,516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As of December 31, 2016, there was approximately $109,462 of unrecognized stock-based compensation expense, net of estimated forfeitures, related to non-vested stock option and restricted stock unit awards that is expected to be recognized over a weighted average period of 1.72 years. To the extent the actual forfeiture rate is different from what the Company has estimated, stock-based compensation related to these awards will be different from the Company’s current estimate.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for the nine months ended December 31, 2016 is as follows:</w:t>
      </w:r>
    </w:p>
    <w:p>
      <w:pPr>
        <w:spacing w:after="0" w:line="31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1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2"/>
                <w:szCs w:val="12"/>
                <w:color w:val="auto"/>
              </w:rPr>
            </w:pPr>
          </w:p>
        </w:tc>
        <w:tc>
          <w:tcPr>
            <w:tcW w:w="11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Options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1100" w:type="dxa"/>
            <w:vAlign w:val="bottom"/>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Outstanding as of March 31, 2016</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44.07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Options granted</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Options 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30.76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Options forfeited</w:t>
            </w:r>
          </w:p>
        </w:tc>
        <w:tc>
          <w:tcPr>
            <w:tcW w:w="13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51.87</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Options expired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68.89</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Outstanding as of December 31, 2016</w:t>
            </w: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5,442</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44.32</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79,467</w:t>
            </w:r>
          </w:p>
        </w:tc>
        <w:tc>
          <w:tcPr>
            <w:tcW w:w="0" w:type="dxa"/>
            <w:vAlign w:val="bottom"/>
          </w:tcPr>
          <w:p>
            <w:pPr>
              <w:spacing w:after="0"/>
              <w:rPr>
                <w:sz w:val="1"/>
                <w:szCs w:val="1"/>
                <w:color w:val="auto"/>
              </w:rPr>
            </w:pPr>
          </w:p>
        </w:tc>
      </w:tr>
      <w:tr>
        <w:trPr>
          <w:trHeight w:val="67"/>
        </w:trPr>
        <w:tc>
          <w:tcPr>
            <w:tcW w:w="20" w:type="dxa"/>
            <w:vAlign w:val="bottom"/>
            <w:tcBorders>
              <w:bottom w:val="single" w:sz="8" w:color="CCEEFF"/>
            </w:tcBorders>
          </w:tcPr>
          <w:p>
            <w:pPr>
              <w:spacing w:after="0"/>
              <w:rPr>
                <w:sz w:val="5"/>
                <w:szCs w:val="5"/>
                <w:color w:val="auto"/>
              </w:rPr>
            </w:pPr>
          </w:p>
        </w:tc>
        <w:tc>
          <w:tcPr>
            <w:tcW w:w="500" w:type="dxa"/>
            <w:vAlign w:val="bottom"/>
            <w:tcBorders>
              <w:bottom w:val="single" w:sz="8" w:color="CCEEFF"/>
            </w:tcBorders>
          </w:tcPr>
          <w:p>
            <w:pPr>
              <w:spacing w:after="0"/>
              <w:rPr>
                <w:sz w:val="5"/>
                <w:szCs w:val="5"/>
                <w:color w:val="auto"/>
              </w:rPr>
            </w:pPr>
          </w:p>
        </w:tc>
        <w:tc>
          <w:tcPr>
            <w:tcW w:w="496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4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shd w:val="clear" w:color="auto" w:fill="CCEEFF"/>
              </w:rPr>
              <w:t>Vested or expected to vest as of December 31, 2016</w:t>
            </w:r>
          </w:p>
        </w:tc>
        <w:tc>
          <w:tcPr>
            <w:tcW w:w="13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8"/>
                <w:szCs w:val="18"/>
                <w:color w:val="auto"/>
              </w:rPr>
              <w:t>5,417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6"/>
              <w:spacing w:after="0" w:line="183" w:lineRule="exact"/>
              <w:rPr>
                <w:sz w:val="20"/>
                <w:szCs w:val="20"/>
                <w:color w:val="auto"/>
              </w:rPr>
            </w:pPr>
            <w:r>
              <w:rPr>
                <w:rFonts w:ascii="Arial" w:cs="Arial" w:eastAsia="Arial" w:hAnsi="Arial"/>
                <w:sz w:val="18"/>
                <w:szCs w:val="18"/>
                <w:color w:val="auto"/>
              </w:rPr>
              <w:t>44.29</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30"/>
              <w:spacing w:after="0" w:line="183"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9"/>
              <w:spacing w:after="0" w:line="183" w:lineRule="exact"/>
              <w:rPr>
                <w:sz w:val="20"/>
                <w:szCs w:val="20"/>
                <w:color w:val="auto"/>
              </w:rPr>
            </w:pPr>
            <w:r>
              <w:rPr>
                <w:rFonts w:ascii="Arial" w:cs="Arial" w:eastAsia="Arial" w:hAnsi="Arial"/>
                <w:sz w:val="18"/>
                <w:szCs w:val="18"/>
                <w:color w:val="auto"/>
              </w:rPr>
              <w:t>79,308</w:t>
            </w:r>
          </w:p>
        </w:tc>
        <w:tc>
          <w:tcPr>
            <w:tcW w:w="0" w:type="dxa"/>
            <w:vAlign w:val="bottom"/>
          </w:tcPr>
          <w:p>
            <w:pPr>
              <w:spacing w:after="0"/>
              <w:rPr>
                <w:sz w:val="1"/>
                <w:szCs w:val="1"/>
                <w:color w:val="auto"/>
              </w:rPr>
            </w:pPr>
          </w:p>
        </w:tc>
      </w:tr>
      <w:tr>
        <w:trPr>
          <w:trHeight w:val="68"/>
        </w:trPr>
        <w:tc>
          <w:tcPr>
            <w:tcW w:w="2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496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2016</w:t>
            </w: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60" w:type="dxa"/>
            <w:vAlign w:val="bottom"/>
            <w:gridSpan w:val="2"/>
            <w:vMerge w:val="continue"/>
          </w:tcPr>
          <w:p>
            <w:pPr>
              <w:spacing w:after="0"/>
              <w:rPr>
                <w:sz w:val="19"/>
                <w:szCs w:val="19"/>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4,701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75,577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weighted average fair value of stock options granted was $14.46 and $15.20 per option during the three and nine months ended December 31, 2015. The total intrinsic value of options exercised was $2,101 and $6,540 for the three and nine months ended December 31, 2016 and $1,794 and $21,768 for the three and nine months ended December 31, 2015. The Company’s policy is to issue new shares upon exercise of options as the Company does not hold shares in treasury.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unit activity for the nine months ended December 31, 2016 is as follows:</w:t>
      </w:r>
    </w:p>
    <w:p>
      <w:pPr>
        <w:spacing w:after="0" w:line="31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44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57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Non-vested Restricted Stock Units</w:t>
            </w: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4"/>
                <w:szCs w:val="14"/>
                <w:color w:val="auto"/>
              </w:rPr>
            </w:pPr>
          </w:p>
        </w:tc>
        <w:tc>
          <w:tcPr>
            <w:tcW w:w="144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March 31, 2016</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2,212</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Awarded</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1,277</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300" w:type="dxa"/>
            <w:vAlign w:val="bottom"/>
          </w:tcPr>
          <w:p>
            <w:pPr>
              <w:jc w:val="right"/>
              <w:spacing w:after="0"/>
              <w:rPr>
                <w:sz w:val="20"/>
                <w:szCs w:val="20"/>
                <w:color w:val="auto"/>
              </w:rPr>
            </w:pPr>
            <w:r>
              <w:rPr>
                <w:rFonts w:ascii="Arial" w:cs="Arial" w:eastAsia="Arial" w:hAnsi="Arial"/>
                <w:sz w:val="18"/>
                <w:szCs w:val="18"/>
                <w:color w:val="auto"/>
              </w:rPr>
              <w:t>(124)</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Non-vested as of December 31, 2016</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2,543</w:t>
            </w:r>
          </w:p>
        </w:tc>
        <w:tc>
          <w:tcPr>
            <w:tcW w:w="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 average fair value of restricted stock units awarded was $53.16 and $50.55 per unit during the three and nine months ended December 31, 2016, and $36.69 and $37.31 per unit during the three and nine months ended December 31, 2015,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nine months ended December 31, 2016, the Company granted 115 performance restricted stock units ("PSU") to certain executives. Vesting of these awards is contingent upon i) the Company meeting certain company-wide revenue and non-GAAP performance goals (performance-based) in fiscal 2017 and ii) the Company's customary service periods. The awards vest in three annual tranches and have a maximum potential to vest at 200% (230 shares) based on actual fiscal 2017 performance. The related stock-based compensation expense is determined based on the value of the underlying shares on the date of grant and is recognized over the vesting term using the accelerated method. During the interim financial periods, management estimates the probable number of PSU’s that would vest until the ultimate achievement of the performance goals is known. The awards are included in the restricted stock unit table.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with a Market Condition</w:t>
      </w:r>
    </w:p>
    <w:p>
      <w:pPr>
        <w:spacing w:after="0" w:line="17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the nine months ended December 31, 2016, the Company granted 123 market performance stock units to certain executives. The vesting of these awards is contingent upon the Company meeting certain total shareholder return ("TSR") levels as compared to a market index over the next three years. The awards vest in three annual tranches and have a maximum potential to vest at 200% (246 shares) based on TSR performance. The related stock-based compensation expense is determined based on the estimated fair value of the underlying shares on the date of grant and is recognized using the accelerated method over the vesting term. The estimated fair value was calculated using a Monte Carlo simulation model. The weighted average fair value of the awards granted during the nine months ended December 31, 2016 was $57.28. The awards are included in the restricted stock unit table.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Employee Stock Purchase Plan (the “Purchase Plan”) is a shareholder approved plan under which substantially all employees may purchase the Company’s common stock through payroll deductions at a price equal to 85% of the lower of the fair market values of the stock as of the beginning or the end of the six-month offering periods. An employee’s payroll deductions under the Purchase Plan are limited to 10% of the employee’s salary and employees may not purchase more than $25 of stock during any calendar year. As of December 31, 2016, 2,503 shares were reserved for future issuance under the Purchase Plan. The Purchase Plan is considered compensatory and the fair value of the discount and look back provision are estimated using the Black-Scholes formula and recognized over the six month withholding period prior to purchase. The total expense associated with the Purchase Plan was $632 and $1,966 for the three and nine months ended December 31, 2016 and $588 and $1,784 for the three and nine months ended December 31, 2015.</w:t>
      </w:r>
    </w:p>
    <w:p>
      <w:pPr>
        <w:spacing w:after="0" w:line="10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Income Taxes</w:t>
      </w:r>
    </w:p>
    <w:p>
      <w:pPr>
        <w:spacing w:after="0" w:line="175"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Income tax expense was $1,063 and $160 in the three and nine months ended December 31, 2016. The income tax expense in the nine month period ended December 31, 2016 is primarily the result of unfavorable impact of permanent book to tax differences and $616 of income tax expense related to a change in the estimated state tax rate applied to the state deferred tax assets and the state income tax payable, partially offset by the favorable impact of research tax credits.</w:t>
      </w:r>
    </w:p>
    <w:p>
      <w:pPr>
        <w:spacing w:after="0" w:line="133"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Income tax benefit was $1,396 and $1,747 in the three and nine months ended December 31, 2015, respectively. The effective rate of the income tax benefit in the nine month period is lower than the federal statutory rate due to the impact of unfavorable permanent differences, partially offset by the permanently extended research credit.</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Unrecognized Tax Benefits</w:t>
      </w:r>
    </w:p>
    <w:p>
      <w:pPr>
        <w:spacing w:after="0" w:line="90" w:lineRule="exact"/>
        <w:rPr>
          <w:sz w:val="20"/>
          <w:szCs w:val="20"/>
          <w:color w:val="auto"/>
        </w:rPr>
      </w:pPr>
    </w:p>
    <w:p>
      <w:pPr>
        <w:ind w:right="320" w:firstLine="432"/>
        <w:spacing w:after="0" w:line="286" w:lineRule="auto"/>
        <w:rPr>
          <w:sz w:val="20"/>
          <w:szCs w:val="20"/>
          <w:color w:val="auto"/>
        </w:rPr>
      </w:pPr>
      <w:r>
        <w:rPr>
          <w:rFonts w:ascii="Arial" w:cs="Arial" w:eastAsia="Arial" w:hAnsi="Arial"/>
          <w:sz w:val="17"/>
          <w:szCs w:val="17"/>
          <w:color w:val="auto"/>
        </w:rPr>
        <w:t>The calculation of the Company’s tax liabilities involves dealing with uncertainties in the application of complex tax regulations in each of its tax jurisdictions. The number of years with open tax audits varies depending on the tax jurisdiction. A number of years may lapse before a particular matter is audited and finally resolved. A reconciliation of the beginning and ending amounts of unrecognized tax benefits is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March 31, 2016</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Additions for tax positions related to fiscal 2017</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for tax positions related to prior years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Settlements and effective settlements with tax authorities and remeasurements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related to the expiration of statutes of limitations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0"/>
        </w:trPr>
        <w:tc>
          <w:tcPr>
            <w:tcW w:w="99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14</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9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Commvault Systems,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Unaudited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All of the Company’s unrecognized tax benefits would favorably impact the effective tax rate if they were recognized. Components of the reserve are classified as either current or long-term in the Consolidated Balance Sheet based on when the Company expects each of the items to be settled. Unrecognized tax benefits and the related accrued interest and penalties totaling $1,875 are recorded as Other Liabilities on the Consolidated Balance Sheet, of</w:t>
      </w:r>
    </w:p>
    <w:p>
      <w:pPr>
        <w:ind w:right="220"/>
        <w:spacing w:after="0" w:line="261" w:lineRule="auto"/>
        <w:rPr>
          <w:sz w:val="20"/>
          <w:szCs w:val="20"/>
          <w:color w:val="auto"/>
        </w:rPr>
      </w:pPr>
      <w:r>
        <w:rPr>
          <w:rFonts w:ascii="Arial" w:cs="Arial" w:eastAsia="Arial" w:hAnsi="Arial"/>
          <w:sz w:val="18"/>
          <w:szCs w:val="18"/>
          <w:color w:val="auto"/>
        </w:rPr>
        <w:t>which $233 represents interest and penalties. The Company also has unrecognized tax benefits and related accrued interest and penalties totaling $508 as a reduction of Deferred Tax Assets on the Consolidated Balance Sheet, of which $106 represents interest and penalties.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Tax Items</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conducts business globally and as a result, files income tax returns in the United States and in various state and foreign jurisdictions. In the normal course of business, the Company is subject to examination by taxing authorities throughout the world, including such major jurisdictions as the United States, Australia, Canada, Germany, Netherlands and United Kingdom. The years subject to income tax examination in the Company’s foreign jurisdictions cover the maximum time period with respect to these jurisdictions. Due to net operating loss ("NOL") carryforwards, in some cases the tax years continue to remain subject to examination with respect to such NOLs.</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125"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along with our consolidated financial statements and the related notes included elsewhere in this quarterly report on Form 10-Q. The statements in this discussion regarding our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under “Risk Factors” in our Annual Report on Form 10-K for the fiscal year ended March 31, 2016. Our actual results may differ materially from those contained in or implied by any forward-looking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We are a leading provider of data and information management software applications and related services. Our software platform is an enterprise level, integrated data and information management solution, built from the ground up on a single platform and unified code base. Our platform contains software functionality that works together seamlessly, sharing a single code and common function set to deliver Data Protection - Backup &amp; Recovery; Cloud and Infrastructure Management; and Retention and Compliance across physical, virtual and cloud environments. All software functionality share the same back-end technologies to deliver the benefits of a holistic approach to protecting, managing, and accessing data. Our software addresses many aspects of data management in the enterprise, while providing scalability and control of data and information. Our software enables our customers to simply and cost-effectively protect and manage their enterprise data throughout its lifecycle, from the mobile worker to the remote office, to the data center, covering the leading operating systems, relational databases, virtualized environments and applications. We also provide our customers with a broad range of professional services that are delivered by our worldwide support and field operations. As of December 31, 2016, we had licensed our software applications to over 24,000 registered customers.</w:t>
      </w:r>
    </w:p>
    <w:p>
      <w:pPr>
        <w:spacing w:after="0" w:line="124"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Our software licenses typically provide for a perpetual right to use our software and are sold on a per-terabyte capacity basis, on a per-copy basis, as site licenses, or as a solution set. During the nine months ended December 31, 2016, approximately 69% of software license revenue was sold on a capacity basis. This compares to approximately 73% of software license revenue was sold on a capacity basis during fiscal 2016. Capacity-based software licenses provide our customers with unlimited licenses of specified software products based on a defined level of terabytes of data under management. As a result, when we sell our platform through a capacity license, certain of the various Commvault functionalities are bundled into one capacity-based price. We anticipate that capacity-based licenses will continue to account for the majority of our software license revenue for fiscal 2017 and fiscal 2018. Site licenses give the customer the additional right to deploy the software on a limited basis during a specified term. Our primary solution sets in our software suite include virtual machine backup, recovery and cloud management; endpoint data protection; and email archive. These solution sets can be individually deployed or combined as part of a comprehensive data protection and information management solution. Our solution sets are generally sold on a per-unit basis such as per virtual machine for our virtual machine backup, recovery and cloud management solution set; per mailbox for our email archive solution set and per user for our endpoint data protection solution set.</w:t>
      </w:r>
    </w:p>
    <w:p>
      <w:pPr>
        <w:spacing w:after="0" w:line="129"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Historically, an insignificant amount of our revenue has been sold under subscription, or term-based, license arrangements. In these arrangements, the customer has the right to use the software on either a capacity basis or per-copy or per-unit basis over a designated period of time. Revenue in these arrangements is recognized ratably over the term of the agreement. Over the next several years, we expect revenue from these types of arrangements to become a more significant portion of our total revenue.</w:t>
      </w:r>
    </w:p>
    <w:p>
      <w:pPr>
        <w:spacing w:after="0" w:line="133"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industry in which we currently operate continues to go through accelerating changes as the result of compounding data growth and the introduction of new technologies. We remain focused on both the data and information management trends in the marketplace and, in fact, a material portion of our existing research and development expenses are utilized toward the development of such new technologies. While we are confident in our ability to meet these changing industry demands with our Commvault suite and potential future releases, the development, release and timing of any features or functionality remain at our sole discretion and our solutions or other technologies may not be widely adopted.</w:t>
      </w:r>
    </w:p>
    <w:p>
      <w:pPr>
        <w:spacing w:after="0" w:line="11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Given the nature of the industry in which we operate, our software applications are subject to obsolescence. We continually develop and introduce updates to our existing software applications in order to keep pace with evolving industry technologies. In addition, we must address evolving industry standards, changing customer requirements and competitive software applications that may render our existing software applications obsolete. For each of our software applications, we provide full support for the current generally available release and one prior release. When we declare a product release obsolete, a customer notice is delivered twelve months prior to the effective date of obsolescence announcing continuation of full product support for the first six months. We provide an additional six months of extended assistance support in which we only provide existing workarounds or fixes that do not require additional development activity. We do not have existing plans to make any of our software products permanently obsolete.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26"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derive a significant portion of our total revenues from sales of licenses of our software applications. We do not customize our software for a specific end-user customer. We sell our software applications to end-user customers both directly through our sales force and indirectly through our global network of value-added reseller partners, systems integrators, corporate resellers and original equipment manufacturers. Our software revenue was 44% and 43% of our total revenues for the nine months ended December 31, 2016 and 2015, respectively.</w:t>
      </w:r>
    </w:p>
    <w:p>
      <w:pPr>
        <w:spacing w:after="0" w:line="133"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In recent fiscal periods, we have generated approximately three-quarters of our software revenue from our existing customer base and approximately one-quarter of our software revenue from new customers. In addition, our total software revenue in any particular period is, to a certain extent, dependent upon our ability to generate revenues from large customer software deals, which we refer to as enterprise software transactions. Enterprise software transactions (transactions greater than $0.1 million) represented approximately 55% and 51% of our total software revenue in the nine months ended December 31, 2016 and 2015, respectively.</w:t>
      </w:r>
    </w:p>
    <w:p>
      <w:pPr>
        <w:spacing w:after="0" w:line="134"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Software revenue generated through indirect distribution channels was 88% of total software revenue in the nine months ended December 31, 2016 and was approximately 85% of total software revenue in the nine months ended December 31, 2015. Software revenue generated through direct distribution channels was approximately 12% of total software revenue in the nine months ended December 31, 2016 and was approximately 15% of total software revenue in the nine months ended December 31, 2015. The dollar value of software revenue generated through indirect distribution channels increased approximately $29.0 million, or 18%, in the nine months ended December 31, 2016 compared to the nine months ended December 31, 2015. The dollar value of software revenue generated through direct distribution channels decreased approximately $2.7 million, or 10%, in the nine months ended December 31, 2016 compared to the nine months ended December 31, 2015. Deals initiated by our direct sales force are sometimes transacted through indirect channels based on end-user customer requirements, which are not always in our control and can cause this overall percentage split to vary from period-to-period. As such, there may be fluctuations in the dollars and percentage of software revenue generated through our direct distribution channels from time-to-time. We believe that the growth of our software revenue, derived from both our indirect channel partners and direct sales force, are key attributes to our long-term growth strategy. We will continue to invest in both our channel relationships and direct sales force in the future, but we continue to expect more revenue to be generated through indirect distribution channels over the long term. The failure of our indirect distribution channels or our direct sales force to effectively sell our software applications could have a material adverse effect on our revenues and results of operations.</w:t>
      </w:r>
    </w:p>
    <w:p>
      <w:pPr>
        <w:spacing w:after="0" w:line="17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primary original equipment manufacturer agreement is with Hitachi Data Systems ("HDS") and allows them to market, sell and support our software applications and services on a stand-alone basis and/or incorporate our software applications into their own hardware products. Our original equipment manufacturer partners, including HDS, have no obligation to recommend or offer our software applications exclusively or at all, and they have no minimum sales requirements and can terminate our relationship at any time. Sales through our original equipment manufacturer agreements, accounted for 15% of our total revenues for the nine months ended December 31, 2016 and 2015.</w:t>
      </w:r>
    </w:p>
    <w:p>
      <w:pPr>
        <w:spacing w:after="0" w:line="134"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also have non-exclusive distribution agreements covering our North American commercial markets and our U.S. Federal Government market with Arrow Enterprise Computing Solutions, Inc. ("Arrow"), a subsidiary of Arrow Electronics, Inc., and Avnet Technology Solutions ("Avnet"), a subsidiary of Avnet, Inc. Pursuant to these distribution agreements, these distributors’ primary role is to enable a more efficient and effective distribution channel for our products and services by managing our reseller partners and leveraging their own industry experience. We generated approximately 37% of our total revenues through Arrow in the nine months ended December 31, 2016, and approximately 38% in the nine months ended December 31, 2015. We generated approximately 10% of our total revenues through Avnet in the nine months ended December 31, 2016. If Arrow or Avnet were to discontinue or reduce the sales of our products or if our agreement with Arrow or Avnet was terminated, and if we were unable to take back the management of our reseller channel or find another North American distributor to replace Arrow or Avnet, then it could have a material adverse effect on our future business.</w:t>
      </w:r>
    </w:p>
    <w:p>
      <w:pPr>
        <w:spacing w:after="0" w:line="11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services revenue was 56% of our total revenues for the nine months ended December 31, 2016 and 57% of our total revenues for the nine months ended December 31, 2015. Our services revenue is made up of fees from the delivery of customer support and other professional services, which are typically sold in connection with the sale of our software applications. Customer support agreements provide technical support and unspecified software updates on a when-and-if-available basis for an annual fee based on licenses purchased and the level of service subscribed. Other professional services include consulting, assessment and design services, implementation and post-deployment services and training, all of which to date have predominantly been sold in connection with the sale of software applications.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Most of our customer support agreements are for a one year term. As the end of the annual period approaches, we pursue the renewal of the agreement with the customer. Historically, maintenance renewals have represented a significant portion of our total revenue. Because of this characteristic of our business, if our customers choose not to renew their maintenance and support agreements with us on beneficial terms, or at all, our business, operating results and financial condition could be harmed. In addition, we are currently going through a re-alignment of our maintenance pricing to be more competitive in the market and make it easier for our customers to do business with Commvault. This maintenance pricing re-alignment will phase in over the current fiscal year and early fiscal 2018, and is primarily focused on the mid- to lower-end of the market (non-enterprise customers) which impacts approximately a quarter of our existing maintenance revenue dollar base. If we are not successful with our maintenance pricing re-alignment strategy, our business and financial performance might also be adversely impacted.</w:t>
      </w:r>
    </w:p>
    <w:p>
      <w:pPr>
        <w:spacing w:after="0" w:line="1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gross margin of our services revenue was 77% for the nine months ended December 31, 2016 and 76% for the nine months ended December 31, 2015. Overall, our services revenue has lower gross margins than our software revenue. The gross margin of our software revenue was approximately 99% for both the nine months ended December 31, 2016 and 2015. An increase in the percentage of total revenues represented by services revenue may adversely affect our overall gross margins.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 Impact on Results of Operations</w:t>
      </w:r>
    </w:p>
    <w:p>
      <w:pPr>
        <w:spacing w:after="0" w:line="175"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Sales outside the United States were approximately 43% of our total revenue for the nine months ended December 31, 2016 and December 31, 2015. The income statements of our non-U.S. operations are translated into U.S. dollars at the average exchange rates for each applicable month in a period. To the extent the U.S. dollar weakens against foreign currencies, the translation of these foreign currency denominated transactions generally results in increased revenue, operating expenses and income from operations for our non-U.S. operations. Similarly, our revenue, operating expenses and net income will generally decrease for our non-U.S. operations if the U.S. dollar strengthens against foreign currencies.</w:t>
      </w:r>
    </w:p>
    <w:p>
      <w:pPr>
        <w:spacing w:after="0" w:line="11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Using the average foreign currency exchange rates from the three months ended December 31, 2015 our software revenue would have been higher by $2.0 million, our services revenue would have been higher by $1.4 million, our cost of sales would have been higher by $0.1 million and our operating expenses would have been higher by $3.7 million from non-U.S. operations for the three months ended December 31, 2016. Using the average foreign currency exchange rates from the nine months ended December 31, 2015 our software revenue would have been higher by $3.5 million, our services revenue would have been higher by $3.1 million, our cost of sales would have been higher by approximately $0.2 million and our operating expenses would have been higher by $7.8 million from non-U.S. operations for the nine months ended December 31, 2016.</w:t>
      </w:r>
    </w:p>
    <w:p>
      <w:pPr>
        <w:spacing w:after="0" w:line="12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addition, we are exposed to risks of foreign currency fluctuation primarily from cash balances, accounts receivables and intercompany accounts denominated in foreign currencies and are subject to the resulting transaction gains and losses, which are recorded as a component of general and administrative expenses. We recognized a net foreign currency transaction loss of less than $0.1 million and gain of $0.4 million in the three and nine months ended December 31, 2016. We recognized net foreign currency transaction loss of $0.1 million and gain of $0.1 million in the three and nine months ended December 31, 2015.</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period-to-period.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spacing w:after="0" w:line="13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significant judgment is required in selecting among available alternative accounting standards that allow different accounting treatment for similar transactions. We consider these policies requiring significant management judgment to be critical accounting policies. These critical accounting policies are:</w:t>
      </w:r>
    </w:p>
    <w:p>
      <w:pPr>
        <w:spacing w:after="0" w:line="160" w:lineRule="exact"/>
        <w:rPr>
          <w:sz w:val="20"/>
          <w:szCs w:val="20"/>
          <w:color w:val="auto"/>
        </w:rPr>
      </w:pPr>
    </w:p>
    <w:p>
      <w:pPr>
        <w:ind w:left="2020" w:hanging="310"/>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Accounting for Income Taxes; and</w:t>
      </w:r>
    </w:p>
    <w:p>
      <w:pPr>
        <w:spacing w:after="0" w:line="211" w:lineRule="exact"/>
        <w:rPr>
          <w:rFonts w:ascii="Arial" w:cs="Arial" w:eastAsia="Arial" w:hAnsi="Arial"/>
          <w:sz w:val="18"/>
          <w:szCs w:val="18"/>
          <w:color w:val="auto"/>
        </w:rPr>
      </w:pPr>
    </w:p>
    <w:p>
      <w:pPr>
        <w:ind w:left="2020" w:hanging="310"/>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185"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There have been no significant changes in our critical accounting policies and estimates during the nine months ended December 31, 2016 as compared to the critical accounting policies and estimates disclosed in “Management’s Discussion and Analysis of Financial Condition and Results of Operations - Critical Accounting Policies” included in our Annual Report on Form 10-K for the year ended March 31, 2016. In addition, please see Note 2 of Notes to the Condensed Consolidated Financial Statements included in this Quarterly Report on Form 10-Q and Note 2 of the Notes to Consolidated Financial Statements included in our fiscal 2016 Annual Report on Form 10-K filed for a description of our accounting policies.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sets forth each of our sources of revenues and costs of revenues for the specified periods as a percentage of our total revenues for those periods (due to rounding, numbers in column may not sum to totals):</w:t>
      </w:r>
    </w:p>
    <w:p>
      <w:pPr>
        <w:spacing w:after="0" w:line="338"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rPr>
              <w:t>Nine Months Ended December 31,</w:t>
            </w:r>
          </w:p>
        </w:tc>
      </w:tr>
      <w:tr>
        <w:trPr>
          <w:trHeight w:val="264"/>
        </w:trPr>
        <w:tc>
          <w:tcPr>
            <w:tcW w:w="5820" w:type="dxa"/>
            <w:vAlign w:val="bottom"/>
            <w:gridSpan w:val="2"/>
          </w:tcPr>
          <w:p>
            <w:pPr>
              <w:ind w:left="5440"/>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500" w:type="dxa"/>
            <w:vAlign w:val="bottom"/>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80" w:type="dxa"/>
            <w:vAlign w:val="bottom"/>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Software</w:t>
            </w: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67"/>
        </w:trPr>
        <w:tc>
          <w:tcPr>
            <w:tcW w:w="48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31"/>
        </w:trPr>
        <w:tc>
          <w:tcPr>
            <w:tcW w:w="48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Cost of revenues: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Software</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67"/>
        </w:trPr>
        <w:tc>
          <w:tcPr>
            <w:tcW w:w="48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31"/>
        </w:trPr>
        <w:tc>
          <w:tcPr>
            <w:tcW w:w="48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Gross margin</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459"/>
        </w:trPr>
        <w:tc>
          <w:tcPr>
            <w:tcW w:w="5820" w:type="dxa"/>
            <w:vAlign w:val="bottom"/>
            <w:gridSpan w:val="2"/>
          </w:tcPr>
          <w:p>
            <w:pPr>
              <w:ind w:left="5420"/>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December 31, 2016 compared to three months ended December 31, 2015</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Total revenues increased $10.1 million, or 7%, from $155.7 million in the three months ended December 31, 2015 to $165.8 million in the three months ended December 31, 2016.</w:t>
      </w:r>
    </w:p>
    <w:p>
      <w:pPr>
        <w:spacing w:after="0" w:line="11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i w:val="1"/>
          <w:iCs w:val="1"/>
          <w:color w:val="auto"/>
        </w:rPr>
        <w:t xml:space="preserve">Software Revenue. </w:t>
      </w:r>
      <w:r>
        <w:rPr>
          <w:rFonts w:ascii="Arial" w:cs="Arial" w:eastAsia="Arial" w:hAnsi="Arial"/>
          <w:sz w:val="18"/>
          <w:szCs w:val="18"/>
          <w:color w:val="auto"/>
        </w:rPr>
        <w:t>Software revenue increased $5.9 million, or 8%, from $71.4 million in the three months ended December 31, 2015 to $77.3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three months ended December 31, 2016. Software revenue represented 47% of our total revenues in the three months ended December 31, 2016 compared to 46% of total revenues in the three months ended December 31, 2015.</w:t>
      </w:r>
    </w:p>
    <w:p>
      <w:pPr>
        <w:spacing w:after="0" w:line="12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track software revenue on a geographic basis. The geographic regions that are tracked are the Americas (United States, Canada, Latin America), EMEA (Europe, Middle East, Africa) and APAC (Australia, New Zealand, Southeast Asia, China). Americas, EMEA and APAC represented 56%, 32% and 12% of total software revenue, respectively, for the three months ended December 31, 2016. The year over year growth of software revenue in the Americas, EMEA and APAC was flat, 23% and, 17%, respectively.</w:t>
      </w:r>
    </w:p>
    <w:p>
      <w:pPr>
        <w:spacing w:after="0" w:line="133" w:lineRule="exact"/>
        <w:rPr>
          <w:sz w:val="20"/>
          <w:szCs w:val="20"/>
          <w:color w:val="auto"/>
        </w:rPr>
      </w:pPr>
    </w:p>
    <w:p>
      <w:pPr>
        <w:ind w:left="660" w:right="5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Americas enterprise transaction revenue increased by 7% as a result of an increase in the number of transactions but was offset by a decline in average enterprise transaction deal size and non-enterprise transaction revenue.</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EMEA software revenue increased primarily due to a 35% increase in enterprise transaction revenue. The increase in enterprise transaction revenue was primarily a result of an increase in the total number of enterprise revenue transactions.</w:t>
      </w:r>
    </w:p>
    <w:p>
      <w:pPr>
        <w:spacing w:after="0" w:line="116" w:lineRule="exact"/>
        <w:rPr>
          <w:rFonts w:ascii="Arial" w:cs="Arial" w:eastAsia="Arial" w:hAnsi="Arial"/>
          <w:sz w:val="18"/>
          <w:szCs w:val="18"/>
          <w:color w:val="auto"/>
        </w:rPr>
      </w:pPr>
    </w:p>
    <w:p>
      <w:pPr>
        <w:jc w:val="both"/>
        <w:ind w:left="660" w:right="380"/>
        <w:spacing w:after="0" w:line="264" w:lineRule="auto"/>
        <w:rPr>
          <w:rFonts w:ascii="Arial" w:cs="Arial" w:eastAsia="Arial" w:hAnsi="Arial"/>
          <w:sz w:val="18"/>
          <w:szCs w:val="18"/>
          <w:color w:val="auto"/>
        </w:rPr>
      </w:pPr>
      <w:r>
        <w:rPr>
          <w:rFonts w:ascii="Arial" w:cs="Arial" w:eastAsia="Arial" w:hAnsi="Arial"/>
          <w:sz w:val="18"/>
          <w:szCs w:val="18"/>
          <w:color w:val="auto"/>
        </w:rPr>
        <w:t>Year over year software revenue growth in EMEA was adversely impacted by changes in foreign exchange rates as the U.S. dollar strengthened against the Euro and British pound sterling. Using average foreign exchange rates from the third quarter of fiscal 2016, third quarter fiscal 2017 EMEA software revenue would have increased 32% compared to an actual increase of 23%.</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 in APAC software revenue was also the result of an increase in the number of enterprise revenue transactions.</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software revenue in EMEA and APAC is subject to changes in foreign exchange rates as more fully discussed above in the “Foreign Currency Exchange Rates’ Impact on Results of Operations” section.</w:t>
      </w:r>
    </w:p>
    <w:p>
      <w:pPr>
        <w:spacing w:after="0" w:line="11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Software revenue derived from enterprise software transactions (transactions greater than $0.1 million) represented approximately 57% of our software revenue in the three months ended December 31, 2016 and approximately 54% of our software revenue in the three months ended December 31, 2015. Enterprise software transactions increased by $5.6 million, or 15%, in the three months ended December 31, 2016 compared to the three months ended December 31, 2015. This increase was driven by a 22% increase in the number of enterprise software transactions. The average dollar amount of such transactions was approximately $261,000 in the three months ended December 31, 2016 and approximately $278,000 in the three months ended December 31, 2015.</w:t>
      </w:r>
    </w:p>
    <w:p>
      <w:pPr>
        <w:spacing w:after="0" w:line="13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increased $4.2 million, or 5%, from $84.3 million in the three months ended December 31, 2015 to $88.5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December 31, 2016. Services revenue represented 53% of our total revenues in the three months ended December 31, 2016 and 54% in the three months ended December 31, 2015. The increase in services revenue is due to a $5.1 million increase in revenue from customer support agreements as a result of software sales to new customers and renewal agreements with our installed software base. The increase in customer support revenue was partially offset by a decline in professional services revenue.</w:t>
      </w:r>
    </w:p>
    <w:p>
      <w:pPr>
        <w:spacing w:after="0" w:line="13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Cost of Revenues</w:t>
      </w:r>
      <w:r>
        <w:rPr>
          <w:rFonts w:ascii="Arial" w:cs="Arial" w:eastAsia="Arial" w:hAnsi="Arial"/>
          <w:sz w:val="18"/>
          <w:szCs w:val="18"/>
          <w:color w:val="auto"/>
        </w:rPr>
        <w:t>. Total cost of revenues increased $0.7 million, or 4%, from $20.4 million in the three months ended December 31, 2015 to $21.2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three months ended December 31, 2016. Total cost of revenues represented 13% of our total revenues in the three months ended December 31, 2016 and in the three months ended December 31, 2015. An increase in the percentage of total revenues represented by software revenue has the impact of improving our overall gross margins.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$7.0 million, or 8%, from $91.4 million in the three months ended December 31, 2015 to</w:t>
      </w:r>
      <w:r>
        <w:rPr>
          <w:rFonts w:ascii="Arial" w:cs="Arial" w:eastAsia="Arial" w:hAnsi="Arial"/>
          <w:sz w:val="17"/>
          <w:szCs w:val="17"/>
          <w:i w:val="1"/>
          <w:iCs w:val="1"/>
          <w:color w:val="auto"/>
        </w:rPr>
        <w:t xml:space="preserve"> </w:t>
      </w:r>
      <w:r>
        <w:rPr>
          <w:rFonts w:ascii="Arial" w:cs="Arial" w:eastAsia="Arial" w:hAnsi="Arial"/>
          <w:sz w:val="17"/>
          <w:szCs w:val="17"/>
          <w:color w:val="auto"/>
        </w:rPr>
        <w:t>$98.4 million in the three months ended December 31, 2016. The increase is due to a $3.5 million increase in employee compensation and related expenses mainly attributable to the expansion of our sales force from the prior year, a $1.1 million increase in stock-based compensation and a $2.2 million increase in marketing expenses, which included the cost of our inaugural customer conference. Sales and marketing expenses as a percentage of total revenues was 59% in the three months ended December 31, 2016 and 2015.</w:t>
      </w:r>
    </w:p>
    <w:p>
      <w:pPr>
        <w:spacing w:after="0" w:line="11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increased $3.3 million, or 18%, from $18.0 million in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2015 to $21.2 million in the three months ended December 31, 2016. The increase is primarily due to an increase in salary and related expenses resulting from the expansion of our engineering group. Research and development expenses as a percentage of total revenues was 13% in the three months ended December 31, 2016 and 12% in the three months ended December 31, 2015. Investing in research and development has been a priority for Commvault, and we anticipate continued spending related to the development of our data and information management software applications.</w:t>
      </w:r>
    </w:p>
    <w:p>
      <w:pPr>
        <w:spacing w:after="0" w:line="10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$1.6 million, or 8%, from $20.0 million in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to $21.6 million in the three months ended December 31, 2016. The increase is primarily the result of an increase in salary and related expenses as well as higher stock-based compensation. General and administrative expenses in the three months ended December 31, 2016 and 2015 includes approximately $0.1 million of net foreign currency transaction losses. General and administrative expenses as a percentage of total revenues was 13% in the three months ended December 31, 2016 and 2015.</w:t>
      </w:r>
    </w:p>
    <w:p>
      <w:pPr>
        <w:spacing w:after="0" w:line="13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expense decreased by $0.2 million from $2.4 million in the three months ended December 31, 2015 to</w:t>
      </w:r>
      <w:r>
        <w:rPr>
          <w:rFonts w:ascii="Arial" w:cs="Arial" w:eastAsia="Arial" w:hAnsi="Arial"/>
          <w:sz w:val="18"/>
          <w:szCs w:val="18"/>
          <w:i w:val="1"/>
          <w:iCs w:val="1"/>
          <w:color w:val="auto"/>
        </w:rPr>
        <w:t xml:space="preserve"> </w:t>
      </w:r>
      <w:r>
        <w:rPr>
          <w:rFonts w:ascii="Arial" w:cs="Arial" w:eastAsia="Arial" w:hAnsi="Arial"/>
          <w:sz w:val="18"/>
          <w:szCs w:val="18"/>
          <w:color w:val="auto"/>
        </w:rPr>
        <w:t>$2.2 million in the three months ended December 31, 2016.</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 (Benefit)</w:t>
      </w:r>
    </w:p>
    <w:p>
      <w:pPr>
        <w:spacing w:after="0" w:line="17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Income tax expense was $1.1 million in the three months ended December 31, 2016 compared to a benefit of $1.4 million in the three months ended December 31, 2015. The tax expense in the three month period ended December 31, 2016 is due to projected permanent differences representing a higher percentage of projected loss before taxes partially offset by the favorable impact of research tax credits. We estimate that cash expenditures for income taxes for fiscal 2017 will be less than $5.0 million. The income tax expense recorded in the three months ended December 31, 2015 is primarily the result of federal research and development tax credits recorded as a result of legislation that made the credits permanent.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December 31, 2016 compared to nine months ended December 31, 2015</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Total revenues increased $42.0 million, or 10%, from $435.6 million in the nine months ended December 31, 2015 to $477.6 million in the nine months ended December 31, 2016.</w:t>
      </w:r>
    </w:p>
    <w:p>
      <w:pPr>
        <w:spacing w:after="0" w:line="1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 xml:space="preserve">Software Revenue. </w:t>
      </w:r>
      <w:r>
        <w:rPr>
          <w:rFonts w:ascii="Arial" w:cs="Arial" w:eastAsia="Arial" w:hAnsi="Arial"/>
          <w:sz w:val="18"/>
          <w:szCs w:val="18"/>
          <w:color w:val="auto"/>
        </w:rPr>
        <w:t>Software revenue increased $26.3 million, or 14%, from $185.4 million in the nine months ended December 31, 2015 to $211.7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nine months ended December 31, 2016. Software revenue represented 44% of our total revenues in the nine months ended December 31, 2016 as compared to 43% of total revenues in the nine months ended December 31, 2015.</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Americas, EMEA and APAC represented 58%, 29% and 13% of total software revenue, respectively, for the nine months ended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of software revenue in the Americas, EMEA and APAC was 10%, 16% and 29%, respectively.</w:t>
      </w:r>
    </w:p>
    <w:p>
      <w:pPr>
        <w:spacing w:after="0" w:line="157" w:lineRule="exact"/>
        <w:rPr>
          <w:sz w:val="20"/>
          <w:szCs w:val="20"/>
          <w:color w:val="auto"/>
        </w:rPr>
      </w:pPr>
    </w:p>
    <w:p>
      <w:pPr>
        <w:ind w:left="660" w:right="4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increase in Americas software revenue for the nine months ended December 31, 2016 was the result of an increase in enterprise transaction revenue driven by a higher number of enterprise revenue transactions. These increases were slightly offset by a decrease in non-enterprise transaction revenue.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3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EMEA software revenue increased primarily as a result of an increase in both enterprise and non-enterprise transaction revenue. The increase in enterprise transaction revenue was driven by a significant increase in the number of such transactions.</w:t>
      </w:r>
    </w:p>
    <w:p>
      <w:pPr>
        <w:spacing w:after="0" w:line="116" w:lineRule="exact"/>
        <w:rPr>
          <w:rFonts w:ascii="Arial" w:cs="Arial" w:eastAsia="Arial" w:hAnsi="Arial"/>
          <w:sz w:val="18"/>
          <w:szCs w:val="18"/>
          <w:color w:val="auto"/>
        </w:rPr>
      </w:pPr>
    </w:p>
    <w:p>
      <w:pPr>
        <w:ind w:left="660" w:right="400"/>
        <w:spacing w:after="0" w:line="264" w:lineRule="auto"/>
        <w:rPr>
          <w:rFonts w:ascii="Arial" w:cs="Arial" w:eastAsia="Arial" w:hAnsi="Arial"/>
          <w:sz w:val="18"/>
          <w:szCs w:val="18"/>
          <w:color w:val="auto"/>
        </w:rPr>
      </w:pPr>
      <w:r>
        <w:rPr>
          <w:rFonts w:ascii="Arial" w:cs="Arial" w:eastAsia="Arial" w:hAnsi="Arial"/>
          <w:sz w:val="18"/>
          <w:szCs w:val="18"/>
          <w:color w:val="auto"/>
        </w:rPr>
        <w:t>Year over year software revenue growth in EMEA was adversely impacted by changes in foreign exchange rates as the U.S. dollar strengthened against the Euro and British pound sterling. Using average foreign exchange rates from the first nine months of fiscal 2016, fiscal 2017 EMEA software revenue would have increased 22% compared to an actual increase of 16%.</w:t>
      </w:r>
    </w:p>
    <w:p>
      <w:pPr>
        <w:spacing w:after="0" w:line="127"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increase in APAC software revenue was primarily the result of a significant increase in enterprise transaction revenue from an increase in the number of transactions.</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software revenue in EMEA and APAC is subject to changes in foreign exchange rates as more fully discussed above in the “Foreign Currency Exchange Rates’ Impact on Results of Operations” section.</w:t>
      </w:r>
    </w:p>
    <w:p>
      <w:pPr>
        <w:spacing w:after="0" w:line="11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Software revenue derived from enterprise software transactions (transactions greater than $0.1 million) represented approximately 55% of our software revenue in the nine months ended December 31, 2016 and approximately 51% of our software revenue in the nine months ended December 31, 2015. Enterprise software transaction revenue increased by $23.3 million, or 25%, in the nine months ended December 31, 2016 compared to the nine months ended December 31, 2015. This increase was driven by a 29% increase in the number of transactions partially offset by a 3% decline in the average dollar amount of such transactions. The average sales price was approximately $258,000 in the nine months ended December 31, 2016 and approximately $267,000 in the nine months ended December 31, 2015. Software revenue derived from transactions less than $0.1 million increased $3.0 million, or 3%, in the nine months ended December 31, 2016 compared to the nine months ended December 31, 2015.</w:t>
      </w:r>
    </w:p>
    <w:p>
      <w:pPr>
        <w:spacing w:after="0" w:line="12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increased $15.8 million, or 6%, from $250.1 million in the nine months ended December 31, 2015 to $265.9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nine months ended December 31, 2016. Services revenue represented 56% of our total revenues in the nine months ended December 31, 2016 and 57% in the nine months ended December 31, 2015. The increase in services revenue is due to a $17.6 million increase in revenue from customer support agreements as a result of software sales to new customers and renewal agreements with our installed software base. The increase in customer support revenue was partially offset by a decline in professional services revenue.</w:t>
      </w:r>
    </w:p>
    <w:p>
      <w:pPr>
        <w:spacing w:after="0" w:line="13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i w:val="1"/>
          <w:iCs w:val="1"/>
          <w:color w:val="auto"/>
        </w:rPr>
        <w:t>Cost of Revenues</w:t>
      </w:r>
      <w:r>
        <w:rPr>
          <w:rFonts w:ascii="Arial" w:cs="Arial" w:eastAsia="Arial" w:hAnsi="Arial"/>
          <w:sz w:val="18"/>
          <w:szCs w:val="18"/>
          <w:color w:val="auto"/>
        </w:rPr>
        <w:t>. Total cost of revenues increased $1.9 million, or 3%, from $61.9 million in the nine months ended December 31, 2015 to $63.8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nine months ended December 31, 2016. Total cost of revenues represented 13% of our total revenues in the nine months ended December 31, 2016 and 14% in the nine months ended December 31, 2015. An increase in the percentage of total revenues represented by software revenue had the impact of improving our overall gross margins.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$22.9 million, or 9%, from $263.0 million in the nine months ended December 31, 2015</w:t>
      </w:r>
      <w:r>
        <w:rPr>
          <w:rFonts w:ascii="Arial" w:cs="Arial" w:eastAsia="Arial" w:hAnsi="Arial"/>
          <w:sz w:val="18"/>
          <w:szCs w:val="18"/>
          <w:i w:val="1"/>
          <w:iCs w:val="1"/>
          <w:color w:val="auto"/>
        </w:rPr>
        <w:t xml:space="preserve"> </w:t>
      </w:r>
      <w:r>
        <w:rPr>
          <w:rFonts w:ascii="Arial" w:cs="Arial" w:eastAsia="Arial" w:hAnsi="Arial"/>
          <w:sz w:val="18"/>
          <w:szCs w:val="18"/>
          <w:color w:val="auto"/>
        </w:rPr>
        <w:t>to $285.9 million in the nine months ended December 31, 2016. The increase is primarily due to a $11.7 million increase in employee compensation and related expenses mainly attributable to the expansion of our sales force from the prior year, a $4.0 million increase in stock-based compensation and $4.0 million in incremental marketing expense which included the cost of our inaugural customer conference as well as our first worldwide sales meeting in several years held during the first quarter. Sales and marketing expenses as a percentage of total revenues was 60% in both the nine months ended December 31, 2016 and 2015.</w:t>
      </w:r>
    </w:p>
    <w:p>
      <w:pPr>
        <w:spacing w:after="0" w:line="139"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$9.8 million, or 19%, from $50.9 million in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2015 to $60.7 million in the nine months ended December 31, 2016. The increase is due to salary and related expenses resulting from the expansion of our engineering group. Research and development expenses as a percentage of total revenues was 13% in the nine months ended December 31, 2016 and 12% in the nine months ended December 31, 2015. Investing in research and development has been a priority for Commvault, and we anticipate continued spending related to the development of our data and information management software applications.</w:t>
      </w:r>
    </w:p>
    <w:p>
      <w:pPr>
        <w:spacing w:after="0" w:line="119"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$3.1 million, or 5%, from $59.7 million in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to $62.9 million in the nine months ended December 31, 2016. The increase is primarily the result of a $2.5 million increase in stock-based compensation. Expenses in the nine months ended December 31, 2016 includes approximately $0.4 million of net foreign currency transaction gains compared to less than $0.1 million of net foreign currency transaction gains in the nine months ended December 31, 2015. General and administrative expenses as a</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percentage of total revenues decreased to 13% in the nine months ended December 31, 2016 from 14% in the nine months ended December 31, 2015.</w:t>
      </w:r>
    </w:p>
    <w:p>
      <w:pPr>
        <w:spacing w:after="0" w:line="1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expense decreased by $1.0 million from $7.3 million in the nine months ended December 31, 2015 to $6.4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nine months ended December 31, 2016.</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 (Benefit)</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income tax expense in the nine month period ended December 31, 2016 is due to the unfavorable impact of permanent book to tax differences and $0.6 of income tax expense related to a change in the estimated state tax rate applied to the state deferred tax assets and the state income tax payable, partially offset by the favorable impact of research tax credits. We estimate that cash expenditures for income taxes for fiscal 2017 will be less than $5.0 million. The income tax benefit recorded in the nine months ended December 31, 2015 of 23.6% is primarily the result of federal research and development tax credits recorded as a result of legislation that made the credits permanent.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As of December 31, 2016, our cash and cash equivalents balance of $316.4 million primarily consisted of cash and money market funds. In addition, as of December 31, 2016 we have short-term investments invested in U.S. Treasury Bills totaling $120.7 million. In recent fiscal years, our principal source of liquidity has been cash provided by operations.</w:t>
      </w:r>
    </w:p>
    <w:p>
      <w:pPr>
        <w:spacing w:after="0" w:line="12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As of December 31, 2016, the amount of cash and cash equivalents held outside of the United States by our foreign legal entities was approximately $157 million. These balances are dispersed across many international locations around the world. We believe that such dispersion meets the current and anticipated future liquidity needs of our foreign legal entities. In addition, it is our intention to indefinitely reinvest undistributed earnings of our foreign legal entities. In the event we needed to repatriate funds from outside of the United States, such repatriation would likely be subject to restrictions by local laws and/or tax consequences including foreign withholding taxes or U.S. income taxes. It is not currently practical to estimate the legal restrictions or tax liability that would arise from such repatriations.</w:t>
      </w:r>
    </w:p>
    <w:p>
      <w:pPr>
        <w:spacing w:after="0" w:line="139" w:lineRule="exact"/>
        <w:rPr>
          <w:sz w:val="20"/>
          <w:szCs w:val="20"/>
          <w:color w:val="auto"/>
        </w:rPr>
      </w:pPr>
    </w:p>
    <w:p>
      <w:pPr>
        <w:ind w:right="200" w:firstLine="405"/>
        <w:spacing w:after="0" w:line="289" w:lineRule="auto"/>
        <w:rPr>
          <w:sz w:val="20"/>
          <w:szCs w:val="20"/>
          <w:color w:val="auto"/>
        </w:rPr>
      </w:pPr>
      <w:r>
        <w:rPr>
          <w:rFonts w:ascii="Arial" w:cs="Arial" w:eastAsia="Arial" w:hAnsi="Arial"/>
          <w:sz w:val="16"/>
          <w:szCs w:val="16"/>
          <w:color w:val="auto"/>
        </w:rPr>
        <w:t>We have a five-year $250 million revolving credit facility (the “Credit Facility”) that expires in 2019. The Credit Facility is available for share repurchases, general corporate purposes, and letters of credit. The Credit Facility contains financial maintenance covenants including a leverage ratio and interest coverage ratio. The Credit Facility also contains certain customary events of default which would permit the lenders to, among other things, declare all loans then outstanding to be immediately due and payable if such default is not cured within applicable grace periods. The Credit Facility also limits our ability to incur certain additional indebtedness, create or permit liens on assets, make acquisitions, make investments, loans or advances, sell or transfer assets, pay dividends or distributions, and engage in certain transactions with foreign affiliates. Outstanding borrowings under the Credit Facility accrue interest at an annual rate equal to London Interbank Offered Rate plus 1.50% subject to increases based on the Company's actual leverage. The unused balance on the Credit Facility is also subject to a 0.25% annual interest charge subject to increases based on the Company's actual leverage. As of December 31, 2016, there were no borrowings under the Credit Facility and we believe we are in compliance with all covenants.</w:t>
      </w:r>
    </w:p>
    <w:p>
      <w:pPr>
        <w:spacing w:after="0" w:line="113"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During the nine months ended December 31, 2016, we repurchased $25.0 million of our common stock under our share repurchase program. As of December 31, 2016 there was $68.1 million remaining in the share repurchase program which expires March 31, 2017. On January 18, 2017, the Board of Directors extended the expiration date of the share repurchase program to March 31, 2018 and authorized an increase to the existing share repurchase program so that $150.0 million is now available. Under our stock repurchase program, repurchased shares are constructively retired and returned to unissued status. Our stock repurchase program has been funded by our existing cash and cash equivalent balances as well as cash flows provided by our operations.</w:t>
      </w:r>
    </w:p>
    <w:p>
      <w:pPr>
        <w:spacing w:after="0" w:line="10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future stock repurchase activity is subject to the business judgment of our management and Board of Directors, taking into consideration our historical and projected results of operations, financial condition, cash flows and other anticipated capital requirements or investment alternatives. Our stock repurchase program reduces the dilutive impact on our common shares outstanding associated with stock option exercises and our previous public and private stock offerings through the repurchase of common stock we believe is undervalued.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summarized cash flow information is as follows (in thousands):</w:t>
      </w:r>
    </w:p>
    <w:p>
      <w:pPr>
        <w:spacing w:after="0" w:line="329"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Nine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34290</wp:posOffset>
            </wp:positionV>
            <wp:extent cx="2332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120"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47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71,054</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47,234</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(26,160)</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(46,468)</w:t>
            </w:r>
          </w:p>
        </w:tc>
      </w:tr>
      <w:tr>
        <w:trPr>
          <w:trHeight w:val="27"/>
        </w:trPr>
        <w:tc>
          <w:tcPr>
            <w:tcW w:w="4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(18,539)</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Effects of exchange rate-changes in cash</w:t>
            </w:r>
          </w:p>
        </w:tc>
        <w:tc>
          <w:tcPr>
            <w:tcW w:w="10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(10,639)</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(3,504)</w:t>
            </w:r>
          </w:p>
        </w:tc>
      </w:tr>
      <w:tr>
        <w:trPr>
          <w:trHeight w:val="27"/>
        </w:trPr>
        <w:tc>
          <w:tcPr>
            <w:tcW w:w="47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28,305</w:t>
            </w:r>
          </w:p>
        </w:tc>
        <w:tc>
          <w:tcPr>
            <w:tcW w:w="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(21,277)</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Net cash provided by operating activities was $71.1 million in the nine months ended December 31, 2016 and $47.2 million in the nine months ended December 31, 2015. In the nine months ended December 31, 2016, cash provided by operating activities was primarily due to net loss adjusted for the impact of non-cash charges, and an increase in deferred revenue and accrued expenses. In the nine months ended December 31, 2015, cash provided by operating activities was primarily due to net loss adjusted for the impact of non-cash charges, and increases in accrued expenses.</w:t>
      </w:r>
    </w:p>
    <w:p>
      <w:pPr>
        <w:spacing w:after="0" w:line="117" w:lineRule="exact"/>
        <w:rPr>
          <w:sz w:val="20"/>
          <w:szCs w:val="20"/>
          <w:color w:val="auto"/>
        </w:rPr>
      </w:pPr>
    </w:p>
    <w:p>
      <w:pPr>
        <w:ind w:right="260" w:firstLine="432"/>
        <w:spacing w:after="0" w:line="276" w:lineRule="auto"/>
        <w:rPr>
          <w:sz w:val="20"/>
          <w:szCs w:val="20"/>
          <w:color w:val="auto"/>
        </w:rPr>
      </w:pPr>
      <w:r>
        <w:rPr>
          <w:rFonts w:ascii="Arial" w:cs="Arial" w:eastAsia="Arial" w:hAnsi="Arial"/>
          <w:sz w:val="17"/>
          <w:szCs w:val="17"/>
          <w:color w:val="auto"/>
        </w:rPr>
        <w:t>Net cash used in investing activities was $26.2 million for the nine months ended December 31, 2016 and $46.5 million in the nine months ended December 31, 2015. In the nine months ended December 31, 2016, cash used in investing activities was related to $21.7 million in net purchases of U.S. Treasury Bills and $4.5 million of capital expenditures. In the nine months ended December 31, 2015, cash used in investing activities was due to $34.8 million in net purchases of U.S. Treasury Bills, $5.0 million of capital expenditures, $4.6 million related to purchase of equity method investment and $2.1 million of incremental spending associated with the Company’s corporate campus headquarters.</w:t>
      </w:r>
    </w:p>
    <w:p>
      <w:pPr>
        <w:spacing w:after="0" w:line="119"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Net cash used in financing activities was $6.0 million in the nine months ended December 31, 2016 and $18.5 million in the nine months ended December 31, 2015. The cash used in financing activities in the nine months ended December 31, 2016 was due to $25.0 million of common stock repurchases, partially offset by $14.3 million of proceeds from the exercise of stock options and purchases under the employee stock purchase plan as well as $4.8 million of excess tax benefits recognized as a result of the stock option exercises and restricted stock vesting. The cash used in financing activities in the nine months ended December 31, 2015 was due to $34.6 million of common stock repurchases, partially offset by $9.8 million of proceeds from the exercise of stock options and the employee stock purchase plan as well as $6.3 million of excess tax benefits recognized as a result of the stock option exercises and restricted stock vesting.</w:t>
      </w:r>
    </w:p>
    <w:p>
      <w:pPr>
        <w:spacing w:after="0" w:line="13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Working capital increased $49.2 million from $252.4 million as of March 31, 2016 to $301.6 million as of December 31, 2016. The net increase in working capital is due primarily to a net increase in cash and short-term investments that was a result of the cash flows generated from operations of $71.1 million, partially offset by $25.0 million of share repurchases. We believe that our existing cash, cash equivalents and our cash from operations will be sufficient to meet our anticipated cash needs for working capital, income taxes, capital expenditures and potential stock repurchases for at least the next twelve months. We may seek additional funding through public or private financings or other arrangements during this period. Adequate funds may not be available when needed or may not be available on terms favorable to us, or at all. If additional funds are raised by issuing equity securities, dilution to existing stockholders will result. If we raise additional funds by obtaining loans from third parties, including borrowing under our revolving credit facility, the terms of those financing arrangements may include negative covenants or other restrictions on our business that could impair our operational flexibility, and would also require us to fund additional interest expense. If funding is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As of December 31, 2016, other than our operating leases, we do not have off-balance sheet financing arrangements, including any relationships with unconsolidated entities or financial partnerships, such as entities often referred to as structured finance or special purpose entities.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4"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Certain of our software licensing agreements contain certain provisions that indemnify our customers from any claim, suit or proceeding arising from alleged or actual intellectual property infringement. These provisions continue in perpetuity along with our software licensing agreements. We have never incurred a liability relating to one of these indemnification provisions in the past and we believe that the likelihood of any future payout relating to these provisions is remote. Therefore, we have not recorded a liability during any period related to these indemnification provisions.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of the unaudited consolidated financial statements for a discussion of the impact of recently issued accounting standard.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360" w:firstLine="432"/>
        <w:spacing w:after="0" w:line="308" w:lineRule="auto"/>
        <w:rPr>
          <w:sz w:val="20"/>
          <w:szCs w:val="20"/>
          <w:color w:val="auto"/>
        </w:rPr>
      </w:pPr>
      <w:r>
        <w:rPr>
          <w:rFonts w:ascii="Arial" w:cs="Arial" w:eastAsia="Arial" w:hAnsi="Arial"/>
          <w:sz w:val="17"/>
          <w:szCs w:val="17"/>
          <w:color w:val="auto"/>
        </w:rPr>
        <w:t>As of December 31, 2016, our cash and cash equivalents and short-term investments consisted primarily of money market funds and U.S. Treasury Bills. Due to the short-term nature of these investments, we are not subject to any material interest rate risk on these balances.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Economic Exposure</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a global company, we face exposure to adverse movements in foreign currency exchange rates. Our international sales are generally denominated in foreign currencies and this revenue could be materially affected by currency fluctuations. Approximately 43% of our sales were outside the United States for the nine months ended December 31, 2016. Our primary exposures are to fluctuations in exchange rates for the U.S. dollar versus the Euro, and to a lesser extent, the Australian dollar, British pound sterling, Canadian dollar, Chinese yuan, Indian rupee, Korean won and Singapore dollar. Changes in currency exchange rates could adversely affect our reported revenues and require us to reduce our prices to remain competitive in foreign markets, which could also have a material adverse effect on our results of operations. Historically, we have periodically reviewed and revised the pricing of our products available to our customers in foreign countries and we have not maintained excess cash balances in foreign accounts.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Transaction Exposure</w:t>
      </w:r>
    </w:p>
    <w:p>
      <w:pPr>
        <w:spacing w:after="0" w:line="90"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Our exposure to foreign currency transaction gains and losses is primarily the result of certain net receivables due from our foreign subsidiaries and customers being denominated in currencies other than the functional currency of the subsidiary. Our foreign subsidiaries conduct their businesses in local currency and we generally do not maintain excess U.S. dollar cash balances in foreign accounts.</w:t>
      </w:r>
    </w:p>
    <w:p>
      <w:pPr>
        <w:spacing w:after="0" w:line="12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Foreign currency transaction gains and losses are recorded in “General and administrative expenses” in the Consolidated Statements of Income (Loss). We recognized a net foreign currency transaction loss of less than $0.1 million and a gain of $0.4 million in the three and nine months ended December 31, 2016. We recognized net foreign currency transaction loss of $0.1 million and gain of $0.1 million in the three and nine months ended December 31, 2015. The net foreign currency transaction gains and losses recorded in “General and administrative” expenses include settlement gains and losses on forward contracts disclosed below.</w:t>
      </w:r>
    </w:p>
    <w:p>
      <w:pPr>
        <w:spacing w:after="0" w:line="134"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To date, we have selectively hedged our exposure to foreign currency transaction gains and losses on the balance sheet through the use of forward contracts, which were not designated as hedging instruments. The duration of forward contracts utilized for hedging our balance sheet exposure is generally one to three months. Gains and losses from these contracts are recorded in general and administrative expenses. As of December 31, 2016 and March 31, 2016, we did not have any forward contracts outstanding. We recorded net realized gains and losses of less than $0.1 million related to the settlement of forward exchange contracts in the three and nine months ended December 31, 2016 and 2015. In the future, we may enter into additional foreign currency based hedging contracts to reduce our exposure to significant fluctuations in currency exchange rates on the balance sheet.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management, with the participation of the Chief Executive Officer and Chief Financial Officer, has evaluated the effectiveness of the our disclosure controls and procedures, as defined in Rules 13a-15(e) and 15d-15(e) of the Securities Exchange Act of 1934, as of December 31, 2016. Based on that evaluation, the Chief Executive Officer and Chief Financial Officer concluded that our disclosure controls and procedures were effective as of December 31, 2016.</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third quarter of fiscal 2017 that has materially affected, or is reasonably likely to materially affect, our internal control over financial reporting.</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Inherent Limitations on Internal Controls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 not expect that our disclosures controls and procedures or our internal controls over financial reporting will prevent or detect all error and all fraud. A control system, no matter how well designed and operated, can provide only reasonable, not absolute, assurance that the control objectives of the control system are met. Further, the design of a control system must reflect the fact that there are resource constraints, and the benefits of controls must be considered relative to their costs. Because of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From time to time, we are subject to claims in legal proceedings arising in the normal course of our business. Except as discussed below, we do not believe that we are currently party to any pending legal action that could reasonably be expected to have a material adverse effect on our business or operating results.</w:t>
      </w:r>
    </w:p>
    <w:p>
      <w:pPr>
        <w:spacing w:after="0" w:line="262"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On September 10, 2014, a purported class action complaint was filed in the United States District Court for the District of New Jersey against the Company, its Chief Executive Officer and its Chief Financial Officer. The case is captioned In re Commvault Systems, Inc. Securities Litigation (Master File No. 3:14-cv-05628-MAS-LHG). The suit alleges that we made materially false and misleading statements, or failed to disclose material facts, regarding the our financial results, business, operations and prospects in violation of Sections 10(b) and 20(a) of the Securities Exchange Act of 1934 and Rule 10b-5 promulgated thereunder. The suit asserts claims covering an alleged class period from May 7, 2013 through April 24, 2014. It is purportedly brought on behalf of purchasers of our common stock during that period, and seeks compensatory damages, costs and expenses, as well as equitable or other relief. Lead plaintiff, the Arkansas Teachers Retirement System, was appointed on January 12, 2015, and on March 18, 2015, an amended complaint was filed by the plaintiffs. On December 17, 2015, the defendant's motion to dismiss the case was granted and the case dismissed; however, the plaintiffs were permitted to re-file their claim, which they did on February 5, 2016. Defendants filed another motion to dismiss on April 5, 2016, which was denied by the court on September 30, 2016. Due to the inherent uncertainties of litigation, we cannot accurately predict the ultimate outcome of this matter. As of December 31, 2016, we have not recorded an accrual for this matter as we have concluded the probability of a loss is remote.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March 31, 2016, which could materially affect our business, financial condition or future results. Additional risks and uncertainties not currently known to us or that we currently deem to be immaterial also may materially adversely affect our business, financial condition and/or operating results. If any of the risks actually occur, our business, financial conditions or results of operations could be negatively affected. In that case, the trading price of our stock could decline, and our stockholders may lose part or all of their investment.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22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During the third fiscal quarter of the fiscal 2017, we repurchased $25.0 million of common stock, or 477,353 shares, under our share repurchase program. A summary of our repurchases of common stock during the three months ended December 31, 2016 is as follows:</w:t>
      </w:r>
    </w:p>
    <w:p>
      <w:pPr>
        <w:spacing w:after="0" w:line="17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5"/>
              </w:rPr>
              <w:t>shares purchased</w:t>
            </w:r>
          </w:p>
        </w:tc>
        <w:tc>
          <w:tcPr>
            <w:tcW w:w="100" w:type="dxa"/>
            <w:vAlign w:val="bottom"/>
          </w:tcPr>
          <w:p>
            <w:pPr>
              <w:spacing w:after="0"/>
              <w:rPr>
                <w:sz w:val="18"/>
                <w:szCs w:val="18"/>
                <w:color w:val="auto"/>
              </w:rPr>
            </w:pPr>
          </w:p>
        </w:tc>
        <w:tc>
          <w:tcPr>
            <w:tcW w:w="184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8"/>
              </w:rPr>
              <w:t>shares that may</w:t>
            </w:r>
          </w:p>
        </w:tc>
      </w:tr>
      <w:tr>
        <w:trPr>
          <w:trHeight w:val="216"/>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84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Average price paid</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right="470"/>
              <w:spacing w:after="0"/>
              <w:rPr>
                <w:sz w:val="20"/>
                <w:szCs w:val="20"/>
                <w:color w:val="auto"/>
              </w:rPr>
            </w:pPr>
            <w:r>
              <w:rPr>
                <w:rFonts w:ascii="Arial" w:cs="Arial" w:eastAsia="Arial" w:hAnsi="Arial"/>
                <w:sz w:val="18"/>
                <w:szCs w:val="18"/>
                <w:b w:val="1"/>
                <w:bCs w:val="1"/>
                <w:color w:val="auto"/>
                <w:w w:val="92"/>
              </w:rPr>
              <w:t>under the</w:t>
            </w:r>
          </w:p>
        </w:tc>
      </w:tr>
      <w:tr>
        <w:trPr>
          <w:trHeight w:val="234"/>
        </w:trPr>
        <w:tc>
          <w:tcPr>
            <w:tcW w:w="1740" w:type="dxa"/>
            <w:vAlign w:val="bottom"/>
            <w:gridSpan w:val="2"/>
          </w:tcPr>
          <w:p>
            <w:pPr>
              <w:ind w:left="560"/>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24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 share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programs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ind w:right="470"/>
              <w:spacing w:after="0"/>
              <w:rPr>
                <w:sz w:val="20"/>
                <w:szCs w:val="20"/>
                <w:color w:val="auto"/>
              </w:rPr>
            </w:pPr>
            <w:r>
              <w:rPr>
                <w:rFonts w:ascii="Arial" w:cs="Arial" w:eastAsia="Arial" w:hAnsi="Arial"/>
                <w:sz w:val="18"/>
                <w:szCs w:val="18"/>
                <w:b w:val="1"/>
                <w:bCs w:val="1"/>
                <w:color w:val="auto"/>
                <w:w w:val="93"/>
              </w:rPr>
              <w:t>program</w:t>
            </w:r>
          </w:p>
        </w:tc>
      </w:tr>
      <w:tr>
        <w:trPr>
          <w:trHeight w:val="34"/>
        </w:trPr>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October 2016</w:t>
            </w: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93,102,714</w:t>
            </w:r>
          </w:p>
        </w:tc>
      </w:tr>
      <w:tr>
        <w:trPr>
          <w:trHeight w:val="243"/>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November 2016</w:t>
            </w:r>
          </w:p>
        </w:tc>
        <w:tc>
          <w:tcPr>
            <w:tcW w:w="1500" w:type="dxa"/>
            <w:vAlign w:val="bottom"/>
          </w:tcPr>
          <w:p>
            <w:pPr>
              <w:jc w:val="right"/>
              <w:spacing w:after="0"/>
              <w:rPr>
                <w:sz w:val="20"/>
                <w:szCs w:val="20"/>
                <w:color w:val="auto"/>
              </w:rPr>
            </w:pPr>
            <w:r>
              <w:rPr>
                <w:rFonts w:ascii="Arial" w:cs="Arial" w:eastAsia="Arial" w:hAnsi="Arial"/>
                <w:sz w:val="18"/>
                <w:szCs w:val="18"/>
                <w:color w:val="auto"/>
              </w:rPr>
              <w:t>147,300</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52.25</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147,300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ind w:left="420"/>
              <w:spacing w:after="0"/>
              <w:rPr>
                <w:sz w:val="20"/>
                <w:szCs w:val="20"/>
                <w:color w:val="auto"/>
              </w:rPr>
            </w:pPr>
            <w:r>
              <w:rPr>
                <w:rFonts w:ascii="Arial" w:cs="Arial" w:eastAsia="Arial" w:hAnsi="Arial"/>
                <w:sz w:val="18"/>
                <w:szCs w:val="18"/>
                <w:color w:val="auto"/>
              </w:rPr>
              <w:t>85,406,491</w:t>
            </w:r>
          </w:p>
        </w:tc>
      </w:tr>
      <w:tr>
        <w:trPr>
          <w:trHeight w:val="27"/>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December 2016</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330,053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330,053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68,105,809 *</w:t>
            </w:r>
          </w:p>
        </w:tc>
      </w:tr>
      <w:tr>
        <w:trPr>
          <w:trHeight w:val="209"/>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Three months ended</w:t>
            </w: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December 31, 2016</w:t>
            </w:r>
          </w:p>
        </w:tc>
        <w:tc>
          <w:tcPr>
            <w:tcW w:w="1500" w:type="dxa"/>
            <w:vAlign w:val="bottom"/>
          </w:tcPr>
          <w:p>
            <w:pPr>
              <w:jc w:val="right"/>
              <w:spacing w:after="0"/>
              <w:rPr>
                <w:sz w:val="20"/>
                <w:szCs w:val="20"/>
                <w:color w:val="auto"/>
              </w:rPr>
            </w:pPr>
            <w:r>
              <w:rPr>
                <w:rFonts w:ascii="Arial" w:cs="Arial" w:eastAsia="Arial" w:hAnsi="Arial"/>
                <w:sz w:val="18"/>
                <w:szCs w:val="18"/>
                <w:color w:val="auto"/>
              </w:rPr>
              <w:t>477,353</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52.40</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477,353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bl>
    <w:p>
      <w:pPr>
        <w:spacing w:after="0" w:line="98" w:lineRule="exact"/>
        <w:rPr>
          <w:sz w:val="20"/>
          <w:szCs w:val="20"/>
          <w:color w:val="auto"/>
        </w:rPr>
      </w:pPr>
    </w:p>
    <w:p>
      <w:pPr>
        <w:ind w:left="720" w:right="340"/>
        <w:spacing w:after="0" w:line="275" w:lineRule="auto"/>
        <w:rPr>
          <w:sz w:val="20"/>
          <w:szCs w:val="20"/>
          <w:color w:val="auto"/>
        </w:rPr>
      </w:pPr>
      <w:r>
        <w:rPr>
          <w:rFonts w:ascii="Arial" w:cs="Arial" w:eastAsia="Arial" w:hAnsi="Arial"/>
          <w:sz w:val="16"/>
          <w:szCs w:val="16"/>
          <w:color w:val="auto"/>
        </w:rPr>
        <w:t>*On January 18, 2017, the Board of Directors extended the expiration date of the share repurchase program to March 31, 2018 and authorized an increase to the existing share repurchase program so that $150.0 million was available at that time.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list of exhibits filed herewith is included on the Exhibit Index, which immediately precedes such exhibits and is incorporated herein by reference.</w:t>
      </w:r>
    </w:p>
    <w:p>
      <w:pPr>
        <w:spacing w:after="0" w:line="27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240" w:top="125" w:right="5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100" w:type="dxa"/>
            <w:vAlign w:val="bottom"/>
          </w:tcPr>
          <w:p>
            <w:pPr>
              <w:ind w:left="840"/>
              <w:spacing w:after="0"/>
              <w:rPr>
                <w:sz w:val="20"/>
                <w:szCs w:val="20"/>
                <w:color w:val="auto"/>
              </w:rPr>
            </w:pPr>
            <w:r>
              <w:rPr>
                <w:rFonts w:ascii="Arial" w:cs="Arial" w:eastAsia="Arial" w:hAnsi="Arial"/>
                <w:sz w:val="18"/>
                <w:szCs w:val="18"/>
                <w:color w:val="auto"/>
              </w:rPr>
              <w:t>Commvault Systems, Inc.</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60" w:type="dxa"/>
            <w:vAlign w:val="bottom"/>
          </w:tcPr>
          <w:p>
            <w:pPr>
              <w:ind w:left="220"/>
              <w:spacing w:after="0"/>
              <w:rPr>
                <w:sz w:val="20"/>
                <w:szCs w:val="20"/>
                <w:color w:val="auto"/>
              </w:rPr>
            </w:pPr>
            <w:r>
              <w:rPr>
                <w:rFonts w:ascii="Arial" w:cs="Arial" w:eastAsia="Arial" w:hAnsi="Arial"/>
                <w:sz w:val="18"/>
                <w:szCs w:val="18"/>
                <w:color w:val="auto"/>
              </w:rPr>
              <w:t>January 26, 2017</w:t>
            </w:r>
          </w:p>
        </w:tc>
        <w:tc>
          <w:tcPr>
            <w:tcW w:w="3420" w:type="dxa"/>
            <w:vAlign w:val="bottom"/>
          </w:tcPr>
          <w:p>
            <w:pPr>
              <w:ind w:left="288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N. Robert Hammer</w:t>
            </w:r>
          </w:p>
        </w:tc>
      </w:tr>
      <w:tr>
        <w:trPr>
          <w:trHeight w:val="27"/>
        </w:trPr>
        <w:tc>
          <w:tcPr>
            <w:tcW w:w="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7520" w:type="dxa"/>
            <w:vAlign w:val="bottom"/>
            <w:gridSpan w:val="2"/>
          </w:tcPr>
          <w:p>
            <w:pPr>
              <w:ind w:left="2880"/>
              <w:spacing w:after="0"/>
              <w:rPr>
                <w:sz w:val="20"/>
                <w:szCs w:val="20"/>
                <w:color w:val="auto"/>
              </w:rPr>
            </w:pPr>
            <w:r>
              <w:rPr>
                <w:rFonts w:ascii="Arial" w:cs="Arial" w:eastAsia="Arial" w:hAnsi="Arial"/>
                <w:sz w:val="18"/>
                <w:szCs w:val="18"/>
                <w:color w:val="auto"/>
              </w:rPr>
              <w:t>N. Robert Hammer</w:t>
            </w:r>
          </w:p>
        </w:tc>
      </w:tr>
      <w:tr>
        <w:trPr>
          <w:trHeight w:val="269"/>
        </w:trPr>
        <w:tc>
          <w:tcPr>
            <w:tcW w:w="7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7520" w:type="dxa"/>
            <w:vAlign w:val="bottom"/>
            <w:gridSpan w:val="2"/>
          </w:tcPr>
          <w:p>
            <w:pPr>
              <w:ind w:left="2880"/>
              <w:spacing w:after="0"/>
              <w:rPr>
                <w:sz w:val="20"/>
                <w:szCs w:val="20"/>
                <w:color w:val="auto"/>
              </w:rPr>
            </w:pPr>
            <w:r>
              <w:rPr>
                <w:rFonts w:ascii="Arial" w:cs="Arial" w:eastAsia="Arial" w:hAnsi="Arial"/>
                <w:sz w:val="18"/>
                <w:szCs w:val="18"/>
                <w:color w:val="auto"/>
              </w:rPr>
              <w:t>Chairman, President and Chief Executive Officer</w:t>
            </w:r>
          </w:p>
        </w:tc>
      </w:tr>
      <w:tr>
        <w:trPr>
          <w:trHeight w:val="594"/>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3160" w:type="dxa"/>
            <w:vAlign w:val="bottom"/>
          </w:tcPr>
          <w:p>
            <w:pPr>
              <w:ind w:left="220"/>
              <w:spacing w:after="0"/>
              <w:rPr>
                <w:sz w:val="20"/>
                <w:szCs w:val="20"/>
                <w:color w:val="auto"/>
              </w:rPr>
            </w:pPr>
            <w:r>
              <w:rPr>
                <w:rFonts w:ascii="Arial" w:cs="Arial" w:eastAsia="Arial" w:hAnsi="Arial"/>
                <w:sz w:val="18"/>
                <w:szCs w:val="18"/>
                <w:color w:val="auto"/>
              </w:rPr>
              <w:t>January 26, 2017</w:t>
            </w:r>
          </w:p>
        </w:tc>
        <w:tc>
          <w:tcPr>
            <w:tcW w:w="3420" w:type="dxa"/>
            <w:vAlign w:val="bottom"/>
          </w:tcPr>
          <w:p>
            <w:pPr>
              <w:ind w:left="2880"/>
              <w:spacing w:after="0"/>
              <w:rPr>
                <w:sz w:val="20"/>
                <w:szCs w:val="20"/>
                <w:color w:val="auto"/>
              </w:rPr>
            </w:pPr>
            <w:r>
              <w:rPr>
                <w:rFonts w:ascii="Arial" w:cs="Arial" w:eastAsia="Arial" w:hAnsi="Arial"/>
                <w:sz w:val="18"/>
                <w:szCs w:val="18"/>
                <w:color w:val="auto"/>
              </w:rPr>
              <w:t>By:</w:t>
            </w:r>
          </w:p>
        </w:tc>
        <w:tc>
          <w:tcPr>
            <w:tcW w:w="4100" w:type="dxa"/>
            <w:vAlign w:val="bottom"/>
          </w:tcPr>
          <w:p>
            <w:pPr>
              <w:ind w:left="20"/>
              <w:spacing w:after="0"/>
              <w:rPr>
                <w:sz w:val="20"/>
                <w:szCs w:val="20"/>
                <w:color w:val="auto"/>
              </w:rPr>
            </w:pPr>
            <w:r>
              <w:rPr>
                <w:rFonts w:ascii="Arial" w:cs="Arial" w:eastAsia="Arial" w:hAnsi="Arial"/>
                <w:sz w:val="18"/>
                <w:szCs w:val="18"/>
                <w:color w:val="auto"/>
              </w:rPr>
              <w:t>/s/ Brian Carolan</w:t>
            </w:r>
          </w:p>
        </w:tc>
      </w:tr>
      <w:tr>
        <w:trPr>
          <w:trHeight w:val="27"/>
        </w:trPr>
        <w:tc>
          <w:tcPr>
            <w:tcW w:w="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7520" w:type="dxa"/>
            <w:vAlign w:val="bottom"/>
            <w:gridSpan w:val="2"/>
          </w:tcPr>
          <w:p>
            <w:pPr>
              <w:spacing w:after="0"/>
              <w:rPr>
                <w:sz w:val="2"/>
                <w:szCs w:val="2"/>
                <w:color w:val="auto"/>
              </w:rPr>
            </w:pPr>
          </w:p>
        </w:tc>
      </w:tr>
      <w:tr>
        <w:trPr>
          <w:trHeight w:val="224"/>
        </w:trPr>
        <w:tc>
          <w:tcPr>
            <w:tcW w:w="7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420" w:type="dxa"/>
            <w:vAlign w:val="bottom"/>
          </w:tcPr>
          <w:p>
            <w:pPr>
              <w:ind w:left="2880"/>
              <w:spacing w:after="0"/>
              <w:rPr>
                <w:sz w:val="20"/>
                <w:szCs w:val="20"/>
                <w:color w:val="auto"/>
              </w:rPr>
            </w:pPr>
            <w:r>
              <w:rPr>
                <w:rFonts w:ascii="Arial" w:cs="Arial" w:eastAsia="Arial" w:hAnsi="Arial"/>
                <w:sz w:val="18"/>
                <w:szCs w:val="18"/>
                <w:color w:val="auto"/>
              </w:rPr>
              <w:t>Brian</w:t>
            </w:r>
          </w:p>
        </w:tc>
        <w:tc>
          <w:tcPr>
            <w:tcW w:w="4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Carolan</w:t>
            </w:r>
          </w:p>
        </w:tc>
      </w:tr>
      <w:tr>
        <w:trPr>
          <w:trHeight w:val="269"/>
        </w:trPr>
        <w:tc>
          <w:tcPr>
            <w:tcW w:w="7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7520" w:type="dxa"/>
            <w:vAlign w:val="bottom"/>
            <w:gridSpan w:val="2"/>
          </w:tcPr>
          <w:p>
            <w:pPr>
              <w:ind w:left="2880"/>
              <w:spacing w:after="0"/>
              <w:rPr>
                <w:sz w:val="20"/>
                <w:szCs w:val="20"/>
                <w:color w:val="auto"/>
              </w:rPr>
            </w:pPr>
            <w:r>
              <w:rPr>
                <w:rFonts w:ascii="Arial" w:cs="Arial" w:eastAsia="Arial" w:hAnsi="Arial"/>
                <w:sz w:val="18"/>
                <w:szCs w:val="18"/>
                <w:color w:val="auto"/>
              </w:rPr>
              <w:t>Vice President and Chief Financial Officer</w:t>
            </w:r>
          </w:p>
        </w:tc>
      </w:tr>
      <w:tr>
        <w:trPr>
          <w:trHeight w:val="486"/>
        </w:trPr>
        <w:tc>
          <w:tcPr>
            <w:tcW w:w="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20" w:type="dxa"/>
            <w:vAlign w:val="bottom"/>
          </w:tcPr>
          <w:p>
            <w:pPr>
              <w:ind w:left="1720"/>
              <w:spacing w:after="0"/>
              <w:rPr>
                <w:sz w:val="20"/>
                <w:szCs w:val="20"/>
                <w:color w:val="auto"/>
              </w:rPr>
            </w:pPr>
            <w:r>
              <w:rPr>
                <w:rFonts w:ascii="Arial" w:cs="Arial" w:eastAsia="Arial" w:hAnsi="Arial"/>
                <w:sz w:val="18"/>
                <w:szCs w:val="18"/>
                <w:color w:val="auto"/>
              </w:rPr>
              <w:t>29</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7220" w:type="dxa"/>
            <w:vAlign w:val="bottom"/>
            <w:gridSpan w:val="3"/>
          </w:tcPr>
          <w:p>
            <w:pPr>
              <w:ind w:left="39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50"/>
        </w:trPr>
        <w:tc>
          <w:tcPr>
            <w:tcW w:w="108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44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0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080" w:type="dxa"/>
            <w:vAlign w:val="bottom"/>
          </w:tcPr>
          <w:p>
            <w:pPr>
              <w:ind w:left="440"/>
              <w:spacing w:after="0" w:line="158" w:lineRule="exact"/>
              <w:rPr>
                <w:sz w:val="20"/>
                <w:szCs w:val="20"/>
                <w:color w:val="auto"/>
              </w:rPr>
            </w:pPr>
            <w:r>
              <w:rPr>
                <w:rFonts w:ascii="Arial" w:cs="Arial" w:eastAsia="Arial" w:hAnsi="Arial"/>
                <w:sz w:val="14"/>
                <w:szCs w:val="14"/>
                <w:b w:val="1"/>
                <w:bCs w:val="1"/>
                <w:color w:val="auto"/>
              </w:rPr>
              <w:t>No.</w:t>
            </w:r>
          </w:p>
        </w:tc>
        <w:tc>
          <w:tcPr>
            <w:tcW w:w="442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80" w:type="dxa"/>
            <w:vAlign w:val="bottom"/>
            <w:tcBorders>
              <w:bottom w:val="single" w:sz="8" w:color="auto"/>
            </w:tcBorders>
          </w:tcPr>
          <w:p>
            <w:pPr>
              <w:spacing w:after="0" w:line="20" w:lineRule="exact"/>
              <w:rPr>
                <w:sz w:val="1"/>
                <w:szCs w:val="1"/>
                <w:color w:val="auto"/>
              </w:rPr>
            </w:pPr>
          </w:p>
        </w:tc>
        <w:tc>
          <w:tcPr>
            <w:tcW w:w="7220" w:type="dxa"/>
            <w:vAlign w:val="bottom"/>
            <w:gridSpan w:val="3"/>
            <w:vMerge w:val="restart"/>
          </w:tcPr>
          <w:p>
            <w:pPr>
              <w:ind w:left="20"/>
              <w:spacing w:after="0"/>
              <w:rPr>
                <w:sz w:val="20"/>
                <w:szCs w:val="20"/>
                <w:color w:val="auto"/>
              </w:rPr>
            </w:pPr>
            <w:r>
              <w:rPr>
                <w:rFonts w:ascii="Arial" w:cs="Arial" w:eastAsia="Arial" w:hAnsi="Arial"/>
                <w:sz w:val="18"/>
                <w:szCs w:val="18"/>
                <w:color w:val="auto"/>
                <w:w w:val="92"/>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37"/>
        </w:trPr>
        <w:tc>
          <w:tcPr>
            <w:tcW w:w="1080" w:type="dxa"/>
            <w:vAlign w:val="bottom"/>
          </w:tcPr>
          <w:p>
            <w:pPr>
              <w:ind w:left="180"/>
              <w:spacing w:after="0"/>
              <w:rPr>
                <w:sz w:val="20"/>
                <w:szCs w:val="20"/>
                <w:color w:val="auto"/>
              </w:rPr>
            </w:pPr>
            <w:r>
              <w:rPr>
                <w:rFonts w:ascii="Arial" w:cs="Arial" w:eastAsia="Arial" w:hAnsi="Arial"/>
                <w:sz w:val="18"/>
                <w:szCs w:val="18"/>
                <w:color w:val="auto"/>
              </w:rPr>
              <w:t>31.1</w:t>
            </w:r>
          </w:p>
        </w:tc>
        <w:tc>
          <w:tcPr>
            <w:tcW w:w="72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80" w:type="dxa"/>
            <w:vAlign w:val="bottom"/>
          </w:tcPr>
          <w:p>
            <w:pPr>
              <w:ind w:left="180"/>
              <w:spacing w:after="0"/>
              <w:rPr>
                <w:sz w:val="20"/>
                <w:szCs w:val="20"/>
                <w:color w:val="auto"/>
              </w:rPr>
            </w:pPr>
            <w:r>
              <w:rPr>
                <w:rFonts w:ascii="Arial" w:cs="Arial" w:eastAsia="Arial" w:hAnsi="Arial"/>
                <w:sz w:val="18"/>
                <w:szCs w:val="18"/>
                <w:color w:val="auto"/>
              </w:rPr>
              <w:t>31.2</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70"/>
        </w:trPr>
        <w:tc>
          <w:tcPr>
            <w:tcW w:w="1080" w:type="dxa"/>
            <w:vAlign w:val="bottom"/>
          </w:tcPr>
          <w:p>
            <w:pPr>
              <w:ind w:left="180"/>
              <w:spacing w:after="0"/>
              <w:rPr>
                <w:sz w:val="20"/>
                <w:szCs w:val="20"/>
                <w:color w:val="auto"/>
              </w:rPr>
            </w:pPr>
            <w:r>
              <w:rPr>
                <w:rFonts w:ascii="Arial" w:cs="Arial" w:eastAsia="Arial" w:hAnsi="Arial"/>
                <w:sz w:val="18"/>
                <w:szCs w:val="18"/>
                <w:color w:val="auto"/>
              </w:rPr>
              <w:t>32.1</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70"/>
        </w:trPr>
        <w:tc>
          <w:tcPr>
            <w:tcW w:w="1080" w:type="dxa"/>
            <w:vAlign w:val="bottom"/>
          </w:tcPr>
          <w:p>
            <w:pPr>
              <w:ind w:left="180"/>
              <w:spacing w:after="0"/>
              <w:rPr>
                <w:sz w:val="20"/>
                <w:szCs w:val="20"/>
                <w:color w:val="auto"/>
              </w:rPr>
            </w:pPr>
            <w:r>
              <w:rPr>
                <w:rFonts w:ascii="Arial" w:cs="Arial" w:eastAsia="Arial" w:hAnsi="Arial"/>
                <w:sz w:val="18"/>
                <w:szCs w:val="18"/>
                <w:color w:val="auto"/>
              </w:rPr>
              <w:t>32.2</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101.INS</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101.SCH</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101.CAL</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101.DEF</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101.LAB</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080" w:type="dxa"/>
            <w:vAlign w:val="bottom"/>
          </w:tcPr>
          <w:p>
            <w:pPr>
              <w:ind w:left="40"/>
              <w:spacing w:after="0"/>
              <w:rPr>
                <w:sz w:val="20"/>
                <w:szCs w:val="20"/>
                <w:color w:val="auto"/>
              </w:rPr>
            </w:pPr>
            <w:r>
              <w:rPr>
                <w:rFonts w:ascii="Arial" w:cs="Arial" w:eastAsia="Arial" w:hAnsi="Arial"/>
                <w:sz w:val="18"/>
                <w:szCs w:val="18"/>
                <w:color w:val="auto"/>
              </w:rPr>
              <w:t>101.PRE</w:t>
            </w:r>
          </w:p>
        </w:tc>
        <w:tc>
          <w:tcPr>
            <w:tcW w:w="7220" w:type="dxa"/>
            <w:vAlign w:val="bottom"/>
            <w:gridSpan w:val="3"/>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702"/>
        </w:trPr>
        <w:tc>
          <w:tcPr>
            <w:tcW w:w="1080" w:type="dxa"/>
            <w:vAlign w:val="bottom"/>
          </w:tcPr>
          <w:p>
            <w:pPr>
              <w:spacing w:after="0"/>
              <w:rPr>
                <w:sz w:val="24"/>
                <w:szCs w:val="24"/>
                <w:color w:val="auto"/>
              </w:rPr>
            </w:pPr>
          </w:p>
        </w:tc>
        <w:tc>
          <w:tcPr>
            <w:tcW w:w="5140" w:type="dxa"/>
            <w:vAlign w:val="bottom"/>
            <w:gridSpan w:val="2"/>
          </w:tcPr>
          <w:p>
            <w:pPr>
              <w:ind w:left="4540"/>
              <w:spacing w:after="0"/>
              <w:rPr>
                <w:sz w:val="20"/>
                <w:szCs w:val="20"/>
                <w:color w:val="auto"/>
              </w:rPr>
            </w:pPr>
            <w:r>
              <w:rPr>
                <w:rFonts w:ascii="Arial" w:cs="Arial" w:eastAsia="Arial" w:hAnsi="Arial"/>
                <w:sz w:val="18"/>
                <w:szCs w:val="18"/>
                <w:color w:val="auto"/>
              </w:rPr>
              <w:t>30</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5"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 Robert Hammer, certify that:</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2017</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by Rule 13a-14(a) (17 CFR 240.13a-14(a))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Carolan,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Commvault Systems,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300" w:right="80" w:hanging="320"/>
        <w:spacing w:after="0" w:line="256"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220" w:hanging="320"/>
        <w:spacing w:after="0" w:line="250"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300" w:right="380" w:hanging="320"/>
        <w:spacing w:after="0" w:line="28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55"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51" w:lineRule="exact"/>
        <w:rPr>
          <w:rFonts w:ascii="Arial" w:cs="Arial" w:eastAsia="Arial" w:hAnsi="Arial"/>
          <w:sz w:val="17"/>
          <w:szCs w:val="17"/>
          <w:color w:val="auto"/>
        </w:rPr>
      </w:pPr>
    </w:p>
    <w:p>
      <w:pPr>
        <w:ind w:left="1300" w:right="620" w:hanging="320"/>
        <w:spacing w:after="0" w:line="29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61"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January 26, 2017</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December 31, 2016 as filed with the Securities and Exchange Commission (the “Report”), I, N. Robert Hammer, Chairman, President and Chief Executive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 ROBERT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 Robert Hammer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January 26, 2017</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In connection with the Quarterly Report of Commvault Systems, Inc. (the “Company”) on Form 10-Q for the period ended December 31, 2016 as filed with the Securities and Exchange Commission (the “Report”), I, Brian Carolan, Vice President and Chief Financial Officer of the Company, certify, pursuant to 18 U.S.C. § 1350, as adopted pursuant to § 906 of the Sarbanes-Oxley Act of 2002, that:</w:t>
      </w:r>
    </w:p>
    <w:p>
      <w:pPr>
        <w:spacing w:after="0" w:line="87"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64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Carolan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January 26,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2019-12-29T08:14:20Z</dcterms:created>
  <dcterms:modified xsi:type="dcterms:W3CDTF">2019-12-29T08:14:20Z</dcterms:modified>
</cp:coreProperties>
</file>